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6ABEFCB" wp14:editId="7D1B0AA5">
                <wp:simplePos x="0" y="0"/>
                <wp:positionH relativeFrom="column">
                  <wp:posOffset>-1110615</wp:posOffset>
                </wp:positionH>
                <wp:positionV relativeFrom="paragraph">
                  <wp:posOffset>-990600</wp:posOffset>
                </wp:positionV>
                <wp:extent cx="7593222" cy="10820400"/>
                <wp:effectExtent l="0" t="0" r="825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817839"/>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B07EEB">
            <w:t>3</w:t>
          </w:r>
          <w:r>
            <w:t xml:space="preserve"> </w:t>
          </w:r>
          <w:r>
            <w:rPr>
              <w:rFonts w:cs="Arial"/>
            </w:rPr>
            <w:t>−</w:t>
          </w:r>
          <w:r>
            <w:t xml:space="preserve"> </w:t>
          </w:r>
          <w:r w:rsidR="00B07EEB">
            <w:t>Classification of services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6787181"/>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preliminary decision on </w:t>
      </w:r>
      <w:r w:rsidR="001201F1">
        <w:t>Energex's</w:t>
      </w:r>
      <w:r>
        <w:t xml:space="preserve"> 2015–20 distribution determination. It should be read with</w:t>
      </w:r>
      <w:r w:rsidR="005F06C5">
        <w:t xml:space="preserve"> all</w:t>
      </w:r>
      <w:r>
        <w:t xml:space="preserve"> 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C702EA">
        <w:t xml:space="preserve">policy </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5" w:name="_Toc403144133"/>
      <w:bookmarkStart w:id="6" w:name="_Toc416787182"/>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EA5254" w:rsidRDefault="004C12B7">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6787181" w:history="1">
            <w:r w:rsidR="00EA5254" w:rsidRPr="00525DEA">
              <w:rPr>
                <w:rStyle w:val="Hyperlink"/>
              </w:rPr>
              <w:t>Note</w:t>
            </w:r>
            <w:r w:rsidR="00EA5254">
              <w:rPr>
                <w:webHidden/>
              </w:rPr>
              <w:tab/>
              <w:t>13-</w:t>
            </w:r>
            <w:r w:rsidR="00EA5254">
              <w:rPr>
                <w:webHidden/>
              </w:rPr>
              <w:fldChar w:fldCharType="begin"/>
            </w:r>
            <w:r w:rsidR="00EA5254">
              <w:rPr>
                <w:webHidden/>
              </w:rPr>
              <w:instrText xml:space="preserve"> PAGEREF _Toc416787181 \h </w:instrText>
            </w:r>
            <w:r w:rsidR="00EA5254">
              <w:rPr>
                <w:webHidden/>
              </w:rPr>
            </w:r>
            <w:r w:rsidR="00EA5254">
              <w:rPr>
                <w:webHidden/>
              </w:rPr>
              <w:fldChar w:fldCharType="separate"/>
            </w:r>
            <w:r w:rsidR="00EA5254">
              <w:rPr>
                <w:webHidden/>
              </w:rPr>
              <w:t>2</w:t>
            </w:r>
            <w:r w:rsidR="00EA5254">
              <w:rPr>
                <w:webHidden/>
              </w:rPr>
              <w:fldChar w:fldCharType="end"/>
            </w:r>
          </w:hyperlink>
        </w:p>
        <w:p w:rsidR="00EA5254" w:rsidRDefault="0057775B">
          <w:pPr>
            <w:pStyle w:val="TOC1"/>
            <w:rPr>
              <w:rFonts w:asciiTheme="minorHAnsi" w:eastAsiaTheme="minorEastAsia" w:hAnsiTheme="minorHAnsi"/>
              <w:b w:val="0"/>
              <w:color w:val="auto"/>
              <w:sz w:val="22"/>
              <w:lang w:val="en-AU" w:eastAsia="en-AU"/>
            </w:rPr>
          </w:pPr>
          <w:hyperlink w:anchor="_Toc416787182" w:history="1">
            <w:r w:rsidR="00EA5254" w:rsidRPr="00525DEA">
              <w:rPr>
                <w:rStyle w:val="Hyperlink"/>
              </w:rPr>
              <w:t>Contents</w:t>
            </w:r>
            <w:r w:rsidR="00EA5254">
              <w:rPr>
                <w:webHidden/>
              </w:rPr>
              <w:tab/>
              <w:t>13-</w:t>
            </w:r>
            <w:r w:rsidR="00EA5254">
              <w:rPr>
                <w:webHidden/>
              </w:rPr>
              <w:fldChar w:fldCharType="begin"/>
            </w:r>
            <w:r w:rsidR="00EA5254">
              <w:rPr>
                <w:webHidden/>
              </w:rPr>
              <w:instrText xml:space="preserve"> PAGEREF _Toc416787182 \h </w:instrText>
            </w:r>
            <w:r w:rsidR="00EA5254">
              <w:rPr>
                <w:webHidden/>
              </w:rPr>
            </w:r>
            <w:r w:rsidR="00EA5254">
              <w:rPr>
                <w:webHidden/>
              </w:rPr>
              <w:fldChar w:fldCharType="separate"/>
            </w:r>
            <w:r w:rsidR="00EA5254">
              <w:rPr>
                <w:webHidden/>
              </w:rPr>
              <w:t>3</w:t>
            </w:r>
            <w:r w:rsidR="00EA5254">
              <w:rPr>
                <w:webHidden/>
              </w:rPr>
              <w:fldChar w:fldCharType="end"/>
            </w:r>
          </w:hyperlink>
        </w:p>
        <w:p w:rsidR="00EA5254" w:rsidRDefault="0057775B">
          <w:pPr>
            <w:pStyle w:val="TOC1"/>
            <w:rPr>
              <w:rFonts w:asciiTheme="minorHAnsi" w:eastAsiaTheme="minorEastAsia" w:hAnsiTheme="minorHAnsi"/>
              <w:b w:val="0"/>
              <w:color w:val="auto"/>
              <w:sz w:val="22"/>
              <w:lang w:val="en-AU" w:eastAsia="en-AU"/>
            </w:rPr>
          </w:pPr>
          <w:hyperlink w:anchor="_Toc416787183" w:history="1">
            <w:r w:rsidR="00EA5254" w:rsidRPr="00525DEA">
              <w:rPr>
                <w:rStyle w:val="Hyperlink"/>
              </w:rPr>
              <w:t>Shortened forms</w:t>
            </w:r>
            <w:r w:rsidR="00EA5254">
              <w:rPr>
                <w:webHidden/>
              </w:rPr>
              <w:tab/>
              <w:t>13-</w:t>
            </w:r>
            <w:r w:rsidR="00EA5254">
              <w:rPr>
                <w:webHidden/>
              </w:rPr>
              <w:fldChar w:fldCharType="begin"/>
            </w:r>
            <w:r w:rsidR="00EA5254">
              <w:rPr>
                <w:webHidden/>
              </w:rPr>
              <w:instrText xml:space="preserve"> PAGEREF _Toc416787183 \h </w:instrText>
            </w:r>
            <w:r w:rsidR="00EA5254">
              <w:rPr>
                <w:webHidden/>
              </w:rPr>
            </w:r>
            <w:r w:rsidR="00EA5254">
              <w:rPr>
                <w:webHidden/>
              </w:rPr>
              <w:fldChar w:fldCharType="separate"/>
            </w:r>
            <w:r w:rsidR="00EA5254">
              <w:rPr>
                <w:webHidden/>
              </w:rPr>
              <w:t>4</w:t>
            </w:r>
            <w:r w:rsidR="00EA5254">
              <w:rPr>
                <w:webHidden/>
              </w:rPr>
              <w:fldChar w:fldCharType="end"/>
            </w:r>
          </w:hyperlink>
        </w:p>
        <w:p w:rsidR="00EA5254" w:rsidRDefault="0057775B">
          <w:pPr>
            <w:pStyle w:val="TOC1"/>
            <w:rPr>
              <w:rFonts w:asciiTheme="minorHAnsi" w:eastAsiaTheme="minorEastAsia" w:hAnsiTheme="minorHAnsi"/>
              <w:b w:val="0"/>
              <w:color w:val="auto"/>
              <w:sz w:val="22"/>
              <w:lang w:val="en-AU" w:eastAsia="en-AU"/>
            </w:rPr>
          </w:pPr>
          <w:hyperlink w:anchor="_Toc416787184" w:history="1">
            <w:r w:rsidR="00EA5254" w:rsidRPr="00525DEA">
              <w:rPr>
                <w:rStyle w:val="Hyperlink"/>
              </w:rPr>
              <w:t>13</w:t>
            </w:r>
            <w:r w:rsidR="00EA5254">
              <w:rPr>
                <w:rFonts w:asciiTheme="minorHAnsi" w:eastAsiaTheme="minorEastAsia" w:hAnsiTheme="minorHAnsi"/>
                <w:b w:val="0"/>
                <w:color w:val="auto"/>
                <w:sz w:val="22"/>
                <w:lang w:val="en-AU" w:eastAsia="en-AU"/>
              </w:rPr>
              <w:tab/>
            </w:r>
            <w:r w:rsidR="00EA5254" w:rsidRPr="00525DEA">
              <w:rPr>
                <w:rStyle w:val="Hyperlink"/>
              </w:rPr>
              <w:t>Classification of services</w:t>
            </w:r>
            <w:r w:rsidR="00EA5254">
              <w:rPr>
                <w:webHidden/>
              </w:rPr>
              <w:tab/>
              <w:t>13-</w:t>
            </w:r>
            <w:r w:rsidR="00EA5254">
              <w:rPr>
                <w:webHidden/>
              </w:rPr>
              <w:fldChar w:fldCharType="begin"/>
            </w:r>
            <w:r w:rsidR="00EA5254">
              <w:rPr>
                <w:webHidden/>
              </w:rPr>
              <w:instrText xml:space="preserve"> PAGEREF _Toc416787184 \h </w:instrText>
            </w:r>
            <w:r w:rsidR="00EA5254">
              <w:rPr>
                <w:webHidden/>
              </w:rPr>
            </w:r>
            <w:r w:rsidR="00EA5254">
              <w:rPr>
                <w:webHidden/>
              </w:rPr>
              <w:fldChar w:fldCharType="separate"/>
            </w:r>
            <w:r w:rsidR="00EA5254">
              <w:rPr>
                <w:webHidden/>
              </w:rPr>
              <w:t>6</w:t>
            </w:r>
            <w:r w:rsidR="00EA5254">
              <w:rPr>
                <w:webHidden/>
              </w:rPr>
              <w:fldChar w:fldCharType="end"/>
            </w:r>
          </w:hyperlink>
        </w:p>
        <w:p w:rsidR="00EA5254" w:rsidRDefault="0057775B">
          <w:pPr>
            <w:pStyle w:val="TOC2"/>
            <w:tabs>
              <w:tab w:val="left" w:pos="1276"/>
            </w:tabs>
            <w:rPr>
              <w:rFonts w:asciiTheme="minorHAnsi" w:eastAsiaTheme="minorEastAsia" w:hAnsiTheme="minorHAnsi"/>
              <w:b w:val="0"/>
              <w:color w:val="auto"/>
              <w:sz w:val="22"/>
              <w:lang w:eastAsia="en-AU"/>
            </w:rPr>
          </w:pPr>
          <w:hyperlink w:anchor="_Toc416787185" w:history="1">
            <w:r w:rsidR="00EA5254" w:rsidRPr="00525DEA">
              <w:rPr>
                <w:rStyle w:val="Hyperlink"/>
              </w:rPr>
              <w:t>13.1</w:t>
            </w:r>
            <w:r w:rsidR="00EA5254">
              <w:rPr>
                <w:rFonts w:asciiTheme="minorHAnsi" w:eastAsiaTheme="minorEastAsia" w:hAnsiTheme="minorHAnsi"/>
                <w:b w:val="0"/>
                <w:color w:val="auto"/>
                <w:sz w:val="22"/>
                <w:lang w:eastAsia="en-AU"/>
              </w:rPr>
              <w:tab/>
            </w:r>
            <w:r w:rsidR="00EA5254" w:rsidRPr="00525DEA">
              <w:rPr>
                <w:rStyle w:val="Hyperlink"/>
              </w:rPr>
              <w:t>Preliminary decision</w:t>
            </w:r>
            <w:r w:rsidR="00EA5254">
              <w:rPr>
                <w:webHidden/>
              </w:rPr>
              <w:tab/>
              <w:t>13-</w:t>
            </w:r>
            <w:r w:rsidR="00EA5254">
              <w:rPr>
                <w:webHidden/>
              </w:rPr>
              <w:fldChar w:fldCharType="begin"/>
            </w:r>
            <w:r w:rsidR="00EA5254">
              <w:rPr>
                <w:webHidden/>
              </w:rPr>
              <w:instrText xml:space="preserve"> PAGEREF _Toc416787185 \h </w:instrText>
            </w:r>
            <w:r w:rsidR="00EA5254">
              <w:rPr>
                <w:webHidden/>
              </w:rPr>
            </w:r>
            <w:r w:rsidR="00EA5254">
              <w:rPr>
                <w:webHidden/>
              </w:rPr>
              <w:fldChar w:fldCharType="separate"/>
            </w:r>
            <w:r w:rsidR="00EA5254">
              <w:rPr>
                <w:webHidden/>
              </w:rPr>
              <w:t>6</w:t>
            </w:r>
            <w:r w:rsidR="00EA5254">
              <w:rPr>
                <w:webHidden/>
              </w:rPr>
              <w:fldChar w:fldCharType="end"/>
            </w:r>
          </w:hyperlink>
        </w:p>
        <w:p w:rsidR="00EA5254" w:rsidRDefault="0057775B">
          <w:pPr>
            <w:pStyle w:val="TOC2"/>
            <w:tabs>
              <w:tab w:val="left" w:pos="1276"/>
            </w:tabs>
            <w:rPr>
              <w:rFonts w:asciiTheme="minorHAnsi" w:eastAsiaTheme="minorEastAsia" w:hAnsiTheme="minorHAnsi"/>
              <w:b w:val="0"/>
              <w:color w:val="auto"/>
              <w:sz w:val="22"/>
              <w:lang w:eastAsia="en-AU"/>
            </w:rPr>
          </w:pPr>
          <w:hyperlink w:anchor="_Toc416787186" w:history="1">
            <w:r w:rsidR="00EA5254" w:rsidRPr="00525DEA">
              <w:rPr>
                <w:rStyle w:val="Hyperlink"/>
              </w:rPr>
              <w:t>13.2</w:t>
            </w:r>
            <w:r w:rsidR="00EA5254">
              <w:rPr>
                <w:rFonts w:asciiTheme="minorHAnsi" w:eastAsiaTheme="minorEastAsia" w:hAnsiTheme="minorHAnsi"/>
                <w:b w:val="0"/>
                <w:color w:val="auto"/>
                <w:sz w:val="22"/>
                <w:lang w:eastAsia="en-AU"/>
              </w:rPr>
              <w:tab/>
            </w:r>
            <w:r w:rsidR="00EA5254" w:rsidRPr="00525DEA">
              <w:rPr>
                <w:rStyle w:val="Hyperlink"/>
              </w:rPr>
              <w:t>Energex’s proposal</w:t>
            </w:r>
            <w:r w:rsidR="00EA5254">
              <w:rPr>
                <w:webHidden/>
              </w:rPr>
              <w:tab/>
              <w:t>13-</w:t>
            </w:r>
            <w:r w:rsidR="00EA5254">
              <w:rPr>
                <w:webHidden/>
              </w:rPr>
              <w:fldChar w:fldCharType="begin"/>
            </w:r>
            <w:r w:rsidR="00EA5254">
              <w:rPr>
                <w:webHidden/>
              </w:rPr>
              <w:instrText xml:space="preserve"> PAGEREF _Toc416787186 \h </w:instrText>
            </w:r>
            <w:r w:rsidR="00EA5254">
              <w:rPr>
                <w:webHidden/>
              </w:rPr>
            </w:r>
            <w:r w:rsidR="00EA5254">
              <w:rPr>
                <w:webHidden/>
              </w:rPr>
              <w:fldChar w:fldCharType="separate"/>
            </w:r>
            <w:r w:rsidR="00EA5254">
              <w:rPr>
                <w:webHidden/>
              </w:rPr>
              <w:t>7</w:t>
            </w:r>
            <w:r w:rsidR="00EA5254">
              <w:rPr>
                <w:webHidden/>
              </w:rPr>
              <w:fldChar w:fldCharType="end"/>
            </w:r>
          </w:hyperlink>
        </w:p>
        <w:p w:rsidR="00EA5254" w:rsidRDefault="0057775B">
          <w:pPr>
            <w:pStyle w:val="TOC2"/>
            <w:tabs>
              <w:tab w:val="left" w:pos="1276"/>
            </w:tabs>
            <w:rPr>
              <w:rFonts w:asciiTheme="minorHAnsi" w:eastAsiaTheme="minorEastAsia" w:hAnsiTheme="minorHAnsi"/>
              <w:b w:val="0"/>
              <w:color w:val="auto"/>
              <w:sz w:val="22"/>
              <w:lang w:eastAsia="en-AU"/>
            </w:rPr>
          </w:pPr>
          <w:hyperlink w:anchor="_Toc416787187" w:history="1">
            <w:r w:rsidR="00EA5254" w:rsidRPr="00525DEA">
              <w:rPr>
                <w:rStyle w:val="Hyperlink"/>
              </w:rPr>
              <w:t>13.3</w:t>
            </w:r>
            <w:r w:rsidR="00EA5254">
              <w:rPr>
                <w:rFonts w:asciiTheme="minorHAnsi" w:eastAsiaTheme="minorEastAsia" w:hAnsiTheme="minorHAnsi"/>
                <w:b w:val="0"/>
                <w:color w:val="auto"/>
                <w:sz w:val="22"/>
                <w:lang w:eastAsia="en-AU"/>
              </w:rPr>
              <w:tab/>
            </w:r>
            <w:r w:rsidR="00EA5254" w:rsidRPr="00525DEA">
              <w:rPr>
                <w:rStyle w:val="Hyperlink"/>
              </w:rPr>
              <w:t>AER’s assessment approach</w:t>
            </w:r>
            <w:r w:rsidR="00EA5254">
              <w:rPr>
                <w:webHidden/>
              </w:rPr>
              <w:tab/>
              <w:t>13-</w:t>
            </w:r>
            <w:r w:rsidR="00EA5254">
              <w:rPr>
                <w:webHidden/>
              </w:rPr>
              <w:fldChar w:fldCharType="begin"/>
            </w:r>
            <w:r w:rsidR="00EA5254">
              <w:rPr>
                <w:webHidden/>
              </w:rPr>
              <w:instrText xml:space="preserve"> PAGEREF _Toc416787187 \h </w:instrText>
            </w:r>
            <w:r w:rsidR="00EA5254">
              <w:rPr>
                <w:webHidden/>
              </w:rPr>
            </w:r>
            <w:r w:rsidR="00EA5254">
              <w:rPr>
                <w:webHidden/>
              </w:rPr>
              <w:fldChar w:fldCharType="separate"/>
            </w:r>
            <w:r w:rsidR="00EA5254">
              <w:rPr>
                <w:webHidden/>
              </w:rPr>
              <w:t>8</w:t>
            </w:r>
            <w:r w:rsidR="00EA5254">
              <w:rPr>
                <w:webHidden/>
              </w:rPr>
              <w:fldChar w:fldCharType="end"/>
            </w:r>
          </w:hyperlink>
        </w:p>
        <w:p w:rsidR="00EA5254" w:rsidRDefault="0057775B">
          <w:pPr>
            <w:pStyle w:val="TOC3"/>
            <w:rPr>
              <w:rFonts w:asciiTheme="minorHAnsi" w:eastAsiaTheme="minorEastAsia" w:hAnsiTheme="minorHAnsi"/>
              <w:lang w:eastAsia="en-AU"/>
            </w:rPr>
          </w:pPr>
          <w:hyperlink w:anchor="_Toc416787188" w:history="1">
            <w:r w:rsidR="00EA5254" w:rsidRPr="00525DEA">
              <w:rPr>
                <w:rStyle w:val="Hyperlink"/>
              </w:rPr>
              <w:t>13.3.1</w:t>
            </w:r>
            <w:r w:rsidR="00EA5254">
              <w:rPr>
                <w:rFonts w:asciiTheme="minorHAnsi" w:eastAsiaTheme="minorEastAsia" w:hAnsiTheme="minorHAnsi"/>
                <w:lang w:eastAsia="en-AU"/>
              </w:rPr>
              <w:tab/>
            </w:r>
            <w:r w:rsidR="00EA5254" w:rsidRPr="00525DEA">
              <w:rPr>
                <w:rStyle w:val="Hyperlink"/>
              </w:rPr>
              <w:t>Interrelationships</w:t>
            </w:r>
            <w:r w:rsidR="00EA5254">
              <w:rPr>
                <w:webHidden/>
              </w:rPr>
              <w:tab/>
              <w:t>13-</w:t>
            </w:r>
            <w:r w:rsidR="00EA5254">
              <w:rPr>
                <w:webHidden/>
              </w:rPr>
              <w:fldChar w:fldCharType="begin"/>
            </w:r>
            <w:r w:rsidR="00EA5254">
              <w:rPr>
                <w:webHidden/>
              </w:rPr>
              <w:instrText xml:space="preserve"> PAGEREF _Toc416787188 \h </w:instrText>
            </w:r>
            <w:r w:rsidR="00EA5254">
              <w:rPr>
                <w:webHidden/>
              </w:rPr>
            </w:r>
            <w:r w:rsidR="00EA5254">
              <w:rPr>
                <w:webHidden/>
              </w:rPr>
              <w:fldChar w:fldCharType="separate"/>
            </w:r>
            <w:r w:rsidR="00EA5254">
              <w:rPr>
                <w:webHidden/>
              </w:rPr>
              <w:t>9</w:t>
            </w:r>
            <w:r w:rsidR="00EA5254">
              <w:rPr>
                <w:webHidden/>
              </w:rPr>
              <w:fldChar w:fldCharType="end"/>
            </w:r>
          </w:hyperlink>
        </w:p>
        <w:p w:rsidR="00EA5254" w:rsidRDefault="0057775B">
          <w:pPr>
            <w:pStyle w:val="TOC2"/>
            <w:tabs>
              <w:tab w:val="left" w:pos="1276"/>
            </w:tabs>
            <w:rPr>
              <w:rFonts w:asciiTheme="minorHAnsi" w:eastAsiaTheme="minorEastAsia" w:hAnsiTheme="minorHAnsi"/>
              <w:b w:val="0"/>
              <w:color w:val="auto"/>
              <w:sz w:val="22"/>
              <w:lang w:eastAsia="en-AU"/>
            </w:rPr>
          </w:pPr>
          <w:hyperlink w:anchor="_Toc416787189" w:history="1">
            <w:r w:rsidR="00EA5254" w:rsidRPr="00525DEA">
              <w:rPr>
                <w:rStyle w:val="Hyperlink"/>
              </w:rPr>
              <w:t>13.4</w:t>
            </w:r>
            <w:r w:rsidR="00EA5254">
              <w:rPr>
                <w:rFonts w:asciiTheme="minorHAnsi" w:eastAsiaTheme="minorEastAsia" w:hAnsiTheme="minorHAnsi"/>
                <w:b w:val="0"/>
                <w:color w:val="auto"/>
                <w:sz w:val="22"/>
                <w:lang w:eastAsia="en-AU"/>
              </w:rPr>
              <w:tab/>
            </w:r>
            <w:r w:rsidR="00EA5254" w:rsidRPr="00525DEA">
              <w:rPr>
                <w:rStyle w:val="Hyperlink"/>
              </w:rPr>
              <w:t>Reasons for preliminary decision</w:t>
            </w:r>
            <w:r w:rsidR="00EA5254">
              <w:rPr>
                <w:webHidden/>
              </w:rPr>
              <w:tab/>
              <w:t>13-</w:t>
            </w:r>
            <w:r w:rsidR="00EA5254">
              <w:rPr>
                <w:webHidden/>
              </w:rPr>
              <w:fldChar w:fldCharType="begin"/>
            </w:r>
            <w:r w:rsidR="00EA5254">
              <w:rPr>
                <w:webHidden/>
              </w:rPr>
              <w:instrText xml:space="preserve"> PAGEREF _Toc416787189 \h </w:instrText>
            </w:r>
            <w:r w:rsidR="00EA5254">
              <w:rPr>
                <w:webHidden/>
              </w:rPr>
            </w:r>
            <w:r w:rsidR="00EA5254">
              <w:rPr>
                <w:webHidden/>
              </w:rPr>
              <w:fldChar w:fldCharType="separate"/>
            </w:r>
            <w:r w:rsidR="00EA5254">
              <w:rPr>
                <w:webHidden/>
              </w:rPr>
              <w:t>9</w:t>
            </w:r>
            <w:r w:rsidR="00EA5254">
              <w:rPr>
                <w:webHidden/>
              </w:rPr>
              <w:fldChar w:fldCharType="end"/>
            </w:r>
          </w:hyperlink>
        </w:p>
        <w:p w:rsidR="00EA5254" w:rsidRDefault="0057775B">
          <w:pPr>
            <w:pStyle w:val="TOC3"/>
            <w:rPr>
              <w:rFonts w:asciiTheme="minorHAnsi" w:eastAsiaTheme="minorEastAsia" w:hAnsiTheme="minorHAnsi"/>
              <w:lang w:eastAsia="en-AU"/>
            </w:rPr>
          </w:pPr>
          <w:hyperlink w:anchor="_Toc416787190" w:history="1">
            <w:r w:rsidR="00EA5254" w:rsidRPr="00525DEA">
              <w:rPr>
                <w:rStyle w:val="Hyperlink"/>
              </w:rPr>
              <w:t>13.4.1</w:t>
            </w:r>
            <w:r w:rsidR="00EA5254">
              <w:rPr>
                <w:rFonts w:asciiTheme="minorHAnsi" w:eastAsiaTheme="minorEastAsia" w:hAnsiTheme="minorHAnsi"/>
                <w:lang w:eastAsia="en-AU"/>
              </w:rPr>
              <w:tab/>
            </w:r>
            <w:r w:rsidR="00EA5254" w:rsidRPr="00525DEA">
              <w:rPr>
                <w:rStyle w:val="Hyperlink"/>
              </w:rPr>
              <w:t>Unforeseen circumstances</w:t>
            </w:r>
            <w:r w:rsidR="00EA5254" w:rsidRPr="00525DEA">
              <w:rPr>
                <w:rStyle w:val="Hyperlink"/>
                <w:rFonts w:cs="Arial"/>
              </w:rPr>
              <w:t>─</w:t>
            </w:r>
            <w:r w:rsidR="00EA5254" w:rsidRPr="00525DEA">
              <w:rPr>
                <w:rStyle w:val="Hyperlink"/>
              </w:rPr>
              <w:t xml:space="preserve"> metering</w:t>
            </w:r>
            <w:r w:rsidR="00EA5254">
              <w:rPr>
                <w:webHidden/>
              </w:rPr>
              <w:tab/>
              <w:t>13-</w:t>
            </w:r>
            <w:r w:rsidR="00EA5254">
              <w:rPr>
                <w:webHidden/>
              </w:rPr>
              <w:fldChar w:fldCharType="begin"/>
            </w:r>
            <w:r w:rsidR="00EA5254">
              <w:rPr>
                <w:webHidden/>
              </w:rPr>
              <w:instrText xml:space="preserve"> PAGEREF _Toc416787190 \h </w:instrText>
            </w:r>
            <w:r w:rsidR="00EA5254">
              <w:rPr>
                <w:webHidden/>
              </w:rPr>
            </w:r>
            <w:r w:rsidR="00EA5254">
              <w:rPr>
                <w:webHidden/>
              </w:rPr>
              <w:fldChar w:fldCharType="separate"/>
            </w:r>
            <w:r w:rsidR="00EA5254">
              <w:rPr>
                <w:webHidden/>
              </w:rPr>
              <w:t>10</w:t>
            </w:r>
            <w:r w:rsidR="00EA5254">
              <w:rPr>
                <w:webHidden/>
              </w:rPr>
              <w:fldChar w:fldCharType="end"/>
            </w:r>
          </w:hyperlink>
        </w:p>
        <w:p w:rsidR="00EA5254" w:rsidRDefault="0057775B">
          <w:pPr>
            <w:pStyle w:val="TOC3"/>
            <w:rPr>
              <w:rFonts w:asciiTheme="minorHAnsi" w:eastAsiaTheme="minorEastAsia" w:hAnsiTheme="minorHAnsi"/>
              <w:lang w:eastAsia="en-AU"/>
            </w:rPr>
          </w:pPr>
          <w:hyperlink w:anchor="_Toc416787191" w:history="1">
            <w:r w:rsidR="00EA5254" w:rsidRPr="00525DEA">
              <w:rPr>
                <w:rStyle w:val="Hyperlink"/>
              </w:rPr>
              <w:t>13.4.2</w:t>
            </w:r>
            <w:r w:rsidR="00EA5254">
              <w:rPr>
                <w:rFonts w:asciiTheme="minorHAnsi" w:eastAsiaTheme="minorEastAsia" w:hAnsiTheme="minorHAnsi"/>
                <w:lang w:eastAsia="en-AU"/>
              </w:rPr>
              <w:tab/>
            </w:r>
            <w:r w:rsidR="00EA5254" w:rsidRPr="00525DEA">
              <w:rPr>
                <w:rStyle w:val="Hyperlink"/>
              </w:rPr>
              <w:t>Exit fees</w:t>
            </w:r>
            <w:r w:rsidR="00EA5254">
              <w:rPr>
                <w:webHidden/>
              </w:rPr>
              <w:tab/>
              <w:t>13-</w:t>
            </w:r>
            <w:r w:rsidR="00EA5254">
              <w:rPr>
                <w:webHidden/>
              </w:rPr>
              <w:fldChar w:fldCharType="begin"/>
            </w:r>
            <w:r w:rsidR="00EA5254">
              <w:rPr>
                <w:webHidden/>
              </w:rPr>
              <w:instrText xml:space="preserve"> PAGEREF _Toc416787191 \h </w:instrText>
            </w:r>
            <w:r w:rsidR="00EA5254">
              <w:rPr>
                <w:webHidden/>
              </w:rPr>
            </w:r>
            <w:r w:rsidR="00EA5254">
              <w:rPr>
                <w:webHidden/>
              </w:rPr>
              <w:fldChar w:fldCharType="separate"/>
            </w:r>
            <w:r w:rsidR="00EA5254">
              <w:rPr>
                <w:webHidden/>
              </w:rPr>
              <w:t>11</w:t>
            </w:r>
            <w:r w:rsidR="00EA5254">
              <w:rPr>
                <w:webHidden/>
              </w:rPr>
              <w:fldChar w:fldCharType="end"/>
            </w:r>
          </w:hyperlink>
        </w:p>
        <w:p w:rsidR="00EA5254" w:rsidRDefault="0057775B">
          <w:pPr>
            <w:pStyle w:val="TOC3"/>
            <w:rPr>
              <w:rFonts w:asciiTheme="minorHAnsi" w:eastAsiaTheme="minorEastAsia" w:hAnsiTheme="minorHAnsi"/>
              <w:lang w:eastAsia="en-AU"/>
            </w:rPr>
          </w:pPr>
          <w:hyperlink w:anchor="_Toc416787192" w:history="1">
            <w:r w:rsidR="00EA5254" w:rsidRPr="00525DEA">
              <w:rPr>
                <w:rStyle w:val="Hyperlink"/>
              </w:rPr>
              <w:t>13.4.3</w:t>
            </w:r>
            <w:r w:rsidR="00EA5254">
              <w:rPr>
                <w:rFonts w:asciiTheme="minorHAnsi" w:eastAsiaTheme="minorEastAsia" w:hAnsiTheme="minorHAnsi"/>
                <w:lang w:eastAsia="en-AU"/>
              </w:rPr>
              <w:tab/>
            </w:r>
            <w:r w:rsidR="00EA5254" w:rsidRPr="00525DEA">
              <w:rPr>
                <w:rStyle w:val="Hyperlink"/>
              </w:rPr>
              <w:t>Residual meter value</w:t>
            </w:r>
            <w:r w:rsidR="00EA5254">
              <w:rPr>
                <w:webHidden/>
              </w:rPr>
              <w:tab/>
              <w:t>13-</w:t>
            </w:r>
            <w:r w:rsidR="00EA5254">
              <w:rPr>
                <w:webHidden/>
              </w:rPr>
              <w:fldChar w:fldCharType="begin"/>
            </w:r>
            <w:r w:rsidR="00EA5254">
              <w:rPr>
                <w:webHidden/>
              </w:rPr>
              <w:instrText xml:space="preserve"> PAGEREF _Toc416787192 \h </w:instrText>
            </w:r>
            <w:r w:rsidR="00EA5254">
              <w:rPr>
                <w:webHidden/>
              </w:rPr>
            </w:r>
            <w:r w:rsidR="00EA5254">
              <w:rPr>
                <w:webHidden/>
              </w:rPr>
              <w:fldChar w:fldCharType="separate"/>
            </w:r>
            <w:r w:rsidR="00EA5254">
              <w:rPr>
                <w:webHidden/>
              </w:rPr>
              <w:t>12</w:t>
            </w:r>
            <w:r w:rsidR="00EA5254">
              <w:rPr>
                <w:webHidden/>
              </w:rPr>
              <w:fldChar w:fldCharType="end"/>
            </w:r>
          </w:hyperlink>
        </w:p>
        <w:p w:rsidR="00EA5254" w:rsidRDefault="0057775B">
          <w:pPr>
            <w:pStyle w:val="TOC3"/>
            <w:rPr>
              <w:rFonts w:asciiTheme="minorHAnsi" w:eastAsiaTheme="minorEastAsia" w:hAnsiTheme="minorHAnsi"/>
              <w:lang w:eastAsia="en-AU"/>
            </w:rPr>
          </w:pPr>
          <w:hyperlink w:anchor="_Toc416787193" w:history="1">
            <w:r w:rsidR="00EA5254" w:rsidRPr="00525DEA">
              <w:rPr>
                <w:rStyle w:val="Hyperlink"/>
              </w:rPr>
              <w:t>13.4.4</w:t>
            </w:r>
            <w:r w:rsidR="00EA5254">
              <w:rPr>
                <w:rFonts w:asciiTheme="minorHAnsi" w:eastAsiaTheme="minorEastAsia" w:hAnsiTheme="minorHAnsi"/>
                <w:lang w:eastAsia="en-AU"/>
              </w:rPr>
              <w:tab/>
            </w:r>
            <w:r w:rsidR="00EA5254" w:rsidRPr="00525DEA">
              <w:rPr>
                <w:rStyle w:val="Hyperlink"/>
              </w:rPr>
              <w:t>Load control</w:t>
            </w:r>
            <w:r w:rsidR="00EA5254">
              <w:rPr>
                <w:webHidden/>
              </w:rPr>
              <w:tab/>
              <w:t>13-</w:t>
            </w:r>
            <w:r w:rsidR="00EA5254">
              <w:rPr>
                <w:webHidden/>
              </w:rPr>
              <w:fldChar w:fldCharType="begin"/>
            </w:r>
            <w:r w:rsidR="00EA5254">
              <w:rPr>
                <w:webHidden/>
              </w:rPr>
              <w:instrText xml:space="preserve"> PAGEREF _Toc416787193 \h </w:instrText>
            </w:r>
            <w:r w:rsidR="00EA5254">
              <w:rPr>
                <w:webHidden/>
              </w:rPr>
            </w:r>
            <w:r w:rsidR="00EA5254">
              <w:rPr>
                <w:webHidden/>
              </w:rPr>
              <w:fldChar w:fldCharType="separate"/>
            </w:r>
            <w:r w:rsidR="00EA5254">
              <w:rPr>
                <w:webHidden/>
              </w:rPr>
              <w:t>13</w:t>
            </w:r>
            <w:r w:rsidR="00EA5254">
              <w:rPr>
                <w:webHidden/>
              </w:rPr>
              <w:fldChar w:fldCharType="end"/>
            </w:r>
          </w:hyperlink>
        </w:p>
        <w:p w:rsidR="00EA5254" w:rsidRDefault="0057775B">
          <w:pPr>
            <w:pStyle w:val="TOC1"/>
            <w:rPr>
              <w:rFonts w:asciiTheme="minorHAnsi" w:eastAsiaTheme="minorEastAsia" w:hAnsiTheme="minorHAnsi"/>
              <w:b w:val="0"/>
              <w:color w:val="auto"/>
              <w:sz w:val="22"/>
              <w:lang w:val="en-AU" w:eastAsia="en-AU"/>
            </w:rPr>
          </w:pPr>
          <w:hyperlink w:anchor="_Toc416787194" w:history="1">
            <w:r w:rsidR="00EA5254" w:rsidRPr="00525DEA">
              <w:rPr>
                <w:rStyle w:val="Hyperlink"/>
              </w:rPr>
              <w:t>A</w:t>
            </w:r>
            <w:r w:rsidR="00EA5254">
              <w:rPr>
                <w:rFonts w:asciiTheme="minorHAnsi" w:eastAsiaTheme="minorEastAsia" w:hAnsiTheme="minorHAnsi"/>
                <w:b w:val="0"/>
                <w:color w:val="auto"/>
                <w:sz w:val="22"/>
                <w:lang w:val="en-AU" w:eastAsia="en-AU"/>
              </w:rPr>
              <w:tab/>
            </w:r>
            <w:r w:rsidR="00EA5254" w:rsidRPr="00525DEA">
              <w:rPr>
                <w:rStyle w:val="Hyperlink"/>
              </w:rPr>
              <w:t>AER preliminary decision on classification of services</w:t>
            </w:r>
            <w:r w:rsidR="00EA5254">
              <w:rPr>
                <w:webHidden/>
              </w:rPr>
              <w:tab/>
              <w:t>13-</w:t>
            </w:r>
            <w:r w:rsidR="00EA5254">
              <w:rPr>
                <w:webHidden/>
              </w:rPr>
              <w:fldChar w:fldCharType="begin"/>
            </w:r>
            <w:r w:rsidR="00EA5254">
              <w:rPr>
                <w:webHidden/>
              </w:rPr>
              <w:instrText xml:space="preserve"> PAGEREF _Toc416787194 \h </w:instrText>
            </w:r>
            <w:r w:rsidR="00EA5254">
              <w:rPr>
                <w:webHidden/>
              </w:rPr>
            </w:r>
            <w:r w:rsidR="00EA5254">
              <w:rPr>
                <w:webHidden/>
              </w:rPr>
              <w:fldChar w:fldCharType="separate"/>
            </w:r>
            <w:r w:rsidR="00EA5254">
              <w:rPr>
                <w:webHidden/>
              </w:rPr>
              <w:t>16</w:t>
            </w:r>
            <w:r w:rsidR="00EA5254">
              <w:rPr>
                <w:webHidden/>
              </w:rPr>
              <w:fldChar w:fldCharType="end"/>
            </w:r>
          </w:hyperlink>
        </w:p>
        <w:p w:rsidR="00DE563D" w:rsidRDefault="004C12B7" w:rsidP="004C12B7">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7" w:name="_Toc404700925"/>
      <w:bookmarkStart w:id="8" w:name="_Toc416787183"/>
      <w:r>
        <w:lastRenderedPageBreak/>
        <w:t>Shortened forms</w:t>
      </w:r>
      <w:bookmarkEnd w:id="7"/>
      <w:bookmarkEnd w:id="8"/>
    </w:p>
    <w:tbl>
      <w:tblPr>
        <w:tblStyle w:val="AERtable-numbers"/>
        <w:tblW w:w="0" w:type="auto"/>
        <w:tblLook w:val="04A0" w:firstRow="1" w:lastRow="0" w:firstColumn="1" w:lastColumn="0" w:noHBand="0" w:noVBand="1"/>
      </w:tblPr>
      <w:tblGrid>
        <w:gridCol w:w="4340"/>
        <w:gridCol w:w="4353"/>
      </w:tblGrid>
      <w:tr w:rsidR="00DE563D" w:rsidTr="005850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augex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5F06C5" w:rsidP="005F06C5">
            <w:pPr>
              <w:pStyle w:val="AERtabletextleft"/>
            </w:pPr>
            <w:r>
              <w:t>Expenditure A</w:t>
            </w:r>
            <w:r w:rsidR="00DE563D">
              <w:t xml:space="preserve">ssessment </w:t>
            </w:r>
            <w:r>
              <w:t>G</w:t>
            </w:r>
            <w:r w:rsidR="00DE563D">
              <w:t>uideline</w:t>
            </w:r>
          </w:p>
        </w:tc>
        <w:tc>
          <w:tcPr>
            <w:tcW w:w="4353" w:type="dxa"/>
          </w:tcPr>
          <w:p w:rsidR="00DE563D" w:rsidRDefault="00F87B7D" w:rsidP="00F87B7D">
            <w:pPr>
              <w:pStyle w:val="AERtabletextleft"/>
              <w:jc w:val="left"/>
              <w:cnfStyle w:val="000000010000" w:firstRow="0" w:lastRow="0" w:firstColumn="0" w:lastColumn="0" w:oddVBand="0" w:evenVBand="0" w:oddHBand="0" w:evenHBand="1" w:firstRowFirstColumn="0" w:firstRowLastColumn="0" w:lastRowFirstColumn="0" w:lastRowLastColumn="0"/>
            </w:pPr>
            <w:r>
              <w:t>E</w:t>
            </w:r>
            <w:r w:rsidR="00DE563D">
              <w:t xml:space="preserve">xpenditure </w:t>
            </w:r>
            <w:r>
              <w:t>F</w:t>
            </w:r>
            <w:r w:rsidR="005F06C5">
              <w:t xml:space="preserve">orecast </w:t>
            </w:r>
            <w:r>
              <w:t>A</w:t>
            </w:r>
            <w:r w:rsidR="005F06C5">
              <w:t xml:space="preserve">ssessment Guideline for </w:t>
            </w:r>
            <w:r>
              <w:t>E</w:t>
            </w:r>
            <w:r w:rsidR="00DE563D">
              <w:t xml:space="preserve">lectricity </w:t>
            </w:r>
            <w:r>
              <w:t>D</w:t>
            </w:r>
            <w:r w:rsidR="00DE563D">
              <w:t>istribution</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2646F5">
              <w:t xml:space="preserve">and </w:t>
            </w:r>
            <w:r>
              <w:t>pricing principles</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5F06C5" w:rsidRDefault="00B07EEB" w:rsidP="007E6836">
      <w:pPr>
        <w:pStyle w:val="Heading1"/>
      </w:pPr>
      <w:bookmarkStart w:id="9" w:name="_Toc416787184"/>
      <w:r w:rsidRPr="005F06C5">
        <w:lastRenderedPageBreak/>
        <w:t>Classification of services</w:t>
      </w:r>
      <w:bookmarkEnd w:id="9"/>
    </w:p>
    <w:p w:rsidR="0087281D" w:rsidRPr="0087281D" w:rsidRDefault="0087281D" w:rsidP="00587851">
      <w:pPr>
        <w:rPr>
          <w:rStyle w:val="AERbody"/>
        </w:rPr>
      </w:pPr>
      <w:r w:rsidRPr="0087281D">
        <w:rPr>
          <w:rStyle w:val="AERbody"/>
        </w:rPr>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decision reflects our assessment of a number of factors, including existing and potential competition to supply these services. </w:t>
      </w:r>
    </w:p>
    <w:p w:rsidR="0087281D" w:rsidRPr="0087281D" w:rsidRDefault="0087281D" w:rsidP="00587851">
      <w:pPr>
        <w:rPr>
          <w:rStyle w:val="AERbody"/>
        </w:rPr>
      </w:pPr>
      <w:r w:rsidRPr="0087281D">
        <w:rPr>
          <w:rStyle w:val="AERbody"/>
        </w:rPr>
        <w:t xml:space="preserve">We are required to make a decision on the classification of </w:t>
      </w:r>
      <w:bookmarkStart w:id="10" w:name="_GoBack"/>
      <w:bookmarkEnd w:id="10"/>
      <w:r w:rsidRPr="0087281D">
        <w:rPr>
          <w:rStyle w:val="AERbody"/>
        </w:rPr>
        <w:t>each distributor's distribution services.</w:t>
      </w:r>
      <w:r w:rsidRPr="00356E67">
        <w:rPr>
          <w:rStyle w:val="AERsuperscript"/>
        </w:rPr>
        <w:footnoteReference w:id="1"/>
      </w:r>
      <w:r w:rsidRPr="00356E67">
        <w:rPr>
          <w:rStyle w:val="AERsuperscript"/>
        </w:rPr>
        <w:t xml:space="preserve"> </w:t>
      </w:r>
      <w:r w:rsidR="0044105A">
        <w:rPr>
          <w:rStyle w:val="AERbody"/>
        </w:rPr>
        <w:t xml:space="preserve">We </w:t>
      </w:r>
      <w:r w:rsidR="000777EE">
        <w:rPr>
          <w:rStyle w:val="AERbody"/>
        </w:rPr>
        <w:t xml:space="preserve">are </w:t>
      </w:r>
      <w:r w:rsidR="0044105A">
        <w:rPr>
          <w:rStyle w:val="AERbody"/>
        </w:rPr>
        <w:t>classify</w:t>
      </w:r>
      <w:r w:rsidR="000777EE">
        <w:rPr>
          <w:rStyle w:val="AERbody"/>
        </w:rPr>
        <w:t>ing</w:t>
      </w:r>
      <w:r w:rsidR="0044105A">
        <w:rPr>
          <w:rStyle w:val="AERbody"/>
        </w:rPr>
        <w:t xml:space="preserve"> services consistently for both Energex and Ergon Energy</w:t>
      </w:r>
      <w:r w:rsidRPr="0087281D">
        <w:rPr>
          <w:rStyle w:val="AERbody"/>
        </w:rPr>
        <w:t xml:space="preserve">. As a result, our reasoning in regard to classification is the same for each of the </w:t>
      </w:r>
      <w:r w:rsidR="0044105A">
        <w:rPr>
          <w:rStyle w:val="AERbody"/>
        </w:rPr>
        <w:t xml:space="preserve">two </w:t>
      </w:r>
      <w:r w:rsidR="00073E1E">
        <w:rPr>
          <w:rStyle w:val="AERbody"/>
        </w:rPr>
        <w:t>Queensland</w:t>
      </w:r>
      <w:r w:rsidRPr="0087281D">
        <w:rPr>
          <w:rStyle w:val="AERbody"/>
        </w:rPr>
        <w:t xml:space="preserve"> distributors</w:t>
      </w:r>
      <w:r w:rsidR="00021F37">
        <w:rPr>
          <w:rStyle w:val="AERbody"/>
        </w:rPr>
        <w:t>. W</w:t>
      </w:r>
      <w:r w:rsidR="0044105A">
        <w:rPr>
          <w:rStyle w:val="AERbody"/>
        </w:rPr>
        <w:t xml:space="preserve">e </w:t>
      </w:r>
      <w:r w:rsidR="00ED5741">
        <w:rPr>
          <w:rStyle w:val="AERbody"/>
        </w:rPr>
        <w:t xml:space="preserve">sometimes </w:t>
      </w:r>
      <w:r w:rsidR="0044105A">
        <w:rPr>
          <w:rStyle w:val="AERbody"/>
        </w:rPr>
        <w:t xml:space="preserve">refer to the </w:t>
      </w:r>
      <w:r w:rsidR="00073E1E">
        <w:rPr>
          <w:rStyle w:val="AERbody"/>
        </w:rPr>
        <w:t>Queensland</w:t>
      </w:r>
      <w:r w:rsidRPr="0087281D">
        <w:rPr>
          <w:rStyle w:val="AERbody"/>
        </w:rPr>
        <w:t xml:space="preserve"> distributors collectively in this attachment. </w:t>
      </w:r>
    </w:p>
    <w:p w:rsidR="0087281D" w:rsidRPr="0087281D" w:rsidRDefault="0087281D" w:rsidP="00587851">
      <w:pPr>
        <w:rPr>
          <w:rStyle w:val="AERbody"/>
        </w:rPr>
      </w:pPr>
      <w:r w:rsidRPr="0087281D">
        <w:rPr>
          <w:rStyle w:val="AERbody"/>
        </w:rPr>
        <w:t>The classification of distribution services must be as set out in the relevant framework and approach (F&amp;A) paper unless we consider that unforeseen circumstances justify departing from that proposed classification.</w:t>
      </w:r>
      <w:r w:rsidRPr="00E4302E">
        <w:rPr>
          <w:rStyle w:val="AERsuperscript"/>
        </w:rPr>
        <w:footnoteReference w:id="2"/>
      </w:r>
      <w:r w:rsidR="00587851">
        <w:rPr>
          <w:rStyle w:val="AERbody"/>
        </w:rPr>
        <w:t xml:space="preserve"> </w:t>
      </w:r>
      <w:r w:rsidRPr="00E4302E">
        <w:rPr>
          <w:rStyle w:val="AERsuperscript"/>
        </w:rPr>
        <w:t xml:space="preserve"> </w:t>
      </w:r>
      <w:r w:rsidRPr="0087281D">
        <w:rPr>
          <w:rStyle w:val="AERbody"/>
        </w:rPr>
        <w:t>We set out our proposed approach to the classification of distribution services for th</w:t>
      </w:r>
      <w:r w:rsidR="00E4302E">
        <w:rPr>
          <w:rStyle w:val="AERbody"/>
        </w:rPr>
        <w:t>e NSW distributors in our</w:t>
      </w:r>
      <w:r w:rsidR="00AD6674">
        <w:rPr>
          <w:rStyle w:val="AERbody"/>
        </w:rPr>
        <w:t xml:space="preserve"> </w:t>
      </w:r>
      <w:r w:rsidRPr="0087281D">
        <w:rPr>
          <w:rStyle w:val="AERbody"/>
        </w:rPr>
        <w:t>F&amp;A.</w:t>
      </w:r>
      <w:r w:rsidRPr="00E4302E">
        <w:rPr>
          <w:rStyle w:val="AERsuperscript"/>
        </w:rPr>
        <w:footnoteReference w:id="3"/>
      </w:r>
      <w:r w:rsidRPr="00E4302E">
        <w:rPr>
          <w:rStyle w:val="AERsuperscript"/>
        </w:rPr>
        <w:t xml:space="preserve"> </w:t>
      </w:r>
      <w:r w:rsidR="00587851">
        <w:rPr>
          <w:rStyle w:val="AERsuperscript"/>
        </w:rPr>
        <w:t xml:space="preserve"> </w:t>
      </w:r>
      <w:r w:rsidRPr="0087281D">
        <w:rPr>
          <w:rStyle w:val="AERbody"/>
        </w:rPr>
        <w:t xml:space="preserve">We proposed to group </w:t>
      </w:r>
      <w:r w:rsidR="00AD6674">
        <w:rPr>
          <w:rStyle w:val="AERbody"/>
        </w:rPr>
        <w:t xml:space="preserve">the </w:t>
      </w:r>
      <w:r w:rsidR="00073E1E">
        <w:rPr>
          <w:rStyle w:val="AERbody"/>
        </w:rPr>
        <w:t>Queensland</w:t>
      </w:r>
      <w:r w:rsidRPr="0087281D">
        <w:rPr>
          <w:rStyle w:val="AERbody"/>
        </w:rPr>
        <w:t xml:space="preserve"> distribution services as follows: </w:t>
      </w:r>
    </w:p>
    <w:p w:rsidR="0087281D" w:rsidRPr="0087281D" w:rsidRDefault="0087281D" w:rsidP="0087281D">
      <w:pPr>
        <w:pStyle w:val="AERbulletlistfirststyle"/>
      </w:pPr>
      <w:r w:rsidRPr="0087281D">
        <w:t>network services</w:t>
      </w:r>
    </w:p>
    <w:p w:rsidR="0087281D" w:rsidRPr="0087281D" w:rsidRDefault="0087281D" w:rsidP="0087281D">
      <w:pPr>
        <w:pStyle w:val="AERbulletlistfirststyle"/>
      </w:pPr>
      <w:r w:rsidRPr="0087281D">
        <w:t>connection services</w:t>
      </w:r>
    </w:p>
    <w:p w:rsidR="0087281D" w:rsidRPr="0087281D" w:rsidRDefault="0087281D" w:rsidP="0087281D">
      <w:pPr>
        <w:pStyle w:val="AERbulletlistfirststyle"/>
      </w:pPr>
      <w:r w:rsidRPr="0087281D">
        <w:t>metering services</w:t>
      </w:r>
    </w:p>
    <w:p w:rsidR="0087281D" w:rsidRPr="0087281D" w:rsidRDefault="0087281D" w:rsidP="0087281D">
      <w:pPr>
        <w:pStyle w:val="AERbulletlistfirststyle"/>
      </w:pPr>
      <w:r w:rsidRPr="0087281D">
        <w:t>public lighting services</w:t>
      </w:r>
    </w:p>
    <w:p w:rsidR="0087281D" w:rsidRDefault="0087281D" w:rsidP="00EA3141">
      <w:pPr>
        <w:pStyle w:val="AERbulletlistfirststyle"/>
        <w:rPr>
          <w:rStyle w:val="AERbody"/>
        </w:rPr>
      </w:pPr>
      <w:r>
        <w:t>ancillary network services.</w:t>
      </w:r>
    </w:p>
    <w:p w:rsidR="004C12B7" w:rsidRDefault="004C12B7" w:rsidP="004C12B7">
      <w:pPr>
        <w:pStyle w:val="Heading2"/>
      </w:pPr>
      <w:bookmarkStart w:id="11" w:name="_Toc403141789"/>
      <w:bookmarkStart w:id="12" w:name="_Toc416787185"/>
      <w:r w:rsidRPr="00CC783D">
        <w:t>Preliminary decision</w:t>
      </w:r>
      <w:bookmarkEnd w:id="11"/>
      <w:bookmarkEnd w:id="12"/>
    </w:p>
    <w:p w:rsidR="003E7844" w:rsidRPr="003E7844" w:rsidRDefault="00C904ED" w:rsidP="003E7844">
      <w:pPr>
        <w:rPr>
          <w:rStyle w:val="AERbody"/>
        </w:rPr>
      </w:pPr>
      <w:r>
        <w:rPr>
          <w:rStyle w:val="AERbody"/>
        </w:rPr>
        <w:t>Our preliminary</w:t>
      </w:r>
      <w:r w:rsidR="003E7844" w:rsidRPr="003E7844">
        <w:rPr>
          <w:rStyle w:val="AERbody"/>
        </w:rPr>
        <w:t xml:space="preserve"> decision is to retain the classification s</w:t>
      </w:r>
      <w:r w:rsidR="00E4302E">
        <w:rPr>
          <w:rStyle w:val="AERbody"/>
        </w:rPr>
        <w:t xml:space="preserve">tructure set out in our </w:t>
      </w:r>
      <w:r w:rsidR="003E7844" w:rsidRPr="003E7844">
        <w:rPr>
          <w:rStyle w:val="AERbody"/>
        </w:rPr>
        <w:t>F&amp;A, subject to the following</w:t>
      </w:r>
      <w:r w:rsidR="00220761">
        <w:rPr>
          <w:rStyle w:val="AERbody"/>
        </w:rPr>
        <w:t>. We will</w:t>
      </w:r>
      <w:r w:rsidR="003E7844" w:rsidRPr="003E7844">
        <w:rPr>
          <w:rStyle w:val="AERbody"/>
        </w:rPr>
        <w:t>:</w:t>
      </w:r>
    </w:p>
    <w:p w:rsidR="00D90C32" w:rsidRPr="00D90C32" w:rsidRDefault="00D90C32" w:rsidP="00D90C32">
      <w:pPr>
        <w:pStyle w:val="AERbulletlistfirststyle"/>
      </w:pPr>
      <w:r w:rsidRPr="00D90C32">
        <w:t xml:space="preserve">classify separate type 5 or 6 metering services for: </w:t>
      </w:r>
    </w:p>
    <w:p w:rsidR="00D90C32" w:rsidRPr="00D90C32" w:rsidRDefault="00D90C32" w:rsidP="00D90C32">
      <w:pPr>
        <w:pStyle w:val="AERbulletlistsecondstyle"/>
      </w:pPr>
      <w:r w:rsidRPr="00D90C32">
        <w:t xml:space="preserve">meter reading and maintenance </w:t>
      </w:r>
    </w:p>
    <w:p w:rsidR="00D90C32" w:rsidRPr="00D90C32" w:rsidRDefault="00D90C32" w:rsidP="00D90C32">
      <w:pPr>
        <w:pStyle w:val="AERbulletlistsecondstyle"/>
      </w:pPr>
      <w:r w:rsidRPr="00D90C32">
        <w:t>meter provision before 1 July 2015</w:t>
      </w:r>
    </w:p>
    <w:p w:rsidR="00D90C32" w:rsidRDefault="00D90C32" w:rsidP="00D90C32">
      <w:pPr>
        <w:pStyle w:val="AERbulletlistsecondstyle"/>
      </w:pPr>
      <w:r w:rsidRPr="00D90C32">
        <w:t>meter provision after 1 July 2015</w:t>
      </w:r>
    </w:p>
    <w:p w:rsidR="00587851" w:rsidRDefault="00587851" w:rsidP="00D90C32">
      <w:pPr>
        <w:pStyle w:val="AERbulletlistfirststyle"/>
      </w:pPr>
      <w:r w:rsidRPr="00587851">
        <w:lastRenderedPageBreak/>
        <w:t xml:space="preserve">clarify that load control </w:t>
      </w:r>
      <w:r w:rsidR="00D54246">
        <w:t xml:space="preserve">services </w:t>
      </w:r>
      <w:r w:rsidRPr="00587851">
        <w:t xml:space="preserve"> provided by equipment external to a meter</w:t>
      </w:r>
      <w:r w:rsidR="00D54246">
        <w:t xml:space="preserve"> is</w:t>
      </w:r>
      <w:r w:rsidRPr="00587851">
        <w:t xml:space="preserve"> classified standard control</w:t>
      </w:r>
      <w:r w:rsidR="00D54246">
        <w:t>;</w:t>
      </w:r>
      <w:r w:rsidRPr="00587851">
        <w:t xml:space="preserve">  load control </w:t>
      </w:r>
      <w:r w:rsidR="00D54246">
        <w:t>services</w:t>
      </w:r>
      <w:r w:rsidRPr="00587851">
        <w:t xml:space="preserve"> provided by</w:t>
      </w:r>
      <w:r w:rsidR="00D54246">
        <w:t xml:space="preserve"> equipment internal to</w:t>
      </w:r>
      <w:r w:rsidRPr="00587851">
        <w:t xml:space="preserve"> a type 5 or 6 meter</w:t>
      </w:r>
      <w:r w:rsidR="00D54246">
        <w:t xml:space="preserve"> is</w:t>
      </w:r>
      <w:r w:rsidRPr="00587851">
        <w:t xml:space="preserve"> classified alternative control.</w:t>
      </w:r>
    </w:p>
    <w:p w:rsidR="005850E2" w:rsidRDefault="005850E2" w:rsidP="005850E2">
      <w:r w:rsidRPr="005850E2">
        <w:t xml:space="preserve">Figure 13.1 </w:t>
      </w:r>
      <w:r w:rsidR="00DC28BC">
        <w:t>summarises</w:t>
      </w:r>
      <w:r w:rsidRPr="005850E2">
        <w:t xml:space="preserve"> our preliminary decision on service classifications for </w:t>
      </w:r>
      <w:r>
        <w:t xml:space="preserve">Energex </w:t>
      </w:r>
      <w:r w:rsidRPr="005850E2">
        <w:t xml:space="preserve">for the 2015–20 regulatory control period. </w:t>
      </w:r>
    </w:p>
    <w:p w:rsidR="005F06C5" w:rsidRPr="005850E2" w:rsidRDefault="005F06C5" w:rsidP="005850E2">
      <w:r>
        <w:t xml:space="preserve">Appendix A sets out our detailed classification decisions. Changes in our classification approach since our F&amp;A are presented in coloured text. </w:t>
      </w:r>
    </w:p>
    <w:p w:rsidR="0044105A" w:rsidRDefault="005850E2" w:rsidP="005850E2">
      <w:pPr>
        <w:pStyle w:val="Caption"/>
      </w:pPr>
      <w:bookmarkStart w:id="13" w:name="_Ref403479680"/>
      <w:r w:rsidRPr="005850E2">
        <w:t xml:space="preserve">Figure </w:t>
      </w:r>
      <w:r w:rsidR="0057775B">
        <w:fldChar w:fldCharType="begin"/>
      </w:r>
      <w:r w:rsidR="0057775B">
        <w:instrText xml:space="preserve"> STYLEREF 1 \s </w:instrText>
      </w:r>
      <w:r w:rsidR="0057775B">
        <w:fldChar w:fldCharType="separate"/>
      </w:r>
      <w:r w:rsidRPr="005850E2">
        <w:t>13</w:t>
      </w:r>
      <w:r w:rsidR="0057775B">
        <w:fldChar w:fldCharType="end"/>
      </w:r>
      <w:r w:rsidRPr="005850E2">
        <w:t>.</w:t>
      </w:r>
      <w:r w:rsidR="0057775B">
        <w:fldChar w:fldCharType="begin"/>
      </w:r>
      <w:r w:rsidR="0057775B">
        <w:instrText xml:space="preserve"> SEQ Figure \* ARABIC \s 1 </w:instrText>
      </w:r>
      <w:r w:rsidR="0057775B">
        <w:fldChar w:fldCharType="separate"/>
      </w:r>
      <w:r w:rsidRPr="005850E2">
        <w:t>1</w:t>
      </w:r>
      <w:r w:rsidR="0057775B">
        <w:fldChar w:fldCharType="end"/>
      </w:r>
      <w:bookmarkEnd w:id="13"/>
      <w:r w:rsidRPr="005850E2">
        <w:tab/>
        <w:t xml:space="preserve">AER preliminary decision on 2015–20 service classifications for </w:t>
      </w:r>
      <w:r>
        <w:t>Energex</w:t>
      </w:r>
    </w:p>
    <w:p w:rsidR="0044105A" w:rsidRDefault="005850E2" w:rsidP="0044105A">
      <w:pPr>
        <w:pStyle w:val="AERbulletlistfirststyle"/>
        <w:numPr>
          <w:ilvl w:val="0"/>
          <w:numId w:val="0"/>
        </w:numPr>
        <w:ind w:left="357" w:hanging="357"/>
      </w:pPr>
      <w:r w:rsidRPr="005850E2">
        <w:rPr>
          <w:noProof/>
          <w:lang w:eastAsia="en-AU"/>
        </w:rPr>
        <w:drawing>
          <wp:inline distT="0" distB="0" distL="0" distR="0" wp14:anchorId="3E4D31C3" wp14:editId="327AD51D">
            <wp:extent cx="5382895" cy="348714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2895" cy="3487145"/>
                    </a:xfrm>
                    <a:prstGeom prst="rect">
                      <a:avLst/>
                    </a:prstGeom>
                    <a:noFill/>
                    <a:ln>
                      <a:noFill/>
                    </a:ln>
                  </pic:spPr>
                </pic:pic>
              </a:graphicData>
            </a:graphic>
          </wp:inline>
        </w:drawing>
      </w:r>
    </w:p>
    <w:p w:rsidR="00087E62" w:rsidRPr="00F27714" w:rsidRDefault="009E66C1" w:rsidP="00F27714">
      <w:pPr>
        <w:rPr>
          <w:rStyle w:val="AERbody"/>
        </w:rPr>
      </w:pPr>
      <w:r w:rsidRPr="00F27714">
        <w:rPr>
          <w:rStyle w:val="AERbody"/>
        </w:rPr>
        <w:t>Our classification of services determines</w:t>
      </w:r>
      <w:r w:rsidR="00F27714">
        <w:rPr>
          <w:rStyle w:val="AERbody"/>
        </w:rPr>
        <w:t>, at a very high level,</w:t>
      </w:r>
      <w:r w:rsidRPr="00F27714">
        <w:rPr>
          <w:rStyle w:val="AERbody"/>
        </w:rPr>
        <w:t xml:space="preserve"> how costs associated with the services will b</w:t>
      </w:r>
      <w:r w:rsidR="0098181A">
        <w:rPr>
          <w:rStyle w:val="AERbody"/>
        </w:rPr>
        <w:t>e recovered. H</w:t>
      </w:r>
      <w:r w:rsidRPr="00F27714">
        <w:rPr>
          <w:rStyle w:val="AERbody"/>
        </w:rPr>
        <w:t>ow service charges are set is not determined as part of classification. That detail is discussed in the control mechanism attachments.</w:t>
      </w:r>
      <w:r w:rsidR="007E6836">
        <w:rPr>
          <w:rStyle w:val="FootnoteReference"/>
        </w:rPr>
        <w:footnoteReference w:id="4"/>
      </w:r>
      <w:r w:rsidRPr="00F27714">
        <w:rPr>
          <w:rStyle w:val="AERbody"/>
        </w:rPr>
        <w:t xml:space="preserve">  </w:t>
      </w:r>
    </w:p>
    <w:p w:rsidR="004C12B7" w:rsidRDefault="004C12B7" w:rsidP="004C12B7">
      <w:pPr>
        <w:pStyle w:val="Heading2"/>
      </w:pPr>
      <w:bookmarkStart w:id="14" w:name="_Toc403141790"/>
      <w:bookmarkStart w:id="15" w:name="_Toc416787186"/>
      <w:r w:rsidRPr="004C12B7">
        <w:t>Energex’s</w:t>
      </w:r>
      <w:r>
        <w:t xml:space="preserve"> proposal</w:t>
      </w:r>
      <w:bookmarkEnd w:id="14"/>
      <w:bookmarkEnd w:id="15"/>
    </w:p>
    <w:p w:rsidR="00A35FB5" w:rsidRPr="009D732F" w:rsidRDefault="00ED5741" w:rsidP="0065370B">
      <w:pPr>
        <w:rPr>
          <w:rStyle w:val="AERbody"/>
        </w:rPr>
      </w:pPr>
      <w:r w:rsidRPr="009D732F">
        <w:rPr>
          <w:rStyle w:val="AERbody"/>
        </w:rPr>
        <w:t>In its regulatory proposal</w:t>
      </w:r>
      <w:r w:rsidR="00057FEA">
        <w:rPr>
          <w:rStyle w:val="AERbody"/>
        </w:rPr>
        <w:t xml:space="preserve"> </w:t>
      </w:r>
      <w:r w:rsidR="0044105A" w:rsidRPr="009D732F">
        <w:rPr>
          <w:rStyle w:val="AERbody"/>
        </w:rPr>
        <w:t xml:space="preserve">Energex adopted </w:t>
      </w:r>
      <w:r w:rsidR="00A35FB5" w:rsidRPr="009D732F">
        <w:rPr>
          <w:rStyle w:val="AERbody"/>
        </w:rPr>
        <w:t xml:space="preserve">most of </w:t>
      </w:r>
      <w:r w:rsidR="0044105A" w:rsidRPr="009D732F">
        <w:rPr>
          <w:rStyle w:val="AERbody"/>
        </w:rPr>
        <w:t>our classification approach</w:t>
      </w:r>
      <w:r w:rsidR="008B4174">
        <w:rPr>
          <w:rStyle w:val="AERbody"/>
        </w:rPr>
        <w:t xml:space="preserve"> set out in our F&amp;A</w:t>
      </w:r>
      <w:r w:rsidR="00A35FB5" w:rsidRPr="009D732F">
        <w:rPr>
          <w:rStyle w:val="AERbody"/>
        </w:rPr>
        <w:t>, including:</w:t>
      </w:r>
    </w:p>
    <w:p w:rsidR="00A35FB5" w:rsidRPr="009D732F" w:rsidRDefault="00A35FB5" w:rsidP="009D732F">
      <w:pPr>
        <w:pStyle w:val="AERbulletlistfirststyle"/>
        <w:rPr>
          <w:rStyle w:val="AERbody"/>
        </w:rPr>
      </w:pPr>
      <w:r w:rsidRPr="009D732F">
        <w:rPr>
          <w:rStyle w:val="AERbody"/>
        </w:rPr>
        <w:t>no negotiated distribution services</w:t>
      </w:r>
    </w:p>
    <w:p w:rsidR="009D732F" w:rsidRPr="009D732F" w:rsidRDefault="009D732F" w:rsidP="009D732F">
      <w:pPr>
        <w:pStyle w:val="AERbulletlistfirststyle"/>
        <w:rPr>
          <w:rStyle w:val="AERbody"/>
        </w:rPr>
      </w:pPr>
      <w:r w:rsidRPr="009D732F">
        <w:rPr>
          <w:rStyle w:val="AERbody"/>
        </w:rPr>
        <w:t>unbundling type 5 or 6 metering services from network services and classifying them alternative control</w:t>
      </w:r>
    </w:p>
    <w:p w:rsidR="009D732F" w:rsidRPr="009D732F" w:rsidRDefault="009D732F" w:rsidP="009D732F">
      <w:pPr>
        <w:pStyle w:val="AERbulletlistfirststyle"/>
        <w:rPr>
          <w:rStyle w:val="AERbody"/>
        </w:rPr>
      </w:pPr>
      <w:r w:rsidRPr="009D732F">
        <w:rPr>
          <w:rStyle w:val="AERbody"/>
        </w:rPr>
        <w:lastRenderedPageBreak/>
        <w:t>no change to classification of small customer connections at this time</w:t>
      </w:r>
    </w:p>
    <w:p w:rsidR="009D732F" w:rsidRPr="009D732F" w:rsidRDefault="009D732F" w:rsidP="009D732F">
      <w:pPr>
        <w:pStyle w:val="AERbulletlistfirststyle"/>
        <w:rPr>
          <w:rStyle w:val="AERbody"/>
        </w:rPr>
      </w:pPr>
      <w:r w:rsidRPr="009D732F">
        <w:rPr>
          <w:rStyle w:val="AERbody"/>
        </w:rPr>
        <w:t>no change to shared network augmentation at this time.</w:t>
      </w:r>
    </w:p>
    <w:p w:rsidR="009D732F" w:rsidRDefault="009D732F" w:rsidP="0065370B">
      <w:r>
        <w:t xml:space="preserve">Energex objected to our </w:t>
      </w:r>
      <w:r w:rsidR="00356CAF">
        <w:t xml:space="preserve">proposed </w:t>
      </w:r>
      <w:r>
        <w:t xml:space="preserve">classification of a metering related load control service as an alternative control service. Energex submitted that all load control services should be classified standard control. </w:t>
      </w:r>
    </w:p>
    <w:p w:rsidR="004C12B7" w:rsidRDefault="004C12B7" w:rsidP="004C12B7">
      <w:pPr>
        <w:pStyle w:val="Heading2"/>
      </w:pPr>
      <w:bookmarkStart w:id="16" w:name="_Toc403141791"/>
      <w:bookmarkStart w:id="17" w:name="_Toc416787187"/>
      <w:r w:rsidRPr="004C12B7">
        <w:t>AER’s</w:t>
      </w:r>
      <w:r>
        <w:t xml:space="preserve"> assessment approach</w:t>
      </w:r>
      <w:bookmarkEnd w:id="16"/>
      <w:bookmarkEnd w:id="17"/>
    </w:p>
    <w:p w:rsidR="00087E62" w:rsidRPr="008B4174" w:rsidRDefault="009E66C1" w:rsidP="007E6836">
      <w:r w:rsidRPr="008B4174">
        <w:t>The NER allows us to group distribution services when classifying them.</w:t>
      </w:r>
      <w:r w:rsidRPr="007E6836">
        <w:rPr>
          <w:rStyle w:val="AERsuperscript"/>
        </w:rPr>
        <w:footnoteReference w:id="5"/>
      </w:r>
      <w:r w:rsidRPr="00057FEA">
        <w:rPr>
          <w:rStyle w:val="AERsuperscript"/>
        </w:rPr>
        <w:t xml:space="preserve"> </w:t>
      </w:r>
      <w:r w:rsidR="00057FEA" w:rsidRPr="00057FEA">
        <w:rPr>
          <w:rStyle w:val="AERsuperscript"/>
        </w:rPr>
        <w:t xml:space="preserve"> </w:t>
      </w:r>
      <w:r w:rsidRPr="008B4174">
        <w:t>This means we may classify a class of services rather than specific</w:t>
      </w:r>
      <w:r w:rsidR="0098181A">
        <w:t xml:space="preserve"> individual</w:t>
      </w:r>
      <w:r w:rsidRPr="008B4174">
        <w:t xml:space="preserve"> services. This provides distributors with flexibility to alter the exact specification (but not the nature) of a service during a regulatory control period. Where we make a single classification for a group of services, it applies to each service in the group. </w:t>
      </w:r>
    </w:p>
    <w:p w:rsidR="00087E62" w:rsidRPr="008B4174" w:rsidRDefault="009E66C1" w:rsidP="008B4174">
      <w:r w:rsidRPr="008B4174">
        <w:t>In making our classification decisions, we may:</w:t>
      </w:r>
    </w:p>
    <w:p w:rsidR="008B4174" w:rsidRPr="008B4174" w:rsidRDefault="00612E99" w:rsidP="008B4174">
      <w:pPr>
        <w:pStyle w:val="AERbulletlistfirststyle"/>
      </w:pPr>
      <w:r>
        <w:t xml:space="preserve">classify a service so </w:t>
      </w:r>
      <w:r w:rsidR="008B4174" w:rsidRPr="008B4174">
        <w:t>the distributor may recover related costs from all customers (direct control – standard control</w:t>
      </w:r>
      <w:r w:rsidR="0098181A">
        <w:t xml:space="preserve"> service</w:t>
      </w:r>
      <w:r w:rsidR="008B4174" w:rsidRPr="008B4174">
        <w:t>)</w:t>
      </w:r>
    </w:p>
    <w:p w:rsidR="008B4174" w:rsidRPr="008B4174" w:rsidRDefault="00612E99" w:rsidP="008B4174">
      <w:pPr>
        <w:pStyle w:val="AERbulletlistfirststyle"/>
      </w:pPr>
      <w:r>
        <w:t xml:space="preserve">classify a service so </w:t>
      </w:r>
      <w:r w:rsidR="008B4174" w:rsidRPr="008B4174">
        <w:t>the user benefiting from the service pays (direct control – alternative control</w:t>
      </w:r>
      <w:r w:rsidR="0098181A">
        <w:t xml:space="preserve"> service</w:t>
      </w:r>
      <w:r w:rsidR="008B4174" w:rsidRPr="008B4174">
        <w:t>)</w:t>
      </w:r>
    </w:p>
    <w:p w:rsidR="008B4174" w:rsidRPr="008B4174" w:rsidRDefault="008B4174" w:rsidP="008B4174">
      <w:pPr>
        <w:pStyle w:val="AERbulletlistfirststyle"/>
      </w:pPr>
      <w:r w:rsidRPr="008B4174">
        <w:t>allow customers and distributors to negotiate the provision and price of some services – we will arbitrate should negotiations stall (negotiated distribution service)</w:t>
      </w:r>
    </w:p>
    <w:p w:rsidR="008B4174" w:rsidRPr="008B4174" w:rsidRDefault="008B4174" w:rsidP="008B4174">
      <w:pPr>
        <w:pStyle w:val="AERbulletlistfirststyle"/>
      </w:pPr>
      <w:r w:rsidRPr="008B4174">
        <w:t>not classify a service – we have no regulatory control over this service or the prices charged</w:t>
      </w:r>
      <w:r w:rsidR="0098181A">
        <w:t xml:space="preserve"> by the distributor (unregulate</w:t>
      </w:r>
      <w:r w:rsidRPr="008B4174">
        <w:t xml:space="preserve">d service). </w:t>
      </w:r>
    </w:p>
    <w:p w:rsidR="005F06C5" w:rsidRPr="003C764A" w:rsidRDefault="00D54246" w:rsidP="005F06C5">
      <w:pPr>
        <w:rPr>
          <w:rStyle w:val="AERbody"/>
        </w:rPr>
      </w:pPr>
      <w:r>
        <w:rPr>
          <w:rStyle w:val="AERbody"/>
        </w:rPr>
        <w:t>In deciding whether to classify services as either direct control or negotiated services, or to not classify them, the NER requi</w:t>
      </w:r>
      <w:r w:rsidR="007E6836">
        <w:rPr>
          <w:rStyle w:val="AERbody"/>
        </w:rPr>
        <w:t>r</w:t>
      </w:r>
      <w:r>
        <w:rPr>
          <w:rStyle w:val="AERbody"/>
        </w:rPr>
        <w:t>es us to have regard to the 'form of regulation factors' set out in the NEL.</w:t>
      </w:r>
      <w:r w:rsidR="00834C5A">
        <w:rPr>
          <w:rStyle w:val="FootnoteReference"/>
        </w:rPr>
        <w:footnoteReference w:id="6"/>
      </w:r>
      <w:r>
        <w:rPr>
          <w:rStyle w:val="AERbody"/>
        </w:rPr>
        <w:t xml:space="preserve"> </w:t>
      </w:r>
      <w:r w:rsidR="005F06C5" w:rsidRPr="003C764A">
        <w:rPr>
          <w:rStyle w:val="AERbody"/>
        </w:rPr>
        <w:t>The form of regulation factors include</w:t>
      </w:r>
      <w:r w:rsidR="005F06C5">
        <w:rPr>
          <w:rStyle w:val="AERbody"/>
        </w:rPr>
        <w:t xml:space="preserve"> </w:t>
      </w:r>
      <w:r w:rsidR="005F06C5" w:rsidRPr="003C764A">
        <w:rPr>
          <w:rStyle w:val="AERbody"/>
        </w:rPr>
        <w:t xml:space="preserve">the presence and extent of barriers to entry by alternative providers and </w:t>
      </w:r>
      <w:r w:rsidR="005F06C5">
        <w:rPr>
          <w:rStyle w:val="AERbody"/>
        </w:rPr>
        <w:t>the extent to which any</w:t>
      </w:r>
      <w:r w:rsidR="005F06C5" w:rsidRPr="003C764A">
        <w:rPr>
          <w:rStyle w:val="AERbody"/>
        </w:rPr>
        <w:t xml:space="preserve"> distributor market power</w:t>
      </w:r>
      <w:r w:rsidR="005F06C5">
        <w:rPr>
          <w:rStyle w:val="AERbody"/>
        </w:rPr>
        <w:t xml:space="preserve"> is likely to be mitigated by any countervailing user or prospective user market power</w:t>
      </w:r>
      <w:r w:rsidR="005F06C5" w:rsidRPr="003C764A">
        <w:rPr>
          <w:rStyle w:val="AERbody"/>
        </w:rPr>
        <w:t xml:space="preserve">. The NER also requires us to consider the previous form of regulation applied to services, the desirability for consistency </w:t>
      </w:r>
      <w:r w:rsidR="005F06C5">
        <w:rPr>
          <w:rStyle w:val="AERbody"/>
        </w:rPr>
        <w:t xml:space="preserve">in the form or regulation for similar services </w:t>
      </w:r>
      <w:r w:rsidR="005F06C5" w:rsidRPr="003C764A">
        <w:rPr>
          <w:rStyle w:val="AERbody"/>
        </w:rPr>
        <w:t>and any other relevant factor.</w:t>
      </w:r>
      <w:r w:rsidR="005F06C5" w:rsidRPr="003C764A">
        <w:rPr>
          <w:rStyle w:val="AERsuperscript"/>
        </w:rPr>
        <w:footnoteReference w:id="7"/>
      </w:r>
    </w:p>
    <w:p w:rsidR="005F06C5" w:rsidRPr="003C764A" w:rsidRDefault="005F06C5" w:rsidP="005F06C5">
      <w:pPr>
        <w:rPr>
          <w:rStyle w:val="AERbody"/>
        </w:rPr>
      </w:pPr>
      <w:r w:rsidRPr="003C764A">
        <w:rPr>
          <w:rStyle w:val="AERbody"/>
        </w:rPr>
        <w:t>For services we intend to classify as direct control, the NER requires us to have regard to a further range of factors.</w:t>
      </w:r>
      <w:r w:rsidRPr="003C764A">
        <w:rPr>
          <w:rStyle w:val="AERsuperscript"/>
        </w:rPr>
        <w:footnoteReference w:id="8"/>
      </w:r>
      <w:r w:rsidRPr="003C764A">
        <w:rPr>
          <w:rStyle w:val="AERsuperscript"/>
        </w:rPr>
        <w:t xml:space="preserve"> </w:t>
      </w:r>
      <w:r>
        <w:rPr>
          <w:rStyle w:val="AERbody"/>
        </w:rPr>
        <w:t>T</w:t>
      </w:r>
      <w:r w:rsidRPr="003C764A">
        <w:rPr>
          <w:rStyle w:val="AERbody"/>
        </w:rPr>
        <w:t xml:space="preserve">hese include: the potential to develop competition in provision of a service and how our classification may influence that potential; whether the costs of providing the service are attributable to a specific person; and, the possible effect of the classification on administrative costs. </w:t>
      </w:r>
    </w:p>
    <w:p w:rsidR="005F06C5" w:rsidRPr="003C764A" w:rsidRDefault="005F06C5" w:rsidP="005F06C5">
      <w:pPr>
        <w:rPr>
          <w:rStyle w:val="AERbody"/>
        </w:rPr>
      </w:pPr>
      <w:r w:rsidRPr="003C764A">
        <w:rPr>
          <w:rStyle w:val="AERbody"/>
        </w:rPr>
        <w:lastRenderedPageBreak/>
        <w:t>The NER also specifies that for a service regulated previously, unless a different classification is clearly more appropriate, we must:</w:t>
      </w:r>
      <w:r w:rsidRPr="00547867">
        <w:rPr>
          <w:rStyle w:val="AERsuperscript"/>
        </w:rPr>
        <w:footnoteReference w:id="9"/>
      </w:r>
    </w:p>
    <w:p w:rsidR="005F06C5" w:rsidRPr="005F06C5" w:rsidRDefault="005F06C5" w:rsidP="005F06C5">
      <w:pPr>
        <w:pStyle w:val="AERbulletlistfirststyle"/>
      </w:pPr>
      <w:r w:rsidRPr="00550280">
        <w:t>not depart from a previous classification (if the services have been previously classified), and</w:t>
      </w:r>
    </w:p>
    <w:p w:rsidR="005F06C5" w:rsidRPr="005F06C5" w:rsidRDefault="005F06C5" w:rsidP="005F06C5">
      <w:pPr>
        <w:pStyle w:val="AERbulletlistfirststyle"/>
      </w:pPr>
      <w:r w:rsidRPr="00550280">
        <w:t>if there has been no previous classification</w:t>
      </w:r>
      <w:r w:rsidRPr="005F06C5">
        <w:t xml:space="preserve"> but the service has been regulated, such as under a separate regulatory regime– the classification should be consistent with the previously applicable regulatory approach. </w:t>
      </w:r>
    </w:p>
    <w:p w:rsidR="005F06C5" w:rsidRPr="005F06C5" w:rsidRDefault="005F06C5" w:rsidP="005F06C5">
      <w:pPr>
        <w:pStyle w:val="AERbulletlistfirststyle"/>
      </w:pPr>
      <w:r>
        <w:t xml:space="preserve">In some cases, a service may </w:t>
      </w:r>
      <w:r w:rsidRPr="005F06C5">
        <w:t>previously have been regulated by another regulator, such as a state or territory economic regulator.</w:t>
      </w:r>
    </w:p>
    <w:p w:rsidR="005F06C5" w:rsidRDefault="005F06C5" w:rsidP="005F06C5">
      <w:pPr>
        <w:pStyle w:val="Heading3"/>
      </w:pPr>
      <w:bookmarkStart w:id="18" w:name="_Toc415033568"/>
      <w:bookmarkStart w:id="19" w:name="_Toc416787188"/>
      <w:r>
        <w:t>Interrelationships</w:t>
      </w:r>
      <w:bookmarkEnd w:id="18"/>
      <w:bookmarkEnd w:id="19"/>
      <w:r>
        <w:t xml:space="preserve"> </w:t>
      </w:r>
    </w:p>
    <w:p w:rsidR="005F06C5" w:rsidRDefault="005F06C5" w:rsidP="005F06C5">
      <w:pPr>
        <w:rPr>
          <w:rStyle w:val="AERbody"/>
        </w:rPr>
      </w:pPr>
      <w:r w:rsidRPr="003C764A">
        <w:rPr>
          <w:rStyle w:val="AERbody"/>
        </w:rPr>
        <w:t xml:space="preserve">In assessing what services we classify, we are setting the basis for what </w:t>
      </w:r>
      <w:r>
        <w:rPr>
          <w:rStyle w:val="AERbody"/>
        </w:rPr>
        <w:t xml:space="preserve">charges can be made for those </w:t>
      </w:r>
      <w:r w:rsidRPr="003C764A">
        <w:rPr>
          <w:rStyle w:val="AERbody"/>
        </w:rPr>
        <w:t>services</w:t>
      </w:r>
      <w:r>
        <w:rPr>
          <w:rStyle w:val="AERbody"/>
        </w:rPr>
        <w:t>. To allow charges to be recovered for standard control services, assets associated with delivering those services are added to the regulatory asset base (RAB)</w:t>
      </w:r>
      <w:r w:rsidRPr="003C764A">
        <w:rPr>
          <w:rStyle w:val="AERbody"/>
        </w:rPr>
        <w:t xml:space="preserve">. </w:t>
      </w:r>
      <w:r>
        <w:rPr>
          <w:rStyle w:val="AERbody"/>
        </w:rPr>
        <w:t xml:space="preserve">A RAB may also be constructed for the capital costs associated with an alternative control service. There will usually be operating costs associated with the provision of a service as well. </w:t>
      </w:r>
    </w:p>
    <w:p w:rsidR="005F06C5" w:rsidRDefault="005F06C5" w:rsidP="005F06C5">
      <w:pPr>
        <w:rPr>
          <w:rStyle w:val="AERbody"/>
        </w:rPr>
      </w:pPr>
      <w:r w:rsidRPr="003C764A">
        <w:rPr>
          <w:rStyle w:val="AERbody"/>
        </w:rPr>
        <w:t xml:space="preserve">The </w:t>
      </w:r>
      <w:r>
        <w:rPr>
          <w:rStyle w:val="AERbody"/>
        </w:rPr>
        <w:t>assets</w:t>
      </w:r>
      <w:r w:rsidRPr="003C764A">
        <w:rPr>
          <w:rStyle w:val="AERbody"/>
        </w:rPr>
        <w:t xml:space="preserve"> that make up the </w:t>
      </w:r>
      <w:r>
        <w:rPr>
          <w:rStyle w:val="AERbody"/>
        </w:rPr>
        <w:t>RAB and the operating costs that relate to any particular service,</w:t>
      </w:r>
      <w:r w:rsidRPr="003C764A">
        <w:rPr>
          <w:rStyle w:val="AERbody"/>
        </w:rPr>
        <w:t xml:space="preserve"> form </w:t>
      </w:r>
      <w:r>
        <w:rPr>
          <w:rStyle w:val="AERbody"/>
        </w:rPr>
        <w:t>a</w:t>
      </w:r>
      <w:r w:rsidRPr="003C764A">
        <w:rPr>
          <w:rStyle w:val="AERbody"/>
        </w:rPr>
        <w:t xml:space="preserve"> starting point </w:t>
      </w:r>
      <w:r>
        <w:rPr>
          <w:rStyle w:val="AERbody"/>
        </w:rPr>
        <w:t>for</w:t>
      </w:r>
      <w:r w:rsidRPr="003C764A">
        <w:rPr>
          <w:rStyle w:val="AERbody"/>
        </w:rPr>
        <w:t xml:space="preserve"> </w:t>
      </w:r>
      <w:r>
        <w:rPr>
          <w:rStyle w:val="AERbody"/>
        </w:rPr>
        <w:t>our assessment of the distributor's proposal for recovering revenues through charges for their services. Classification of services will therefore influence</w:t>
      </w:r>
      <w:r w:rsidRPr="003C764A">
        <w:rPr>
          <w:rStyle w:val="AERbody"/>
        </w:rPr>
        <w:t xml:space="preserve"> all revenue components </w:t>
      </w:r>
      <w:r>
        <w:rPr>
          <w:rStyle w:val="AERbody"/>
        </w:rPr>
        <w:t>of our decision</w:t>
      </w:r>
      <w:r w:rsidRPr="003C764A">
        <w:rPr>
          <w:rStyle w:val="AERbody"/>
        </w:rPr>
        <w:t xml:space="preserve">. </w:t>
      </w:r>
    </w:p>
    <w:p w:rsidR="005F06C5" w:rsidRDefault="005F06C5" w:rsidP="005F06C5">
      <w:pPr>
        <w:rPr>
          <w:rStyle w:val="AERbody"/>
        </w:rPr>
      </w:pPr>
      <w:r>
        <w:rPr>
          <w:rStyle w:val="AERbody"/>
        </w:rPr>
        <w:t>There are assets and operating costs associated with the services provided by distributors. We set the revenues the distributor may collect from customers to recover their asset and operating costs. That revenue is recovered through tariffs the distributor develops to charge to its customers. The regulatory regime establishes incentives such as the Efficiency Benefit Sharing Scheme (EBSS) and the Capital Expenditure Sharing Scheme (CESS) to encourage the provision of services as efficiently as possible. All of these factors interrelate with each other. We must be cognisant of these interrelationships when we make our determinations.</w:t>
      </w:r>
    </w:p>
    <w:p w:rsidR="005F06C5" w:rsidRPr="003C764A" w:rsidRDefault="005F06C5" w:rsidP="005F06C5">
      <w:pPr>
        <w:rPr>
          <w:rStyle w:val="AERbody"/>
        </w:rPr>
      </w:pPr>
      <w:r w:rsidRPr="003C764A">
        <w:rPr>
          <w:rStyle w:val="AERbody"/>
        </w:rPr>
        <w:t>The largest impact of our classif</w:t>
      </w:r>
      <w:r>
        <w:rPr>
          <w:rStyle w:val="AERbody"/>
        </w:rPr>
        <w:t>ication decision for the 2015–20</w:t>
      </w:r>
      <w:r w:rsidRPr="003C764A">
        <w:rPr>
          <w:rStyle w:val="AERbody"/>
        </w:rPr>
        <w:t xml:space="preserve"> regulatory control period is </w:t>
      </w:r>
      <w:r>
        <w:rPr>
          <w:rStyle w:val="AERbody"/>
        </w:rPr>
        <w:t xml:space="preserve">reclassifying </w:t>
      </w:r>
      <w:r w:rsidRPr="003C764A">
        <w:rPr>
          <w:rStyle w:val="AERbody"/>
        </w:rPr>
        <w:t xml:space="preserve">metering services </w:t>
      </w:r>
      <w:r>
        <w:rPr>
          <w:rStyle w:val="AERbody"/>
        </w:rPr>
        <w:t>from standard control to</w:t>
      </w:r>
      <w:r w:rsidRPr="003C764A">
        <w:rPr>
          <w:rStyle w:val="AERbody"/>
        </w:rPr>
        <w:t xml:space="preserve"> alternative control . By doing this, the</w:t>
      </w:r>
      <w:r>
        <w:rPr>
          <w:rStyle w:val="AERbody"/>
        </w:rPr>
        <w:t xml:space="preserve"> standard control RAB for each Queensland </w:t>
      </w:r>
      <w:r w:rsidRPr="003C764A">
        <w:rPr>
          <w:rStyle w:val="AERbody"/>
        </w:rPr>
        <w:t>distributor has decreased</w:t>
      </w:r>
      <w:r>
        <w:rPr>
          <w:rStyle w:val="AERbody"/>
        </w:rPr>
        <w:t xml:space="preserve"> in size as the asset costs associated with metering services will no longer be recovered through the allowed revenue for standard control services</w:t>
      </w:r>
      <w:r w:rsidRPr="003C764A">
        <w:rPr>
          <w:rStyle w:val="AERbody"/>
        </w:rPr>
        <w:t>.</w:t>
      </w:r>
      <w:r>
        <w:rPr>
          <w:rStyle w:val="AERbody"/>
        </w:rPr>
        <w:t xml:space="preserve">  Rather, they will now be recovered through prices charged for specific metering services.</w:t>
      </w:r>
    </w:p>
    <w:p w:rsidR="005F06C5" w:rsidRDefault="005F06C5" w:rsidP="005F06C5">
      <w:pPr>
        <w:rPr>
          <w:rStyle w:val="AERbody"/>
        </w:rPr>
      </w:pPr>
      <w:r>
        <w:rPr>
          <w:rStyle w:val="AERbody"/>
        </w:rPr>
        <w:t>The incentive schemes do not apply to services classified alternative control. As such, c</w:t>
      </w:r>
      <w:r w:rsidRPr="003C764A">
        <w:rPr>
          <w:rStyle w:val="AERbody"/>
        </w:rPr>
        <w:t>lassifying type 5 and 6 metering services alternative control also means the incentive schemes are no longer applied to</w:t>
      </w:r>
      <w:r>
        <w:rPr>
          <w:rStyle w:val="AERbody"/>
        </w:rPr>
        <w:t xml:space="preserve"> expenditure associated with</w:t>
      </w:r>
      <w:r w:rsidRPr="003C764A">
        <w:rPr>
          <w:rStyle w:val="AERbody"/>
        </w:rPr>
        <w:t xml:space="preserve"> these services.</w:t>
      </w:r>
    </w:p>
    <w:p w:rsidR="005D7BA2" w:rsidRDefault="004C12B7" w:rsidP="004C12B7">
      <w:pPr>
        <w:pStyle w:val="Heading2"/>
      </w:pPr>
      <w:bookmarkStart w:id="20" w:name="_Toc403141793"/>
      <w:bookmarkStart w:id="21" w:name="_Toc416787189"/>
      <w:r>
        <w:lastRenderedPageBreak/>
        <w:t xml:space="preserve">Reasons for </w:t>
      </w:r>
      <w:r w:rsidRPr="004C12B7">
        <w:t>preliminary</w:t>
      </w:r>
      <w:r>
        <w:t xml:space="preserve"> decision</w:t>
      </w:r>
      <w:bookmarkEnd w:id="20"/>
      <w:bookmarkEnd w:id="21"/>
    </w:p>
    <w:p w:rsidR="00087E62" w:rsidRDefault="009E66C1" w:rsidP="00624EFF">
      <w:r w:rsidRPr="00624EFF">
        <w:t>This section se</w:t>
      </w:r>
      <w:r w:rsidR="00624EFF">
        <w:t>ts out our reasons for our preliminary</w:t>
      </w:r>
      <w:r w:rsidRPr="00624EFF">
        <w:t xml:space="preserve"> decision on the distribution service classifications for the </w:t>
      </w:r>
      <w:r w:rsidR="00073E1E">
        <w:t>Queensland</w:t>
      </w:r>
      <w:r w:rsidR="00624EFF">
        <w:t xml:space="preserve"> </w:t>
      </w:r>
      <w:r w:rsidRPr="00624EFF">
        <w:t>distributors.</w:t>
      </w:r>
      <w:r w:rsidR="0006616E">
        <w:t xml:space="preserve"> Our decision is to depart from the classifications set out in our F&amp;A</w:t>
      </w:r>
      <w:r w:rsidR="00DF437A">
        <w:t xml:space="preserve"> because:</w:t>
      </w:r>
    </w:p>
    <w:p w:rsidR="0006616E" w:rsidRDefault="0006616E" w:rsidP="0006616E">
      <w:pPr>
        <w:pStyle w:val="AERbulletlistfirststyle"/>
      </w:pPr>
      <w:r>
        <w:t>we classify separate type 5 or 6 metering services, for meter reading and maintenance, and for meter provision.</w:t>
      </w:r>
    </w:p>
    <w:p w:rsidR="00057FEA" w:rsidRPr="00624EFF" w:rsidRDefault="00057FEA" w:rsidP="00057FEA">
      <w:r w:rsidRPr="00624EFF">
        <w:t xml:space="preserve">The NER </w:t>
      </w:r>
      <w:r w:rsidR="00DF437A">
        <w:t>requires</w:t>
      </w:r>
      <w:r w:rsidR="00DC28BC">
        <w:t xml:space="preserve"> </w:t>
      </w:r>
      <w:r w:rsidRPr="00624EFF">
        <w:t>service classificat</w:t>
      </w:r>
      <w:r>
        <w:t xml:space="preserve">ions </w:t>
      </w:r>
      <w:r w:rsidR="00DC28BC">
        <w:t xml:space="preserve">must </w:t>
      </w:r>
      <w:r>
        <w:t xml:space="preserve">be as set out in our </w:t>
      </w:r>
      <w:r w:rsidRPr="00624EFF">
        <w:t>F&amp;A unless unforeseen circumstances justify a change in classification approach.</w:t>
      </w:r>
      <w:r w:rsidRPr="005D3E21">
        <w:rPr>
          <w:rStyle w:val="AERsuperscript"/>
        </w:rPr>
        <w:footnoteReference w:id="10"/>
      </w:r>
      <w:r w:rsidRPr="00624EFF">
        <w:t xml:space="preserve"> </w:t>
      </w:r>
      <w:r>
        <w:t>In our</w:t>
      </w:r>
      <w:r w:rsidRPr="00624EFF">
        <w:t xml:space="preserve"> F&amp;A we proposed unbundling type 5 and 6 metering services from standard control services.</w:t>
      </w:r>
      <w:r w:rsidRPr="000949F3">
        <w:rPr>
          <w:rStyle w:val="AERsuperscript"/>
        </w:rPr>
        <w:footnoteReference w:id="11"/>
      </w:r>
      <w:r w:rsidRPr="00624EFF">
        <w:t xml:space="preserve"> Once unbundled, or separated, from standard control services we proposed to classify type 5 and 6 meter</w:t>
      </w:r>
      <w:r w:rsidR="00DC28BC">
        <w:t>ing installation,</w:t>
      </w:r>
      <w:r w:rsidRPr="00624EFF">
        <w:t xml:space="preserve"> provision, maintenance, reading and data services as alternative control services. This remains our classification approach.</w:t>
      </w:r>
    </w:p>
    <w:p w:rsidR="00057FEA" w:rsidRPr="00624EFF" w:rsidRDefault="00057FEA" w:rsidP="00057FEA">
      <w:r w:rsidRPr="00624EFF">
        <w:t>Our classifications are consistent with the Australian Energy Market Commission's (AEMC) Power of Choice review.</w:t>
      </w:r>
      <w:r w:rsidRPr="00CF1413">
        <w:rPr>
          <w:rStyle w:val="AERsuperscript"/>
        </w:rPr>
        <w:footnoteReference w:id="12"/>
      </w:r>
      <w:r w:rsidRPr="00CF1413">
        <w:rPr>
          <w:rStyle w:val="AERsuperscript"/>
        </w:rPr>
        <w:t xml:space="preserve"> </w:t>
      </w:r>
      <w:r w:rsidRPr="00624EFF">
        <w:t>The AEMC's recommendations included:</w:t>
      </w:r>
    </w:p>
    <w:p w:rsidR="00057FEA" w:rsidRPr="00624EFF" w:rsidRDefault="00057FEA" w:rsidP="00057FEA">
      <w:pPr>
        <w:pStyle w:val="AERbulletlistfirststyle"/>
      </w:pPr>
      <w:r w:rsidRPr="00624EFF">
        <w:t>current metering arrangements need reform to promote investment in better metering technology and promote customer choice</w:t>
      </w:r>
    </w:p>
    <w:p w:rsidR="00057FEA" w:rsidRPr="00624EFF" w:rsidRDefault="00057FEA" w:rsidP="00057FEA">
      <w:pPr>
        <w:pStyle w:val="AERbulletlistfirststyle"/>
      </w:pPr>
      <w:r w:rsidRPr="00624EFF">
        <w:t>metering costs should be unbundled from shared network charges.</w:t>
      </w:r>
    </w:p>
    <w:p w:rsidR="00057FEA" w:rsidRPr="00624EFF" w:rsidRDefault="00057FEA" w:rsidP="00057FEA">
      <w:r w:rsidRPr="00624EFF">
        <w:t>The AEMC also released a Power of Choice supplementary paper on metering services, exploring the arrangements necessary to implement its recommendations.</w:t>
      </w:r>
      <w:r>
        <w:rPr>
          <w:rStyle w:val="FootnoteReference"/>
        </w:rPr>
        <w:footnoteReference w:id="13"/>
      </w:r>
      <w:r w:rsidRPr="00624EFF">
        <w:t xml:space="preserve">  The AEMC recommended </w:t>
      </w:r>
      <w:r w:rsidR="00120EC9">
        <w:t xml:space="preserve">the provision of </w:t>
      </w:r>
      <w:r w:rsidRPr="00624EFF">
        <w:t xml:space="preserve">metering </w:t>
      </w:r>
      <w:r w:rsidR="00120EC9">
        <w:t>services</w:t>
      </w:r>
      <w:r w:rsidRPr="00624EFF">
        <w:t xml:space="preserve"> be open to competition. </w:t>
      </w:r>
    </w:p>
    <w:p w:rsidR="007E6836" w:rsidRDefault="00057FEA" w:rsidP="007E6836">
      <w:r w:rsidRPr="007E6836">
        <w:t xml:space="preserve">The </w:t>
      </w:r>
      <w:r w:rsidR="00073E1E" w:rsidRPr="007E6836">
        <w:t>Queensland</w:t>
      </w:r>
      <w:r w:rsidRPr="007E6836">
        <w:t xml:space="preserve"> distributors adopted our proposal to unbundle type 5 and 6 metering in their regulatory proposals.</w:t>
      </w:r>
      <w:r w:rsidRPr="007E6836">
        <w:rPr>
          <w:rStyle w:val="AERsuperscript"/>
        </w:rPr>
        <w:footnoteReference w:id="14"/>
      </w:r>
      <w:r w:rsidRPr="007E6836">
        <w:rPr>
          <w:rStyle w:val="AERsuperscript"/>
        </w:rPr>
        <w:t xml:space="preserve"> </w:t>
      </w:r>
      <w:bookmarkStart w:id="22" w:name="_Toc413838328"/>
      <w:bookmarkStart w:id="23" w:name="_Toc416787190"/>
    </w:p>
    <w:p w:rsidR="00624EFF" w:rsidRPr="007E6836" w:rsidRDefault="00624EFF" w:rsidP="007E6836">
      <w:pPr>
        <w:pStyle w:val="Heading3"/>
      </w:pPr>
      <w:r w:rsidRPr="007E6836">
        <w:t>Unforeseen circumstances</w:t>
      </w:r>
      <w:bookmarkEnd w:id="22"/>
      <w:r w:rsidR="00120EC9" w:rsidRPr="007E6836">
        <w:t>─ metering</w:t>
      </w:r>
      <w:bookmarkEnd w:id="23"/>
    </w:p>
    <w:p w:rsidR="005476C9" w:rsidRDefault="009E66C1" w:rsidP="00624EFF">
      <w:r w:rsidRPr="00624EFF">
        <w:t>At the time of releasing our F&amp;A it</w:t>
      </w:r>
      <w:r w:rsidR="00CD1838">
        <w:t xml:space="preserve"> was not possible to foresee how the AEMC's metering rule change work program would unfold</w:t>
      </w:r>
      <w:r w:rsidRPr="00624EFF">
        <w:t>.</w:t>
      </w:r>
      <w:r w:rsidR="0049189D" w:rsidRPr="0049189D">
        <w:t xml:space="preserve"> </w:t>
      </w:r>
      <w:r w:rsidR="0049189D">
        <w:t>We consider o</w:t>
      </w:r>
      <w:r w:rsidR="005476C9">
        <w:t xml:space="preserve">ur classification decisions </w:t>
      </w:r>
      <w:r w:rsidR="002129D6">
        <w:t xml:space="preserve">should have regard to the </w:t>
      </w:r>
      <w:r w:rsidR="005476C9">
        <w:t xml:space="preserve">AEMC's approach, </w:t>
      </w:r>
      <w:r w:rsidR="002129D6">
        <w:t xml:space="preserve">wherever possible, </w:t>
      </w:r>
      <w:r w:rsidR="005476C9">
        <w:t xml:space="preserve">but </w:t>
      </w:r>
      <w:r w:rsidR="00000843">
        <w:t>w</w:t>
      </w:r>
      <w:r w:rsidR="005476C9">
        <w:t xml:space="preserve">e have in effect been working ahead of the AEMC's </w:t>
      </w:r>
      <w:r w:rsidR="0085345B">
        <w:t xml:space="preserve">metering </w:t>
      </w:r>
      <w:r w:rsidR="005476C9">
        <w:t>rule chang</w:t>
      </w:r>
      <w:r w:rsidR="002129D6">
        <w:t>es</w:t>
      </w:r>
      <w:r w:rsidR="00000843">
        <w:t xml:space="preserve">. </w:t>
      </w:r>
      <w:r w:rsidR="002129D6">
        <w:t>That is, w</w:t>
      </w:r>
      <w:r w:rsidR="00000843">
        <w:t>e have been attempting to settle classifications</w:t>
      </w:r>
      <w:r w:rsidR="002129D6">
        <w:t xml:space="preserve"> while the manner in which metering</w:t>
      </w:r>
      <w:r w:rsidR="00000843">
        <w:t xml:space="preserve"> services will be provided by the market is still being considered</w:t>
      </w:r>
      <w:r w:rsidR="005476C9">
        <w:t>.</w:t>
      </w:r>
      <w:r w:rsidR="004E7ECE">
        <w:t xml:space="preserve"> </w:t>
      </w:r>
    </w:p>
    <w:p w:rsidR="00291907" w:rsidRDefault="007363FA" w:rsidP="007363FA">
      <w:r>
        <w:lastRenderedPageBreak/>
        <w:t xml:space="preserve">When we released the F&amp;A </w:t>
      </w:r>
      <w:r w:rsidRPr="00105A51">
        <w:t xml:space="preserve">in April 2014 the AEMC had only just commenced its </w:t>
      </w:r>
      <w:r>
        <w:t>metering rule change process</w:t>
      </w:r>
      <w:r w:rsidRPr="00105A51">
        <w:t xml:space="preserve">. The COAG rule change proposal itself </w:t>
      </w:r>
      <w:r w:rsidR="00045C9E">
        <w:t xml:space="preserve">contains limited detail </w:t>
      </w:r>
      <w:r w:rsidRPr="00105A51">
        <w:t xml:space="preserve">about residual meter values. It stated the AER may determine “a reasonable exit fee” to recover residual meter asset costs and that the AER may cap such fees. </w:t>
      </w:r>
    </w:p>
    <w:p w:rsidR="007363FA" w:rsidRPr="00105A51" w:rsidRDefault="007363FA" w:rsidP="007363FA">
      <w:r w:rsidRPr="00105A51">
        <w:t xml:space="preserve">We consider </w:t>
      </w:r>
      <w:r w:rsidR="000E66F3">
        <w:t>the AEMC's</w:t>
      </w:r>
      <w:r w:rsidRPr="00105A51">
        <w:t xml:space="preserve"> statements </w:t>
      </w:r>
      <w:r w:rsidR="000E66F3">
        <w:t xml:space="preserve">about exit fees were statements </w:t>
      </w:r>
      <w:r w:rsidRPr="00105A51">
        <w:t>of general intent before any detailed examination could be carried out</w:t>
      </w:r>
      <w:r w:rsidR="00291907">
        <w:t>. W</w:t>
      </w:r>
      <w:r w:rsidRPr="00105A51">
        <w:t>e are now looking at the matter in more detail.</w:t>
      </w:r>
      <w:r w:rsidR="00C02460">
        <w:t xml:space="preserve"> </w:t>
      </w:r>
      <w:r w:rsidR="00291907">
        <w:t>T</w:t>
      </w:r>
      <w:r w:rsidRPr="00105A51">
        <w:t xml:space="preserve">he AEMC’s statements early in its consultation process indicate its priorities were to allow the distributors to recover their metering costs and to promote development of an effective market for metering services. </w:t>
      </w:r>
    </w:p>
    <w:p w:rsidR="007363FA" w:rsidRDefault="007363FA" w:rsidP="007363FA">
      <w:r w:rsidRPr="00105A51">
        <w:t xml:space="preserve">The AEMC now recognises that large exit fees for customers wishing to switch to alternative meter providers </w:t>
      </w:r>
      <w:r w:rsidR="00BD6727">
        <w:t>may</w:t>
      </w:r>
      <w:r w:rsidR="00BD6727" w:rsidRPr="00105A51">
        <w:t xml:space="preserve"> </w:t>
      </w:r>
      <w:r w:rsidRPr="00105A51">
        <w:t>hinder development of a competitive market for metering services.</w:t>
      </w:r>
      <w:r w:rsidR="002B652F">
        <w:rPr>
          <w:rStyle w:val="FootnoteReference"/>
        </w:rPr>
        <w:footnoteReference w:id="15"/>
      </w:r>
      <w:r w:rsidRPr="00105A51">
        <w:t xml:space="preserve"> The AEMC</w:t>
      </w:r>
      <w:r w:rsidR="005D2E4A">
        <w:t xml:space="preserve">'s </w:t>
      </w:r>
      <w:r w:rsidRPr="00105A51">
        <w:t xml:space="preserve">work program on the COAG </w:t>
      </w:r>
      <w:r w:rsidR="00EF2046">
        <w:t xml:space="preserve">rule change proposal remains in </w:t>
      </w:r>
      <w:r w:rsidRPr="00105A51">
        <w:t xml:space="preserve">process. We consider the AEMC’s work program on the metering rule change represents an unforeseen circumstance justifying a change in classification approach from </w:t>
      </w:r>
      <w:r w:rsidR="00291907">
        <w:t>our</w:t>
      </w:r>
      <w:r w:rsidRPr="00105A51">
        <w:t xml:space="preserve"> F&amp;A.</w:t>
      </w:r>
    </w:p>
    <w:p w:rsidR="0054687D" w:rsidRPr="00105A51" w:rsidRDefault="0054687D" w:rsidP="007363FA">
      <w:r>
        <w:t xml:space="preserve">When we released our F&amp;A we also did not foresee the size of the Queensland distributors' proposed exit fees. We consider that the proposed exit fees, intended to </w:t>
      </w:r>
      <w:r w:rsidR="008E7AEC">
        <w:t>re</w:t>
      </w:r>
      <w:r>
        <w:t>cover both residual meter capital costs and administration costs, would present a material barrier to entry for alternative metering providers. This would undermine development of a competitive market for metering services. We consider the distributors' proposals therefore justify a change in classification approach.</w:t>
      </w:r>
    </w:p>
    <w:p w:rsidR="00CD1838" w:rsidRDefault="005867CF" w:rsidP="00624EFF">
      <w:r w:rsidRPr="00105A51">
        <w:t xml:space="preserve">In response to the </w:t>
      </w:r>
      <w:r w:rsidR="00073E1E">
        <w:t>Queensland</w:t>
      </w:r>
      <w:r w:rsidR="008E7AEC">
        <w:t>/SA regulatory proposals</w:t>
      </w:r>
      <w:r w:rsidRPr="00105A51">
        <w:t xml:space="preserve">, we received submissions opposed to exit fees and supporting our proposed approach from the </w:t>
      </w:r>
      <w:r w:rsidR="00073E1E">
        <w:t>Queensland</w:t>
      </w:r>
      <w:r w:rsidRPr="00105A51">
        <w:t xml:space="preserve"> Farmers Federation, Council of the Ageing, Metropolis Metering, AGL, Vector, Simply Energy, the Australian PV Institute and QCOSS. </w:t>
      </w:r>
      <w:r w:rsidR="00A10D9F">
        <w:t>We consider these submissions give further weight to changing our classification approach</w:t>
      </w:r>
      <w:r w:rsidR="00647440">
        <w:t xml:space="preserve"> for metering services</w:t>
      </w:r>
      <w:r w:rsidR="00A10D9F">
        <w:t>.</w:t>
      </w:r>
    </w:p>
    <w:p w:rsidR="00057FEA" w:rsidRDefault="00291907" w:rsidP="00624EFF">
      <w:r>
        <w:rPr>
          <w:rStyle w:val="AERbody"/>
        </w:rPr>
        <w:t>Energex retain</w:t>
      </w:r>
      <w:r w:rsidR="0085345B">
        <w:rPr>
          <w:rStyle w:val="AERbody"/>
        </w:rPr>
        <w:t>ed</w:t>
      </w:r>
      <w:r>
        <w:rPr>
          <w:rStyle w:val="AERbody"/>
        </w:rPr>
        <w:t xml:space="preserve"> in its RAB a portion of its un</w:t>
      </w:r>
      <w:r w:rsidR="0085345B">
        <w:rPr>
          <w:rStyle w:val="AERbody"/>
        </w:rPr>
        <w:t>bundled type 5 or 6 meters that it attributed</w:t>
      </w:r>
      <w:r>
        <w:rPr>
          <w:rStyle w:val="AERbody"/>
        </w:rPr>
        <w:t xml:space="preserve"> t</w:t>
      </w:r>
      <w:r w:rsidR="0085345B">
        <w:rPr>
          <w:rStyle w:val="AERbody"/>
        </w:rPr>
        <w:t>o load control equipment. This wa</w:t>
      </w:r>
      <w:r>
        <w:rPr>
          <w:rStyle w:val="AERbody"/>
        </w:rPr>
        <w:t>s not our intention</w:t>
      </w:r>
      <w:r w:rsidR="0085345B">
        <w:rPr>
          <w:rStyle w:val="AERbody"/>
        </w:rPr>
        <w:t xml:space="preserve"> at the time the F&amp;A was published. Our F&amp;A classified</w:t>
      </w:r>
      <w:r>
        <w:rPr>
          <w:rStyle w:val="AERbody"/>
        </w:rPr>
        <w:t xml:space="preserve"> load control services </w:t>
      </w:r>
      <w:r w:rsidR="0085345B">
        <w:rPr>
          <w:rStyle w:val="AERbody"/>
        </w:rPr>
        <w:t>in a manner consistent</w:t>
      </w:r>
      <w:r w:rsidR="00152C88">
        <w:rPr>
          <w:rStyle w:val="AERbody"/>
        </w:rPr>
        <w:t xml:space="preserve"> with </w:t>
      </w:r>
      <w:r w:rsidR="00E85CD1">
        <w:rPr>
          <w:rStyle w:val="AERbody"/>
        </w:rPr>
        <w:t xml:space="preserve">this </w:t>
      </w:r>
      <w:r w:rsidR="00152C88">
        <w:rPr>
          <w:rStyle w:val="AERbody"/>
        </w:rPr>
        <w:t>preliminary</w:t>
      </w:r>
      <w:r w:rsidR="0085345B">
        <w:rPr>
          <w:rStyle w:val="AERbody"/>
        </w:rPr>
        <w:t xml:space="preserve"> decision. Therefore, the only </w:t>
      </w:r>
      <w:r>
        <w:rPr>
          <w:rStyle w:val="AERbody"/>
        </w:rPr>
        <w:t xml:space="preserve">changes </w:t>
      </w:r>
      <w:r w:rsidR="0085345B">
        <w:rPr>
          <w:rStyle w:val="AERbody"/>
        </w:rPr>
        <w:t xml:space="preserve">that are required are with respect to the </w:t>
      </w:r>
      <w:r>
        <w:rPr>
          <w:rStyle w:val="AERbody"/>
        </w:rPr>
        <w:t xml:space="preserve">description </w:t>
      </w:r>
      <w:r w:rsidR="0085345B">
        <w:rPr>
          <w:rStyle w:val="AERbody"/>
        </w:rPr>
        <w:t>of load control services rather than classification</w:t>
      </w:r>
      <w:r>
        <w:rPr>
          <w:rStyle w:val="AERbody"/>
        </w:rPr>
        <w:t xml:space="preserve">. However, to the extent others </w:t>
      </w:r>
      <w:r w:rsidR="0085345B">
        <w:rPr>
          <w:rStyle w:val="AERbody"/>
        </w:rPr>
        <w:t xml:space="preserve">may </w:t>
      </w:r>
      <w:r w:rsidR="007E6836">
        <w:rPr>
          <w:rStyle w:val="AERbody"/>
        </w:rPr>
        <w:t xml:space="preserve">consider </w:t>
      </w:r>
      <w:r w:rsidR="00152C88">
        <w:rPr>
          <w:rStyle w:val="AERbody"/>
        </w:rPr>
        <w:t>this is</w:t>
      </w:r>
      <w:r>
        <w:rPr>
          <w:rStyle w:val="AERbody"/>
        </w:rPr>
        <w:t xml:space="preserve"> a c</w:t>
      </w:r>
      <w:r w:rsidR="0085345B">
        <w:rPr>
          <w:rStyle w:val="AERbody"/>
        </w:rPr>
        <w:t>hange in classification, we are satisfied the change in</w:t>
      </w:r>
      <w:r>
        <w:rPr>
          <w:rStyle w:val="AERbody"/>
        </w:rPr>
        <w:t xml:space="preserve"> circumstances</w:t>
      </w:r>
      <w:r w:rsidR="0085345B">
        <w:rPr>
          <w:rStyle w:val="AERbody"/>
        </w:rPr>
        <w:t xml:space="preserve"> was unforeseen, as noted above</w:t>
      </w:r>
      <w:r>
        <w:rPr>
          <w:rStyle w:val="AERbody"/>
        </w:rPr>
        <w:t>. We therefore consider we are justified in making changes necessary to clarify our intent</w:t>
      </w:r>
      <w:r w:rsidR="0085345B">
        <w:rPr>
          <w:rStyle w:val="AERbody"/>
        </w:rPr>
        <w:t xml:space="preserve"> in regard to load control</w:t>
      </w:r>
      <w:r>
        <w:rPr>
          <w:rStyle w:val="AERbody"/>
        </w:rPr>
        <w:t xml:space="preserve">. </w:t>
      </w:r>
    </w:p>
    <w:p w:rsidR="00624EFF" w:rsidRPr="00624EFF" w:rsidRDefault="00C11782" w:rsidP="009916E3">
      <w:pPr>
        <w:pStyle w:val="Heading3"/>
      </w:pPr>
      <w:bookmarkStart w:id="24" w:name="_Toc416787191"/>
      <w:r>
        <w:t>Exit fees</w:t>
      </w:r>
      <w:bookmarkEnd w:id="24"/>
    </w:p>
    <w:p w:rsidR="0039608A" w:rsidRDefault="0039608A" w:rsidP="0039608A">
      <w:pPr>
        <w:rPr>
          <w:rStyle w:val="AERbody"/>
        </w:rPr>
      </w:pPr>
      <w:r>
        <w:rPr>
          <w:rStyle w:val="AERbody"/>
        </w:rPr>
        <w:t xml:space="preserve">When a distributor first installs a type 5 or 6 meter, it does not charge customers upfront for the whole cost of the meter. Rather, these costs are recovered over time. If </w:t>
      </w:r>
      <w:r>
        <w:rPr>
          <w:rStyle w:val="AERbody"/>
        </w:rPr>
        <w:lastRenderedPageBreak/>
        <w:t xml:space="preserve">a customer chooses to switch metering providers, the distributor provided meter is unlikely to have been paid for in full. This creates a residual capital cost. </w:t>
      </w:r>
    </w:p>
    <w:p w:rsidR="004B6AB4" w:rsidRPr="004B6AB4" w:rsidRDefault="000E4435" w:rsidP="004B6AB4">
      <w:r>
        <w:t xml:space="preserve">In our </w:t>
      </w:r>
      <w:r w:rsidR="001E1E62">
        <w:t>F&amp;A</w:t>
      </w:r>
      <w:r>
        <w:t xml:space="preserve"> we classified an alternative control service for </w:t>
      </w:r>
      <w:r w:rsidR="00267CB5">
        <w:t>the Queensland distributors</w:t>
      </w:r>
      <w:r w:rsidR="0039608A">
        <w:t xml:space="preserve"> to recover</w:t>
      </w:r>
      <w:r w:rsidR="001E1E62">
        <w:t xml:space="preserve"> </w:t>
      </w:r>
      <w:r w:rsidR="0039608A">
        <w:t>residual capital costs</w:t>
      </w:r>
      <w:r w:rsidR="004D5E6E">
        <w:t xml:space="preserve"> </w:t>
      </w:r>
      <w:r w:rsidR="0039608A">
        <w:t xml:space="preserve">created by </w:t>
      </w:r>
      <w:r w:rsidR="004D5E6E">
        <w:t>customers switching to another metering provider.</w:t>
      </w:r>
      <w:r w:rsidR="0019019E">
        <w:rPr>
          <w:rStyle w:val="FootnoteReference"/>
        </w:rPr>
        <w:footnoteReference w:id="16"/>
      </w:r>
      <w:r w:rsidR="00516763">
        <w:t xml:space="preserve"> </w:t>
      </w:r>
      <w:r w:rsidR="00EB4FB3">
        <w:t xml:space="preserve">We intended this service would facilitate an exit fee, charged by the distributors to </w:t>
      </w:r>
      <w:r w:rsidR="0039608A">
        <w:t xml:space="preserve">switching </w:t>
      </w:r>
      <w:r w:rsidR="00EB4FB3">
        <w:t xml:space="preserve">customers. </w:t>
      </w:r>
      <w:r w:rsidR="00267CB5">
        <w:t xml:space="preserve">The Queensland distributors </w:t>
      </w:r>
      <w:r w:rsidR="00B10E78">
        <w:t xml:space="preserve">adopted this approach in </w:t>
      </w:r>
      <w:r w:rsidR="00267CB5">
        <w:t xml:space="preserve">their </w:t>
      </w:r>
      <w:r w:rsidR="00B10E78">
        <w:t>regulatory proposal</w:t>
      </w:r>
      <w:r w:rsidR="00267CB5">
        <w:t>s</w:t>
      </w:r>
      <w:r w:rsidR="00B10E78">
        <w:t>.</w:t>
      </w:r>
      <w:r w:rsidR="0039608A">
        <w:t xml:space="preserve"> The proposed fees we</w:t>
      </w:r>
      <w:r w:rsidR="004B6AB4" w:rsidRPr="004B6AB4">
        <w:t xml:space="preserve">re intended to cover both the cost of the </w:t>
      </w:r>
      <w:r w:rsidR="00053B94">
        <w:t xml:space="preserve">existing </w:t>
      </w:r>
      <w:r w:rsidR="004B6AB4" w:rsidRPr="004B6AB4">
        <w:t xml:space="preserve">meter and administrative costs associated with its removal (exit fee), or just the cost of the meter (transfer fee). Energex </w:t>
      </w:r>
      <w:r w:rsidR="00375378">
        <w:t xml:space="preserve">and Ergon Energy </w:t>
      </w:r>
      <w:r w:rsidR="004B6AB4" w:rsidRPr="004B6AB4">
        <w:t>proposed a range of fees up to $324 per meter.</w:t>
      </w:r>
      <w:r w:rsidR="004B6AB4" w:rsidRPr="004B6AB4">
        <w:rPr>
          <w:rStyle w:val="FootnoteReference"/>
        </w:rPr>
        <w:footnoteReference w:id="17"/>
      </w:r>
      <w:r w:rsidR="004B6AB4" w:rsidRPr="004B6AB4">
        <w:t xml:space="preserve"> </w:t>
      </w:r>
    </w:p>
    <w:p w:rsidR="00A1176B" w:rsidRDefault="00053B94" w:rsidP="00624EFF">
      <w:r>
        <w:t xml:space="preserve">The </w:t>
      </w:r>
      <w:r w:rsidRPr="00624EFF">
        <w:t>NEL and NER require us to have regard to the development of competition in deciding appropriate service classifications.</w:t>
      </w:r>
      <w:r>
        <w:t xml:space="preserve"> </w:t>
      </w:r>
      <w:r w:rsidR="0039608A">
        <w:t>We consider</w:t>
      </w:r>
      <w:r w:rsidR="004B6AB4">
        <w:t xml:space="preserve"> fees</w:t>
      </w:r>
      <w:r w:rsidR="00B10E78">
        <w:t xml:space="preserve"> </w:t>
      </w:r>
      <w:r w:rsidR="0039608A">
        <w:t xml:space="preserve">such as proposed by the Queensland distributors </w:t>
      </w:r>
      <w:r w:rsidR="00B10E78">
        <w:t xml:space="preserve">would present a </w:t>
      </w:r>
      <w:r w:rsidR="0039608A">
        <w:t xml:space="preserve">significant </w:t>
      </w:r>
      <w:r w:rsidR="00B10E78">
        <w:t xml:space="preserve">barrier to customers switching to an alternative metering </w:t>
      </w:r>
      <w:r w:rsidR="00C502A0">
        <w:t>provider. T</w:t>
      </w:r>
      <w:r w:rsidR="00B10E78">
        <w:t xml:space="preserve">his would </w:t>
      </w:r>
      <w:r w:rsidR="00C502A0">
        <w:t>inhibit</w:t>
      </w:r>
      <w:r w:rsidR="00847F85">
        <w:t xml:space="preserve"> development of a competiti</w:t>
      </w:r>
      <w:r w:rsidR="00C502A0">
        <w:t xml:space="preserve">ve market in metering services and </w:t>
      </w:r>
      <w:r w:rsidR="00E7145B">
        <w:t xml:space="preserve">prevent or delay customer </w:t>
      </w:r>
      <w:r w:rsidR="00B10E78">
        <w:t>uptake of smart meters</w:t>
      </w:r>
      <w:r w:rsidR="00E7145B">
        <w:t>.</w:t>
      </w:r>
      <w:r w:rsidR="002D1431">
        <w:t xml:space="preserve"> </w:t>
      </w:r>
      <w:r w:rsidR="007B47AF">
        <w:t>I</w:t>
      </w:r>
      <w:r w:rsidR="00E7145B">
        <w:t>n turn</w:t>
      </w:r>
      <w:r w:rsidR="007B47AF">
        <w:t>, this would</w:t>
      </w:r>
      <w:r w:rsidR="00E7145B">
        <w:t xml:space="preserve"> delay</w:t>
      </w:r>
      <w:r w:rsidR="00C502A0">
        <w:t xml:space="preserve"> </w:t>
      </w:r>
      <w:r w:rsidR="00B10E78">
        <w:t>realisation of network and customer benefits from smart meters.</w:t>
      </w:r>
    </w:p>
    <w:p w:rsidR="00F82FF0" w:rsidRDefault="00F82FF0" w:rsidP="00F82FF0">
      <w:r>
        <w:t>Our preliminary decision is that the residual capital value of a redundant type 5 or 6 meter may be recovered by a separate alternative control service—discussed in the section below.</w:t>
      </w:r>
    </w:p>
    <w:p w:rsidR="00F82FF0" w:rsidRPr="00D1742D" w:rsidRDefault="00F82FF0" w:rsidP="00624EFF">
      <w:pPr>
        <w:rPr>
          <w:rStyle w:val="AERbody"/>
        </w:rPr>
      </w:pPr>
      <w:r w:rsidRPr="00D1742D">
        <w:rPr>
          <w:rStyle w:val="AERbody"/>
        </w:rPr>
        <w:t>As for the Queensland distributors' administrative costs, we consider the distributors have not provided evidence to sufficiently justify charging exit fees to customers switching to an alternative metering provider. Therefore, our preliminary decision is to not classify an exit fee, or transfer, service. Further details of our reasoning are set out in attachment 16.</w:t>
      </w:r>
    </w:p>
    <w:p w:rsidR="004573CF" w:rsidRDefault="00C11782" w:rsidP="00C11782">
      <w:pPr>
        <w:pStyle w:val="Heading3"/>
      </w:pPr>
      <w:bookmarkStart w:id="25" w:name="_Toc416787192"/>
      <w:r>
        <w:t>Residual meter value</w:t>
      </w:r>
      <w:bookmarkEnd w:id="25"/>
    </w:p>
    <w:p w:rsidR="00DF31F2" w:rsidRPr="00DF31F2" w:rsidRDefault="00DF31F2" w:rsidP="00DF31F2">
      <w:r w:rsidRPr="00DF31F2">
        <w:t xml:space="preserve">To allow </w:t>
      </w:r>
      <w:r w:rsidR="004573CF">
        <w:t xml:space="preserve">the </w:t>
      </w:r>
      <w:r w:rsidR="00073E1E">
        <w:t>Queensland</w:t>
      </w:r>
      <w:r w:rsidR="004573CF">
        <w:t xml:space="preserve"> </w:t>
      </w:r>
      <w:r w:rsidRPr="00DF31F2">
        <w:t>distributors to recover their residual metering capital value and their</w:t>
      </w:r>
      <w:r w:rsidR="00266C6E">
        <w:t xml:space="preserve"> administrative costs, our preliminary</w:t>
      </w:r>
      <w:r w:rsidRPr="00DF31F2">
        <w:t xml:space="preserve"> decision is to classify separate alternative control services:</w:t>
      </w:r>
    </w:p>
    <w:p w:rsidR="00D1742D" w:rsidRDefault="001D41D0" w:rsidP="00D1742D">
      <w:pPr>
        <w:pStyle w:val="ListNumber"/>
        <w:tabs>
          <w:tab w:val="clear" w:pos="340"/>
          <w:tab w:val="num" w:pos="360"/>
        </w:tabs>
      </w:pPr>
      <w:r w:rsidRPr="001D41D0">
        <w:t>Type 5 or 6 meter reading and maintenance.</w:t>
      </w:r>
    </w:p>
    <w:p w:rsidR="001D41D0" w:rsidRPr="001D41D0" w:rsidRDefault="001D41D0" w:rsidP="00D1742D">
      <w:pPr>
        <w:pStyle w:val="ListNumber"/>
        <w:numPr>
          <w:ilvl w:val="0"/>
          <w:numId w:val="0"/>
        </w:numPr>
        <w:ind w:left="340"/>
      </w:pPr>
      <w:r w:rsidRPr="001D41D0">
        <w:t>This covers the operating costs incurred by a distributor in operating a meter. Customers may avoid this ACS charge by switching to an alternative metering provider.</w:t>
      </w:r>
    </w:p>
    <w:p w:rsidR="00D1742D" w:rsidRDefault="001D41D0" w:rsidP="00D1742D">
      <w:pPr>
        <w:pStyle w:val="ListNumber"/>
        <w:tabs>
          <w:tab w:val="clear" w:pos="340"/>
          <w:tab w:val="num" w:pos="360"/>
        </w:tabs>
      </w:pPr>
      <w:r w:rsidRPr="001D41D0">
        <w:t xml:space="preserve">Type 5 or 6 meter provision—pre 1 July 2015. </w:t>
      </w:r>
    </w:p>
    <w:p w:rsidR="001D41D0" w:rsidRPr="001D41D0" w:rsidRDefault="001D41D0" w:rsidP="00D1742D">
      <w:pPr>
        <w:pStyle w:val="ListNumber"/>
        <w:numPr>
          <w:ilvl w:val="0"/>
          <w:numId w:val="0"/>
        </w:numPr>
        <w:ind w:left="340"/>
      </w:pPr>
      <w:r w:rsidRPr="001D41D0">
        <w:lastRenderedPageBreak/>
        <w:t>This service allows distributors to recover the cost of meters installed before 1 July 2015. The fee for this service will reflect the pool of distributor provided type 5 or 6 meters, both active and redundant, until their value is depreciated away.</w:t>
      </w:r>
    </w:p>
    <w:p w:rsidR="00D1742D" w:rsidRDefault="001D41D0" w:rsidP="00D1742D">
      <w:pPr>
        <w:pStyle w:val="ListNumber"/>
        <w:tabs>
          <w:tab w:val="clear" w:pos="340"/>
          <w:tab w:val="num" w:pos="360"/>
        </w:tabs>
      </w:pPr>
      <w:r w:rsidRPr="001D41D0">
        <w:t>Type 5 or 6 meter provision—post 1 July 2015.</w:t>
      </w:r>
    </w:p>
    <w:p w:rsidR="001D41D0" w:rsidRPr="001D41D0" w:rsidRDefault="001D41D0" w:rsidP="00D1742D">
      <w:pPr>
        <w:pStyle w:val="ListNumber"/>
        <w:numPr>
          <w:ilvl w:val="0"/>
          <w:numId w:val="0"/>
        </w:numPr>
        <w:ind w:left="340"/>
      </w:pPr>
      <w:r w:rsidRPr="001D41D0">
        <w:t xml:space="preserve">This service will allow distributors to recover the cost of a meter installed on or after 1 July 2015.  </w:t>
      </w:r>
    </w:p>
    <w:p w:rsidR="00DF31F2" w:rsidRDefault="00DF31F2" w:rsidP="00DF31F2">
      <w:r w:rsidRPr="00DF31F2">
        <w:t>The above metering services are reflected in appendix A</w:t>
      </w:r>
      <w:r w:rsidR="00D21498">
        <w:t>.</w:t>
      </w:r>
    </w:p>
    <w:p w:rsidR="00B94C5E" w:rsidRDefault="00B94C5E" w:rsidP="00B94C5E">
      <w:pPr>
        <w:rPr>
          <w:rStyle w:val="AERbody"/>
        </w:rPr>
      </w:pPr>
      <w:r>
        <w:rPr>
          <w:rStyle w:val="AERbody"/>
        </w:rPr>
        <w:t xml:space="preserve">Spreading the residual asset costs across all </w:t>
      </w:r>
      <w:r w:rsidR="007D5503">
        <w:rPr>
          <w:rStyle w:val="AERbody"/>
        </w:rPr>
        <w:t xml:space="preserve">pre–1 July 2015 </w:t>
      </w:r>
      <w:r>
        <w:rPr>
          <w:rStyle w:val="AERbody"/>
        </w:rPr>
        <w:t>customers will avoid large exit fees which might be a barrier to competition. However, we did not find it appropriate that customers switching to alternative providers be required to pay for ongoing operating costs for services they were no longer receiving from the distributor.</w:t>
      </w:r>
    </w:p>
    <w:p w:rsidR="000925D3" w:rsidRDefault="000925D3" w:rsidP="00B94C5E">
      <w:pPr>
        <w:rPr>
          <w:rStyle w:val="AERbody"/>
        </w:rPr>
      </w:pPr>
      <w:r>
        <w:rPr>
          <w:rStyle w:val="AERbody"/>
        </w:rPr>
        <w:t>After 1 July 2015, customers receiving a new type 5 or 6 meter from a distributor will pay the full capital cost of the meter.</w:t>
      </w:r>
    </w:p>
    <w:p w:rsidR="006101D9" w:rsidRDefault="000051F1" w:rsidP="005867CF">
      <w:r>
        <w:t xml:space="preserve">In its </w:t>
      </w:r>
      <w:r w:rsidR="004B6AB4">
        <w:t xml:space="preserve">submission </w:t>
      </w:r>
      <w:r w:rsidR="006E183A">
        <w:t xml:space="preserve">to us </w:t>
      </w:r>
      <w:r w:rsidR="004B6AB4">
        <w:t xml:space="preserve">on its </w:t>
      </w:r>
      <w:r>
        <w:t xml:space="preserve">own </w:t>
      </w:r>
      <w:r w:rsidR="006E183A">
        <w:t>regulatory proposal</w:t>
      </w:r>
      <w:r w:rsidR="00BE53D5">
        <w:t>,</w:t>
      </w:r>
      <w:r w:rsidR="006E183A">
        <w:t xml:space="preserve"> </w:t>
      </w:r>
      <w:r w:rsidR="004B6AB4">
        <w:t xml:space="preserve">Energex </w:t>
      </w:r>
      <w:r w:rsidR="00CA3FF8">
        <w:t>noted we had proposed to classify a</w:t>
      </w:r>
      <w:r>
        <w:t xml:space="preserve"> standard control service</w:t>
      </w:r>
      <w:r w:rsidR="00807A9B">
        <w:t xml:space="preserve"> for residual meter </w:t>
      </w:r>
      <w:r w:rsidR="006101D9">
        <w:t xml:space="preserve">value </w:t>
      </w:r>
      <w:r w:rsidR="00807A9B">
        <w:t>cost recovery</w:t>
      </w:r>
      <w:r w:rsidR="00CA3FF8">
        <w:t xml:space="preserve"> in our draft NSW/ACT distribution decisions</w:t>
      </w:r>
      <w:r>
        <w:t>.</w:t>
      </w:r>
      <w:r w:rsidR="004E2EAD">
        <w:rPr>
          <w:rStyle w:val="FootnoteReference"/>
        </w:rPr>
        <w:footnoteReference w:id="18"/>
      </w:r>
      <w:r>
        <w:t xml:space="preserve"> Energex s</w:t>
      </w:r>
      <w:r w:rsidR="00D35F40">
        <w:t>ubmitted</w:t>
      </w:r>
      <w:r w:rsidR="006E183A">
        <w:t xml:space="preserve"> </w:t>
      </w:r>
      <w:r>
        <w:t xml:space="preserve">we should not </w:t>
      </w:r>
      <w:r w:rsidR="006E183A">
        <w:t xml:space="preserve">classify a </w:t>
      </w:r>
      <w:r w:rsidR="00BE53D5">
        <w:t xml:space="preserve">new </w:t>
      </w:r>
      <w:r w:rsidR="006E183A">
        <w:t>standard control service for this purpose</w:t>
      </w:r>
      <w:r>
        <w:t xml:space="preserve"> in our </w:t>
      </w:r>
      <w:r w:rsidR="00073E1E">
        <w:t>Queensland</w:t>
      </w:r>
      <w:r>
        <w:t xml:space="preserve"> determination</w:t>
      </w:r>
      <w:r w:rsidR="006101D9">
        <w:t>, for two reasons. First,</w:t>
      </w:r>
      <w:r>
        <w:t xml:space="preserve"> because</w:t>
      </w:r>
      <w:r w:rsidR="006E183A">
        <w:t xml:space="preserve"> unforeseen circumstances had not arisen since we released the </w:t>
      </w:r>
      <w:r w:rsidR="00073E1E">
        <w:t>Queensland</w:t>
      </w:r>
      <w:r w:rsidR="006E183A">
        <w:t xml:space="preserve"> F&amp;A in April 2014.</w:t>
      </w:r>
      <w:r w:rsidR="005867CF">
        <w:t xml:space="preserve"> </w:t>
      </w:r>
      <w:r w:rsidR="006101D9">
        <w:t>Second, because a standard control service would be inappropriate when we are unbundling type 5 or 6 metering services more generally.</w:t>
      </w:r>
    </w:p>
    <w:p w:rsidR="0087281D" w:rsidRDefault="006101D9" w:rsidP="00290C63">
      <w:r>
        <w:t xml:space="preserve"> </w:t>
      </w:r>
      <w:r w:rsidR="005867CF">
        <w:t>As discussed in the section above, we do not ag</w:t>
      </w:r>
      <w:r w:rsidR="00F63D0F">
        <w:t xml:space="preserve">ree with Energex </w:t>
      </w:r>
      <w:r>
        <w:t>that unforeseen circumstances have not arisen</w:t>
      </w:r>
      <w:r w:rsidR="00F63D0F">
        <w:t>.</w:t>
      </w:r>
      <w:r>
        <w:t xml:space="preserve"> We consider unforeseen circumstances justify us changing our classification approach for type 5 or 6 metering. Energex's concerns around us classifying a new standard control service are not applicable to our preliminary decision</w:t>
      </w:r>
      <w:r w:rsidR="00945C01">
        <w:t xml:space="preserve"> for the </w:t>
      </w:r>
      <w:r w:rsidR="00073E1E">
        <w:t>Queensland</w:t>
      </w:r>
      <w:r w:rsidR="00945C01">
        <w:t xml:space="preserve"> distributors</w:t>
      </w:r>
      <w:r w:rsidR="00E2743F">
        <w:t xml:space="preserve"> as we have not proposed such a service classification in this process</w:t>
      </w:r>
      <w:r w:rsidR="00945C01">
        <w:t xml:space="preserve">. We have also amended our classification approach for our final NSW/ACT distribution decisions. </w:t>
      </w:r>
    </w:p>
    <w:p w:rsidR="00F63D0F" w:rsidRPr="00F63D0F" w:rsidRDefault="00F63D0F" w:rsidP="00F63D0F">
      <w:pPr>
        <w:pStyle w:val="Heading3"/>
      </w:pPr>
      <w:bookmarkStart w:id="26" w:name="_Toc413838333"/>
      <w:bookmarkStart w:id="27" w:name="_Toc416787193"/>
      <w:r w:rsidRPr="00F63D0F">
        <w:t>Load control</w:t>
      </w:r>
      <w:bookmarkEnd w:id="26"/>
      <w:bookmarkEnd w:id="27"/>
      <w:r w:rsidRPr="00F63D0F">
        <w:t xml:space="preserve"> </w:t>
      </w:r>
    </w:p>
    <w:p w:rsidR="00F63D0F" w:rsidRDefault="00F63D0F" w:rsidP="00F63D0F">
      <w:r w:rsidRPr="00F63D0F">
        <w:t xml:space="preserve">Load control permits a distributor to control an appliance connected at a customer's premises. Distributors use controlled load to reduce demand on the network at peak periods. By doing so, the distributors avoid the need for more expensive investment in network augmentation. </w:t>
      </w:r>
    </w:p>
    <w:p w:rsidR="007B71AB" w:rsidRDefault="00F9484E" w:rsidP="007B71AB">
      <w:r>
        <w:t>We understand that in the past</w:t>
      </w:r>
      <w:r w:rsidR="007B71AB">
        <w:t xml:space="preserve"> load control </w:t>
      </w:r>
      <w:r w:rsidR="00FF305F">
        <w:t>equipment</w:t>
      </w:r>
      <w:r>
        <w:t xml:space="preserve"> w</w:t>
      </w:r>
      <w:r w:rsidR="00FF305F">
        <w:t>as</w:t>
      </w:r>
      <w:r w:rsidR="007B71AB">
        <w:t xml:space="preserve"> installed separately from meters. </w:t>
      </w:r>
      <w:r w:rsidR="00C928F3" w:rsidRPr="00C928F3">
        <w:t xml:space="preserve">Modern electronic meters have the capacity to provide load control functions </w:t>
      </w:r>
      <w:r w:rsidR="00C928F3" w:rsidRPr="00C928F3">
        <w:lastRenderedPageBreak/>
        <w:t>as well as metering functions</w:t>
      </w:r>
      <w:r w:rsidR="0096049A">
        <w:t>.</w:t>
      </w:r>
      <w:r w:rsidR="007B71AB">
        <w:t xml:space="preserve"> Hence, load control services may now be provided by meters themselves rather than by separate equipment. </w:t>
      </w:r>
    </w:p>
    <w:p w:rsidR="007F735A" w:rsidRDefault="00BF5CF5" w:rsidP="00F63D0F">
      <w:r>
        <w:t>In our</w:t>
      </w:r>
      <w:r w:rsidR="002B6CEC">
        <w:t xml:space="preserve"> F&amp;A we commented that load control services may be considered network services and classified standard control because all customers benefit from lower overall network costs.</w:t>
      </w:r>
      <w:r>
        <w:rPr>
          <w:rStyle w:val="FootnoteReference"/>
        </w:rPr>
        <w:footnoteReference w:id="19"/>
      </w:r>
      <w:r w:rsidR="002B6CEC">
        <w:t xml:space="preserve"> </w:t>
      </w:r>
      <w:r w:rsidR="00C928F3">
        <w:t>At the same time</w:t>
      </w:r>
      <w:r w:rsidR="00930FF4">
        <w:t>, w</w:t>
      </w:r>
      <w:r w:rsidR="002B6CEC">
        <w:t xml:space="preserve">e </w:t>
      </w:r>
      <w:r w:rsidR="000C7F3F">
        <w:t xml:space="preserve">proposed </w:t>
      </w:r>
      <w:r w:rsidR="002B6CEC">
        <w:t>unbundl</w:t>
      </w:r>
      <w:r w:rsidR="000C7F3F">
        <w:t>ing</w:t>
      </w:r>
      <w:r w:rsidR="002B6CEC">
        <w:t xml:space="preserve"> type 5 or 6 metering ser</w:t>
      </w:r>
      <w:r w:rsidR="00930FF4">
        <w:t xml:space="preserve">vices from standard control, </w:t>
      </w:r>
      <w:r w:rsidR="002B6CEC">
        <w:t xml:space="preserve">classified these </w:t>
      </w:r>
      <w:r w:rsidR="00D21498">
        <w:t xml:space="preserve">services as </w:t>
      </w:r>
      <w:r w:rsidR="002B6CEC">
        <w:t>a</w:t>
      </w:r>
      <w:r w:rsidR="00930FF4">
        <w:t>lternative control, and classified an additional new alternative control service for metering related load control. Our intention was to consistently classify as alternative control any services provided by an unbundled type 5 or 6 meter.</w:t>
      </w:r>
      <w:r w:rsidR="00327546">
        <w:t xml:space="preserve"> We described this service as "install metering related load control" and grouped it with a</w:t>
      </w:r>
      <w:r w:rsidR="000C7F3F">
        <w:t>uxiliary</w:t>
      </w:r>
      <w:r w:rsidR="00327546">
        <w:t xml:space="preserve"> metering services. </w:t>
      </w:r>
    </w:p>
    <w:p w:rsidR="00B94C5E" w:rsidRDefault="00930FF4" w:rsidP="00B94C5E">
      <w:r>
        <w:t xml:space="preserve">In its regulatory proposal, Energex </w:t>
      </w:r>
      <w:r w:rsidR="00F9484E">
        <w:t xml:space="preserve">submitted that our approach to </w:t>
      </w:r>
      <w:r w:rsidR="007E6836">
        <w:t>classifying</w:t>
      </w:r>
      <w:r w:rsidR="00F9484E">
        <w:t xml:space="preserve"> an alternative control service for load control was inconsistent with </w:t>
      </w:r>
      <w:r w:rsidR="003C6B47">
        <w:t>our F&amp;A where we described</w:t>
      </w:r>
      <w:r w:rsidR="00F9484E">
        <w:t xml:space="preserve"> load control as a network service. Energex submitted that load control should remain a standard control service, whether or not</w:t>
      </w:r>
      <w:r w:rsidR="00732AC8">
        <w:t xml:space="preserve"> it </w:t>
      </w:r>
      <w:r w:rsidR="00F9484E">
        <w:t>is provided by a meter or by separate equipment.</w:t>
      </w:r>
      <w:r w:rsidR="00B94C5E" w:rsidRPr="00B94C5E">
        <w:t xml:space="preserve"> </w:t>
      </w:r>
      <w:r w:rsidR="00B94C5E">
        <w:t xml:space="preserve">Energex argued that the classification of load control services should be based on the functionality of the service (i.e. to provide network support) rather than on the location of the physical asset. </w:t>
      </w:r>
    </w:p>
    <w:p w:rsidR="00930FF4" w:rsidRDefault="00F9484E" w:rsidP="00F63D0F">
      <w:r>
        <w:t xml:space="preserve">We understand Energex </w:t>
      </w:r>
      <w:r w:rsidR="00930FF4">
        <w:t xml:space="preserve">retained in its </w:t>
      </w:r>
      <w:r w:rsidR="00732AC8">
        <w:t xml:space="preserve">RAB </w:t>
      </w:r>
      <w:r w:rsidR="00930FF4">
        <w:t xml:space="preserve">a portion of the value of each of its </w:t>
      </w:r>
      <w:r>
        <w:t>modern type 6 meters, reflecting what it considered to be the load control portion of each meter.</w:t>
      </w:r>
    </w:p>
    <w:p w:rsidR="00B23159" w:rsidRDefault="00327546" w:rsidP="00F63D0F">
      <w:r>
        <w:t>In its submission to us on its own regulatory proposal, Energex described our ancillary metering service for "install metering related load control" as relating only to a customer or retailer requesting an upgrade to their existing load control service. This is a misreading of our F&amp;A. We classified separately another service, also grouped in a</w:t>
      </w:r>
      <w:r w:rsidR="000C7F3F">
        <w:t>uxiliary</w:t>
      </w:r>
      <w:r>
        <w:t xml:space="preserve"> metering services, "change load control relay at retailer, customer</w:t>
      </w:r>
      <w:r w:rsidR="00D81582">
        <w:t xml:space="preserve"> or other third party request</w:t>
      </w:r>
      <w:r w:rsidR="000C7F3F">
        <w:t>, that is not a part of initial load control installation, nor part of standard asset maintenance or replacement</w:t>
      </w:r>
      <w:r w:rsidR="00D81582">
        <w:t>".</w:t>
      </w:r>
      <w:r w:rsidR="000C7F3F">
        <w:rPr>
          <w:rStyle w:val="FootnoteReference"/>
        </w:rPr>
        <w:footnoteReference w:id="20"/>
      </w:r>
    </w:p>
    <w:p w:rsidR="00B928B7" w:rsidRDefault="00B23159" w:rsidP="00B23159">
      <w:r>
        <w:t>While not clear from Energex's written submissions,</w:t>
      </w:r>
      <w:r w:rsidR="003C6B47">
        <w:t xml:space="preserve"> from </w:t>
      </w:r>
      <w:r w:rsidR="00F56240">
        <w:t xml:space="preserve">staff </w:t>
      </w:r>
      <w:r w:rsidR="003C6B47">
        <w:t>level discussion</w:t>
      </w:r>
      <w:r w:rsidR="00B928B7">
        <w:t>s</w:t>
      </w:r>
      <w:r w:rsidR="003C6B47">
        <w:t xml:space="preserve"> w</w:t>
      </w:r>
      <w:r>
        <w:t xml:space="preserve">e understand </w:t>
      </w:r>
      <w:r w:rsidR="008E4DF7">
        <w:t>Energex</w:t>
      </w:r>
      <w:r>
        <w:t xml:space="preserve"> </w:t>
      </w:r>
      <w:r w:rsidR="00B94C5E">
        <w:t>prepared i</w:t>
      </w:r>
      <w:r w:rsidR="007E6836">
        <w:t>t</w:t>
      </w:r>
      <w:r w:rsidR="00B94C5E">
        <w:t>s regulatory proposal considering that</w:t>
      </w:r>
      <w:r>
        <w:t xml:space="preserve"> </w:t>
      </w:r>
      <w:r w:rsidR="00B94C5E">
        <w:t xml:space="preserve">a </w:t>
      </w:r>
      <w:r>
        <w:t>standard control classification would provide</w:t>
      </w:r>
      <w:r w:rsidR="00B928B7">
        <w:t xml:space="preserve"> it with</w:t>
      </w:r>
      <w:r>
        <w:t xml:space="preserve"> </w:t>
      </w:r>
      <w:r w:rsidR="00F56240">
        <w:t>a level</w:t>
      </w:r>
      <w:r>
        <w:t xml:space="preserve"> </w:t>
      </w:r>
      <w:r w:rsidR="008E4DF7">
        <w:t xml:space="preserve">of </w:t>
      </w:r>
      <w:r>
        <w:t xml:space="preserve">control over the use of load control services. </w:t>
      </w:r>
      <w:r w:rsidR="00B928B7">
        <w:t>However, we consider that w</w:t>
      </w:r>
      <w:r w:rsidR="00F56240">
        <w:t xml:space="preserve">here </w:t>
      </w:r>
      <w:r w:rsidR="00942B68">
        <w:t>load</w:t>
      </w:r>
      <w:r w:rsidR="00942B68" w:rsidRPr="00F63D0F">
        <w:t xml:space="preserve"> </w:t>
      </w:r>
      <w:r w:rsidRPr="00F63D0F">
        <w:t xml:space="preserve">control devices </w:t>
      </w:r>
      <w:r w:rsidR="00F56240">
        <w:t xml:space="preserve">are </w:t>
      </w:r>
      <w:r w:rsidRPr="00F63D0F">
        <w:t xml:space="preserve">situated within a meter </w:t>
      </w:r>
      <w:r w:rsidR="00F56240">
        <w:t>it is not possible to separate</w:t>
      </w:r>
      <w:r w:rsidRPr="00F63D0F">
        <w:t xml:space="preserve"> the </w:t>
      </w:r>
      <w:r w:rsidR="00F56240">
        <w:t xml:space="preserve">load control services from </w:t>
      </w:r>
      <w:r w:rsidR="008E4DF7">
        <w:t xml:space="preserve">the </w:t>
      </w:r>
      <w:r w:rsidRPr="00F63D0F">
        <w:t xml:space="preserve">meter </w:t>
      </w:r>
      <w:r w:rsidR="00F56240">
        <w:t>itself</w:t>
      </w:r>
      <w:r w:rsidRPr="00F63D0F">
        <w:t xml:space="preserve">. </w:t>
      </w:r>
      <w:r w:rsidR="00B94C5E">
        <w:t>I</w:t>
      </w:r>
      <w:r w:rsidR="00B94C5E" w:rsidRPr="00F63D0F">
        <w:t>f a meter is replaced by a customer, the load control device will be removed also</w:t>
      </w:r>
      <w:r w:rsidR="00B94C5E">
        <w:t>.</w:t>
      </w:r>
    </w:p>
    <w:p w:rsidR="00BC0F70" w:rsidRDefault="00B23159" w:rsidP="00F63D0F">
      <w:r w:rsidRPr="00F63D0F">
        <w:t>A customer can already make a controlled load redundant by switching to a different type of appliance (e.g. moving from off peak hot water to solar h</w:t>
      </w:r>
      <w:r w:rsidR="00B94C5E">
        <w:t>ot water). We consider t</w:t>
      </w:r>
      <w:r w:rsidRPr="00F63D0F">
        <w:t>he notion that a standard control classification</w:t>
      </w:r>
      <w:r w:rsidR="00B94C5E">
        <w:t xml:space="preserve"> could</w:t>
      </w:r>
      <w:r w:rsidRPr="00F63D0F">
        <w:t xml:space="preserve"> provide distributors with greater </w:t>
      </w:r>
      <w:r w:rsidRPr="00F63D0F">
        <w:lastRenderedPageBreak/>
        <w:t xml:space="preserve">control over the customer's load is unfounded. </w:t>
      </w:r>
      <w:r w:rsidR="008E4DF7">
        <w:t>W</w:t>
      </w:r>
      <w:r w:rsidR="00F63D0F" w:rsidRPr="00F63D0F">
        <w:t xml:space="preserve">e acknowledge distributors </w:t>
      </w:r>
      <w:r w:rsidR="00920CDD">
        <w:t>may use</w:t>
      </w:r>
      <w:r w:rsidR="00F63D0F" w:rsidRPr="00F63D0F">
        <w:t xml:space="preserve"> load control to </w:t>
      </w:r>
      <w:r w:rsidR="00920CDD">
        <w:t xml:space="preserve">help </w:t>
      </w:r>
      <w:r w:rsidR="00F63D0F" w:rsidRPr="00F63D0F">
        <w:t>manage their netwo</w:t>
      </w:r>
      <w:r w:rsidR="00717137">
        <w:t>rks. However,</w:t>
      </w:r>
      <w:r w:rsidR="00F63D0F" w:rsidRPr="00F63D0F">
        <w:t xml:space="preserve"> we d</w:t>
      </w:r>
      <w:r w:rsidR="008E4DF7">
        <w:t>o</w:t>
      </w:r>
      <w:r w:rsidR="00BC0F70">
        <w:t xml:space="preserve"> not accept that, </w:t>
      </w:r>
      <w:r w:rsidR="00F63D0F" w:rsidRPr="00F63D0F">
        <w:t>to be effective</w:t>
      </w:r>
      <w:r w:rsidR="00BC0F70">
        <w:t>,</w:t>
      </w:r>
      <w:r w:rsidR="00F63D0F" w:rsidRPr="00F63D0F">
        <w:t xml:space="preserve"> distributors need load control services to be classified as standard control or that load control devices need to be a part of the RAB.</w:t>
      </w:r>
      <w:r w:rsidR="00F63D0F" w:rsidRPr="007F735A">
        <w:rPr>
          <w:rStyle w:val="AERsuperscript"/>
        </w:rPr>
        <w:footnoteReference w:id="21"/>
      </w:r>
      <w:r w:rsidR="00BC0F70">
        <w:t xml:space="preserve"> </w:t>
      </w:r>
    </w:p>
    <w:p w:rsidR="00F63D0F" w:rsidRPr="00F63D0F" w:rsidRDefault="00BC0F70" w:rsidP="00F63D0F">
      <w:r>
        <w:t>L</w:t>
      </w:r>
      <w:r w:rsidR="00F63D0F" w:rsidRPr="00F63D0F">
        <w:t xml:space="preserve">oad control </w:t>
      </w:r>
      <w:r w:rsidR="00717137">
        <w:t xml:space="preserve">uptake </w:t>
      </w:r>
      <w:r w:rsidR="00F63D0F" w:rsidRPr="00F63D0F">
        <w:t>can be achieved through arrangements with customers, through tariff or other agreements, giving them incentive or reason to allow a distributor to control the custo</w:t>
      </w:r>
      <w:r>
        <w:t>mer's load. Consequently, we do</w:t>
      </w:r>
      <w:r w:rsidR="00F63D0F" w:rsidRPr="00F63D0F">
        <w:t xml:space="preserve"> not agree load control devices embedded in a meter should be classified as standard control. This remains our view.</w:t>
      </w:r>
    </w:p>
    <w:p w:rsidR="00087E62" w:rsidRDefault="003578BD" w:rsidP="00F63D0F">
      <w:r>
        <w:t>W</w:t>
      </w:r>
      <w:r w:rsidR="00087E62">
        <w:t xml:space="preserve">e consider we need not change our service classifications from those set out in the </w:t>
      </w:r>
      <w:r w:rsidR="00073E1E">
        <w:t>Queensland</w:t>
      </w:r>
      <w:r w:rsidR="00087E62">
        <w:t xml:space="preserve"> F&amp;A. </w:t>
      </w:r>
      <w:r>
        <w:t>W</w:t>
      </w:r>
      <w:r w:rsidR="00A71DAB">
        <w:t xml:space="preserve">e have already classified a </w:t>
      </w:r>
      <w:r w:rsidR="00087E62">
        <w:t>metering service</w:t>
      </w:r>
      <w:r w:rsidR="00A71DAB">
        <w:t xml:space="preserve"> (grouped under 'auxiliary metering services')</w:t>
      </w:r>
      <w:r w:rsidR="00087E62">
        <w:t xml:space="preserve"> for metering related load control. We consider that to clarify our classification approach</w:t>
      </w:r>
      <w:r>
        <w:t xml:space="preserve">, </w:t>
      </w:r>
      <w:r w:rsidR="00087E62">
        <w:t xml:space="preserve">amendments </w:t>
      </w:r>
      <w:r w:rsidR="00037E8B">
        <w:t xml:space="preserve">are required </w:t>
      </w:r>
      <w:r w:rsidR="00087E62">
        <w:t xml:space="preserve">to the </w:t>
      </w:r>
      <w:r w:rsidR="00037E8B">
        <w:t xml:space="preserve">existing </w:t>
      </w:r>
      <w:r w:rsidR="00087E62">
        <w:t xml:space="preserve">description of services set out in our classifications table at </w:t>
      </w:r>
      <w:r w:rsidR="00D21498">
        <w:t>a</w:t>
      </w:r>
      <w:r w:rsidR="00087E62">
        <w:t>ppendix A.</w:t>
      </w:r>
    </w:p>
    <w:p w:rsidR="0087281D" w:rsidRDefault="00440B25" w:rsidP="00290C63">
      <w:r>
        <w:t>For the avoidance of doubt, we consider load control services provided by equipment located outside a type 5 or 6 meter are grouped with network services and classified standard control. Load control services provided by a type 5 or 6 meter are grouped with ancillary metering services and classified alternative control.</w:t>
      </w:r>
    </w:p>
    <w:p w:rsidR="00C6660B" w:rsidRDefault="00C6660B" w:rsidP="00290C63"/>
    <w:p w:rsidR="00C6660B" w:rsidRDefault="00C6660B" w:rsidP="00290C63"/>
    <w:p w:rsidR="00C6660B" w:rsidRDefault="00C6660B" w:rsidP="00290C63"/>
    <w:p w:rsidR="00C6660B" w:rsidRDefault="00C6660B" w:rsidP="00290C63"/>
    <w:p w:rsidR="00C6660B" w:rsidRDefault="00C6660B" w:rsidP="00290C63"/>
    <w:p w:rsidR="00C6660B" w:rsidRDefault="00C6660B" w:rsidP="00290C63"/>
    <w:p w:rsidR="00C6660B" w:rsidRDefault="00C6660B" w:rsidP="00290C63"/>
    <w:p w:rsidR="00C6660B" w:rsidRDefault="00C6660B" w:rsidP="00290C63"/>
    <w:p w:rsidR="00C6660B" w:rsidRDefault="00C6660B" w:rsidP="004C12B7">
      <w:pPr>
        <w:pStyle w:val="Heading7"/>
        <w:sectPr w:rsidR="00C6660B" w:rsidSect="00DE563D">
          <w:pgSz w:w="11906" w:h="16838" w:code="9"/>
          <w:pgMar w:top="1440" w:right="1700" w:bottom="1582" w:left="1729" w:header="720" w:footer="0" w:gutter="0"/>
          <w:cols w:space="720"/>
          <w:docGrid w:linePitch="326"/>
        </w:sectPr>
      </w:pPr>
    </w:p>
    <w:p w:rsidR="004C12B7" w:rsidRDefault="00D21498" w:rsidP="004C12B7">
      <w:pPr>
        <w:pStyle w:val="Heading7"/>
      </w:pPr>
      <w:bookmarkStart w:id="28" w:name="_Toc416787194"/>
      <w:r>
        <w:lastRenderedPageBreak/>
        <w:t>AER preliminary decision on classification of services</w:t>
      </w:r>
      <w:bookmarkEnd w:id="28"/>
    </w:p>
    <w:tbl>
      <w:tblPr>
        <w:tblStyle w:val="AERTable-Text"/>
        <w:tblW w:w="0" w:type="auto"/>
        <w:tblLook w:val="01E0" w:firstRow="1" w:lastRow="1" w:firstColumn="1" w:lastColumn="1" w:noHBand="0" w:noVBand="0"/>
      </w:tblPr>
      <w:tblGrid>
        <w:gridCol w:w="3560"/>
        <w:gridCol w:w="6637"/>
        <w:gridCol w:w="1971"/>
        <w:gridCol w:w="1864"/>
      </w:tblGrid>
      <w:tr w:rsidR="00782C48" w:rsidRPr="00E36FB3" w:rsidTr="00752A6D">
        <w:trPr>
          <w:cnfStyle w:val="100000000000" w:firstRow="1" w:lastRow="0" w:firstColumn="0" w:lastColumn="0" w:oddVBand="0" w:evenVBand="0" w:oddHBand="0" w:evenHBand="0" w:firstRowFirstColumn="0" w:firstRowLastColumn="0" w:lastRowFirstColumn="0" w:lastRowLastColumn="0"/>
          <w:trHeight w:val="697"/>
          <w:tblHeader/>
        </w:trPr>
        <w:tc>
          <w:tcPr>
            <w:tcW w:w="3560" w:type="dxa"/>
          </w:tcPr>
          <w:p w:rsidR="00782C48" w:rsidRPr="00782C48" w:rsidRDefault="00782C48" w:rsidP="00105FE1">
            <w:pPr>
              <w:pStyle w:val="AERtabletextleft"/>
              <w:rPr>
                <w:rStyle w:val="Strong"/>
              </w:rPr>
            </w:pPr>
            <w:r w:rsidRPr="00D9086B">
              <w:rPr>
                <w:rStyle w:val="Strong"/>
              </w:rPr>
              <w:t>Service group</w:t>
            </w:r>
          </w:p>
        </w:tc>
        <w:tc>
          <w:tcPr>
            <w:tcW w:w="6637" w:type="dxa"/>
          </w:tcPr>
          <w:p w:rsidR="00782C48" w:rsidRPr="00D9086B" w:rsidRDefault="00782C48" w:rsidP="00105FE1">
            <w:pPr>
              <w:pStyle w:val="AERtabletextleft"/>
              <w:rPr>
                <w:rStyle w:val="Strong"/>
              </w:rPr>
            </w:pPr>
            <w:r w:rsidRPr="00D9086B">
              <w:rPr>
                <w:rStyle w:val="Strong"/>
              </w:rPr>
              <w:t>Further description (if any)</w:t>
            </w:r>
          </w:p>
        </w:tc>
        <w:tc>
          <w:tcPr>
            <w:tcW w:w="1971" w:type="dxa"/>
          </w:tcPr>
          <w:p w:rsidR="00782C48" w:rsidRPr="00782C48" w:rsidRDefault="00782C48" w:rsidP="00105FE1">
            <w:pPr>
              <w:pStyle w:val="AERtabletextleft"/>
              <w:rPr>
                <w:rStyle w:val="Strong"/>
              </w:rPr>
            </w:pPr>
            <w:r w:rsidRPr="00D9086B">
              <w:rPr>
                <w:rStyle w:val="Strong"/>
              </w:rPr>
              <w:t xml:space="preserve">AER </w:t>
            </w:r>
            <w:r w:rsidR="00D21498">
              <w:rPr>
                <w:rStyle w:val="Strong"/>
              </w:rPr>
              <w:t xml:space="preserve">preliminary decisions </w:t>
            </w:r>
            <w:r w:rsidRPr="00D9086B">
              <w:rPr>
                <w:rStyle w:val="Strong"/>
              </w:rPr>
              <w:t>classification 201</w:t>
            </w:r>
            <w:r w:rsidRPr="00782C48">
              <w:rPr>
                <w:rStyle w:val="Strong"/>
              </w:rPr>
              <w:t>5–20</w:t>
            </w:r>
          </w:p>
        </w:tc>
        <w:tc>
          <w:tcPr>
            <w:tcW w:w="1864" w:type="dxa"/>
          </w:tcPr>
          <w:p w:rsidR="00782C48" w:rsidRPr="00782C48" w:rsidRDefault="00782C48" w:rsidP="00105FE1">
            <w:pPr>
              <w:pStyle w:val="AERtabletextleft"/>
              <w:rPr>
                <w:rStyle w:val="Strong"/>
              </w:rPr>
            </w:pPr>
            <w:r w:rsidRPr="00D9086B">
              <w:rPr>
                <w:rStyle w:val="Strong"/>
              </w:rPr>
              <w:t>Current classification 20</w:t>
            </w:r>
            <w:r w:rsidRPr="00782C48">
              <w:rPr>
                <w:rStyle w:val="Strong"/>
              </w:rPr>
              <w:t>10–15</w:t>
            </w:r>
          </w:p>
        </w:tc>
      </w:tr>
      <w:tr w:rsidR="00782C48" w:rsidRPr="00E36FB3" w:rsidTr="00D831CC">
        <w:trPr>
          <w:trHeight w:val="409"/>
        </w:trPr>
        <w:tc>
          <w:tcPr>
            <w:tcW w:w="14032" w:type="dxa"/>
            <w:gridSpan w:val="4"/>
          </w:tcPr>
          <w:p w:rsidR="00782C48" w:rsidRPr="00782C48" w:rsidRDefault="00782C48" w:rsidP="00105FE1">
            <w:pPr>
              <w:pStyle w:val="AERtabletextleft"/>
              <w:rPr>
                <w:rStyle w:val="Strong"/>
              </w:rPr>
            </w:pPr>
            <w:r w:rsidRPr="00C8618D">
              <w:rPr>
                <w:rStyle w:val="Strong"/>
              </w:rPr>
              <w:t>AER Service group— Network services</w:t>
            </w:r>
          </w:p>
        </w:tc>
      </w:tr>
      <w:tr w:rsidR="00782C48" w:rsidRPr="00E36FB3" w:rsidTr="00D831CC">
        <w:trPr>
          <w:cnfStyle w:val="000000010000" w:firstRow="0" w:lastRow="0" w:firstColumn="0" w:lastColumn="0" w:oddVBand="0" w:evenVBand="0" w:oddHBand="0" w:evenHBand="1" w:firstRowFirstColumn="0" w:firstRowLastColumn="0" w:lastRowFirstColumn="0" w:lastRowLastColumn="0"/>
        </w:trPr>
        <w:tc>
          <w:tcPr>
            <w:tcW w:w="3560" w:type="dxa"/>
          </w:tcPr>
          <w:p w:rsidR="00782C48" w:rsidRPr="00105FE1" w:rsidRDefault="00782C48" w:rsidP="0035618E">
            <w:pPr>
              <w:pStyle w:val="AERtabletextleft"/>
            </w:pPr>
            <w:r w:rsidRPr="00105FE1">
              <w:t>Planning the network</w:t>
            </w:r>
          </w:p>
        </w:tc>
        <w:tc>
          <w:tcPr>
            <w:tcW w:w="6637" w:type="dxa"/>
          </w:tcPr>
          <w:p w:rsidR="00782C48" w:rsidRPr="005B2537" w:rsidRDefault="00782C48" w:rsidP="0035618E">
            <w:pPr>
              <w:pStyle w:val="AERtabletextleft"/>
              <w:rPr>
                <w:rStyle w:val="AERbody"/>
                <w:sz w:val="20"/>
              </w:rPr>
            </w:pPr>
            <w:r w:rsidRPr="005B2537">
              <w:rPr>
                <w:rStyle w:val="AERbody"/>
                <w:sz w:val="20"/>
              </w:rPr>
              <w:t>Network asset - assessment of asset requirements involving investment, management and delivery including risk and feasibility assessment and estimating and cost planning.</w:t>
            </w:r>
          </w:p>
          <w:p w:rsidR="00782C48" w:rsidRPr="005B2537" w:rsidRDefault="00782C48" w:rsidP="0035618E">
            <w:pPr>
              <w:pStyle w:val="AERtabletextleft"/>
              <w:rPr>
                <w:rStyle w:val="AERbody"/>
                <w:sz w:val="20"/>
              </w:rPr>
            </w:pPr>
            <w:r w:rsidRPr="005B2537">
              <w:rPr>
                <w:rStyle w:val="AERbody"/>
                <w:sz w:val="20"/>
              </w:rPr>
              <w:t>Demand management - the identification and development of non-network options to address forecast network limitations.</w:t>
            </w:r>
          </w:p>
          <w:p w:rsidR="00782C48" w:rsidRPr="005B2537" w:rsidRDefault="00782C48" w:rsidP="0035618E">
            <w:pPr>
              <w:pStyle w:val="AERtabletextleft"/>
              <w:rPr>
                <w:rStyle w:val="AERbody"/>
                <w:sz w:val="20"/>
              </w:rPr>
            </w:pPr>
            <w:r w:rsidRPr="005B2537">
              <w:rPr>
                <w:rStyle w:val="AERbody"/>
                <w:sz w:val="20"/>
              </w:rPr>
              <w:t xml:space="preserve">Network forecasting </w:t>
            </w:r>
            <w:r w:rsidRPr="005B2537">
              <w:rPr>
                <w:rStyle w:val="AERbody"/>
                <w:sz w:val="20"/>
              </w:rPr>
              <w:softHyphen/>
              <w:t>- analysis of network demand to enable the development of the capital program of works.</w:t>
            </w:r>
            <w:r w:rsidRPr="005B2537">
              <w:rPr>
                <w:rStyle w:val="AERbody"/>
                <w:sz w:val="20"/>
              </w:rPr>
              <w:tab/>
            </w:r>
          </w:p>
          <w:p w:rsidR="00782C48" w:rsidRPr="005B2537" w:rsidRDefault="00782C48" w:rsidP="0035618E">
            <w:pPr>
              <w:pStyle w:val="AERtabletextleft"/>
              <w:rPr>
                <w:rStyle w:val="AERbody"/>
                <w:sz w:val="20"/>
              </w:rPr>
            </w:pPr>
            <w:r w:rsidRPr="005B2537">
              <w:rPr>
                <w:rStyle w:val="AERbody"/>
                <w:sz w:val="20"/>
              </w:rPr>
              <w:t>Network business strategy development - strategic initiatives development and management including business improvement/efficiency initiatives.</w:t>
            </w:r>
          </w:p>
          <w:p w:rsidR="00782C48" w:rsidRPr="005B2537" w:rsidRDefault="00782C48" w:rsidP="0035618E">
            <w:pPr>
              <w:pStyle w:val="AERtabletextleft"/>
              <w:rPr>
                <w:rStyle w:val="AERbody"/>
                <w:sz w:val="20"/>
              </w:rPr>
            </w:pPr>
            <w:r w:rsidRPr="005B2537">
              <w:rPr>
                <w:rStyle w:val="AERbody"/>
                <w:sz w:val="20"/>
              </w:rPr>
              <w:t>Governance - developing policies, procedures and standards.</w:t>
            </w:r>
          </w:p>
          <w:p w:rsidR="00782C48" w:rsidRPr="00105FE1" w:rsidRDefault="00782C48" w:rsidP="0035618E">
            <w:pPr>
              <w:pStyle w:val="AERtabletextleft"/>
            </w:pPr>
            <w:r w:rsidRPr="005B2537">
              <w:rPr>
                <w:rStyle w:val="AERbody"/>
                <w:sz w:val="20"/>
              </w:rPr>
              <w:lastRenderedPageBreak/>
              <w:t>Regulatory planning as required by the National Electricity Rules (rules).</w:t>
            </w:r>
          </w:p>
        </w:tc>
        <w:tc>
          <w:tcPr>
            <w:tcW w:w="1971" w:type="dxa"/>
          </w:tcPr>
          <w:p w:rsidR="00782C48" w:rsidRPr="00DF5237" w:rsidRDefault="00782C48" w:rsidP="0035618E">
            <w:pPr>
              <w:pStyle w:val="AERtabletextleft"/>
            </w:pPr>
            <w:r w:rsidRPr="00105FE1">
              <w:lastRenderedPageBreak/>
              <w:t>Standard control</w:t>
            </w:r>
          </w:p>
        </w:tc>
        <w:tc>
          <w:tcPr>
            <w:tcW w:w="1864" w:type="dxa"/>
          </w:tcPr>
          <w:p w:rsidR="00782C48" w:rsidRPr="00A170B7" w:rsidRDefault="00782C48" w:rsidP="0035618E">
            <w:pPr>
              <w:pStyle w:val="AERtabletextleft"/>
            </w:pPr>
            <w:r w:rsidRPr="002C4834">
              <w:t>Standard control</w:t>
            </w:r>
          </w:p>
        </w:tc>
      </w:tr>
      <w:tr w:rsidR="00782C48" w:rsidRPr="00E36FB3" w:rsidTr="00D831CC">
        <w:trPr>
          <w:trHeight w:val="906"/>
        </w:trPr>
        <w:tc>
          <w:tcPr>
            <w:tcW w:w="3560" w:type="dxa"/>
          </w:tcPr>
          <w:p w:rsidR="00782C48" w:rsidRPr="0035618E" w:rsidRDefault="00782C48" w:rsidP="0035618E">
            <w:pPr>
              <w:pStyle w:val="AERtabletextleft"/>
              <w:rPr>
                <w:rStyle w:val="AERbody"/>
                <w:sz w:val="20"/>
              </w:rPr>
            </w:pPr>
            <w:r w:rsidRPr="0035618E">
              <w:rPr>
                <w:rStyle w:val="AERbody"/>
                <w:sz w:val="20"/>
              </w:rPr>
              <w:lastRenderedPageBreak/>
              <w:t>Designing the network</w:t>
            </w:r>
          </w:p>
        </w:tc>
        <w:tc>
          <w:tcPr>
            <w:tcW w:w="6637" w:type="dxa"/>
          </w:tcPr>
          <w:p w:rsidR="00782C48" w:rsidRPr="0035618E" w:rsidRDefault="00782C48" w:rsidP="0035618E">
            <w:pPr>
              <w:pStyle w:val="AERtabletextleft"/>
              <w:rPr>
                <w:rStyle w:val="AERbody"/>
                <w:sz w:val="20"/>
              </w:rPr>
            </w:pPr>
            <w:r w:rsidRPr="0035618E">
              <w:rPr>
                <w:rStyle w:val="AERbody"/>
                <w:sz w:val="20"/>
              </w:rPr>
              <w:t>Creation of a plan or the standards and criteria for network construction. Includes developing design standards, protection engineering and designs for augmentation and extensions to the shared network.</w:t>
            </w:r>
            <w:r w:rsidRPr="00085525">
              <w:rPr>
                <w:rStyle w:val="AERsuperscript"/>
              </w:rPr>
              <w:footnoteReference w:id="22"/>
            </w:r>
          </w:p>
        </w:tc>
        <w:tc>
          <w:tcPr>
            <w:tcW w:w="1971" w:type="dxa"/>
          </w:tcPr>
          <w:p w:rsidR="00782C48" w:rsidRPr="0035618E" w:rsidRDefault="00782C48" w:rsidP="0035618E">
            <w:pPr>
              <w:pStyle w:val="AERtabletextleft"/>
            </w:pPr>
            <w:r w:rsidRPr="0035618E">
              <w:t>Standard control</w:t>
            </w:r>
          </w:p>
        </w:tc>
        <w:tc>
          <w:tcPr>
            <w:tcW w:w="1864" w:type="dxa"/>
          </w:tcPr>
          <w:p w:rsidR="00782C48" w:rsidRPr="0035618E" w:rsidRDefault="00782C48" w:rsidP="0035618E">
            <w:pPr>
              <w:pStyle w:val="AERtabletextleft"/>
            </w:pPr>
            <w:r w:rsidRPr="0035618E">
              <w:t>Standard control</w:t>
            </w:r>
          </w:p>
        </w:tc>
      </w:tr>
      <w:tr w:rsidR="00782C48" w:rsidRPr="00E36FB3" w:rsidTr="00D831CC">
        <w:trPr>
          <w:cnfStyle w:val="000000010000" w:firstRow="0" w:lastRow="0" w:firstColumn="0" w:lastColumn="0" w:oddVBand="0" w:evenVBand="0" w:oddHBand="0" w:evenHBand="1" w:firstRowFirstColumn="0" w:firstRowLastColumn="0" w:lastRowFirstColumn="0" w:lastRowLastColumn="0"/>
          <w:trHeight w:val="2718"/>
        </w:trPr>
        <w:tc>
          <w:tcPr>
            <w:tcW w:w="3560" w:type="dxa"/>
          </w:tcPr>
          <w:p w:rsidR="00782C48" w:rsidRPr="0035618E" w:rsidRDefault="00782C48" w:rsidP="0035618E">
            <w:pPr>
              <w:pStyle w:val="AERtabletextleft"/>
            </w:pPr>
          </w:p>
          <w:p w:rsidR="00782C48" w:rsidRPr="0035618E" w:rsidRDefault="00782C48" w:rsidP="0035618E">
            <w:pPr>
              <w:pStyle w:val="AERtabletextleft"/>
            </w:pPr>
            <w:r w:rsidRPr="0035618E">
              <w:t>Constructing the network</w:t>
            </w:r>
          </w:p>
          <w:p w:rsidR="00782C48" w:rsidRPr="0035618E" w:rsidRDefault="00782C48" w:rsidP="0035618E">
            <w:pPr>
              <w:pStyle w:val="AERtabletextleft"/>
            </w:pPr>
            <w:r w:rsidRPr="0035618E">
              <w:t xml:space="preserve"> </w:t>
            </w:r>
          </w:p>
        </w:tc>
        <w:tc>
          <w:tcPr>
            <w:tcW w:w="6637" w:type="dxa"/>
          </w:tcPr>
          <w:p w:rsidR="00782C48" w:rsidRPr="0035618E" w:rsidRDefault="00782C48" w:rsidP="0035618E">
            <w:pPr>
              <w:pStyle w:val="AERtabletextleft"/>
              <w:rPr>
                <w:rStyle w:val="AERbody"/>
                <w:sz w:val="20"/>
              </w:rPr>
            </w:pPr>
            <w:r w:rsidRPr="0035618E">
              <w:rPr>
                <w:rStyle w:val="AERbody"/>
                <w:sz w:val="20"/>
              </w:rPr>
              <w:t>Network construction, augmenting the shared network and extensions of shared network.</w:t>
            </w:r>
          </w:p>
          <w:p w:rsidR="00782C48" w:rsidRPr="0035618E" w:rsidRDefault="00782C48" w:rsidP="0035618E">
            <w:pPr>
              <w:pStyle w:val="AERtabletextleft"/>
              <w:rPr>
                <w:rStyle w:val="AERbody"/>
                <w:sz w:val="20"/>
              </w:rPr>
            </w:pPr>
            <w:r w:rsidRPr="0035618E">
              <w:rPr>
                <w:rStyle w:val="AERbody"/>
                <w:sz w:val="20"/>
              </w:rPr>
              <w:t>Project planning and works management (works program development, procurement, vendor management, contract management, work scheduling and dispatching).</w:t>
            </w:r>
          </w:p>
          <w:p w:rsidR="00782C48" w:rsidRPr="0035618E" w:rsidRDefault="00782C48" w:rsidP="0035618E">
            <w:pPr>
              <w:pStyle w:val="AERtabletextleft"/>
              <w:rPr>
                <w:rStyle w:val="AERbody"/>
                <w:sz w:val="20"/>
              </w:rPr>
            </w:pPr>
            <w:r w:rsidRPr="0035618E">
              <w:rPr>
                <w:rStyle w:val="AERbody"/>
                <w:sz w:val="20"/>
              </w:rPr>
              <w:t>Management of environmental issues.</w:t>
            </w:r>
          </w:p>
          <w:p w:rsidR="00782C48" w:rsidRPr="0035618E" w:rsidRDefault="00782C48" w:rsidP="0035618E">
            <w:pPr>
              <w:pStyle w:val="AERtabletextleft"/>
              <w:rPr>
                <w:rStyle w:val="AERbody"/>
                <w:sz w:val="20"/>
              </w:rPr>
            </w:pPr>
            <w:r w:rsidRPr="0035618E">
              <w:rPr>
                <w:rStyle w:val="AERbody"/>
                <w:sz w:val="20"/>
              </w:rPr>
              <w:t>Asset deployment and commissioning of shared network assets.</w:t>
            </w:r>
          </w:p>
          <w:p w:rsidR="00782C48" w:rsidRPr="0035618E" w:rsidRDefault="00782C48" w:rsidP="0035618E">
            <w:pPr>
              <w:pStyle w:val="AERtabletextleft"/>
              <w:rPr>
                <w:rStyle w:val="AERbody"/>
                <w:sz w:val="20"/>
              </w:rPr>
            </w:pPr>
            <w:r w:rsidRPr="0035618E">
              <w:rPr>
                <w:rStyle w:val="AERbody"/>
                <w:sz w:val="20"/>
              </w:rPr>
              <w:t>Asset relocation (other than those undertaken at a customer’s request).</w:t>
            </w:r>
          </w:p>
          <w:p w:rsidR="00782C48" w:rsidRPr="0035618E" w:rsidRDefault="00782C48" w:rsidP="000B418C">
            <w:pPr>
              <w:pStyle w:val="AERtabletextleft"/>
            </w:pPr>
            <w:r w:rsidRPr="0035618E">
              <w:rPr>
                <w:rStyle w:val="AERbody"/>
                <w:sz w:val="20"/>
              </w:rPr>
              <w:t xml:space="preserve">Installing load </w:t>
            </w:r>
            <w:r w:rsidRPr="000B418C">
              <w:rPr>
                <w:rStyle w:val="AERbody"/>
                <w:sz w:val="20"/>
              </w:rPr>
              <w:t xml:space="preserve">control </w:t>
            </w:r>
            <w:r w:rsidR="000B418C" w:rsidRPr="00085525">
              <w:rPr>
                <w:rStyle w:val="AERtextorange"/>
              </w:rPr>
              <w:t>(external to a meter)</w:t>
            </w:r>
            <w:r w:rsidR="000B418C" w:rsidRPr="00085525">
              <w:rPr>
                <w:rStyle w:val="AERbody"/>
                <w:sz w:val="20"/>
              </w:rPr>
              <w:t xml:space="preserve"> </w:t>
            </w:r>
            <w:r w:rsidRPr="000B418C">
              <w:rPr>
                <w:rStyle w:val="AERbody"/>
                <w:sz w:val="20"/>
              </w:rPr>
              <w:t>on</w:t>
            </w:r>
            <w:r w:rsidRPr="0035618E">
              <w:rPr>
                <w:rStyle w:val="AERbody"/>
                <w:sz w:val="20"/>
              </w:rPr>
              <w:t xml:space="preserve"> customer premises.</w:t>
            </w:r>
          </w:p>
        </w:tc>
        <w:tc>
          <w:tcPr>
            <w:tcW w:w="1971" w:type="dxa"/>
          </w:tcPr>
          <w:p w:rsidR="00782C48" w:rsidRPr="0035618E" w:rsidRDefault="00782C48" w:rsidP="0035618E">
            <w:pPr>
              <w:pStyle w:val="AERtabletextleft"/>
            </w:pPr>
            <w:r w:rsidRPr="0035618E">
              <w:t>Standard control</w:t>
            </w:r>
          </w:p>
        </w:tc>
        <w:tc>
          <w:tcPr>
            <w:tcW w:w="1864" w:type="dxa"/>
          </w:tcPr>
          <w:p w:rsidR="00782C48" w:rsidRPr="0035618E" w:rsidRDefault="00782C48" w:rsidP="0035618E">
            <w:pPr>
              <w:pStyle w:val="AERtabletextleft"/>
            </w:pPr>
            <w:r w:rsidRPr="0035618E">
              <w:t>Standard control</w:t>
            </w:r>
          </w:p>
        </w:tc>
      </w:tr>
      <w:tr w:rsidR="00782C48" w:rsidRPr="00E36FB3" w:rsidTr="00D831CC">
        <w:tc>
          <w:tcPr>
            <w:tcW w:w="3560" w:type="dxa"/>
          </w:tcPr>
          <w:p w:rsidR="00782C48" w:rsidRPr="0035618E" w:rsidRDefault="00782C48" w:rsidP="0035618E">
            <w:pPr>
              <w:pStyle w:val="AERtabletextleft"/>
            </w:pPr>
          </w:p>
          <w:p w:rsidR="00782C48" w:rsidRPr="0035618E" w:rsidRDefault="00782C48" w:rsidP="0035618E">
            <w:pPr>
              <w:pStyle w:val="AERtabletextleft"/>
            </w:pPr>
            <w:r w:rsidRPr="0035618E">
              <w:t>Maintaining the network</w:t>
            </w:r>
          </w:p>
          <w:p w:rsidR="00782C48" w:rsidRPr="0035618E" w:rsidRDefault="00782C48" w:rsidP="0035618E">
            <w:pPr>
              <w:pStyle w:val="AERtabletextleft"/>
            </w:pPr>
          </w:p>
        </w:tc>
        <w:tc>
          <w:tcPr>
            <w:tcW w:w="6637" w:type="dxa"/>
          </w:tcPr>
          <w:p w:rsidR="00782C48" w:rsidRPr="0035618E" w:rsidRDefault="00782C48" w:rsidP="0035618E">
            <w:pPr>
              <w:pStyle w:val="AERtabletextleft"/>
              <w:rPr>
                <w:rStyle w:val="AERbody"/>
                <w:sz w:val="20"/>
              </w:rPr>
            </w:pPr>
            <w:r w:rsidRPr="0035618E">
              <w:rPr>
                <w:rStyle w:val="AERbody"/>
                <w:sz w:val="20"/>
              </w:rPr>
              <w:lastRenderedPageBreak/>
              <w:t>Planned maintenance – activities carried out to reduce the probability of failure or performance degradation of a network asset.</w:t>
            </w:r>
          </w:p>
          <w:p w:rsidR="00782C48" w:rsidRPr="0035618E" w:rsidRDefault="00782C48" w:rsidP="0035618E">
            <w:pPr>
              <w:pStyle w:val="AERtabletextleft"/>
              <w:rPr>
                <w:rStyle w:val="AERbody"/>
                <w:sz w:val="20"/>
              </w:rPr>
            </w:pPr>
            <w:r w:rsidRPr="0035618E">
              <w:rPr>
                <w:rStyle w:val="AERbody"/>
                <w:sz w:val="20"/>
              </w:rPr>
              <w:t xml:space="preserve">Corrective – activities undertaken to detect, isolate and rectify a fault so </w:t>
            </w:r>
            <w:r w:rsidRPr="0035618E">
              <w:rPr>
                <w:rStyle w:val="AERbody"/>
                <w:sz w:val="20"/>
              </w:rPr>
              <w:lastRenderedPageBreak/>
              <w:t>that the failed equipment, machine or system can be restored to normal operable state.</w:t>
            </w:r>
          </w:p>
          <w:p w:rsidR="00782C48" w:rsidRPr="0035618E" w:rsidRDefault="00782C48" w:rsidP="0035618E">
            <w:pPr>
              <w:pStyle w:val="AERtabletextleft"/>
            </w:pPr>
            <w:r w:rsidRPr="0035618E">
              <w:rPr>
                <w:rStyle w:val="AERbody"/>
                <w:sz w:val="20"/>
              </w:rPr>
              <w:t>Work to restore a failed component of the distribution system to an operational state.</w:t>
            </w:r>
          </w:p>
          <w:p w:rsidR="00782C48" w:rsidRPr="0035618E" w:rsidRDefault="00782C48" w:rsidP="000B418C">
            <w:pPr>
              <w:pStyle w:val="AERtabletextleft"/>
            </w:pPr>
            <w:r w:rsidRPr="0035618E">
              <w:rPr>
                <w:rStyle w:val="AERbody"/>
                <w:sz w:val="20"/>
              </w:rPr>
              <w:t xml:space="preserve">Maintaining load control </w:t>
            </w:r>
            <w:r w:rsidRPr="000B418C">
              <w:rPr>
                <w:rStyle w:val="AERbody"/>
                <w:sz w:val="20"/>
              </w:rPr>
              <w:t xml:space="preserve">devices </w:t>
            </w:r>
            <w:r w:rsidR="000B418C" w:rsidRPr="00085525">
              <w:rPr>
                <w:rStyle w:val="AERtextorange"/>
              </w:rPr>
              <w:t>(external to a meter)</w:t>
            </w:r>
            <w:r w:rsidR="000B418C">
              <w:rPr>
                <w:rStyle w:val="AERbody"/>
              </w:rPr>
              <w:t xml:space="preserve"> </w:t>
            </w:r>
            <w:r w:rsidRPr="0035618E">
              <w:rPr>
                <w:rStyle w:val="AERbody"/>
                <w:sz w:val="20"/>
              </w:rPr>
              <w:t>on customer premises.</w:t>
            </w:r>
          </w:p>
        </w:tc>
        <w:tc>
          <w:tcPr>
            <w:tcW w:w="1971" w:type="dxa"/>
          </w:tcPr>
          <w:p w:rsidR="00782C48" w:rsidRPr="0035618E" w:rsidRDefault="00782C48" w:rsidP="0035618E">
            <w:pPr>
              <w:pStyle w:val="AERtabletextleft"/>
            </w:pPr>
            <w:r w:rsidRPr="0035618E">
              <w:lastRenderedPageBreak/>
              <w:t>Standard control</w:t>
            </w:r>
          </w:p>
        </w:tc>
        <w:tc>
          <w:tcPr>
            <w:tcW w:w="1864" w:type="dxa"/>
          </w:tcPr>
          <w:p w:rsidR="00782C48" w:rsidRPr="0035618E" w:rsidRDefault="00782C48" w:rsidP="0035618E">
            <w:pPr>
              <w:pStyle w:val="AERtabletextleft"/>
            </w:pPr>
            <w:r w:rsidRPr="0035618E">
              <w:t>Standard control</w:t>
            </w:r>
          </w:p>
        </w:tc>
      </w:tr>
      <w:tr w:rsidR="00782C48" w:rsidRPr="00E36FB3" w:rsidTr="00D831CC">
        <w:trPr>
          <w:cnfStyle w:val="000000010000" w:firstRow="0" w:lastRow="0" w:firstColumn="0" w:lastColumn="0" w:oddVBand="0" w:evenVBand="0" w:oddHBand="0" w:evenHBand="1" w:firstRowFirstColumn="0" w:firstRowLastColumn="0" w:lastRowFirstColumn="0" w:lastRowLastColumn="0"/>
        </w:trPr>
        <w:tc>
          <w:tcPr>
            <w:tcW w:w="3560" w:type="dxa"/>
          </w:tcPr>
          <w:p w:rsidR="00782C48" w:rsidRPr="00782C48" w:rsidRDefault="00782C48" w:rsidP="0035618E">
            <w:pPr>
              <w:pStyle w:val="AERtabletextleft"/>
            </w:pPr>
            <w:r w:rsidRPr="000C0FD2">
              <w:lastRenderedPageBreak/>
              <w:t>Operating the network</w:t>
            </w:r>
          </w:p>
        </w:tc>
        <w:tc>
          <w:tcPr>
            <w:tcW w:w="6637" w:type="dxa"/>
          </w:tcPr>
          <w:p w:rsidR="00782C48" w:rsidRPr="005B2537" w:rsidRDefault="00782C48" w:rsidP="0035618E">
            <w:pPr>
              <w:pStyle w:val="AERtabletextleft"/>
              <w:rPr>
                <w:rStyle w:val="AERbody"/>
                <w:sz w:val="20"/>
              </w:rPr>
            </w:pPr>
            <w:r w:rsidRPr="005B2537">
              <w:rPr>
                <w:rStyle w:val="AERbody"/>
                <w:sz w:val="20"/>
              </w:rPr>
              <w:t>Network control and operation.</w:t>
            </w:r>
          </w:p>
          <w:p w:rsidR="00782C48" w:rsidRPr="005B2537" w:rsidRDefault="00782C48" w:rsidP="0035618E">
            <w:pPr>
              <w:pStyle w:val="AERtabletextleft"/>
              <w:rPr>
                <w:rStyle w:val="AERbody"/>
                <w:sz w:val="20"/>
              </w:rPr>
            </w:pPr>
            <w:r w:rsidRPr="005B2537">
              <w:rPr>
                <w:rStyle w:val="AERbody"/>
                <w:sz w:val="20"/>
              </w:rPr>
              <w:t>Outage management.</w:t>
            </w:r>
          </w:p>
          <w:p w:rsidR="00782C48" w:rsidRPr="005B2537" w:rsidRDefault="00782C48" w:rsidP="0035618E">
            <w:pPr>
              <w:pStyle w:val="AERtabletextleft"/>
              <w:rPr>
                <w:rStyle w:val="AERbody"/>
                <w:sz w:val="20"/>
              </w:rPr>
            </w:pPr>
            <w:r w:rsidRPr="005B2537">
              <w:rPr>
                <w:rStyle w:val="AERbody"/>
                <w:sz w:val="20"/>
              </w:rPr>
              <w:t>Emergency management and response.</w:t>
            </w:r>
          </w:p>
          <w:p w:rsidR="00782C48" w:rsidRPr="005B2537" w:rsidRDefault="00782C48" w:rsidP="0035618E">
            <w:pPr>
              <w:pStyle w:val="AERtabletextleft"/>
              <w:rPr>
                <w:rStyle w:val="AERbody"/>
                <w:sz w:val="20"/>
              </w:rPr>
            </w:pPr>
            <w:r w:rsidRPr="005B2537">
              <w:rPr>
                <w:rStyle w:val="AERbody"/>
                <w:sz w:val="20"/>
              </w:rPr>
              <w:t>Field operations.</w:t>
            </w:r>
          </w:p>
          <w:p w:rsidR="00782C48" w:rsidRPr="005B2537" w:rsidRDefault="00782C48" w:rsidP="0035618E">
            <w:pPr>
              <w:pStyle w:val="AERtabletextleft"/>
              <w:rPr>
                <w:rStyle w:val="AERbody"/>
                <w:sz w:val="20"/>
              </w:rPr>
            </w:pPr>
            <w:r w:rsidRPr="005B2537">
              <w:rPr>
                <w:rStyle w:val="AERbody"/>
                <w:sz w:val="20"/>
              </w:rPr>
              <w:t>Switching and testing for network purposes.</w:t>
            </w:r>
          </w:p>
          <w:p w:rsidR="00782C48" w:rsidRPr="005B2537" w:rsidRDefault="00782C48" w:rsidP="0035618E">
            <w:pPr>
              <w:pStyle w:val="AERtabletextleft"/>
              <w:rPr>
                <w:rStyle w:val="AERbody"/>
                <w:sz w:val="20"/>
              </w:rPr>
            </w:pPr>
            <w:r w:rsidRPr="005B2537">
              <w:rPr>
                <w:rStyle w:val="AERbody"/>
                <w:sz w:val="20"/>
              </w:rPr>
              <w:t>Scheduling and controlling the switching of controllable load for network purposes.</w:t>
            </w:r>
          </w:p>
          <w:p w:rsidR="00782C48" w:rsidRPr="00782C48" w:rsidRDefault="00782C48" w:rsidP="000B418C">
            <w:pPr>
              <w:pStyle w:val="AERtabletextleft"/>
            </w:pPr>
            <w:r w:rsidRPr="005B2537">
              <w:rPr>
                <w:rStyle w:val="AERbody"/>
                <w:sz w:val="20"/>
              </w:rPr>
              <w:t xml:space="preserve">Operation of load control </w:t>
            </w:r>
            <w:r w:rsidRPr="000B418C">
              <w:rPr>
                <w:rStyle w:val="AERbody"/>
                <w:sz w:val="20"/>
              </w:rPr>
              <w:t xml:space="preserve">devices </w:t>
            </w:r>
            <w:r w:rsidR="000B418C" w:rsidRPr="00085525">
              <w:rPr>
                <w:rStyle w:val="AERtextorange"/>
              </w:rPr>
              <w:t>(external to a meter)</w:t>
            </w:r>
            <w:r w:rsidR="000B418C">
              <w:rPr>
                <w:rStyle w:val="AERbody"/>
              </w:rPr>
              <w:t xml:space="preserve"> </w:t>
            </w:r>
            <w:r w:rsidRPr="005B2537">
              <w:rPr>
                <w:rStyle w:val="AERbody"/>
                <w:sz w:val="20"/>
              </w:rPr>
              <w:t>on customer premises.</w:t>
            </w:r>
          </w:p>
        </w:tc>
        <w:tc>
          <w:tcPr>
            <w:tcW w:w="1971" w:type="dxa"/>
          </w:tcPr>
          <w:p w:rsidR="00782C48" w:rsidRPr="00DF5237" w:rsidRDefault="00782C48" w:rsidP="0035618E">
            <w:pPr>
              <w:pStyle w:val="AERtabletextleft"/>
            </w:pPr>
            <w:r w:rsidRPr="00105FE1">
              <w:t>Standard control</w:t>
            </w:r>
          </w:p>
        </w:tc>
        <w:tc>
          <w:tcPr>
            <w:tcW w:w="1864" w:type="dxa"/>
          </w:tcPr>
          <w:p w:rsidR="00782C48" w:rsidRPr="005B2537" w:rsidRDefault="00782C48" w:rsidP="0035618E">
            <w:pPr>
              <w:pStyle w:val="AERtabletextleft"/>
            </w:pPr>
            <w:r w:rsidRPr="00A170B7">
              <w:t>Standard control</w:t>
            </w:r>
          </w:p>
        </w:tc>
      </w:tr>
      <w:tr w:rsidR="00782C48" w:rsidRPr="00E36FB3" w:rsidTr="00D831CC">
        <w:tc>
          <w:tcPr>
            <w:tcW w:w="3560" w:type="dxa"/>
          </w:tcPr>
          <w:p w:rsidR="00782C48" w:rsidRPr="0035618E" w:rsidRDefault="00782C48" w:rsidP="0035618E">
            <w:pPr>
              <w:pStyle w:val="AERtabletextleft"/>
            </w:pPr>
            <w:r w:rsidRPr="0035618E">
              <w:t>Administrative support for provision of network services</w:t>
            </w:r>
          </w:p>
        </w:tc>
        <w:tc>
          <w:tcPr>
            <w:tcW w:w="6637" w:type="dxa"/>
          </w:tcPr>
          <w:p w:rsidR="00782C48" w:rsidRPr="0035618E" w:rsidRDefault="00782C48" w:rsidP="0035618E">
            <w:pPr>
              <w:pStyle w:val="AERtabletextleft"/>
              <w:rPr>
                <w:rStyle w:val="AERbody"/>
                <w:sz w:val="20"/>
              </w:rPr>
            </w:pPr>
            <w:r w:rsidRPr="0035618E">
              <w:rPr>
                <w:rStyle w:val="AERbody"/>
                <w:sz w:val="20"/>
              </w:rPr>
              <w:t>Customer interactions including network product development, customer service management/call centre, complaints and enquiries, record management and network claim processing.</w:t>
            </w:r>
          </w:p>
          <w:p w:rsidR="00782C48" w:rsidRPr="0035618E" w:rsidRDefault="00782C48" w:rsidP="0035618E">
            <w:pPr>
              <w:pStyle w:val="AERtabletextleft"/>
              <w:rPr>
                <w:rStyle w:val="AERbody"/>
                <w:sz w:val="20"/>
              </w:rPr>
            </w:pPr>
            <w:r w:rsidRPr="0035618E">
              <w:rPr>
                <w:rStyle w:val="AERbody"/>
                <w:sz w:val="20"/>
              </w:rPr>
              <w:t xml:space="preserve">Market operations: includes revenue management, network billing, processing of service order requests, and market notifications of retailer </w:t>
            </w:r>
            <w:r w:rsidRPr="0035618E">
              <w:rPr>
                <w:rStyle w:val="AERbody"/>
                <w:sz w:val="20"/>
              </w:rPr>
              <w:lastRenderedPageBreak/>
              <w:t>changes.</w:t>
            </w:r>
          </w:p>
          <w:p w:rsidR="00782C48" w:rsidRPr="0035618E" w:rsidRDefault="00782C48" w:rsidP="0035618E">
            <w:pPr>
              <w:pStyle w:val="AERtabletextleft"/>
              <w:rPr>
                <w:rStyle w:val="AERbody"/>
                <w:sz w:val="20"/>
              </w:rPr>
            </w:pPr>
            <w:r w:rsidRPr="0035618E">
              <w:rPr>
                <w:rStyle w:val="AERbody"/>
                <w:sz w:val="20"/>
              </w:rPr>
              <w:t>National Metering Identifier (NMI) establishment, discovery requests and classification in accordance with the rules.</w:t>
            </w:r>
          </w:p>
          <w:p w:rsidR="00782C48" w:rsidRPr="0035618E" w:rsidRDefault="00782C48" w:rsidP="0035618E">
            <w:pPr>
              <w:pStyle w:val="AERtabletextleft"/>
              <w:rPr>
                <w:rStyle w:val="AERbody"/>
                <w:sz w:val="20"/>
              </w:rPr>
            </w:pPr>
            <w:r w:rsidRPr="0035618E">
              <w:rPr>
                <w:rStyle w:val="AERbody"/>
                <w:sz w:val="20"/>
              </w:rPr>
              <w:t>Populate and maintain NMI standing data in Market Settlement and Transfer Solution in accordance with the rules.</w:t>
            </w:r>
          </w:p>
          <w:p w:rsidR="00782C48" w:rsidRPr="0035618E" w:rsidRDefault="00782C48" w:rsidP="0035618E">
            <w:pPr>
              <w:pStyle w:val="AERtabletextleft"/>
              <w:rPr>
                <w:rStyle w:val="AERbody"/>
                <w:sz w:val="20"/>
              </w:rPr>
            </w:pPr>
            <w:r w:rsidRPr="0035618E">
              <w:rPr>
                <w:rStyle w:val="AERbody"/>
                <w:sz w:val="20"/>
              </w:rPr>
              <w:t>Processing and publication of notifications of new connections and alterations.</w:t>
            </w:r>
          </w:p>
          <w:p w:rsidR="00782C48" w:rsidRPr="0035618E" w:rsidRDefault="00782C48" w:rsidP="0035618E">
            <w:pPr>
              <w:pStyle w:val="AERtabletextleft"/>
              <w:rPr>
                <w:rStyle w:val="AERbody"/>
                <w:sz w:val="20"/>
              </w:rPr>
            </w:pPr>
            <w:r w:rsidRPr="0035618E">
              <w:rPr>
                <w:rStyle w:val="AERbody"/>
                <w:sz w:val="20"/>
              </w:rPr>
              <w:t>Pricing strategy and development of pricing proposals.</w:t>
            </w:r>
          </w:p>
          <w:p w:rsidR="00782C48" w:rsidRPr="0035618E" w:rsidRDefault="00782C48" w:rsidP="0035618E">
            <w:pPr>
              <w:pStyle w:val="AERtabletextleft"/>
              <w:rPr>
                <w:rStyle w:val="AERbody"/>
                <w:sz w:val="20"/>
              </w:rPr>
            </w:pPr>
            <w:r w:rsidRPr="0035618E">
              <w:rPr>
                <w:rStyle w:val="AERbody"/>
                <w:sz w:val="20"/>
              </w:rPr>
              <w:t>Financial and commercial management.</w:t>
            </w:r>
          </w:p>
          <w:p w:rsidR="00782C48" w:rsidRPr="0035618E" w:rsidRDefault="00782C48" w:rsidP="0035618E">
            <w:pPr>
              <w:pStyle w:val="AERtabletextleft"/>
              <w:rPr>
                <w:rStyle w:val="AERbody"/>
                <w:sz w:val="20"/>
              </w:rPr>
            </w:pPr>
            <w:r w:rsidRPr="0035618E">
              <w:rPr>
                <w:rStyle w:val="AERbody"/>
                <w:sz w:val="20"/>
              </w:rPr>
              <w:t>Compliance monitoring and reporting.</w:t>
            </w:r>
          </w:p>
          <w:p w:rsidR="00782C48" w:rsidRPr="0035618E" w:rsidRDefault="00782C48" w:rsidP="0035618E">
            <w:pPr>
              <w:pStyle w:val="AERtabletextleft"/>
              <w:rPr>
                <w:rStyle w:val="AERbody"/>
                <w:sz w:val="20"/>
              </w:rPr>
            </w:pPr>
            <w:r w:rsidRPr="0035618E">
              <w:rPr>
                <w:rStyle w:val="AERbody"/>
                <w:sz w:val="20"/>
              </w:rPr>
              <w:t>Procurement activities.</w:t>
            </w:r>
          </w:p>
          <w:p w:rsidR="00782C48" w:rsidRPr="0035618E" w:rsidRDefault="00782C48" w:rsidP="0035618E">
            <w:pPr>
              <w:pStyle w:val="AERtabletextleft"/>
              <w:rPr>
                <w:rStyle w:val="AERbody"/>
                <w:sz w:val="20"/>
              </w:rPr>
            </w:pPr>
            <w:r w:rsidRPr="0035618E">
              <w:rPr>
                <w:rStyle w:val="AERbody"/>
                <w:sz w:val="20"/>
              </w:rPr>
              <w:t>Technical and safety training of distributor staff.</w:t>
            </w:r>
          </w:p>
          <w:p w:rsidR="00782C48" w:rsidRPr="0035618E" w:rsidRDefault="00782C48" w:rsidP="0035618E">
            <w:pPr>
              <w:pStyle w:val="AERtabletextleft"/>
              <w:rPr>
                <w:rStyle w:val="AERbody"/>
                <w:sz w:val="20"/>
              </w:rPr>
            </w:pPr>
            <w:r w:rsidRPr="0035618E">
              <w:rPr>
                <w:rStyle w:val="AERbody"/>
                <w:sz w:val="20"/>
              </w:rPr>
              <w:t>Supply, manage and maintain distributor Fleet.</w:t>
            </w:r>
          </w:p>
          <w:p w:rsidR="00782C48" w:rsidRPr="0035618E" w:rsidRDefault="00782C48" w:rsidP="0035618E">
            <w:pPr>
              <w:pStyle w:val="AERtabletextleft"/>
              <w:rPr>
                <w:rStyle w:val="AERbody"/>
                <w:sz w:val="20"/>
              </w:rPr>
            </w:pPr>
            <w:r w:rsidRPr="0035618E">
              <w:rPr>
                <w:rStyle w:val="AERbody"/>
                <w:sz w:val="20"/>
              </w:rPr>
              <w:t>Retailer management (e.g. credit support).</w:t>
            </w:r>
          </w:p>
          <w:p w:rsidR="00782C48" w:rsidRPr="0035618E" w:rsidRDefault="00782C48" w:rsidP="0035618E">
            <w:pPr>
              <w:pStyle w:val="AERtabletextleft"/>
              <w:rPr>
                <w:rStyle w:val="AERbody"/>
                <w:sz w:val="20"/>
              </w:rPr>
            </w:pPr>
            <w:r w:rsidRPr="0035618E">
              <w:rPr>
                <w:rStyle w:val="AERbody"/>
                <w:sz w:val="20"/>
              </w:rPr>
              <w:t>Administration of connections pioneer / rebate scheme.</w:t>
            </w:r>
          </w:p>
          <w:p w:rsidR="00782C48" w:rsidRPr="0035618E" w:rsidRDefault="00782C48" w:rsidP="0035618E">
            <w:pPr>
              <w:pStyle w:val="AERtabletextleft"/>
              <w:rPr>
                <w:rStyle w:val="AERbody"/>
                <w:sz w:val="20"/>
              </w:rPr>
            </w:pPr>
            <w:r w:rsidRPr="0035618E">
              <w:rPr>
                <w:rStyle w:val="AERbody"/>
                <w:sz w:val="20"/>
              </w:rPr>
              <w:t>Supply, manage, test and maintain field equipment (other than metering equipment).</w:t>
            </w:r>
          </w:p>
          <w:p w:rsidR="00782C48" w:rsidRPr="0035618E" w:rsidRDefault="00782C48" w:rsidP="0035618E">
            <w:pPr>
              <w:pStyle w:val="AERtabletextleft"/>
              <w:rPr>
                <w:rStyle w:val="AERbody"/>
                <w:sz w:val="20"/>
              </w:rPr>
            </w:pPr>
            <w:r w:rsidRPr="0035618E">
              <w:rPr>
                <w:rStyle w:val="AERbody"/>
                <w:sz w:val="20"/>
              </w:rPr>
              <w:t>Responding to cold water reports.</w:t>
            </w:r>
          </w:p>
          <w:p w:rsidR="00782C48" w:rsidRPr="0035618E" w:rsidRDefault="00782C48" w:rsidP="0035618E">
            <w:pPr>
              <w:pStyle w:val="AERtabletextleft"/>
              <w:rPr>
                <w:rStyle w:val="AERbody"/>
                <w:sz w:val="20"/>
              </w:rPr>
            </w:pPr>
            <w:r w:rsidRPr="0035618E">
              <w:rPr>
                <w:rStyle w:val="AERbody"/>
                <w:sz w:val="20"/>
              </w:rPr>
              <w:t>Network claim processing where distributor is at fault.</w:t>
            </w:r>
          </w:p>
          <w:p w:rsidR="00782C48" w:rsidRPr="0035618E" w:rsidRDefault="00782C48" w:rsidP="0035618E">
            <w:pPr>
              <w:pStyle w:val="AERtabletextleft"/>
              <w:rPr>
                <w:rStyle w:val="AERbody"/>
                <w:sz w:val="20"/>
              </w:rPr>
            </w:pPr>
            <w:r w:rsidRPr="0035618E">
              <w:rPr>
                <w:rStyle w:val="AERbody"/>
                <w:sz w:val="20"/>
              </w:rPr>
              <w:lastRenderedPageBreak/>
              <w:t>External stakeholder interactions (regulatory, government and industry).</w:t>
            </w:r>
          </w:p>
          <w:p w:rsidR="00782C48" w:rsidRPr="0035618E" w:rsidRDefault="00782C48" w:rsidP="0035618E">
            <w:pPr>
              <w:pStyle w:val="AERtabletextleft"/>
              <w:rPr>
                <w:rStyle w:val="AERbody"/>
                <w:sz w:val="20"/>
              </w:rPr>
            </w:pPr>
            <w:r w:rsidRPr="0035618E">
              <w:rPr>
                <w:rStyle w:val="AERbody"/>
                <w:sz w:val="20"/>
              </w:rPr>
              <w:t>Environmental health and safety management (risk assessment, monitoring, program management, reporting and training).</w:t>
            </w:r>
          </w:p>
        </w:tc>
        <w:tc>
          <w:tcPr>
            <w:tcW w:w="1971" w:type="dxa"/>
          </w:tcPr>
          <w:p w:rsidR="00782C48" w:rsidRPr="0035618E" w:rsidRDefault="00782C48" w:rsidP="0035618E">
            <w:pPr>
              <w:pStyle w:val="AERtabletextleft"/>
              <w:rPr>
                <w:rStyle w:val="AERbody"/>
                <w:sz w:val="20"/>
              </w:rPr>
            </w:pPr>
            <w:r w:rsidRPr="0035618E">
              <w:rPr>
                <w:rStyle w:val="AERbody"/>
                <w:sz w:val="20"/>
              </w:rPr>
              <w:lastRenderedPageBreak/>
              <w:t>Standard control</w:t>
            </w:r>
          </w:p>
        </w:tc>
        <w:tc>
          <w:tcPr>
            <w:tcW w:w="1864" w:type="dxa"/>
          </w:tcPr>
          <w:p w:rsidR="00782C48" w:rsidRPr="0035618E" w:rsidRDefault="00782C48" w:rsidP="0035618E">
            <w:pPr>
              <w:pStyle w:val="AERtabletextleft"/>
            </w:pPr>
            <w:r w:rsidRPr="0035618E">
              <w:t>Standard control</w:t>
            </w:r>
          </w:p>
        </w:tc>
      </w:tr>
      <w:tr w:rsidR="00782C48" w:rsidRPr="00E36FB3" w:rsidTr="00D831CC">
        <w:trPr>
          <w:cnfStyle w:val="000000010000" w:firstRow="0" w:lastRow="0" w:firstColumn="0" w:lastColumn="0" w:oddVBand="0" w:evenVBand="0" w:oddHBand="0" w:evenHBand="1" w:firstRowFirstColumn="0" w:firstRowLastColumn="0" w:lastRowFirstColumn="0" w:lastRowLastColumn="0"/>
        </w:trPr>
        <w:tc>
          <w:tcPr>
            <w:tcW w:w="14032" w:type="dxa"/>
            <w:gridSpan w:val="4"/>
          </w:tcPr>
          <w:p w:rsidR="00782C48" w:rsidRPr="00782C48" w:rsidRDefault="00782C48" w:rsidP="0035618E">
            <w:pPr>
              <w:pStyle w:val="AERtabletextleft"/>
              <w:rPr>
                <w:rStyle w:val="Strong"/>
              </w:rPr>
            </w:pPr>
            <w:r w:rsidRPr="009C1F3C">
              <w:rPr>
                <w:rStyle w:val="Strong"/>
              </w:rPr>
              <w:lastRenderedPageBreak/>
              <w:t>AER service group—pre-connection services</w:t>
            </w:r>
          </w:p>
        </w:tc>
      </w:tr>
      <w:tr w:rsidR="00782C48" w:rsidRPr="00E36FB3" w:rsidTr="00D831CC">
        <w:tc>
          <w:tcPr>
            <w:tcW w:w="3560" w:type="dxa"/>
          </w:tcPr>
          <w:p w:rsidR="00782C48" w:rsidRPr="0035618E" w:rsidRDefault="00782C48" w:rsidP="0035618E">
            <w:pPr>
              <w:pStyle w:val="AERtabletextleft"/>
            </w:pPr>
            <w:r w:rsidRPr="0035618E">
              <w:t>General connection enquiry services</w:t>
            </w:r>
          </w:p>
        </w:tc>
        <w:tc>
          <w:tcPr>
            <w:tcW w:w="6637" w:type="dxa"/>
          </w:tcPr>
          <w:p w:rsidR="00782C48" w:rsidRPr="0035618E" w:rsidRDefault="00782C48" w:rsidP="0035618E">
            <w:pPr>
              <w:pStyle w:val="AERtabletextleft"/>
              <w:rPr>
                <w:rStyle w:val="AERbody"/>
                <w:sz w:val="20"/>
              </w:rPr>
            </w:pPr>
            <w:r w:rsidRPr="0035618E">
              <w:rPr>
                <w:rStyle w:val="AERbody"/>
                <w:sz w:val="20"/>
              </w:rPr>
              <w:t>Provision of standard information and general advice during connection enquiry. Includes, but is not limited to:</w:t>
            </w:r>
          </w:p>
          <w:p w:rsidR="00782C48" w:rsidRPr="0035618E" w:rsidRDefault="00782C48" w:rsidP="0035618E">
            <w:pPr>
              <w:pStyle w:val="AERtabletextleft"/>
              <w:rPr>
                <w:rStyle w:val="AERbody"/>
                <w:sz w:val="20"/>
              </w:rPr>
            </w:pPr>
            <w:r w:rsidRPr="0035618E">
              <w:rPr>
                <w:rStyle w:val="AERbody"/>
                <w:sz w:val="20"/>
              </w:rPr>
              <w:t>provision of general connection information (e.g. supply availability)</w:t>
            </w:r>
          </w:p>
          <w:p w:rsidR="00782C48" w:rsidRPr="0035618E" w:rsidRDefault="00782C48" w:rsidP="0035618E">
            <w:pPr>
              <w:pStyle w:val="AERtabletextleft"/>
              <w:rPr>
                <w:rStyle w:val="AERbody"/>
                <w:sz w:val="20"/>
              </w:rPr>
            </w:pPr>
            <w:r w:rsidRPr="0035618E">
              <w:rPr>
                <w:rStyle w:val="AERbody"/>
                <w:sz w:val="20"/>
              </w:rPr>
              <w:t>advice on process, such as how to complete a connection application</w:t>
            </w:r>
          </w:p>
          <w:p w:rsidR="00782C48" w:rsidRPr="0035618E" w:rsidRDefault="00782C48" w:rsidP="0035618E">
            <w:pPr>
              <w:pStyle w:val="AERtabletextleft"/>
              <w:rPr>
                <w:rStyle w:val="AERbody"/>
                <w:sz w:val="20"/>
              </w:rPr>
            </w:pPr>
            <w:r w:rsidRPr="0035618E">
              <w:rPr>
                <w:rStyle w:val="AERbody"/>
                <w:sz w:val="20"/>
              </w:rPr>
              <w:t>and services associated with an initial assessment of a connection applicant’s enquiry and provision of a response.</w:t>
            </w:r>
          </w:p>
        </w:tc>
        <w:tc>
          <w:tcPr>
            <w:tcW w:w="1971" w:type="dxa"/>
          </w:tcPr>
          <w:p w:rsidR="00782C48" w:rsidRPr="0035618E" w:rsidRDefault="00782C48" w:rsidP="0035618E">
            <w:pPr>
              <w:pStyle w:val="AERtabletextleft"/>
              <w:rPr>
                <w:rStyle w:val="AERbody"/>
                <w:sz w:val="20"/>
              </w:rPr>
            </w:pPr>
            <w:r w:rsidRPr="0035618E">
              <w:rPr>
                <w:rStyle w:val="AERbody"/>
                <w:sz w:val="20"/>
              </w:rPr>
              <w:t>Standard control</w:t>
            </w:r>
          </w:p>
        </w:tc>
        <w:tc>
          <w:tcPr>
            <w:tcW w:w="1864" w:type="dxa"/>
          </w:tcPr>
          <w:p w:rsidR="00782C48" w:rsidRPr="0035618E" w:rsidRDefault="00782C48" w:rsidP="0035618E">
            <w:pPr>
              <w:pStyle w:val="AERtabletextleft"/>
            </w:pPr>
            <w:r w:rsidRPr="0035618E">
              <w:t>Standard control</w:t>
            </w:r>
          </w:p>
        </w:tc>
      </w:tr>
      <w:tr w:rsidR="00782C48" w:rsidRPr="00E36FB3" w:rsidTr="00D831CC">
        <w:trPr>
          <w:cnfStyle w:val="000000010000" w:firstRow="0" w:lastRow="0" w:firstColumn="0" w:lastColumn="0" w:oddVBand="0" w:evenVBand="0" w:oddHBand="0" w:evenHBand="1" w:firstRowFirstColumn="0" w:firstRowLastColumn="0" w:lastRowFirstColumn="0" w:lastRowLastColumn="0"/>
          <w:trHeight w:val="1522"/>
        </w:trPr>
        <w:tc>
          <w:tcPr>
            <w:tcW w:w="3560" w:type="dxa"/>
          </w:tcPr>
          <w:p w:rsidR="00782C48" w:rsidRPr="0035618E" w:rsidRDefault="00782C48" w:rsidP="0035618E">
            <w:pPr>
              <w:pStyle w:val="AERtabletextleft"/>
            </w:pPr>
            <w:r w:rsidRPr="0035618E">
              <w:t>Connection application services</w:t>
            </w:r>
          </w:p>
        </w:tc>
        <w:tc>
          <w:tcPr>
            <w:tcW w:w="6637" w:type="dxa"/>
          </w:tcPr>
          <w:p w:rsidR="00782C48" w:rsidRPr="0035618E" w:rsidRDefault="00782C48" w:rsidP="0035618E">
            <w:pPr>
              <w:pStyle w:val="AERtabletextleft"/>
            </w:pPr>
            <w:r w:rsidRPr="0035618E">
              <w:t>Services associated with assessing a connection application, making a connection offer and negotiating offer acceptance. Unless otherwise specified, services or activities undertaken under this service group relate to both small and large customers and real estate development connections. Includes, but is not limited to:</w:t>
            </w:r>
          </w:p>
          <w:p w:rsidR="00782C48" w:rsidRPr="0035618E" w:rsidRDefault="00782C48" w:rsidP="0035618E">
            <w:pPr>
              <w:pStyle w:val="AERtabletextleft"/>
            </w:pPr>
            <w:r w:rsidRPr="0035618E">
              <w:t>Application services to assess connection application and making of compliant connection offer.</w:t>
            </w:r>
          </w:p>
          <w:p w:rsidR="00782C48" w:rsidRPr="0035618E" w:rsidRDefault="00782C48" w:rsidP="0035618E">
            <w:pPr>
              <w:pStyle w:val="AERtabletextleft"/>
            </w:pPr>
            <w:r w:rsidRPr="0035618E">
              <w:t>Undertaking design for small customer or real estate development connection offer (excludes detailed design undertaken after a connection offer has been accepted).</w:t>
            </w:r>
          </w:p>
          <w:p w:rsidR="00782C48" w:rsidRPr="0035618E" w:rsidRDefault="00782C48" w:rsidP="0035618E">
            <w:pPr>
              <w:pStyle w:val="AERtabletextleft"/>
            </w:pPr>
            <w:r w:rsidRPr="0035618E">
              <w:lastRenderedPageBreak/>
              <w:t>Carrying out planning studies and analysis relating to connection applications.</w:t>
            </w:r>
          </w:p>
          <w:p w:rsidR="00782C48" w:rsidRPr="0035618E" w:rsidRDefault="00782C48" w:rsidP="0035618E">
            <w:pPr>
              <w:pStyle w:val="AERtabletextleft"/>
            </w:pPr>
            <w:r w:rsidRPr="0035618E">
              <w:t>Feasibility and concept scoping, including planning and design, for large customer connections.</w:t>
            </w:r>
          </w:p>
          <w:p w:rsidR="00782C48" w:rsidRPr="0035618E" w:rsidRDefault="00782C48" w:rsidP="0035618E">
            <w:pPr>
              <w:pStyle w:val="AERtabletextleft"/>
            </w:pPr>
            <w:r w:rsidRPr="0035618E">
              <w:t>Negotiation services involved in negotiating a connection agreement.</w:t>
            </w:r>
          </w:p>
          <w:p w:rsidR="00782C48" w:rsidRPr="0035618E" w:rsidRDefault="00782C48" w:rsidP="0035618E">
            <w:pPr>
              <w:pStyle w:val="AERtabletextleft"/>
            </w:pPr>
            <w:r w:rsidRPr="0035618E">
              <w:t xml:space="preserve">Tender process </w:t>
            </w:r>
            <w:r w:rsidRPr="0035618E">
              <w:rPr>
                <w:rFonts w:hint="eastAsia"/>
              </w:rPr>
              <w:t>–</w:t>
            </w:r>
            <w:r w:rsidRPr="0035618E">
              <w:t xml:space="preserve"> distributor may carry out tender process on behalf of connection applicant or distributor may assist connection application.</w:t>
            </w:r>
          </w:p>
          <w:p w:rsidR="00782C48" w:rsidRPr="0035618E" w:rsidRDefault="00782C48" w:rsidP="0035618E">
            <w:pPr>
              <w:pStyle w:val="AERtabletextleft"/>
              <w:rPr>
                <w:rStyle w:val="AERbody"/>
                <w:sz w:val="20"/>
              </w:rPr>
            </w:pPr>
            <w:r w:rsidRPr="0035618E">
              <w:t>Protection and Power Quality assessment prior to connection.</w:t>
            </w:r>
          </w:p>
        </w:tc>
        <w:tc>
          <w:tcPr>
            <w:tcW w:w="1971" w:type="dxa"/>
          </w:tcPr>
          <w:p w:rsidR="00782C48" w:rsidRPr="0035618E" w:rsidRDefault="00782C48" w:rsidP="0035618E">
            <w:pPr>
              <w:pStyle w:val="AERtabletextleft"/>
              <w:rPr>
                <w:rStyle w:val="AERbody"/>
                <w:sz w:val="20"/>
              </w:rPr>
            </w:pPr>
            <w:r w:rsidRPr="0035618E">
              <w:rPr>
                <w:rStyle w:val="AERbody"/>
                <w:sz w:val="20"/>
              </w:rPr>
              <w:lastRenderedPageBreak/>
              <w:t>Alternative control</w:t>
            </w:r>
          </w:p>
        </w:tc>
        <w:tc>
          <w:tcPr>
            <w:tcW w:w="1864" w:type="dxa"/>
          </w:tcPr>
          <w:p w:rsidR="00782C48" w:rsidRPr="0035618E" w:rsidRDefault="00782C48" w:rsidP="0035618E">
            <w:pPr>
              <w:pStyle w:val="AERtabletextleft"/>
            </w:pPr>
            <w:r w:rsidRPr="0035618E">
              <w:t>Alternative control</w:t>
            </w:r>
          </w:p>
        </w:tc>
      </w:tr>
      <w:tr w:rsidR="00782C48" w:rsidRPr="00E36FB3" w:rsidTr="00D831CC">
        <w:trPr>
          <w:trHeight w:val="1300"/>
        </w:trPr>
        <w:tc>
          <w:tcPr>
            <w:tcW w:w="3560" w:type="dxa"/>
          </w:tcPr>
          <w:p w:rsidR="00782C48" w:rsidRPr="00BB2F23" w:rsidRDefault="00782C48" w:rsidP="00BB2F23">
            <w:pPr>
              <w:pStyle w:val="AERtabletextleft"/>
            </w:pPr>
            <w:r w:rsidRPr="00BB2F23">
              <w:lastRenderedPageBreak/>
              <w:t>Pre-connection consultation services</w:t>
            </w:r>
          </w:p>
        </w:tc>
        <w:tc>
          <w:tcPr>
            <w:tcW w:w="6637" w:type="dxa"/>
          </w:tcPr>
          <w:p w:rsidR="00782C48" w:rsidRPr="00BB2F23" w:rsidRDefault="00782C48" w:rsidP="00BB2F23">
            <w:pPr>
              <w:pStyle w:val="AERtabletextleft"/>
            </w:pPr>
            <w:r w:rsidRPr="00BB2F23">
              <w:t>Additional support services provided by the distributor (on request) during connection enquiry and connection application other than General Connection Enquiry Services and Connection Application Services. Generally relates to services which require a customised or site-specific response and/or are available contestably. Unless otherwise specified, services or activities undertaken under this service group relate to both small and large customers and real estate development connections. Includes:</w:t>
            </w:r>
          </w:p>
          <w:p w:rsidR="00782C48" w:rsidRPr="00BB2F23" w:rsidRDefault="00782C48" w:rsidP="005C2540">
            <w:pPr>
              <w:pStyle w:val="AERquotebullet1"/>
            </w:pPr>
            <w:r w:rsidRPr="00BB2F23">
              <w:t>site inspection in order to determine nature of connection</w:t>
            </w:r>
          </w:p>
          <w:p w:rsidR="00782C48" w:rsidRPr="00BB2F23" w:rsidRDefault="00782C48" w:rsidP="005C2540">
            <w:pPr>
              <w:pStyle w:val="AERquotebullet1"/>
            </w:pPr>
            <w:r w:rsidRPr="00BB2F23">
              <w:t xml:space="preserve">provision of site-specific connection information and advice for small or large customer connections </w:t>
            </w:r>
          </w:p>
          <w:p w:rsidR="00782C48" w:rsidRPr="00BB2F23" w:rsidRDefault="00782C48" w:rsidP="005C2540">
            <w:pPr>
              <w:pStyle w:val="AERquotebullet1"/>
            </w:pPr>
            <w:r w:rsidRPr="00BB2F23">
              <w:t xml:space="preserve">preparation of preliminary designs and planning reports for small or large customer connections, </w:t>
            </w:r>
            <w:r w:rsidRPr="00BB2F23">
              <w:lastRenderedPageBreak/>
              <w:t>including project scopes and estimates</w:t>
            </w:r>
          </w:p>
          <w:p w:rsidR="00782C48" w:rsidRPr="00BB2F23" w:rsidRDefault="00782C48" w:rsidP="005C2540">
            <w:pPr>
              <w:pStyle w:val="AERquotebullet1"/>
            </w:pPr>
            <w:r w:rsidRPr="00BB2F23">
              <w:t>customer build, own and operate consultation services.</w:t>
            </w:r>
          </w:p>
        </w:tc>
        <w:tc>
          <w:tcPr>
            <w:tcW w:w="1971" w:type="dxa"/>
          </w:tcPr>
          <w:p w:rsidR="00782C48" w:rsidRPr="00BB2F23" w:rsidRDefault="00782C48" w:rsidP="00BB2F23">
            <w:pPr>
              <w:pStyle w:val="AERtabletextleft"/>
              <w:rPr>
                <w:rStyle w:val="AERbody"/>
                <w:sz w:val="20"/>
              </w:rPr>
            </w:pPr>
            <w:r w:rsidRPr="00BB2F23">
              <w:rPr>
                <w:rStyle w:val="AERbody"/>
                <w:sz w:val="20"/>
              </w:rPr>
              <w:lastRenderedPageBreak/>
              <w:t>Alternative control</w:t>
            </w:r>
          </w:p>
        </w:tc>
        <w:tc>
          <w:tcPr>
            <w:tcW w:w="1864" w:type="dxa"/>
          </w:tcPr>
          <w:p w:rsidR="00782C48" w:rsidRPr="00BB2F23" w:rsidRDefault="00782C48" w:rsidP="00BB2F23">
            <w:pPr>
              <w:pStyle w:val="AERtabletextleft"/>
            </w:pPr>
            <w:r w:rsidRPr="00BB2F23">
              <w:t>Alternative control</w:t>
            </w:r>
          </w:p>
        </w:tc>
      </w:tr>
      <w:tr w:rsidR="00782C48" w:rsidRPr="00E36FB3" w:rsidTr="00D831CC">
        <w:trPr>
          <w:cnfStyle w:val="000000010000" w:firstRow="0" w:lastRow="0" w:firstColumn="0" w:lastColumn="0" w:oddVBand="0" w:evenVBand="0" w:oddHBand="0" w:evenHBand="1" w:firstRowFirstColumn="0" w:firstRowLastColumn="0" w:lastRowFirstColumn="0" w:lastRowLastColumn="0"/>
        </w:trPr>
        <w:tc>
          <w:tcPr>
            <w:tcW w:w="14032" w:type="dxa"/>
            <w:gridSpan w:val="4"/>
          </w:tcPr>
          <w:p w:rsidR="00782C48" w:rsidRPr="00782C48" w:rsidRDefault="00782C48" w:rsidP="0035618E">
            <w:pPr>
              <w:pStyle w:val="AERtabletextleft"/>
              <w:rPr>
                <w:rStyle w:val="Strong"/>
              </w:rPr>
            </w:pPr>
            <w:r w:rsidRPr="0070455F">
              <w:rPr>
                <w:rStyle w:val="Strong"/>
              </w:rPr>
              <w:lastRenderedPageBreak/>
              <w:t>AER service group—</w:t>
            </w:r>
            <w:r w:rsidRPr="00782C48">
              <w:rPr>
                <w:rStyle w:val="Strong"/>
              </w:rPr>
              <w:t>connection services</w:t>
            </w:r>
          </w:p>
        </w:tc>
      </w:tr>
      <w:tr w:rsidR="00782C48" w:rsidRPr="00E36FB3" w:rsidTr="00D831CC">
        <w:tc>
          <w:tcPr>
            <w:tcW w:w="3560" w:type="dxa"/>
          </w:tcPr>
          <w:p w:rsidR="00782C48" w:rsidRPr="00BB2F23" w:rsidRDefault="00782C48" w:rsidP="00BB2F23">
            <w:pPr>
              <w:pStyle w:val="AERtabletextleft"/>
              <w:rPr>
                <w:rStyle w:val="AERbody"/>
                <w:sz w:val="20"/>
              </w:rPr>
            </w:pPr>
            <w:r w:rsidRPr="00BB2F23">
              <w:rPr>
                <w:rStyle w:val="AERbody"/>
                <w:sz w:val="20"/>
              </w:rPr>
              <w:t>Small customer connections</w:t>
            </w:r>
            <w:r w:rsidRPr="00BB2F23">
              <w:rPr>
                <w:rStyle w:val="AERsuperscript"/>
                <w:sz w:val="20"/>
                <w:vertAlign w:val="baseline"/>
              </w:rPr>
              <w:footnoteReference w:id="23"/>
            </w:r>
          </w:p>
        </w:tc>
        <w:tc>
          <w:tcPr>
            <w:tcW w:w="6637" w:type="dxa"/>
          </w:tcPr>
          <w:p w:rsidR="00782C48" w:rsidRPr="00BB2F23" w:rsidRDefault="00782C48" w:rsidP="00BB2F23">
            <w:pPr>
              <w:pStyle w:val="AERtabletextleft"/>
              <w:rPr>
                <w:rStyle w:val="AERbody"/>
                <w:sz w:val="20"/>
              </w:rPr>
            </w:pPr>
            <w:r w:rsidRPr="00BB2F23">
              <w:rPr>
                <w:rStyle w:val="AERbody"/>
                <w:sz w:val="20"/>
              </w:rPr>
              <w:t>Design, construction, commissioning and energisation of connection assets for small customers.</w:t>
            </w:r>
          </w:p>
          <w:p w:rsidR="00782C48" w:rsidRPr="00BB2F23" w:rsidRDefault="00782C48" w:rsidP="00BB2F23">
            <w:pPr>
              <w:pStyle w:val="AERtabletextleft"/>
              <w:rPr>
                <w:rStyle w:val="AERbody"/>
                <w:sz w:val="20"/>
              </w:rPr>
            </w:pPr>
            <w:r w:rsidRPr="00BB2F23">
              <w:rPr>
                <w:rStyle w:val="AERbody"/>
                <w:sz w:val="20"/>
              </w:rPr>
              <w:t>(Generally, small customers are those customers who connect under the Standard Asset Connection tariff class in the distributor’s pricing proposal.</w:t>
            </w:r>
            <w:r w:rsidRPr="00BB2F23">
              <w:rPr>
                <w:rStyle w:val="AERsuperscript"/>
                <w:sz w:val="20"/>
                <w:vertAlign w:val="baseline"/>
              </w:rPr>
              <w:footnoteReference w:id="24"/>
            </w:r>
            <w:r w:rsidRPr="00BB2F23">
              <w:rPr>
                <w:rStyle w:val="AERbody"/>
                <w:sz w:val="20"/>
              </w:rPr>
              <w:t>)</w:t>
            </w:r>
          </w:p>
        </w:tc>
        <w:tc>
          <w:tcPr>
            <w:tcW w:w="1971" w:type="dxa"/>
          </w:tcPr>
          <w:p w:rsidR="00782C48" w:rsidRPr="00BB2F23" w:rsidRDefault="00782C48" w:rsidP="00BB2F23">
            <w:pPr>
              <w:pStyle w:val="AERtabletextleft"/>
              <w:rPr>
                <w:rStyle w:val="AERbody"/>
                <w:sz w:val="20"/>
              </w:rPr>
            </w:pPr>
            <w:r w:rsidRPr="00BB2F23">
              <w:rPr>
                <w:rStyle w:val="AERbody"/>
                <w:sz w:val="20"/>
              </w:rPr>
              <w:t>Standard control</w:t>
            </w:r>
          </w:p>
        </w:tc>
        <w:tc>
          <w:tcPr>
            <w:tcW w:w="1864" w:type="dxa"/>
          </w:tcPr>
          <w:p w:rsidR="00782C48" w:rsidRPr="00BB2F23" w:rsidRDefault="00782C48" w:rsidP="00BB2F23">
            <w:pPr>
              <w:pStyle w:val="AERtabletextleft"/>
              <w:rPr>
                <w:rStyle w:val="AERbody"/>
                <w:sz w:val="20"/>
              </w:rPr>
            </w:pPr>
            <w:r w:rsidRPr="00BB2F23">
              <w:rPr>
                <w:rStyle w:val="AERbody"/>
                <w:sz w:val="20"/>
              </w:rPr>
              <w:t>Standard control</w:t>
            </w:r>
          </w:p>
        </w:tc>
      </w:tr>
      <w:tr w:rsidR="00782C48" w:rsidRPr="00E36FB3" w:rsidTr="00D831CC">
        <w:trPr>
          <w:cnfStyle w:val="000000010000" w:firstRow="0" w:lastRow="0" w:firstColumn="0" w:lastColumn="0" w:oddVBand="0" w:evenVBand="0" w:oddHBand="0" w:evenHBand="1" w:firstRowFirstColumn="0" w:firstRowLastColumn="0" w:lastRowFirstColumn="0" w:lastRowLastColumn="0"/>
        </w:trPr>
        <w:tc>
          <w:tcPr>
            <w:tcW w:w="3560" w:type="dxa"/>
          </w:tcPr>
          <w:p w:rsidR="00782C48" w:rsidRPr="00BB2F23" w:rsidRDefault="00782C48" w:rsidP="00BB2F23">
            <w:pPr>
              <w:pStyle w:val="AERtabletextleft"/>
              <w:rPr>
                <w:rStyle w:val="AERbody"/>
                <w:sz w:val="20"/>
              </w:rPr>
            </w:pPr>
            <w:r w:rsidRPr="00BB2F23">
              <w:rPr>
                <w:rStyle w:val="AERbody"/>
                <w:sz w:val="20"/>
              </w:rPr>
              <w:t>Large customer connections</w:t>
            </w:r>
            <w:r w:rsidRPr="00BB2F23">
              <w:rPr>
                <w:rStyle w:val="AERsuperscript"/>
                <w:sz w:val="20"/>
                <w:vertAlign w:val="baseline"/>
              </w:rPr>
              <w:footnoteReference w:id="25"/>
            </w:r>
          </w:p>
        </w:tc>
        <w:tc>
          <w:tcPr>
            <w:tcW w:w="6637" w:type="dxa"/>
          </w:tcPr>
          <w:p w:rsidR="00782C48" w:rsidRPr="00BB2F23" w:rsidRDefault="00782C48" w:rsidP="00BB2F23">
            <w:pPr>
              <w:pStyle w:val="AERtabletextleft"/>
              <w:rPr>
                <w:rStyle w:val="AERbody"/>
                <w:sz w:val="20"/>
              </w:rPr>
            </w:pPr>
            <w:r w:rsidRPr="00BB2F23">
              <w:rPr>
                <w:rStyle w:val="AERbody"/>
                <w:sz w:val="20"/>
              </w:rPr>
              <w:t>Design and construction of connection assets for large customers.</w:t>
            </w:r>
            <w:r w:rsidRPr="00BB2F23">
              <w:rPr>
                <w:rStyle w:val="AERsuperscript"/>
                <w:sz w:val="20"/>
                <w:vertAlign w:val="baseline"/>
              </w:rPr>
              <w:footnoteReference w:id="26"/>
            </w:r>
          </w:p>
          <w:p w:rsidR="00782C48" w:rsidRPr="00BB2F23" w:rsidRDefault="00782C48" w:rsidP="00BB2F23">
            <w:pPr>
              <w:pStyle w:val="AERtabletextleft"/>
              <w:rPr>
                <w:rStyle w:val="AERbody"/>
                <w:sz w:val="20"/>
              </w:rPr>
            </w:pPr>
            <w:r w:rsidRPr="00BB2F23">
              <w:rPr>
                <w:rStyle w:val="AERbody"/>
                <w:sz w:val="20"/>
              </w:rPr>
              <w:t>Generally, large customers are those customers who connect under the Individually Calculated Customer (ICC), Connection Asset Customer (CAC) and Embedded Generator (EG) tariff classes as per the distributor’s pricing proposal.</w:t>
            </w:r>
          </w:p>
          <w:p w:rsidR="00782C48" w:rsidRPr="00BB2F23" w:rsidRDefault="00782C48" w:rsidP="00BB2F23">
            <w:pPr>
              <w:pStyle w:val="AERtabletextleft"/>
              <w:rPr>
                <w:rStyle w:val="AERbody"/>
                <w:sz w:val="20"/>
              </w:rPr>
            </w:pPr>
            <w:r w:rsidRPr="00BB2F23">
              <w:rPr>
                <w:rStyle w:val="AERbody"/>
                <w:sz w:val="20"/>
              </w:rPr>
              <w:lastRenderedPageBreak/>
              <w:t>We consider that connection of embedded generators larger than 30 kVA but smaller than 1 MW should be treated as large customer connections.</w:t>
            </w:r>
          </w:p>
        </w:tc>
        <w:tc>
          <w:tcPr>
            <w:tcW w:w="1971" w:type="dxa"/>
          </w:tcPr>
          <w:p w:rsidR="00782C48" w:rsidRPr="00BB2F23" w:rsidRDefault="00782C48" w:rsidP="00BB2F23">
            <w:pPr>
              <w:pStyle w:val="AERtabletextleft"/>
              <w:rPr>
                <w:rStyle w:val="AERbody"/>
                <w:sz w:val="20"/>
              </w:rPr>
            </w:pPr>
            <w:r w:rsidRPr="00BB2F23">
              <w:rPr>
                <w:rStyle w:val="AERbody"/>
                <w:sz w:val="20"/>
              </w:rPr>
              <w:lastRenderedPageBreak/>
              <w:t>Alternative control</w:t>
            </w:r>
          </w:p>
        </w:tc>
        <w:tc>
          <w:tcPr>
            <w:tcW w:w="1864" w:type="dxa"/>
          </w:tcPr>
          <w:p w:rsidR="00782C48" w:rsidRPr="00BB2F23" w:rsidRDefault="00782C48" w:rsidP="00BB2F23">
            <w:pPr>
              <w:pStyle w:val="AERtabletextleft"/>
              <w:rPr>
                <w:rStyle w:val="AERbody"/>
                <w:sz w:val="20"/>
              </w:rPr>
            </w:pPr>
            <w:r w:rsidRPr="00BB2F23">
              <w:rPr>
                <w:rStyle w:val="AERbody"/>
                <w:sz w:val="20"/>
              </w:rPr>
              <w:t>Alternative control</w:t>
            </w:r>
          </w:p>
        </w:tc>
      </w:tr>
      <w:tr w:rsidR="00782C48" w:rsidRPr="00E36FB3" w:rsidTr="00D831CC">
        <w:tc>
          <w:tcPr>
            <w:tcW w:w="3560" w:type="dxa"/>
          </w:tcPr>
          <w:p w:rsidR="00782C48" w:rsidRPr="00BB2F23" w:rsidRDefault="00782C48" w:rsidP="00BB2F23">
            <w:pPr>
              <w:pStyle w:val="AERtabletextleft"/>
              <w:rPr>
                <w:rStyle w:val="AERbody"/>
                <w:sz w:val="20"/>
              </w:rPr>
            </w:pPr>
            <w:r w:rsidRPr="00BB2F23">
              <w:rPr>
                <w:rStyle w:val="AERbody"/>
                <w:sz w:val="20"/>
              </w:rPr>
              <w:lastRenderedPageBreak/>
              <w:t>Commissioning and energisation of large customer connections</w:t>
            </w:r>
          </w:p>
        </w:tc>
        <w:tc>
          <w:tcPr>
            <w:tcW w:w="6637" w:type="dxa"/>
          </w:tcPr>
          <w:p w:rsidR="00782C48" w:rsidRPr="00BB2F23" w:rsidRDefault="00782C48" w:rsidP="00BB2F23">
            <w:pPr>
              <w:pStyle w:val="AERtabletextleft"/>
              <w:rPr>
                <w:rStyle w:val="AERbody"/>
                <w:sz w:val="20"/>
              </w:rPr>
            </w:pPr>
            <w:r w:rsidRPr="00BB2F23">
              <w:rPr>
                <w:rStyle w:val="AERbody"/>
                <w:sz w:val="20"/>
              </w:rPr>
              <w:t>Commissioning and energisation of large customer connection assets to allow conveyance of electricity. Inspection and testing of connection assets.</w:t>
            </w:r>
          </w:p>
          <w:p w:rsidR="00782C48" w:rsidRPr="00BB2F23" w:rsidRDefault="00782C48" w:rsidP="00BB2F23">
            <w:pPr>
              <w:pStyle w:val="AERtabletextleft"/>
            </w:pPr>
            <w:r w:rsidRPr="00BB2F23">
              <w:t>Includes administration services involved in reconciling the financials of a connection project, processing and finalising network information and contracts in relation to a connection.</w:t>
            </w:r>
          </w:p>
          <w:p w:rsidR="00782C48" w:rsidRPr="00BB2F23" w:rsidRDefault="00782C48" w:rsidP="00BB2F23">
            <w:pPr>
              <w:pStyle w:val="AERtabletextleft"/>
              <w:rPr>
                <w:rStyle w:val="AERbody"/>
                <w:sz w:val="20"/>
              </w:rPr>
            </w:pPr>
            <w:r w:rsidRPr="00BB2F23">
              <w:t>Includes generation required to supply existing customers while equipment is de-energised to allow testing and commissioning of large customer connection assets.</w:t>
            </w:r>
          </w:p>
        </w:tc>
        <w:tc>
          <w:tcPr>
            <w:tcW w:w="1971" w:type="dxa"/>
          </w:tcPr>
          <w:p w:rsidR="00782C48" w:rsidRPr="00BB2F23" w:rsidRDefault="00782C48" w:rsidP="00BB2F23">
            <w:pPr>
              <w:pStyle w:val="AERtabletextleft"/>
              <w:rPr>
                <w:rStyle w:val="AERbody"/>
                <w:sz w:val="20"/>
              </w:rPr>
            </w:pPr>
            <w:r w:rsidRPr="00BB2F23">
              <w:rPr>
                <w:rStyle w:val="AERbody"/>
                <w:sz w:val="20"/>
              </w:rPr>
              <w:t>Alternative control</w:t>
            </w:r>
          </w:p>
        </w:tc>
        <w:tc>
          <w:tcPr>
            <w:tcW w:w="1864" w:type="dxa"/>
          </w:tcPr>
          <w:p w:rsidR="00782C48" w:rsidRPr="00BB2F23" w:rsidRDefault="00782C48" w:rsidP="00BB2F23">
            <w:pPr>
              <w:pStyle w:val="AERtabletextleft"/>
              <w:rPr>
                <w:rStyle w:val="AERbody"/>
                <w:sz w:val="20"/>
              </w:rPr>
            </w:pPr>
            <w:r w:rsidRPr="00BB2F23">
              <w:rPr>
                <w:rStyle w:val="AERbody"/>
                <w:sz w:val="20"/>
              </w:rPr>
              <w:t>Standard control</w:t>
            </w:r>
          </w:p>
        </w:tc>
      </w:tr>
      <w:tr w:rsidR="00782C48" w:rsidRPr="00E36FB3" w:rsidTr="00D831CC">
        <w:trPr>
          <w:cnfStyle w:val="000000010000" w:firstRow="0" w:lastRow="0" w:firstColumn="0" w:lastColumn="0" w:oddVBand="0" w:evenVBand="0" w:oddHBand="0" w:evenHBand="1" w:firstRowFirstColumn="0" w:firstRowLastColumn="0" w:lastRowFirstColumn="0" w:lastRowLastColumn="0"/>
        </w:trPr>
        <w:tc>
          <w:tcPr>
            <w:tcW w:w="3560" w:type="dxa"/>
          </w:tcPr>
          <w:p w:rsidR="00782C48" w:rsidRPr="00BB2F23" w:rsidRDefault="00782C48" w:rsidP="00BB2F23">
            <w:pPr>
              <w:pStyle w:val="AERtabletextleft"/>
              <w:rPr>
                <w:rStyle w:val="AERbody"/>
                <w:sz w:val="20"/>
              </w:rPr>
            </w:pPr>
            <w:r w:rsidRPr="00BB2F23">
              <w:rPr>
                <w:rStyle w:val="AERbody"/>
                <w:sz w:val="20"/>
              </w:rPr>
              <w:t>Real estate development connection</w:t>
            </w:r>
          </w:p>
        </w:tc>
        <w:tc>
          <w:tcPr>
            <w:tcW w:w="6637" w:type="dxa"/>
          </w:tcPr>
          <w:p w:rsidR="00782C48" w:rsidRPr="00BB2F23" w:rsidRDefault="00782C48" w:rsidP="00BB2F23">
            <w:pPr>
              <w:pStyle w:val="AERtabletextleft"/>
              <w:rPr>
                <w:rStyle w:val="AERbody"/>
                <w:sz w:val="20"/>
              </w:rPr>
            </w:pPr>
            <w:r w:rsidRPr="00BB2F23">
              <w:rPr>
                <w:rStyle w:val="AERbody"/>
                <w:sz w:val="20"/>
              </w:rPr>
              <w:t xml:space="preserve">Design, construction, commissioning and energisation of connection assets for real estate developments. </w:t>
            </w:r>
          </w:p>
        </w:tc>
        <w:tc>
          <w:tcPr>
            <w:tcW w:w="1971" w:type="dxa"/>
          </w:tcPr>
          <w:p w:rsidR="00782C48" w:rsidRPr="00BB2F23" w:rsidRDefault="00782C48" w:rsidP="00BB2F23">
            <w:pPr>
              <w:pStyle w:val="AERtabletextleft"/>
              <w:rPr>
                <w:rStyle w:val="AERbody"/>
                <w:sz w:val="20"/>
              </w:rPr>
            </w:pPr>
            <w:r w:rsidRPr="00BB2F23">
              <w:rPr>
                <w:rStyle w:val="AERbody"/>
                <w:sz w:val="20"/>
              </w:rPr>
              <w:t>Alternative control</w:t>
            </w:r>
          </w:p>
        </w:tc>
        <w:tc>
          <w:tcPr>
            <w:tcW w:w="1864" w:type="dxa"/>
          </w:tcPr>
          <w:p w:rsidR="00782C48" w:rsidRPr="00BB2F23" w:rsidRDefault="00782C48" w:rsidP="00BB2F23">
            <w:pPr>
              <w:pStyle w:val="AERtabletextleft"/>
              <w:rPr>
                <w:rStyle w:val="AERbody"/>
                <w:sz w:val="20"/>
              </w:rPr>
            </w:pPr>
            <w:r w:rsidRPr="00BB2F23">
              <w:rPr>
                <w:rStyle w:val="AERbody"/>
                <w:sz w:val="20"/>
              </w:rPr>
              <w:t>Standard control</w:t>
            </w:r>
          </w:p>
        </w:tc>
      </w:tr>
      <w:tr w:rsidR="00782C48" w:rsidRPr="00E36FB3" w:rsidTr="00D831CC">
        <w:tc>
          <w:tcPr>
            <w:tcW w:w="3560" w:type="dxa"/>
          </w:tcPr>
          <w:p w:rsidR="00782C48" w:rsidRPr="00BB2F23" w:rsidRDefault="00782C48" w:rsidP="00BB2F23">
            <w:pPr>
              <w:pStyle w:val="AERtabletextleft"/>
              <w:rPr>
                <w:rStyle w:val="AERbody"/>
                <w:sz w:val="20"/>
              </w:rPr>
            </w:pPr>
            <w:r w:rsidRPr="00BB2F23">
              <w:rPr>
                <w:rStyle w:val="AERbody"/>
                <w:sz w:val="20"/>
              </w:rPr>
              <w:t>Removal of network constraint for embedded generator</w:t>
            </w:r>
          </w:p>
        </w:tc>
        <w:tc>
          <w:tcPr>
            <w:tcW w:w="6637" w:type="dxa"/>
          </w:tcPr>
          <w:p w:rsidR="00782C48" w:rsidRPr="00BB2F23" w:rsidRDefault="00782C48" w:rsidP="00BB2F23">
            <w:pPr>
              <w:pStyle w:val="AERtabletextleft"/>
              <w:rPr>
                <w:rStyle w:val="AERbody"/>
                <w:sz w:val="20"/>
              </w:rPr>
            </w:pPr>
            <w:r w:rsidRPr="00BB2F23">
              <w:rPr>
                <w:rStyle w:val="AERbody"/>
                <w:sz w:val="20"/>
              </w:rPr>
              <w:t>Augmenting the network to remove a constraint faced by an embedded generator.</w:t>
            </w:r>
          </w:p>
          <w:p w:rsidR="00782C48" w:rsidRPr="00BB2F23" w:rsidRDefault="00782C48" w:rsidP="00BB2F23">
            <w:pPr>
              <w:pStyle w:val="AERtabletextleft"/>
              <w:rPr>
                <w:rStyle w:val="AERbody"/>
                <w:sz w:val="20"/>
              </w:rPr>
            </w:pPr>
            <w:r w:rsidRPr="00BB2F23">
              <w:rPr>
                <w:rStyle w:val="AERbody"/>
                <w:sz w:val="20"/>
              </w:rPr>
              <w:t xml:space="preserve">(Generally, ‘embedded generators’ are those customers who connect under the Embedded Generator (EG) tariff class as per the distributor’s pricing proposal. This does not include customers with micro-generation facilities that connect under a Standard Asset Customer (SAC) tariff class. We consider that generators larger than 30 kVA but smaller than 1 MW should be treated as embedded generators for the purpose of </w:t>
            </w:r>
            <w:r w:rsidRPr="00BB2F23">
              <w:rPr>
                <w:rStyle w:val="AERbody"/>
                <w:sz w:val="20"/>
              </w:rPr>
              <w:lastRenderedPageBreak/>
              <w:t xml:space="preserve">removing network constraints.) </w:t>
            </w:r>
          </w:p>
        </w:tc>
        <w:tc>
          <w:tcPr>
            <w:tcW w:w="1971" w:type="dxa"/>
          </w:tcPr>
          <w:p w:rsidR="00782C48" w:rsidRPr="00BB2F23" w:rsidRDefault="00782C48" w:rsidP="00BB2F23">
            <w:pPr>
              <w:pStyle w:val="AERtabletextleft"/>
              <w:rPr>
                <w:rStyle w:val="AERbody"/>
                <w:sz w:val="20"/>
              </w:rPr>
            </w:pPr>
            <w:r w:rsidRPr="00BB2F23">
              <w:rPr>
                <w:rStyle w:val="AERbody"/>
                <w:sz w:val="20"/>
              </w:rPr>
              <w:lastRenderedPageBreak/>
              <w:t>Alternative control</w:t>
            </w:r>
          </w:p>
        </w:tc>
        <w:tc>
          <w:tcPr>
            <w:tcW w:w="1864" w:type="dxa"/>
          </w:tcPr>
          <w:p w:rsidR="00782C48" w:rsidRPr="00BB2F23" w:rsidRDefault="00782C48" w:rsidP="00BB2F23">
            <w:pPr>
              <w:pStyle w:val="AERtabletextleft"/>
              <w:rPr>
                <w:rStyle w:val="AERbody"/>
                <w:sz w:val="20"/>
              </w:rPr>
            </w:pPr>
            <w:r w:rsidRPr="00BB2F23">
              <w:rPr>
                <w:rStyle w:val="AERbody"/>
                <w:sz w:val="20"/>
              </w:rPr>
              <w:t>Standard control</w:t>
            </w:r>
          </w:p>
        </w:tc>
      </w:tr>
      <w:tr w:rsidR="00782C48" w:rsidRPr="00E36FB3" w:rsidTr="00D831CC">
        <w:trPr>
          <w:cnfStyle w:val="000000010000" w:firstRow="0" w:lastRow="0" w:firstColumn="0" w:lastColumn="0" w:oddVBand="0" w:evenVBand="0" w:oddHBand="0" w:evenHBand="1" w:firstRowFirstColumn="0" w:firstRowLastColumn="0" w:lastRowFirstColumn="0" w:lastRowLastColumn="0"/>
        </w:trPr>
        <w:tc>
          <w:tcPr>
            <w:tcW w:w="3560" w:type="dxa"/>
          </w:tcPr>
          <w:p w:rsidR="00782C48" w:rsidRPr="00BB2F23" w:rsidRDefault="00782C48" w:rsidP="00BB2F23">
            <w:pPr>
              <w:pStyle w:val="AERtabletextleft"/>
              <w:rPr>
                <w:rStyle w:val="AERbody"/>
                <w:sz w:val="20"/>
              </w:rPr>
            </w:pPr>
            <w:r w:rsidRPr="00BB2F23">
              <w:rPr>
                <w:rStyle w:val="AERbody"/>
                <w:sz w:val="20"/>
              </w:rPr>
              <w:lastRenderedPageBreak/>
              <w:t>Temporary connections</w:t>
            </w:r>
          </w:p>
        </w:tc>
        <w:tc>
          <w:tcPr>
            <w:tcW w:w="6637" w:type="dxa"/>
          </w:tcPr>
          <w:p w:rsidR="00782C48" w:rsidRPr="00BB2F23" w:rsidRDefault="00782C48" w:rsidP="00BB2F23">
            <w:pPr>
              <w:pStyle w:val="AERtabletextleft"/>
              <w:rPr>
                <w:rStyle w:val="AERbody"/>
                <w:sz w:val="20"/>
              </w:rPr>
            </w:pPr>
            <w:r w:rsidRPr="00BB2F23">
              <w:rPr>
                <w:rStyle w:val="AERbody"/>
                <w:sz w:val="20"/>
              </w:rPr>
              <w:t>Customer requests a temporary connection for short term supply (e.g. blood bank vans, school fetes).</w:t>
            </w:r>
          </w:p>
        </w:tc>
        <w:tc>
          <w:tcPr>
            <w:tcW w:w="1971" w:type="dxa"/>
          </w:tcPr>
          <w:p w:rsidR="00782C48" w:rsidRPr="00BB2F23" w:rsidRDefault="00782C48" w:rsidP="00BB2F23">
            <w:pPr>
              <w:pStyle w:val="AERtabletextleft"/>
              <w:rPr>
                <w:rStyle w:val="AERbody"/>
                <w:sz w:val="20"/>
              </w:rPr>
            </w:pPr>
            <w:r w:rsidRPr="00BB2F23">
              <w:rPr>
                <w:rStyle w:val="AERbody"/>
                <w:sz w:val="20"/>
              </w:rPr>
              <w:t>Alternative control</w:t>
            </w:r>
          </w:p>
        </w:tc>
        <w:tc>
          <w:tcPr>
            <w:tcW w:w="1864" w:type="dxa"/>
          </w:tcPr>
          <w:p w:rsidR="00782C48" w:rsidRPr="00BB2F23" w:rsidRDefault="00782C48" w:rsidP="00BB2F23">
            <w:pPr>
              <w:pStyle w:val="AERtabletextleft"/>
              <w:rPr>
                <w:rStyle w:val="AERbody"/>
                <w:sz w:val="20"/>
              </w:rPr>
            </w:pPr>
            <w:r w:rsidRPr="00BB2F23">
              <w:rPr>
                <w:rStyle w:val="AERbody"/>
                <w:sz w:val="20"/>
              </w:rPr>
              <w:t>Alternative control</w:t>
            </w:r>
          </w:p>
        </w:tc>
      </w:tr>
      <w:tr w:rsidR="00782C48" w:rsidRPr="00E36FB3" w:rsidTr="00D831CC">
        <w:tc>
          <w:tcPr>
            <w:tcW w:w="14032" w:type="dxa"/>
            <w:gridSpan w:val="4"/>
          </w:tcPr>
          <w:p w:rsidR="00782C48" w:rsidRPr="00782C48" w:rsidRDefault="00782C48" w:rsidP="00105FE1">
            <w:pPr>
              <w:pStyle w:val="AERtabletextleft"/>
              <w:rPr>
                <w:rStyle w:val="Strong"/>
              </w:rPr>
            </w:pPr>
            <w:r w:rsidRPr="000D05AB">
              <w:rPr>
                <w:rStyle w:val="Strong"/>
              </w:rPr>
              <w:t>AER service group—post connection services</w:t>
            </w:r>
          </w:p>
        </w:tc>
      </w:tr>
      <w:tr w:rsidR="00782C48" w:rsidRPr="00E36FB3" w:rsidTr="00D831CC">
        <w:trPr>
          <w:cnfStyle w:val="000000010000" w:firstRow="0" w:lastRow="0" w:firstColumn="0" w:lastColumn="0" w:oddVBand="0" w:evenVBand="0" w:oddHBand="0" w:evenHBand="1" w:firstRowFirstColumn="0" w:firstRowLastColumn="0" w:lastRowFirstColumn="0" w:lastRowLastColumn="0"/>
        </w:trPr>
        <w:tc>
          <w:tcPr>
            <w:tcW w:w="3560" w:type="dxa"/>
          </w:tcPr>
          <w:p w:rsidR="00782C48" w:rsidRPr="00BB2F23" w:rsidRDefault="00782C48" w:rsidP="00BB2F23">
            <w:pPr>
              <w:pStyle w:val="AERtabletextleft"/>
            </w:pPr>
            <w:r w:rsidRPr="00BB2F23">
              <w:t>Operate and maintain connection assets</w:t>
            </w:r>
          </w:p>
        </w:tc>
        <w:tc>
          <w:tcPr>
            <w:tcW w:w="6637" w:type="dxa"/>
          </w:tcPr>
          <w:p w:rsidR="00782C48" w:rsidRPr="00BB2F23" w:rsidRDefault="00782C48" w:rsidP="00BB2F23">
            <w:pPr>
              <w:pStyle w:val="AERtabletextleft"/>
            </w:pPr>
            <w:r w:rsidRPr="00BB2F23">
              <w:t>Works to operate, maintain, repair and replace connection assets owned by or gifted to the distributor to a technically acceptable standard.  Excludes works initiated by a customer, which is not required for the efficient management of the network or for distributor purposes (such as customer requests to provide or maintain connection assets to a higher standard).</w:t>
            </w:r>
          </w:p>
        </w:tc>
        <w:tc>
          <w:tcPr>
            <w:tcW w:w="1971" w:type="dxa"/>
          </w:tcPr>
          <w:p w:rsidR="00782C48" w:rsidRPr="00BB2F23" w:rsidRDefault="00782C48" w:rsidP="00BB2F23">
            <w:pPr>
              <w:pStyle w:val="AERtabletextleft"/>
              <w:rPr>
                <w:rStyle w:val="AERbody"/>
                <w:sz w:val="20"/>
              </w:rPr>
            </w:pPr>
            <w:r w:rsidRPr="00BB2F23">
              <w:rPr>
                <w:rStyle w:val="AERbody"/>
                <w:sz w:val="20"/>
              </w:rPr>
              <w:t>Standard control</w:t>
            </w:r>
          </w:p>
        </w:tc>
        <w:tc>
          <w:tcPr>
            <w:tcW w:w="1864" w:type="dxa"/>
          </w:tcPr>
          <w:p w:rsidR="00782C48" w:rsidRPr="00BB2F23" w:rsidRDefault="00782C48" w:rsidP="00BB2F23">
            <w:pPr>
              <w:pStyle w:val="AERtabletextleft"/>
            </w:pPr>
            <w:r w:rsidRPr="00BB2F23">
              <w:t>Standard control</w:t>
            </w:r>
          </w:p>
        </w:tc>
      </w:tr>
      <w:tr w:rsidR="00782C48" w:rsidRPr="00E36FB3" w:rsidTr="00D831CC">
        <w:tc>
          <w:tcPr>
            <w:tcW w:w="3560" w:type="dxa"/>
          </w:tcPr>
          <w:p w:rsidR="00782C48" w:rsidRPr="00BB2F23" w:rsidRDefault="00782C48" w:rsidP="00BB2F23">
            <w:pPr>
              <w:pStyle w:val="AERtabletextleft"/>
            </w:pPr>
            <w:r w:rsidRPr="00BB2F23">
              <w:t>Connection management services (post connection)</w:t>
            </w:r>
          </w:p>
        </w:tc>
        <w:tc>
          <w:tcPr>
            <w:tcW w:w="6637" w:type="dxa"/>
          </w:tcPr>
          <w:p w:rsidR="00782C48" w:rsidRPr="00BB2F23" w:rsidRDefault="00782C48" w:rsidP="00BB2F23">
            <w:pPr>
              <w:pStyle w:val="AERtabletextleft"/>
            </w:pPr>
            <w:r w:rsidRPr="00BB2F23">
              <w:t xml:space="preserve">Work initiated by a customer which is specific to a connection point. Includes, but is not limited to: </w:t>
            </w:r>
          </w:p>
          <w:p w:rsidR="00782C48" w:rsidRPr="00BB2F23" w:rsidRDefault="00782C48" w:rsidP="00BB2F23">
            <w:pPr>
              <w:pStyle w:val="AERtabletextleft"/>
            </w:pPr>
            <w:r w:rsidRPr="00BB2F23">
              <w:t>Supply abolishment.</w:t>
            </w:r>
          </w:p>
          <w:p w:rsidR="00782C48" w:rsidRPr="00BB2F23" w:rsidRDefault="00782C48" w:rsidP="00BB2F23">
            <w:pPr>
              <w:pStyle w:val="AERtabletextleft"/>
            </w:pPr>
            <w:r w:rsidRPr="00BB2F23">
              <w:t>Move point of attachment.</w:t>
            </w:r>
          </w:p>
          <w:p w:rsidR="00782C48" w:rsidRPr="00BB2F23" w:rsidRDefault="00782C48" w:rsidP="00BB2F23">
            <w:pPr>
              <w:pStyle w:val="AERtabletextleft"/>
            </w:pPr>
            <w:r w:rsidRPr="00BB2F23">
              <w:t>Re-arrange connection assets at customer’s request.</w:t>
            </w:r>
          </w:p>
          <w:p w:rsidR="00782C48" w:rsidRPr="00BB2F23" w:rsidRDefault="00782C48" w:rsidP="00BB2F23">
            <w:pPr>
              <w:pStyle w:val="AERtabletextleft"/>
            </w:pPr>
            <w:r w:rsidRPr="00BB2F23">
              <w:t>Overhead service line replacement – customer requests the existing overhead service to be replaced (e.g. as a result of a point of attachment relocation). No material change to load.</w:t>
            </w:r>
          </w:p>
          <w:p w:rsidR="00782C48" w:rsidRPr="00BB2F23" w:rsidRDefault="00782C48" w:rsidP="00BB2F23">
            <w:pPr>
              <w:pStyle w:val="AERtabletextleft"/>
            </w:pPr>
            <w:r w:rsidRPr="00BB2F23">
              <w:t>Auditing services – auditing of connection assets after energisation to network.</w:t>
            </w:r>
          </w:p>
          <w:p w:rsidR="00782C48" w:rsidRPr="00BB2F23" w:rsidRDefault="00782C48" w:rsidP="00BB2F23">
            <w:pPr>
              <w:pStyle w:val="AERtabletextleft"/>
            </w:pPr>
            <w:r w:rsidRPr="00BB2F23">
              <w:lastRenderedPageBreak/>
              <w:t>Protection and power quality assessment - (e.g. embedded generation connected to network).</w:t>
            </w:r>
          </w:p>
          <w:p w:rsidR="00782C48" w:rsidRPr="00BB2F23" w:rsidRDefault="00782C48" w:rsidP="00BB2F23">
            <w:pPr>
              <w:pStyle w:val="AERtabletextleft"/>
            </w:pPr>
            <w:r w:rsidRPr="00BB2F23">
              <w:t>Customer requested works to allow customer or contractor to work close.</w:t>
            </w:r>
          </w:p>
          <w:p w:rsidR="00782C48" w:rsidRPr="00BB2F23" w:rsidRDefault="00782C48" w:rsidP="00BB2F23">
            <w:pPr>
              <w:pStyle w:val="AERtabletextleft"/>
            </w:pPr>
            <w:r w:rsidRPr="00BB2F23">
              <w:t>Temporary disconnections and reconnection (including de-energisations and re-energisations) which may involve a line drop. e.g. community events.</w:t>
            </w:r>
          </w:p>
          <w:p w:rsidR="00782C48" w:rsidRPr="00BB2F23" w:rsidRDefault="00782C48" w:rsidP="00BB2F23">
            <w:pPr>
              <w:pStyle w:val="AERtabletextleft"/>
            </w:pPr>
            <w:r w:rsidRPr="00BB2F23">
              <w:t>Supply enhancement. e.g. upgrade from single phase to three phase.</w:t>
            </w:r>
          </w:p>
          <w:p w:rsidR="00782C48" w:rsidRPr="00BB2F23" w:rsidRDefault="00782C48" w:rsidP="00BB2F23">
            <w:pPr>
              <w:pStyle w:val="AERtabletextleft"/>
            </w:pPr>
            <w:r w:rsidRPr="00BB2F23">
              <w:t>Provision of connection services above minimum requirements – customer requests increase in reliability or quality of supply beyond the standard, and/or above minimum regulatory requirements (e.g. reserve feeder).</w:t>
            </w:r>
          </w:p>
          <w:p w:rsidR="00782C48" w:rsidRPr="00BB2F23" w:rsidRDefault="00782C48" w:rsidP="00BB2F23">
            <w:pPr>
              <w:pStyle w:val="AERtabletextleft"/>
            </w:pPr>
            <w:r w:rsidRPr="00BB2F23">
              <w:t>Upgrade from overhead to underground service.</w:t>
            </w:r>
          </w:p>
          <w:p w:rsidR="00782C48" w:rsidRPr="00BB2F23" w:rsidRDefault="00782C48" w:rsidP="00BB2F23">
            <w:pPr>
              <w:pStyle w:val="AERtabletextleft"/>
            </w:pPr>
            <w:r w:rsidRPr="00BB2F23">
              <w:t>Customer consultation or appointment (if requested on B2B service order).</w:t>
            </w:r>
          </w:p>
          <w:p w:rsidR="00782C48" w:rsidRPr="00BB2F23" w:rsidRDefault="00782C48" w:rsidP="00BB2F23">
            <w:pPr>
              <w:pStyle w:val="AERtabletextleft"/>
            </w:pPr>
            <w:r w:rsidRPr="00BB2F23">
              <w:t>Rectification of illegal connections or damage to overhead or underground service cables.</w:t>
            </w:r>
          </w:p>
          <w:p w:rsidR="00782C48" w:rsidRPr="00BB2F23" w:rsidRDefault="00782C48" w:rsidP="00BB2F23">
            <w:pPr>
              <w:pStyle w:val="AERtabletextleft"/>
            </w:pPr>
            <w:r w:rsidRPr="00BB2F23">
              <w:t>De-energisation:</w:t>
            </w:r>
          </w:p>
          <w:p w:rsidR="00782C48" w:rsidRPr="00BB2F23" w:rsidRDefault="00782C48" w:rsidP="00BB2F23">
            <w:pPr>
              <w:pStyle w:val="AERquotebullet1"/>
            </w:pPr>
            <w:r w:rsidRPr="00BB2F23">
              <w:t>Retailer requests de-energisation of the customer</w:t>
            </w:r>
            <w:r w:rsidRPr="00BB2F23">
              <w:rPr>
                <w:rFonts w:hint="eastAsia"/>
              </w:rPr>
              <w:t>’</w:t>
            </w:r>
            <w:r w:rsidRPr="00BB2F23">
              <w:t>s premises (business or after hours) where the de-energisation can be performed (e.g. pole, pillar or meter isolation link).</w:t>
            </w:r>
          </w:p>
          <w:p w:rsidR="00782C48" w:rsidRPr="00BB2F23" w:rsidRDefault="00782C48" w:rsidP="00BB2F23">
            <w:pPr>
              <w:pStyle w:val="AERquotebullet1"/>
            </w:pPr>
            <w:r w:rsidRPr="00BB2F23">
              <w:lastRenderedPageBreak/>
              <w:t>Retailer requests de-energisation of the customer</w:t>
            </w:r>
            <w:r w:rsidRPr="00BB2F23">
              <w:rPr>
                <w:rFonts w:hint="eastAsia"/>
              </w:rPr>
              <w:t>’</w:t>
            </w:r>
            <w:r w:rsidRPr="00BB2F23">
              <w:t xml:space="preserve">s premises </w:t>
            </w:r>
            <w:r w:rsidRPr="00BB2F23">
              <w:rPr>
                <w:rFonts w:hint="eastAsia"/>
              </w:rPr>
              <w:t>–</w:t>
            </w:r>
            <w:r w:rsidRPr="00BB2F23">
              <w:t xml:space="preserve"> Main switch seal (business or after hours).</w:t>
            </w:r>
          </w:p>
          <w:p w:rsidR="00782C48" w:rsidRPr="00BB2F23" w:rsidRDefault="00782C48" w:rsidP="00BB2F23">
            <w:pPr>
              <w:pStyle w:val="AERtabletextleft"/>
              <w:rPr>
                <w:rStyle w:val="AERbody"/>
                <w:sz w:val="20"/>
              </w:rPr>
            </w:pPr>
            <w:r w:rsidRPr="00BB2F23">
              <w:rPr>
                <w:rStyle w:val="AERbody"/>
                <w:sz w:val="20"/>
              </w:rPr>
              <w:t>Re-energisation:</w:t>
            </w:r>
          </w:p>
          <w:p w:rsidR="00782C48" w:rsidRPr="00BB2F23" w:rsidRDefault="00782C48" w:rsidP="00BB2F23">
            <w:pPr>
              <w:pStyle w:val="AERquotebullet1"/>
              <w:rPr>
                <w:rStyle w:val="AERbody"/>
                <w:sz w:val="20"/>
              </w:rPr>
            </w:pPr>
            <w:r w:rsidRPr="00BB2F23">
              <w:rPr>
                <w:rStyle w:val="AERbody"/>
                <w:sz w:val="20"/>
              </w:rPr>
              <w:t>Retailer requests re-energisation of the customer’s premises where the customer has not paid their electricity account (business or after hours).</w:t>
            </w:r>
          </w:p>
          <w:p w:rsidR="00782C48" w:rsidRPr="00BB2F23" w:rsidRDefault="00782C48" w:rsidP="00BB2F23">
            <w:pPr>
              <w:pStyle w:val="AERquotebullet1"/>
              <w:rPr>
                <w:rStyle w:val="AERbody"/>
                <w:sz w:val="20"/>
              </w:rPr>
            </w:pPr>
            <w:r w:rsidRPr="00BB2F23">
              <w:rPr>
                <w:rStyle w:val="AERbody"/>
                <w:sz w:val="20"/>
              </w:rPr>
              <w:t>Retailer requests a re-energisation of the customer’s premises following a main switch seal (business or after hours).</w:t>
            </w:r>
          </w:p>
          <w:p w:rsidR="00782C48" w:rsidRPr="00BB2F23" w:rsidRDefault="00782C48" w:rsidP="00BB2F23">
            <w:pPr>
              <w:pStyle w:val="AERquotebullet1"/>
            </w:pPr>
            <w:r w:rsidRPr="00BB2F23">
              <w:t>Reading provided for an active site.</w:t>
            </w:r>
          </w:p>
          <w:p w:rsidR="00782C48" w:rsidRPr="00BB2F23" w:rsidRDefault="00782C48" w:rsidP="00BB2F23">
            <w:pPr>
              <w:pStyle w:val="AERquotebullet1"/>
              <w:rPr>
                <w:rStyle w:val="AERbody"/>
                <w:sz w:val="20"/>
              </w:rPr>
            </w:pPr>
            <w:r w:rsidRPr="00BB2F23">
              <w:rPr>
                <w:rStyle w:val="AERbody"/>
                <w:sz w:val="20"/>
              </w:rPr>
              <w:t>Retailer requests a re-energisation of the customer’s premises after a physical disconnection and premises requires a visual examination.</w:t>
            </w:r>
          </w:p>
        </w:tc>
        <w:tc>
          <w:tcPr>
            <w:tcW w:w="1971" w:type="dxa"/>
          </w:tcPr>
          <w:p w:rsidR="00782C48" w:rsidRPr="00BB2F23" w:rsidRDefault="00782C48" w:rsidP="00BB2F23">
            <w:pPr>
              <w:pStyle w:val="AERtabletextleft"/>
              <w:rPr>
                <w:rStyle w:val="AERbody"/>
                <w:sz w:val="20"/>
              </w:rPr>
            </w:pPr>
            <w:r w:rsidRPr="00BB2F23">
              <w:rPr>
                <w:rStyle w:val="AERbody"/>
                <w:sz w:val="20"/>
              </w:rPr>
              <w:lastRenderedPageBreak/>
              <w:t>Alternative control</w:t>
            </w:r>
          </w:p>
        </w:tc>
        <w:tc>
          <w:tcPr>
            <w:tcW w:w="1864" w:type="dxa"/>
          </w:tcPr>
          <w:p w:rsidR="00782C48" w:rsidRPr="00BB2F23" w:rsidRDefault="00782C48" w:rsidP="00BB2F23">
            <w:pPr>
              <w:pStyle w:val="AERtabletextleft"/>
            </w:pPr>
            <w:r w:rsidRPr="00BB2F23">
              <w:t>Alternative control</w:t>
            </w:r>
          </w:p>
        </w:tc>
      </w:tr>
      <w:tr w:rsidR="00782C48" w:rsidRPr="00E36FB3" w:rsidTr="00D831CC">
        <w:trPr>
          <w:cnfStyle w:val="000000010000" w:firstRow="0" w:lastRow="0" w:firstColumn="0" w:lastColumn="0" w:oddVBand="0" w:evenVBand="0" w:oddHBand="0" w:evenHBand="1" w:firstRowFirstColumn="0" w:firstRowLastColumn="0" w:lastRowFirstColumn="0" w:lastRowLastColumn="0"/>
        </w:trPr>
        <w:tc>
          <w:tcPr>
            <w:tcW w:w="3560" w:type="dxa"/>
          </w:tcPr>
          <w:p w:rsidR="00782C48" w:rsidRPr="003E3A96" w:rsidRDefault="00782C48" w:rsidP="003E3A96">
            <w:pPr>
              <w:pStyle w:val="AERtabletextleft"/>
            </w:pPr>
            <w:r w:rsidRPr="003E3A96">
              <w:rPr>
                <w:rFonts w:eastAsia="Calibri"/>
              </w:rPr>
              <w:lastRenderedPageBreak/>
              <w:t>Accreditation of alternative service providers and approval of their designs, works and materials</w:t>
            </w:r>
          </w:p>
        </w:tc>
        <w:tc>
          <w:tcPr>
            <w:tcW w:w="6637" w:type="dxa"/>
          </w:tcPr>
          <w:p w:rsidR="00782C48" w:rsidRPr="003E3A96" w:rsidRDefault="00782C48" w:rsidP="003E3A96">
            <w:pPr>
              <w:pStyle w:val="AERtabletextleft"/>
            </w:pPr>
            <w:r w:rsidRPr="003E3A96">
              <w:t>Accreditation of service providers that meet competency criteria.</w:t>
            </w:r>
          </w:p>
          <w:p w:rsidR="00782C48" w:rsidRPr="003E3A96" w:rsidRDefault="00782C48" w:rsidP="003E3A96">
            <w:pPr>
              <w:pStyle w:val="AERtabletextleft"/>
            </w:pPr>
            <w:r w:rsidRPr="003E3A96">
              <w:t>Approval of third party design, works and materials:</w:t>
            </w:r>
          </w:p>
          <w:p w:rsidR="00782C48" w:rsidRPr="003E3A96" w:rsidRDefault="00782C48" w:rsidP="003E3A96">
            <w:pPr>
              <w:pStyle w:val="AERtabletextleft"/>
            </w:pPr>
            <w:r w:rsidRPr="003E3A96">
              <w:t xml:space="preserve">Review, Inspection and Auditing of design and works carried out by an alternative service provider prior to energisation. </w:t>
            </w:r>
          </w:p>
          <w:p w:rsidR="00782C48" w:rsidRPr="003E3A96" w:rsidRDefault="00782C48" w:rsidP="003E3A96">
            <w:pPr>
              <w:pStyle w:val="AERtabletextleft"/>
            </w:pPr>
            <w:r w:rsidRPr="003E3A96">
              <w:rPr>
                <w:rFonts w:eastAsia="Calibri"/>
              </w:rPr>
              <w:t xml:space="preserve">Certification of non-approved materials </w:t>
            </w:r>
            <w:r w:rsidRPr="003E3A96">
              <w:rPr>
                <w:rFonts w:eastAsia="Calibri" w:hint="eastAsia"/>
              </w:rPr>
              <w:t>–</w:t>
            </w:r>
            <w:r w:rsidRPr="003E3A96">
              <w:rPr>
                <w:rFonts w:eastAsia="Calibri"/>
              </w:rPr>
              <w:t xml:space="preserve"> approval of non-approved materials to be used on the network.</w:t>
            </w:r>
          </w:p>
        </w:tc>
        <w:tc>
          <w:tcPr>
            <w:tcW w:w="1971" w:type="dxa"/>
          </w:tcPr>
          <w:p w:rsidR="00782C48" w:rsidRPr="003E3A96" w:rsidRDefault="00782C48" w:rsidP="003E3A96">
            <w:pPr>
              <w:pStyle w:val="AERtabletextleft"/>
              <w:rPr>
                <w:rStyle w:val="AERbody"/>
                <w:sz w:val="20"/>
              </w:rPr>
            </w:pPr>
            <w:r w:rsidRPr="003E3A96">
              <w:rPr>
                <w:rStyle w:val="AERbody"/>
                <w:sz w:val="20"/>
              </w:rPr>
              <w:t>Alternative control</w:t>
            </w:r>
          </w:p>
        </w:tc>
        <w:tc>
          <w:tcPr>
            <w:tcW w:w="1864" w:type="dxa"/>
          </w:tcPr>
          <w:p w:rsidR="00782C48" w:rsidRPr="003E3A96" w:rsidRDefault="00782C48" w:rsidP="003E3A96">
            <w:pPr>
              <w:pStyle w:val="AERtabletextleft"/>
            </w:pPr>
            <w:r w:rsidRPr="003E3A96">
              <w:t>Standard control</w:t>
            </w:r>
          </w:p>
        </w:tc>
      </w:tr>
      <w:tr w:rsidR="00782C48" w:rsidRPr="00E36FB3" w:rsidTr="00D831CC">
        <w:tc>
          <w:tcPr>
            <w:tcW w:w="14032" w:type="dxa"/>
            <w:gridSpan w:val="4"/>
          </w:tcPr>
          <w:p w:rsidR="00782C48" w:rsidRPr="00782C48" w:rsidRDefault="00782C48" w:rsidP="00105FE1">
            <w:pPr>
              <w:pStyle w:val="AERtabletextleft"/>
              <w:rPr>
                <w:rStyle w:val="Strong"/>
              </w:rPr>
            </w:pPr>
            <w:r>
              <w:rPr>
                <w:rStyle w:val="Strong"/>
              </w:rPr>
              <w:t>AER Service group</w:t>
            </w:r>
            <w:r w:rsidRPr="00782C48">
              <w:rPr>
                <w:rStyle w:val="Strong"/>
              </w:rPr>
              <w:t>— Metering services</w:t>
            </w:r>
          </w:p>
        </w:tc>
      </w:tr>
      <w:tr w:rsidR="00A5647A" w:rsidRPr="00E36FB3" w:rsidTr="00D831CC">
        <w:trPr>
          <w:cnfStyle w:val="000000010000" w:firstRow="0" w:lastRow="0" w:firstColumn="0" w:lastColumn="0" w:oddVBand="0" w:evenVBand="0" w:oddHBand="0" w:evenHBand="1" w:firstRowFirstColumn="0" w:firstRowLastColumn="0" w:lastRowFirstColumn="0" w:lastRowLastColumn="0"/>
          <w:trHeight w:val="449"/>
        </w:trPr>
        <w:tc>
          <w:tcPr>
            <w:tcW w:w="3560" w:type="dxa"/>
          </w:tcPr>
          <w:p w:rsidR="00A5647A" w:rsidRPr="00B21B56" w:rsidRDefault="00A5647A" w:rsidP="00CD7E87">
            <w:pPr>
              <w:pStyle w:val="AERtabletextleft"/>
              <w:rPr>
                <w:rStyle w:val="AERtextorange"/>
              </w:rPr>
            </w:pPr>
            <w:r w:rsidRPr="00B21B56">
              <w:rPr>
                <w:rStyle w:val="AERtextorange"/>
              </w:rPr>
              <w:lastRenderedPageBreak/>
              <w:t>Type 5 and 6</w:t>
            </w:r>
            <w:r w:rsidR="00056796">
              <w:rPr>
                <w:rStyle w:val="AERtextorange"/>
              </w:rPr>
              <w:t xml:space="preserve"> meter</w:t>
            </w:r>
            <w:r w:rsidRPr="00B21B56">
              <w:rPr>
                <w:rStyle w:val="AERtextorange"/>
              </w:rPr>
              <w:t xml:space="preserve"> installation</w:t>
            </w:r>
            <w:r w:rsidR="00A91E3B">
              <w:rPr>
                <w:rStyle w:val="AERtextorange"/>
              </w:rPr>
              <w:t xml:space="preserve"> and data services</w:t>
            </w:r>
          </w:p>
        </w:tc>
        <w:tc>
          <w:tcPr>
            <w:tcW w:w="6637" w:type="dxa"/>
          </w:tcPr>
          <w:p w:rsidR="00A5647A" w:rsidRPr="00B21B56" w:rsidRDefault="00A5647A" w:rsidP="00105FE1">
            <w:pPr>
              <w:pStyle w:val="AERtabletextleft"/>
              <w:rPr>
                <w:rStyle w:val="AERtextorange"/>
              </w:rPr>
            </w:pPr>
            <w:r w:rsidRPr="00B21B56">
              <w:rPr>
                <w:rStyle w:val="AERtextorange"/>
              </w:rPr>
              <w:t xml:space="preserve">On site connection of a new meter at a customer's premises, and on site connection of an upgraded meter at a customer's premises where the customer initiates the upgrade. </w:t>
            </w:r>
          </w:p>
          <w:p w:rsidR="00486F2A" w:rsidRDefault="00486F2A" w:rsidP="00105FE1">
            <w:pPr>
              <w:pStyle w:val="AERtabletextleft"/>
              <w:rPr>
                <w:rStyle w:val="AERtextorange"/>
              </w:rPr>
            </w:pPr>
            <w:r w:rsidRPr="00486F2A">
              <w:rPr>
                <w:rStyle w:val="AERtextorange"/>
              </w:rPr>
              <w:t>Load control services provided by a type 5 or 6 meter are grouped with metering services and classified alternative control.</w:t>
            </w:r>
          </w:p>
          <w:p w:rsidR="00A91E3B" w:rsidRPr="00240BE2" w:rsidRDefault="00A91E3B" w:rsidP="00A91E3B">
            <w:pPr>
              <w:pStyle w:val="AERtabletextleft"/>
              <w:rPr>
                <w:rStyle w:val="AERtextorange"/>
              </w:rPr>
            </w:pPr>
            <w:r w:rsidRPr="00A91E3B">
              <w:rPr>
                <w:rStyle w:val="AERtextorange"/>
              </w:rPr>
              <w:t>Metering data services include collection, processing, storage and delivery of metering data, remote or self-reading at difficult to access sites, provision of metering data from previous 2 y</w:t>
            </w:r>
            <w:r w:rsidRPr="00240BE2">
              <w:rPr>
                <w:rStyle w:val="AERtextorange"/>
              </w:rPr>
              <w:t>ears, ongoing provision of metering data.</w:t>
            </w:r>
          </w:p>
          <w:p w:rsidR="00A91E3B" w:rsidRPr="00DE7C39" w:rsidDel="00A5647A" w:rsidRDefault="00A91E3B" w:rsidP="00A91E3B">
            <w:pPr>
              <w:pStyle w:val="AERtabletextleft"/>
              <w:rPr>
                <w:rStyle w:val="AERtextorange"/>
              </w:rPr>
            </w:pPr>
            <w:r w:rsidRPr="00240BE2">
              <w:rPr>
                <w:rStyle w:val="AERtextorange"/>
              </w:rPr>
              <w:t>Meter Data Services provided as part of general obligations as a local network service provider in accordance with the rules.</w:t>
            </w:r>
          </w:p>
        </w:tc>
        <w:tc>
          <w:tcPr>
            <w:tcW w:w="1971" w:type="dxa"/>
          </w:tcPr>
          <w:p w:rsidR="00A5647A" w:rsidRPr="00B21B56" w:rsidRDefault="008F1EB1" w:rsidP="00105FE1">
            <w:pPr>
              <w:pStyle w:val="AERtabletextleft"/>
              <w:rPr>
                <w:rStyle w:val="AERtextorange"/>
              </w:rPr>
            </w:pPr>
            <w:r w:rsidRPr="00B21B56">
              <w:rPr>
                <w:rStyle w:val="AERtextorange"/>
              </w:rPr>
              <w:t>Alternative control</w:t>
            </w:r>
          </w:p>
        </w:tc>
        <w:tc>
          <w:tcPr>
            <w:tcW w:w="1864" w:type="dxa"/>
          </w:tcPr>
          <w:p w:rsidR="00A5647A" w:rsidRPr="00B21B56" w:rsidRDefault="008F1EB1" w:rsidP="00105FE1">
            <w:pPr>
              <w:pStyle w:val="AERtabletextleft"/>
              <w:rPr>
                <w:rStyle w:val="AERtextorange"/>
              </w:rPr>
            </w:pPr>
            <w:r w:rsidRPr="00B21B56">
              <w:rPr>
                <w:rStyle w:val="AERtextorange"/>
              </w:rPr>
              <w:t>Standard control</w:t>
            </w:r>
          </w:p>
        </w:tc>
      </w:tr>
      <w:tr w:rsidR="00782C48" w:rsidRPr="00E36FB3" w:rsidTr="00D831CC">
        <w:trPr>
          <w:trHeight w:val="449"/>
        </w:trPr>
        <w:tc>
          <w:tcPr>
            <w:tcW w:w="3560" w:type="dxa"/>
          </w:tcPr>
          <w:p w:rsidR="00782C48" w:rsidRPr="00B21B56" w:rsidRDefault="00782C48" w:rsidP="00105FE1">
            <w:pPr>
              <w:pStyle w:val="AERtabletextleft"/>
              <w:rPr>
                <w:rStyle w:val="AERtextorange"/>
              </w:rPr>
            </w:pPr>
            <w:r w:rsidRPr="00B21B56">
              <w:rPr>
                <w:rStyle w:val="AERtextorange"/>
              </w:rPr>
              <w:t>Type 5 and 6 metering maintenance, reading and data services</w:t>
            </w:r>
          </w:p>
          <w:p w:rsidR="00782C48" w:rsidRPr="00B21B56" w:rsidRDefault="00782C48" w:rsidP="00105FE1">
            <w:pPr>
              <w:pStyle w:val="AERtabletextleft"/>
              <w:rPr>
                <w:rStyle w:val="AERtextorange"/>
              </w:rPr>
            </w:pPr>
          </w:p>
        </w:tc>
        <w:tc>
          <w:tcPr>
            <w:tcW w:w="6637" w:type="dxa"/>
          </w:tcPr>
          <w:p w:rsidR="00782C48" w:rsidRPr="00B21B56" w:rsidRDefault="00782C48" w:rsidP="00105FE1">
            <w:pPr>
              <w:pStyle w:val="AERtabletextleft"/>
              <w:rPr>
                <w:rStyle w:val="AERtextorange"/>
              </w:rPr>
            </w:pPr>
            <w:r w:rsidRPr="00B21B56">
              <w:rPr>
                <w:rStyle w:val="AERtextorange"/>
              </w:rPr>
              <w:t>Meter maintenance covers scheduled maintenance, meter inspection, removal of meter and meter tampering.</w:t>
            </w:r>
          </w:p>
          <w:p w:rsidR="00782C48" w:rsidRPr="00B21B56" w:rsidRDefault="00782C48" w:rsidP="001554A7">
            <w:pPr>
              <w:pStyle w:val="AERtabletextleft"/>
              <w:rPr>
                <w:rStyle w:val="AERtextorange"/>
              </w:rPr>
            </w:pPr>
            <w:r w:rsidRPr="00B21B56">
              <w:rPr>
                <w:rStyle w:val="AERtextorange"/>
              </w:rPr>
              <w:t>Meter reading refers to quarterly or other regular reading of a meter.</w:t>
            </w:r>
          </w:p>
        </w:tc>
        <w:tc>
          <w:tcPr>
            <w:tcW w:w="1971" w:type="dxa"/>
          </w:tcPr>
          <w:p w:rsidR="00782C48" w:rsidRPr="00B21B56" w:rsidRDefault="00782C48" w:rsidP="00105FE1">
            <w:pPr>
              <w:pStyle w:val="AERtabletextleft"/>
              <w:rPr>
                <w:rStyle w:val="AERtextorange"/>
              </w:rPr>
            </w:pPr>
            <w:r w:rsidRPr="00B21B56">
              <w:rPr>
                <w:rStyle w:val="AERtextorange"/>
              </w:rPr>
              <w:t>Alternative control</w:t>
            </w:r>
          </w:p>
        </w:tc>
        <w:tc>
          <w:tcPr>
            <w:tcW w:w="1864" w:type="dxa"/>
          </w:tcPr>
          <w:p w:rsidR="00782C48" w:rsidRPr="00B21B56" w:rsidRDefault="00782C48" w:rsidP="00105FE1">
            <w:pPr>
              <w:pStyle w:val="AERtabletextleft"/>
              <w:rPr>
                <w:rStyle w:val="AERtextorange"/>
              </w:rPr>
            </w:pPr>
            <w:r w:rsidRPr="00B21B56">
              <w:rPr>
                <w:rStyle w:val="AERtextorange"/>
              </w:rPr>
              <w:t xml:space="preserve">Standard control </w:t>
            </w:r>
          </w:p>
        </w:tc>
      </w:tr>
      <w:tr w:rsidR="00D831CC" w:rsidRPr="00E36FB3" w:rsidTr="00D831CC">
        <w:trPr>
          <w:cnfStyle w:val="000000010000" w:firstRow="0" w:lastRow="0" w:firstColumn="0" w:lastColumn="0" w:oddVBand="0" w:evenVBand="0" w:oddHBand="0" w:evenHBand="1" w:firstRowFirstColumn="0" w:firstRowLastColumn="0" w:lastRowFirstColumn="0" w:lastRowLastColumn="0"/>
        </w:trPr>
        <w:tc>
          <w:tcPr>
            <w:tcW w:w="3560" w:type="dxa"/>
          </w:tcPr>
          <w:p w:rsidR="00D831CC" w:rsidRPr="00D831CC" w:rsidRDefault="00D831CC" w:rsidP="00255957">
            <w:pPr>
              <w:rPr>
                <w:rStyle w:val="AERtextorange"/>
              </w:rPr>
            </w:pPr>
            <w:r w:rsidRPr="00D831CC">
              <w:rPr>
                <w:rStyle w:val="AERtextorange"/>
              </w:rPr>
              <w:t>Types 5 and 6 meter provision (before 1 July 2015)</w:t>
            </w:r>
          </w:p>
        </w:tc>
        <w:tc>
          <w:tcPr>
            <w:tcW w:w="6637" w:type="dxa"/>
          </w:tcPr>
          <w:p w:rsidR="00D831CC" w:rsidRPr="00D831CC" w:rsidRDefault="00D831CC" w:rsidP="00255957">
            <w:pPr>
              <w:rPr>
                <w:rStyle w:val="AERtextorange"/>
              </w:rPr>
            </w:pPr>
            <w:r w:rsidRPr="00D831CC">
              <w:rPr>
                <w:rStyle w:val="AERtextorange"/>
              </w:rPr>
              <w:t>By charging for this service, distributors may recover the capital cost of types 5 and 6 metering equipment (including meters with internally integrated load control devices) installed before 1 July 2015.</w:t>
            </w:r>
          </w:p>
        </w:tc>
        <w:tc>
          <w:tcPr>
            <w:tcW w:w="1971" w:type="dxa"/>
          </w:tcPr>
          <w:p w:rsidR="00D831CC" w:rsidRPr="00D831CC" w:rsidRDefault="00D831CC" w:rsidP="00255957">
            <w:pPr>
              <w:rPr>
                <w:rStyle w:val="AERtextorange"/>
              </w:rPr>
            </w:pPr>
            <w:r w:rsidRPr="00D831CC">
              <w:rPr>
                <w:rStyle w:val="AERtextorange"/>
              </w:rPr>
              <w:t>Alternative control</w:t>
            </w:r>
          </w:p>
        </w:tc>
        <w:tc>
          <w:tcPr>
            <w:tcW w:w="1864" w:type="dxa"/>
          </w:tcPr>
          <w:p w:rsidR="00D831CC" w:rsidRPr="00D831CC" w:rsidRDefault="00D831CC" w:rsidP="00255957">
            <w:pPr>
              <w:rPr>
                <w:rStyle w:val="AERtextorange"/>
              </w:rPr>
            </w:pPr>
            <w:r w:rsidRPr="00D831CC">
              <w:rPr>
                <w:rStyle w:val="AERtextorange"/>
              </w:rPr>
              <w:t>Standard control</w:t>
            </w:r>
          </w:p>
        </w:tc>
      </w:tr>
      <w:tr w:rsidR="00D831CC" w:rsidRPr="00E36FB3" w:rsidTr="00D831CC">
        <w:tc>
          <w:tcPr>
            <w:tcW w:w="3560" w:type="dxa"/>
          </w:tcPr>
          <w:p w:rsidR="00D831CC" w:rsidRPr="00D831CC" w:rsidRDefault="00D831CC" w:rsidP="00255957">
            <w:pPr>
              <w:rPr>
                <w:rStyle w:val="AERtextorange"/>
              </w:rPr>
            </w:pPr>
            <w:r w:rsidRPr="00D831CC">
              <w:rPr>
                <w:rStyle w:val="AERtextorange"/>
              </w:rPr>
              <w:t>Types 5 and 6 meter provision (after 1 July 2015)</w:t>
            </w:r>
          </w:p>
        </w:tc>
        <w:tc>
          <w:tcPr>
            <w:tcW w:w="6637" w:type="dxa"/>
          </w:tcPr>
          <w:p w:rsidR="00D831CC" w:rsidRPr="00D831CC" w:rsidRDefault="00D831CC" w:rsidP="00255957">
            <w:pPr>
              <w:rPr>
                <w:rStyle w:val="AERtextorange"/>
              </w:rPr>
            </w:pPr>
            <w:r w:rsidRPr="00D831CC">
              <w:rPr>
                <w:rStyle w:val="AERtextorange"/>
              </w:rPr>
              <w:t>By charging for this service, distributors may recover the capital cost of types 5 and 6 metering equipment (including meters with internally integrated load control devices) installed on or after 1 July 2015.</w:t>
            </w:r>
          </w:p>
        </w:tc>
        <w:tc>
          <w:tcPr>
            <w:tcW w:w="1971" w:type="dxa"/>
          </w:tcPr>
          <w:p w:rsidR="00D831CC" w:rsidRPr="00D831CC" w:rsidRDefault="00D831CC" w:rsidP="00255957">
            <w:pPr>
              <w:rPr>
                <w:rStyle w:val="AERtextorange"/>
              </w:rPr>
            </w:pPr>
            <w:r w:rsidRPr="00D831CC">
              <w:rPr>
                <w:rStyle w:val="AERtextorange"/>
              </w:rPr>
              <w:t>Alternative control</w:t>
            </w:r>
          </w:p>
        </w:tc>
        <w:tc>
          <w:tcPr>
            <w:tcW w:w="1864" w:type="dxa"/>
          </w:tcPr>
          <w:p w:rsidR="00D831CC" w:rsidRPr="00D831CC" w:rsidRDefault="00D831CC" w:rsidP="00255957">
            <w:pPr>
              <w:rPr>
                <w:rStyle w:val="AERtextorange"/>
              </w:rPr>
            </w:pPr>
            <w:r w:rsidRPr="00D831CC">
              <w:rPr>
                <w:rStyle w:val="AERtextorange"/>
              </w:rPr>
              <w:t>Standard control</w:t>
            </w:r>
          </w:p>
        </w:tc>
      </w:tr>
      <w:tr w:rsidR="001261BF" w:rsidRPr="00E36FB3" w:rsidTr="00D831CC">
        <w:trPr>
          <w:cnfStyle w:val="000000010000" w:firstRow="0" w:lastRow="0" w:firstColumn="0" w:lastColumn="0" w:oddVBand="0" w:evenVBand="0" w:oddHBand="0" w:evenHBand="1" w:firstRowFirstColumn="0" w:firstRowLastColumn="0" w:lastRowFirstColumn="0" w:lastRowLastColumn="0"/>
        </w:trPr>
        <w:tc>
          <w:tcPr>
            <w:tcW w:w="3560" w:type="dxa"/>
          </w:tcPr>
          <w:p w:rsidR="00782C48" w:rsidRPr="00BE4CCB" w:rsidRDefault="00782C48" w:rsidP="00105FE1">
            <w:pPr>
              <w:pStyle w:val="AERtabletextleft"/>
            </w:pPr>
            <w:r w:rsidRPr="00BE4CCB">
              <w:lastRenderedPageBreak/>
              <w:t>Type 7 metering services</w:t>
            </w:r>
          </w:p>
        </w:tc>
        <w:tc>
          <w:tcPr>
            <w:tcW w:w="6637" w:type="dxa"/>
          </w:tcPr>
          <w:p w:rsidR="00782C48" w:rsidRPr="00BE4CCB" w:rsidRDefault="00782C48" w:rsidP="00105FE1">
            <w:pPr>
              <w:pStyle w:val="AERtabletextleft"/>
            </w:pPr>
            <w:r w:rsidRPr="00BE4CCB">
              <w:t>Administration and management of type 7 metering installations in accordance with the Rules and jurisdictional requirements. Includes the processing and delivery of calculated metering data for unmetered loads, and the population and maintenance of load tables, inventory tables and on/off tables.</w:t>
            </w:r>
          </w:p>
        </w:tc>
        <w:tc>
          <w:tcPr>
            <w:tcW w:w="1971" w:type="dxa"/>
          </w:tcPr>
          <w:p w:rsidR="00782C48" w:rsidRPr="00BE4CCB" w:rsidRDefault="00782C48" w:rsidP="00105FE1">
            <w:pPr>
              <w:pStyle w:val="AERtabletextleft"/>
            </w:pPr>
            <w:r w:rsidRPr="00BE4CCB">
              <w:t>Standard control</w:t>
            </w:r>
          </w:p>
        </w:tc>
        <w:tc>
          <w:tcPr>
            <w:tcW w:w="1864" w:type="dxa"/>
          </w:tcPr>
          <w:p w:rsidR="00782C48" w:rsidRPr="00BE4CCB" w:rsidRDefault="00782C48" w:rsidP="00105FE1">
            <w:pPr>
              <w:pStyle w:val="AERtabletextleft"/>
            </w:pPr>
            <w:r w:rsidRPr="00BE4CCB">
              <w:t>Standard control</w:t>
            </w:r>
          </w:p>
        </w:tc>
      </w:tr>
      <w:tr w:rsidR="000B393F" w:rsidRPr="00E36FB3" w:rsidTr="00D831CC">
        <w:tc>
          <w:tcPr>
            <w:tcW w:w="3560" w:type="dxa"/>
          </w:tcPr>
          <w:p w:rsidR="00782C48" w:rsidRPr="002063B3" w:rsidRDefault="00782C48" w:rsidP="00DF5237">
            <w:pPr>
              <w:pStyle w:val="AERtabletextleft"/>
            </w:pPr>
            <w:r w:rsidRPr="002063B3">
              <w:t>Auxiliary metering services</w:t>
            </w:r>
          </w:p>
        </w:tc>
        <w:tc>
          <w:tcPr>
            <w:tcW w:w="6637" w:type="dxa"/>
          </w:tcPr>
          <w:p w:rsidR="00782C48" w:rsidRPr="002063B3" w:rsidRDefault="00782C48" w:rsidP="00DF5237">
            <w:pPr>
              <w:pStyle w:val="AERtabletextleft"/>
            </w:pPr>
            <w:r w:rsidRPr="002063B3">
              <w:t>Off-cycle meter read, including:</w:t>
            </w:r>
          </w:p>
          <w:p w:rsidR="00782C48" w:rsidRPr="00782C48" w:rsidRDefault="00782C48" w:rsidP="005B2537">
            <w:pPr>
              <w:pStyle w:val="AERquotebullet1"/>
            </w:pPr>
            <w:r>
              <w:t>s</w:t>
            </w:r>
            <w:r w:rsidRPr="00782C48">
              <w:t>pecial meter reads</w:t>
            </w:r>
          </w:p>
          <w:p w:rsidR="00782C48" w:rsidRPr="00782C48" w:rsidRDefault="00782C48" w:rsidP="005B2537">
            <w:pPr>
              <w:pStyle w:val="AERquotebullet1"/>
            </w:pPr>
            <w:r>
              <w:t>m</w:t>
            </w:r>
            <w:r w:rsidRPr="00782C48">
              <w:t>ove in move out meter reads</w:t>
            </w:r>
          </w:p>
          <w:p w:rsidR="00782C48" w:rsidRPr="00782C48" w:rsidRDefault="00782C48" w:rsidP="005B2537">
            <w:pPr>
              <w:pStyle w:val="AERquotebullet1"/>
            </w:pPr>
            <w:r>
              <w:t>c</w:t>
            </w:r>
            <w:r w:rsidRPr="00782C48">
              <w:t>heck read – check the accuracy of the meter reading.</w:t>
            </w:r>
          </w:p>
          <w:p w:rsidR="00782C48" w:rsidRPr="002063B3" w:rsidRDefault="00782C48" w:rsidP="00DF5237">
            <w:pPr>
              <w:pStyle w:val="AERtabletextleft"/>
            </w:pPr>
            <w:r w:rsidRPr="002063B3">
              <w:t>Tes</w:t>
            </w:r>
            <w:r>
              <w:t>ting for type 5 and 6 metering installations - c</w:t>
            </w:r>
            <w:r w:rsidRPr="002063B3">
              <w:t>ustomer requested meter accuracy testing.</w:t>
            </w:r>
          </w:p>
          <w:p w:rsidR="00782C48" w:rsidRPr="002063B3" w:rsidRDefault="00782C48" w:rsidP="00DF5237">
            <w:pPr>
              <w:pStyle w:val="AERtabletextleft"/>
            </w:pPr>
            <w:r w:rsidRPr="002063B3">
              <w:t>Meter inspection and investigation – a request to conduct a site review of the state of the customer’s metering installation without physically testing the metering equipment</w:t>
            </w:r>
            <w:r>
              <w:t>.</w:t>
            </w:r>
          </w:p>
          <w:p w:rsidR="00782C48" w:rsidRPr="002063B3" w:rsidRDefault="00782C48" w:rsidP="00DF5237">
            <w:pPr>
              <w:pStyle w:val="AERtabletextleft"/>
            </w:pPr>
            <w:r w:rsidRPr="002063B3">
              <w:t>Alterations and additions to curren</w:t>
            </w:r>
            <w:r>
              <w:t>t metering equipment, includes:</w:t>
            </w:r>
            <w:r w:rsidRPr="002063B3">
              <w:t xml:space="preserve"> </w:t>
            </w:r>
          </w:p>
          <w:p w:rsidR="00782C48" w:rsidRPr="00782C48" w:rsidRDefault="00782C48" w:rsidP="005B2537">
            <w:pPr>
              <w:pStyle w:val="AERquotebullet1"/>
            </w:pPr>
            <w:r>
              <w:t>m</w:t>
            </w:r>
            <w:r w:rsidRPr="00782C48">
              <w:t>eter alteration – meter is being relocated or meter wiring altered and requires DNSP to visit site to verify the integrity of the metering equipment</w:t>
            </w:r>
          </w:p>
          <w:p w:rsidR="00782C48" w:rsidRPr="00782C48" w:rsidRDefault="00782C48" w:rsidP="005B2537">
            <w:pPr>
              <w:pStyle w:val="AERquotebullet1"/>
            </w:pPr>
            <w:r>
              <w:t>e</w:t>
            </w:r>
            <w:r w:rsidRPr="00782C48">
              <w:t xml:space="preserve">xchange meter – customer requests exchange of their current meter (e.g. for alternative metering configuration/consolidation of multiple meters for </w:t>
            </w:r>
            <w:r w:rsidRPr="00782C48">
              <w:lastRenderedPageBreak/>
              <w:t>one meter), or customer requests exchange of their current meter for a solar PV meter.</w:t>
            </w:r>
          </w:p>
          <w:p w:rsidR="00782C48" w:rsidRPr="002063B3" w:rsidRDefault="00782C48" w:rsidP="00DF5237">
            <w:pPr>
              <w:pStyle w:val="AERtabletextleft"/>
            </w:pPr>
            <w:r>
              <w:t>P</w:t>
            </w:r>
            <w:r w:rsidRPr="00433CCC">
              <w:t>rovision, installation, testing and maintenance of instrument transformers for metering purposes</w:t>
            </w:r>
            <w:r>
              <w:t>.</w:t>
            </w:r>
          </w:p>
          <w:p w:rsidR="00782C48" w:rsidRPr="002063B3" w:rsidRDefault="00782C48" w:rsidP="00DF5237">
            <w:pPr>
              <w:pStyle w:val="AERtabletextleft"/>
            </w:pPr>
            <w:r w:rsidRPr="002063B3">
              <w:t>Type</w:t>
            </w:r>
            <w:r>
              <w:t xml:space="preserve"> 5 to </w:t>
            </w:r>
            <w:r w:rsidRPr="002063B3">
              <w:t>7 non-</w:t>
            </w:r>
            <w:r>
              <w:t>standard metering services.</w:t>
            </w:r>
          </w:p>
          <w:p w:rsidR="00782C48" w:rsidRPr="002063B3" w:rsidRDefault="00782C48" w:rsidP="00DF5237">
            <w:pPr>
              <w:pStyle w:val="AERtabletextleft"/>
            </w:pPr>
            <w:r w:rsidRPr="002063B3">
              <w:t xml:space="preserve">Replacement or removal of a type 5 or 6 meter instigated by a customer switching to a non-type 5 or 6 meter that </w:t>
            </w:r>
            <w:r>
              <w:t>is not covered by any other fee.</w:t>
            </w:r>
          </w:p>
          <w:p w:rsidR="00782C48" w:rsidRPr="002063B3" w:rsidRDefault="00782C48" w:rsidP="00DF5237">
            <w:pPr>
              <w:pStyle w:val="AERtabletextleft"/>
            </w:pPr>
            <w:r w:rsidRPr="002063B3">
              <w:t>Meter re-seal – where the customer has caused the meter to need re-sealing (e.g. by having electrical work done on site)</w:t>
            </w:r>
            <w:r>
              <w:t>.</w:t>
            </w:r>
          </w:p>
          <w:p w:rsidR="00782C48" w:rsidRPr="002063B3" w:rsidRDefault="00782C48" w:rsidP="00DF5237">
            <w:pPr>
              <w:pStyle w:val="AERtabletextleft"/>
            </w:pPr>
            <w:r w:rsidRPr="002063B3">
              <w:t>Install additional meterin</w:t>
            </w:r>
            <w:r>
              <w:t>g.</w:t>
            </w:r>
          </w:p>
          <w:p w:rsidR="00782C48" w:rsidRPr="002063B3" w:rsidRDefault="00782C48" w:rsidP="00DF5237">
            <w:pPr>
              <w:pStyle w:val="AERtabletextleft"/>
            </w:pPr>
            <w:r>
              <w:t>Reconfigure meter.</w:t>
            </w:r>
          </w:p>
          <w:p w:rsidR="00782C48" w:rsidRPr="002063B3" w:rsidRDefault="00782C48" w:rsidP="00DF5237">
            <w:pPr>
              <w:pStyle w:val="AERtabletextleft"/>
            </w:pPr>
            <w:r>
              <w:t>Meter e</w:t>
            </w:r>
            <w:r w:rsidRPr="002063B3">
              <w:t xml:space="preserve">xit </w:t>
            </w:r>
            <w:r>
              <w:t>fee – recovery of stranded asset</w:t>
            </w:r>
            <w:r w:rsidRPr="002063B3">
              <w:t xml:space="preserve"> costs assoc</w:t>
            </w:r>
            <w:r>
              <w:t>iated with the removal of a meter(</w:t>
            </w:r>
            <w:r w:rsidRPr="002063B3">
              <w:t>s</w:t>
            </w:r>
            <w:r>
              <w:t>)</w:t>
            </w:r>
            <w:r w:rsidRPr="002063B3">
              <w:t xml:space="preserve"> from customer’s </w:t>
            </w:r>
            <w:r>
              <w:t>premises before the end of its</w:t>
            </w:r>
            <w:r w:rsidRPr="002063B3">
              <w:t xml:space="preserve"> useful life at the request of the customer (or customer’s retailer) due to a change in Responsi</w:t>
            </w:r>
            <w:r>
              <w:t>ble Person / Meter Coordinator.</w:t>
            </w:r>
          </w:p>
          <w:p w:rsidR="00782C48" w:rsidRDefault="00782C48" w:rsidP="00DF5237">
            <w:pPr>
              <w:pStyle w:val="AERtabletextleft"/>
            </w:pPr>
            <w:r>
              <w:t>Install metering related load control.</w:t>
            </w:r>
          </w:p>
          <w:p w:rsidR="00782C48" w:rsidRDefault="00782C48" w:rsidP="00DF5237">
            <w:pPr>
              <w:pStyle w:val="AERtabletextleft"/>
            </w:pPr>
            <w:r w:rsidRPr="002063B3">
              <w:t>Remove lo</w:t>
            </w:r>
            <w:r>
              <w:t>ad</w:t>
            </w:r>
            <w:r w:rsidRPr="002063B3">
              <w:t xml:space="preserve"> control relay or time clock</w:t>
            </w:r>
            <w:r>
              <w:t>.</w:t>
            </w:r>
          </w:p>
          <w:p w:rsidR="00782C48" w:rsidRPr="002063B3" w:rsidRDefault="00782C48" w:rsidP="00DF5237">
            <w:pPr>
              <w:pStyle w:val="AERtabletextleft"/>
            </w:pPr>
            <w:r>
              <w:t>Change load control relay channel at retailer, customer or other third party request, that is not a part of initial load control installation, nor part of standard asset maintenance or replacement.</w:t>
            </w:r>
          </w:p>
        </w:tc>
        <w:tc>
          <w:tcPr>
            <w:tcW w:w="1971" w:type="dxa"/>
          </w:tcPr>
          <w:p w:rsidR="00782C48" w:rsidRPr="002063B3" w:rsidRDefault="00782C48" w:rsidP="00DF5237">
            <w:pPr>
              <w:pStyle w:val="AERtabletextleft"/>
            </w:pPr>
            <w:r w:rsidRPr="002063B3">
              <w:lastRenderedPageBreak/>
              <w:t>Alternative control</w:t>
            </w:r>
          </w:p>
        </w:tc>
        <w:tc>
          <w:tcPr>
            <w:tcW w:w="1864" w:type="dxa"/>
          </w:tcPr>
          <w:p w:rsidR="00782C48" w:rsidRPr="002063B3" w:rsidRDefault="00782C48" w:rsidP="00DF5237">
            <w:pPr>
              <w:pStyle w:val="AERtabletextleft"/>
            </w:pPr>
            <w:r w:rsidRPr="002063B3">
              <w:t>Alternative control</w:t>
            </w:r>
          </w:p>
        </w:tc>
      </w:tr>
      <w:tr w:rsidR="00782C48" w:rsidRPr="00E36FB3" w:rsidTr="00D831CC">
        <w:trPr>
          <w:cnfStyle w:val="000000010000" w:firstRow="0" w:lastRow="0" w:firstColumn="0" w:lastColumn="0" w:oddVBand="0" w:evenVBand="0" w:oddHBand="0" w:evenHBand="1" w:firstRowFirstColumn="0" w:firstRowLastColumn="0" w:lastRowFirstColumn="0" w:lastRowLastColumn="0"/>
          <w:trHeight w:val="591"/>
        </w:trPr>
        <w:tc>
          <w:tcPr>
            <w:tcW w:w="14032" w:type="dxa"/>
            <w:gridSpan w:val="4"/>
          </w:tcPr>
          <w:p w:rsidR="00782C48" w:rsidRPr="00782C48" w:rsidRDefault="00782C48" w:rsidP="00105FE1">
            <w:pPr>
              <w:pStyle w:val="AERtabletextleft"/>
              <w:rPr>
                <w:rStyle w:val="Strong"/>
              </w:rPr>
            </w:pPr>
            <w:r w:rsidRPr="00AF272E">
              <w:rPr>
                <w:rStyle w:val="Strong"/>
              </w:rPr>
              <w:lastRenderedPageBreak/>
              <w:t>AER Service group— Ancillary network services</w:t>
            </w:r>
          </w:p>
        </w:tc>
      </w:tr>
      <w:tr w:rsidR="000B393F" w:rsidRPr="00E36FB3" w:rsidTr="00D831CC">
        <w:trPr>
          <w:trHeight w:val="719"/>
        </w:trPr>
        <w:tc>
          <w:tcPr>
            <w:tcW w:w="3560" w:type="dxa"/>
          </w:tcPr>
          <w:p w:rsidR="00782C48" w:rsidRPr="00A361BD" w:rsidRDefault="00782C48" w:rsidP="00555A0C">
            <w:pPr>
              <w:pStyle w:val="AERtabletextleft"/>
            </w:pPr>
            <w:r w:rsidRPr="00417CEC">
              <w:t>Services provided in relation to a Retailer of Last Resort (ROLR) event</w:t>
            </w:r>
          </w:p>
        </w:tc>
        <w:tc>
          <w:tcPr>
            <w:tcW w:w="6637" w:type="dxa"/>
          </w:tcPr>
          <w:p w:rsidR="00782C48" w:rsidRPr="00B02852" w:rsidRDefault="00782C48" w:rsidP="00555A0C">
            <w:pPr>
              <w:pStyle w:val="AERtabletextleft"/>
            </w:pPr>
            <w:r w:rsidRPr="00B02852">
              <w:t>Distributors may be required to perform a number of services as a distributor when a ROLR event occurs. These include:</w:t>
            </w:r>
          </w:p>
          <w:p w:rsidR="00782C48" w:rsidRPr="00AE651B" w:rsidRDefault="00782C48" w:rsidP="00555A0C">
            <w:pPr>
              <w:pStyle w:val="AERtabletextleft"/>
            </w:pPr>
            <w:r w:rsidRPr="00B02852">
              <w:t>Preparing lists of affected sites, and reconciling data with A</w:t>
            </w:r>
            <w:r>
              <w:t xml:space="preserve">ustralian </w:t>
            </w:r>
            <w:r w:rsidRPr="00B02852">
              <w:t>E</w:t>
            </w:r>
            <w:r>
              <w:t xml:space="preserve">nergy </w:t>
            </w:r>
            <w:r w:rsidRPr="00B02852">
              <w:t>M</w:t>
            </w:r>
            <w:r>
              <w:t xml:space="preserve">arket </w:t>
            </w:r>
            <w:r w:rsidRPr="00B02852">
              <w:t>O</w:t>
            </w:r>
            <w:r>
              <w:t>perator</w:t>
            </w:r>
            <w:r w:rsidRPr="00B02852">
              <w:t xml:space="preserve"> listings; handling in-flight transfers; identifying open service orders raised by the failed retailer and determining actions to be taken in relation to those service orders; arranging estimate reads for the date of the ROLR event and providing data for final NUOS bills in relation to affected customers; preparing final invoices for NUOS and miscellaneous charges for affected customers; preparing final debt statements; extracting customer data, providing it to the ROLR and handling subsequent enquiries; handling adjustments that arise from the use </w:t>
            </w:r>
            <w:r>
              <w:t>of estimate reads;</w:t>
            </w:r>
            <w:r w:rsidRPr="00B02852">
              <w:t xml:space="preserve"> assisting the retailer with the provision of network tariffs to be applied and the customer move in process; administration of any 'ROLR cost recovery scheme distributor payment determination'.</w:t>
            </w:r>
          </w:p>
        </w:tc>
        <w:tc>
          <w:tcPr>
            <w:tcW w:w="1971" w:type="dxa"/>
          </w:tcPr>
          <w:p w:rsidR="00782C48" w:rsidRPr="00C8618D" w:rsidRDefault="00782C48" w:rsidP="00555A0C">
            <w:pPr>
              <w:pStyle w:val="AERtabletextleft"/>
            </w:pPr>
            <w:r>
              <w:t>Alternative control</w:t>
            </w:r>
          </w:p>
        </w:tc>
        <w:tc>
          <w:tcPr>
            <w:tcW w:w="1864" w:type="dxa"/>
          </w:tcPr>
          <w:p w:rsidR="00782C48" w:rsidRPr="00C8618D" w:rsidRDefault="00782C48" w:rsidP="00555A0C">
            <w:pPr>
              <w:pStyle w:val="AERtabletextleft"/>
            </w:pPr>
            <w:r>
              <w:t>Not currently classified</w:t>
            </w:r>
          </w:p>
        </w:tc>
      </w:tr>
      <w:tr w:rsidR="001261BF" w:rsidRPr="00E36FB3" w:rsidTr="00D831CC">
        <w:trPr>
          <w:cnfStyle w:val="000000010000" w:firstRow="0" w:lastRow="0" w:firstColumn="0" w:lastColumn="0" w:oddVBand="0" w:evenVBand="0" w:oddHBand="0" w:evenHBand="1" w:firstRowFirstColumn="0" w:firstRowLastColumn="0" w:lastRowFirstColumn="0" w:lastRowLastColumn="0"/>
          <w:trHeight w:val="573"/>
        </w:trPr>
        <w:tc>
          <w:tcPr>
            <w:tcW w:w="3560" w:type="dxa"/>
          </w:tcPr>
          <w:p w:rsidR="00782C48" w:rsidRPr="00782C48" w:rsidRDefault="00782C48" w:rsidP="00105FE1">
            <w:pPr>
              <w:pStyle w:val="AERtabletextleft"/>
            </w:pPr>
            <w:r w:rsidRPr="00AF272E">
              <w:t>Other recoverable works</w:t>
            </w:r>
          </w:p>
        </w:tc>
        <w:tc>
          <w:tcPr>
            <w:tcW w:w="6637" w:type="dxa"/>
          </w:tcPr>
          <w:p w:rsidR="00782C48" w:rsidRPr="00782C48" w:rsidRDefault="00782C48" w:rsidP="002C4834">
            <w:pPr>
              <w:pStyle w:val="AERtabletextleft"/>
            </w:pPr>
            <w:r w:rsidRPr="00782C48">
              <w:t>Works initiated by a customer, which are not covered by another service and are not required for the efficient management of the network, or to satisfy distributor purposes or obligations. Includes:</w:t>
            </w:r>
          </w:p>
          <w:p w:rsidR="00782C48" w:rsidRPr="00782C48" w:rsidRDefault="00782C48" w:rsidP="002C4834">
            <w:pPr>
              <w:pStyle w:val="AERtabletextleft"/>
            </w:pPr>
            <w:r w:rsidRPr="00AF272E">
              <w:t>Customer requests provision of electricity network data requiring customised investigation, analysis or technical input (e.g. requests for pole assess information and zone substation data).</w:t>
            </w:r>
          </w:p>
          <w:p w:rsidR="00782C48" w:rsidRPr="00782C48" w:rsidRDefault="00782C48" w:rsidP="002C4834">
            <w:pPr>
              <w:pStyle w:val="AERtabletextleft"/>
            </w:pPr>
            <w:r w:rsidRPr="00AF272E">
              <w:t xml:space="preserve">Bundling of cables carried out at the </w:t>
            </w:r>
            <w:r w:rsidRPr="00782C48">
              <w:t>request of another party.</w:t>
            </w:r>
          </w:p>
          <w:p w:rsidR="00782C48" w:rsidRPr="00782C48" w:rsidRDefault="00782C48" w:rsidP="002C4834">
            <w:pPr>
              <w:pStyle w:val="AERtabletextleft"/>
            </w:pPr>
            <w:r w:rsidRPr="00AF272E">
              <w:lastRenderedPageBreak/>
              <w:t>Provision of services, other than standard connection, for approved unmetered equipment, public telephones, traffic lights and public BBQs.</w:t>
            </w:r>
          </w:p>
          <w:p w:rsidR="00782C48" w:rsidRPr="00782C48" w:rsidRDefault="00782C48" w:rsidP="002C4834">
            <w:pPr>
              <w:pStyle w:val="AERtabletextleft"/>
            </w:pPr>
            <w:r w:rsidRPr="00AF272E">
              <w:t>Customer requested appointments.</w:t>
            </w:r>
          </w:p>
          <w:p w:rsidR="00782C48" w:rsidRPr="00782C48" w:rsidRDefault="00782C48" w:rsidP="002C4834">
            <w:pPr>
              <w:pStyle w:val="AERtabletextleft"/>
            </w:pPr>
            <w:r w:rsidRPr="00AF272E">
              <w:t>Attendance at customer</w:t>
            </w:r>
            <w:r w:rsidRPr="00782C48">
              <w:t>'s premises to perform a statutory right where access is prevented.</w:t>
            </w:r>
          </w:p>
          <w:p w:rsidR="00782C48" w:rsidRPr="00782C48" w:rsidRDefault="00782C48" w:rsidP="002C4834">
            <w:pPr>
              <w:pStyle w:val="AERtabletextleft"/>
            </w:pPr>
            <w:r w:rsidRPr="00AF272E">
              <w:t xml:space="preserve">Rearrangement of </w:t>
            </w:r>
            <w:r w:rsidRPr="00782C48">
              <w:t>network assets (other than connection assets).</w:t>
            </w:r>
          </w:p>
          <w:p w:rsidR="00782C48" w:rsidRPr="00782C48" w:rsidRDefault="00782C48" w:rsidP="002C4834">
            <w:pPr>
              <w:pStyle w:val="AERtabletextleft"/>
            </w:pPr>
            <w:r w:rsidRPr="00AF272E">
              <w:t>Conversion to aerial bundled cables.</w:t>
            </w:r>
          </w:p>
          <w:p w:rsidR="00782C48" w:rsidRPr="00782C48" w:rsidRDefault="00782C48" w:rsidP="002C4834">
            <w:pPr>
              <w:pStyle w:val="AERtabletextleft"/>
            </w:pPr>
            <w:r w:rsidRPr="00AF272E">
              <w:t>Aerial markers</w:t>
            </w:r>
            <w:r w:rsidRPr="00782C48">
              <w:t>.</w:t>
            </w:r>
          </w:p>
          <w:p w:rsidR="00782C48" w:rsidRPr="00782C48" w:rsidRDefault="00782C48" w:rsidP="002C4834">
            <w:pPr>
              <w:pStyle w:val="AERtabletextleft"/>
            </w:pPr>
            <w:r>
              <w:t>Installation of covers on service lines (tiger tails).</w:t>
            </w:r>
          </w:p>
          <w:p w:rsidR="00782C48" w:rsidRPr="00782C48" w:rsidRDefault="00782C48" w:rsidP="002C4834">
            <w:pPr>
              <w:pStyle w:val="AERtabletextleft"/>
            </w:pPr>
            <w:r w:rsidRPr="00AF272E">
              <w:t xml:space="preserve">Assessment of parallel generator </w:t>
            </w:r>
            <w:r w:rsidRPr="00782C48">
              <w:t>applications.</w:t>
            </w:r>
          </w:p>
          <w:p w:rsidR="00782C48" w:rsidRPr="00782C48" w:rsidRDefault="00782C48" w:rsidP="002C4834">
            <w:pPr>
              <w:pStyle w:val="AERtabletextleft"/>
            </w:pPr>
            <w:r w:rsidRPr="00AF272E">
              <w:t>Witness testing.</w:t>
            </w:r>
          </w:p>
        </w:tc>
        <w:tc>
          <w:tcPr>
            <w:tcW w:w="1971" w:type="dxa"/>
          </w:tcPr>
          <w:p w:rsidR="00782C48" w:rsidRPr="00782C48" w:rsidRDefault="00782C48" w:rsidP="002C4834">
            <w:pPr>
              <w:pStyle w:val="AERtabletextleft"/>
            </w:pPr>
            <w:r w:rsidRPr="00B41C93">
              <w:lastRenderedPageBreak/>
              <w:t>Alternative control</w:t>
            </w:r>
          </w:p>
        </w:tc>
        <w:tc>
          <w:tcPr>
            <w:tcW w:w="1864" w:type="dxa"/>
          </w:tcPr>
          <w:p w:rsidR="00782C48" w:rsidRPr="00782C48" w:rsidRDefault="00782C48" w:rsidP="002C4834">
            <w:pPr>
              <w:pStyle w:val="AERtabletextleft"/>
            </w:pPr>
            <w:r w:rsidRPr="00B41C93">
              <w:t>Alternative control</w:t>
            </w:r>
          </w:p>
        </w:tc>
      </w:tr>
      <w:tr w:rsidR="00782C48" w:rsidRPr="00E36FB3" w:rsidTr="00D831CC">
        <w:trPr>
          <w:trHeight w:val="711"/>
        </w:trPr>
        <w:tc>
          <w:tcPr>
            <w:tcW w:w="14032" w:type="dxa"/>
            <w:gridSpan w:val="4"/>
          </w:tcPr>
          <w:p w:rsidR="00782C48" w:rsidRPr="00782C48" w:rsidRDefault="00782C48" w:rsidP="002C4834">
            <w:pPr>
              <w:pStyle w:val="AERtabletextleft"/>
              <w:rPr>
                <w:rStyle w:val="Strong"/>
              </w:rPr>
            </w:pPr>
            <w:r>
              <w:rPr>
                <w:rStyle w:val="Strong"/>
              </w:rPr>
              <w:lastRenderedPageBreak/>
              <w:t>AER Service group—</w:t>
            </w:r>
            <w:r w:rsidRPr="00782C48">
              <w:rPr>
                <w:rStyle w:val="Strong"/>
              </w:rPr>
              <w:t>Public lighting services</w:t>
            </w:r>
          </w:p>
        </w:tc>
      </w:tr>
      <w:tr w:rsidR="001261BF" w:rsidRPr="00E36FB3" w:rsidTr="00D831CC">
        <w:trPr>
          <w:cnfStyle w:val="000000010000" w:firstRow="0" w:lastRow="0" w:firstColumn="0" w:lastColumn="0" w:oddVBand="0" w:evenVBand="0" w:oddHBand="0" w:evenHBand="1" w:firstRowFirstColumn="0" w:firstRowLastColumn="0" w:lastRowFirstColumn="0" w:lastRowLastColumn="0"/>
          <w:trHeight w:val="711"/>
        </w:trPr>
        <w:tc>
          <w:tcPr>
            <w:tcW w:w="3560" w:type="dxa"/>
          </w:tcPr>
          <w:p w:rsidR="00782C48" w:rsidRPr="00394E41" w:rsidRDefault="00782C48" w:rsidP="002C4834">
            <w:pPr>
              <w:pStyle w:val="AERtabletextleft"/>
            </w:pPr>
            <w:r w:rsidRPr="00AC09EE">
              <w:t>Provision, construction and maintenance of public lighting</w:t>
            </w:r>
            <w:r>
              <w:t>.</w:t>
            </w:r>
          </w:p>
        </w:tc>
        <w:tc>
          <w:tcPr>
            <w:tcW w:w="6637" w:type="dxa"/>
          </w:tcPr>
          <w:p w:rsidR="00782C48" w:rsidRPr="00AC09EE" w:rsidRDefault="00782C48" w:rsidP="002C4834">
            <w:pPr>
              <w:pStyle w:val="AERtabletextleft"/>
            </w:pPr>
            <w:r w:rsidRPr="00AC09EE">
              <w:t>Application assessment, design, review and</w:t>
            </w:r>
            <w:r>
              <w:t xml:space="preserve"> audit public lighting services.</w:t>
            </w:r>
          </w:p>
          <w:p w:rsidR="00782C48" w:rsidRPr="00AC09EE" w:rsidRDefault="00782C48" w:rsidP="002C4834">
            <w:pPr>
              <w:pStyle w:val="AERtabletextleft"/>
            </w:pPr>
            <w:r w:rsidRPr="00AC09EE">
              <w:t>Provision, construction and maintenance of new street lighting services</w:t>
            </w:r>
            <w:r>
              <w:t>.</w:t>
            </w:r>
          </w:p>
          <w:p w:rsidR="00782C48" w:rsidRPr="00AC09EE" w:rsidRDefault="00782C48" w:rsidP="002C4834">
            <w:pPr>
              <w:pStyle w:val="AERtabletextleft"/>
            </w:pPr>
            <w:r w:rsidRPr="00AC09EE">
              <w:t>Alteration, repair, relocation, rearrangement o</w:t>
            </w:r>
            <w:r>
              <w:t>r</w:t>
            </w:r>
            <w:r w:rsidRPr="00AC09EE">
              <w:t xml:space="preserve"> removal of existing street light asset</w:t>
            </w:r>
            <w:r>
              <w:t>s and energy efficient retrofit.</w:t>
            </w:r>
          </w:p>
          <w:p w:rsidR="00782C48" w:rsidRPr="00AC09EE" w:rsidRDefault="00782C48" w:rsidP="002C4834">
            <w:pPr>
              <w:pStyle w:val="AERtabletextleft"/>
            </w:pPr>
            <w:r w:rsidRPr="00AC09EE">
              <w:t>Provision of glare shields, vandal guards, luminair</w:t>
            </w:r>
            <w:r>
              <w:t xml:space="preserve">e replacement with </w:t>
            </w:r>
            <w:r>
              <w:lastRenderedPageBreak/>
              <w:t>aero screens.</w:t>
            </w:r>
          </w:p>
          <w:p w:rsidR="00782C48" w:rsidRPr="00AC09EE" w:rsidRDefault="00782C48" w:rsidP="002C4834">
            <w:pPr>
              <w:pStyle w:val="AERtabletextleft"/>
            </w:pPr>
            <w:r w:rsidRPr="00AC09EE">
              <w:t>A fee for the residual asset value of non-contributed public lights when removed from service before the end of their useful life</w:t>
            </w:r>
            <w:r>
              <w:t xml:space="preserve"> at the request of the customer.</w:t>
            </w:r>
          </w:p>
          <w:p w:rsidR="00782C48" w:rsidRDefault="00782C48" w:rsidP="002C4834">
            <w:pPr>
              <w:pStyle w:val="AERtabletextleft"/>
            </w:pPr>
            <w:r w:rsidRPr="00AC09EE">
              <w:t>Operating street lighting assets including handling enquiries and complaints and dispatching crews to repair assets</w:t>
            </w:r>
            <w:r>
              <w:t>.</w:t>
            </w:r>
          </w:p>
        </w:tc>
        <w:tc>
          <w:tcPr>
            <w:tcW w:w="1971" w:type="dxa"/>
          </w:tcPr>
          <w:p w:rsidR="00782C48" w:rsidRPr="00C8618D" w:rsidRDefault="00782C48" w:rsidP="002C4834">
            <w:pPr>
              <w:pStyle w:val="AERtabletextleft"/>
            </w:pPr>
            <w:r>
              <w:lastRenderedPageBreak/>
              <w:t>Alternative control</w:t>
            </w:r>
          </w:p>
        </w:tc>
        <w:tc>
          <w:tcPr>
            <w:tcW w:w="1864" w:type="dxa"/>
          </w:tcPr>
          <w:p w:rsidR="00782C48" w:rsidRPr="00C8618D" w:rsidRDefault="00782C48" w:rsidP="002C4834">
            <w:pPr>
              <w:pStyle w:val="AERtabletextleft"/>
            </w:pPr>
            <w:r>
              <w:t>Alternative control</w:t>
            </w:r>
          </w:p>
        </w:tc>
      </w:tr>
      <w:tr w:rsidR="000B393F" w:rsidRPr="00E36FB3" w:rsidTr="00D831CC">
        <w:trPr>
          <w:trHeight w:val="1158"/>
        </w:trPr>
        <w:tc>
          <w:tcPr>
            <w:tcW w:w="3560" w:type="dxa"/>
          </w:tcPr>
          <w:p w:rsidR="00782C48" w:rsidRPr="00364CA2" w:rsidRDefault="00782C48" w:rsidP="002C4834">
            <w:pPr>
              <w:pStyle w:val="AERtabletextleft"/>
            </w:pPr>
            <w:r w:rsidRPr="00364CA2">
              <w:lastRenderedPageBreak/>
              <w:t>Emerging public lighting technology.</w:t>
            </w:r>
          </w:p>
        </w:tc>
        <w:tc>
          <w:tcPr>
            <w:tcW w:w="6637" w:type="dxa"/>
          </w:tcPr>
          <w:p w:rsidR="00782C48" w:rsidRPr="00364CA2" w:rsidRDefault="00782C48" w:rsidP="002C4834">
            <w:pPr>
              <w:pStyle w:val="AERtabletextleft"/>
            </w:pPr>
            <w:r w:rsidRPr="00364CA2">
              <w:t>New public lighting technologies, including trials.</w:t>
            </w:r>
          </w:p>
          <w:p w:rsidR="00782C48" w:rsidRPr="00364CA2" w:rsidRDefault="00782C48" w:rsidP="002C4834">
            <w:pPr>
              <w:pStyle w:val="AERtabletextleft"/>
            </w:pPr>
            <w:r w:rsidRPr="00364CA2">
              <w:t>Energy efficient retrofit (including where customer requests to retrofit existing assets before end of life).</w:t>
            </w:r>
          </w:p>
        </w:tc>
        <w:tc>
          <w:tcPr>
            <w:tcW w:w="1971" w:type="dxa"/>
          </w:tcPr>
          <w:p w:rsidR="00782C48" w:rsidRPr="00364CA2" w:rsidRDefault="00782C48" w:rsidP="002C4834">
            <w:pPr>
              <w:pStyle w:val="AERtabletextleft"/>
            </w:pPr>
            <w:r w:rsidRPr="00364CA2">
              <w:t>Alternative control</w:t>
            </w:r>
          </w:p>
        </w:tc>
        <w:tc>
          <w:tcPr>
            <w:tcW w:w="1864" w:type="dxa"/>
          </w:tcPr>
          <w:p w:rsidR="00782C48" w:rsidRPr="00364CA2" w:rsidRDefault="00782C48" w:rsidP="002C4834">
            <w:pPr>
              <w:pStyle w:val="AERtabletextleft"/>
            </w:pPr>
            <w:r>
              <w:t>Unclassified</w:t>
            </w:r>
          </w:p>
        </w:tc>
      </w:tr>
      <w:tr w:rsidR="00782C48" w:rsidRPr="00E36FB3" w:rsidTr="00D831CC">
        <w:trPr>
          <w:cnfStyle w:val="000000010000" w:firstRow="0" w:lastRow="0" w:firstColumn="0" w:lastColumn="0" w:oddVBand="0" w:evenVBand="0" w:oddHBand="0" w:evenHBand="1" w:firstRowFirstColumn="0" w:firstRowLastColumn="0" w:lastRowFirstColumn="0" w:lastRowLastColumn="0"/>
          <w:trHeight w:val="580"/>
        </w:trPr>
        <w:tc>
          <w:tcPr>
            <w:tcW w:w="14032" w:type="dxa"/>
            <w:gridSpan w:val="4"/>
          </w:tcPr>
          <w:p w:rsidR="00782C48" w:rsidRPr="000D05AB" w:rsidRDefault="00782C48" w:rsidP="002C4834">
            <w:pPr>
              <w:pStyle w:val="AERtabletextleft"/>
              <w:rPr>
                <w:rStyle w:val="Strong"/>
              </w:rPr>
            </w:pPr>
            <w:r w:rsidRPr="000D05AB">
              <w:rPr>
                <w:rStyle w:val="Strong"/>
              </w:rPr>
              <w:t>Unclassified distribution services</w:t>
            </w:r>
          </w:p>
        </w:tc>
      </w:tr>
      <w:tr w:rsidR="000B393F" w:rsidRPr="00E36FB3" w:rsidTr="00D831CC">
        <w:trPr>
          <w:trHeight w:val="588"/>
        </w:trPr>
        <w:tc>
          <w:tcPr>
            <w:tcW w:w="3560" w:type="dxa"/>
          </w:tcPr>
          <w:p w:rsidR="00782C48" w:rsidRPr="00782C48" w:rsidRDefault="00782C48" w:rsidP="002C4834">
            <w:pPr>
              <w:pStyle w:val="AERtabletextleft"/>
            </w:pPr>
            <w:r w:rsidRPr="00D558E5">
              <w:t>Emergency recoverable works</w:t>
            </w:r>
          </w:p>
        </w:tc>
        <w:tc>
          <w:tcPr>
            <w:tcW w:w="6637" w:type="dxa"/>
          </w:tcPr>
          <w:p w:rsidR="00782C48" w:rsidRPr="00782C48" w:rsidRDefault="00782C48" w:rsidP="002C4834">
            <w:pPr>
              <w:pStyle w:val="AERtabletextleft"/>
            </w:pPr>
            <w:r w:rsidRPr="00D558E5">
              <w:t>Work to repair damage to the distribution network caused by an identifiable third party from whom costs may be recovered</w:t>
            </w:r>
            <w:r w:rsidRPr="00782C48">
              <w:t>.</w:t>
            </w:r>
          </w:p>
        </w:tc>
        <w:tc>
          <w:tcPr>
            <w:tcW w:w="1971" w:type="dxa"/>
          </w:tcPr>
          <w:p w:rsidR="00782C48" w:rsidRPr="00782C48" w:rsidRDefault="00782C48" w:rsidP="002C4834">
            <w:pPr>
              <w:pStyle w:val="AERtabletextleft"/>
            </w:pPr>
            <w:r w:rsidRPr="00D558E5">
              <w:t>Unclassified</w:t>
            </w:r>
          </w:p>
        </w:tc>
        <w:tc>
          <w:tcPr>
            <w:tcW w:w="1864" w:type="dxa"/>
          </w:tcPr>
          <w:p w:rsidR="00782C48" w:rsidRPr="00782C48" w:rsidRDefault="00782C48" w:rsidP="002C4834">
            <w:pPr>
              <w:pStyle w:val="AERtabletextleft"/>
            </w:pPr>
            <w:r>
              <w:t>Alternative control</w:t>
            </w:r>
          </w:p>
        </w:tc>
      </w:tr>
      <w:tr w:rsidR="001261BF" w:rsidRPr="00E36FB3" w:rsidTr="00D831CC">
        <w:trPr>
          <w:cnfStyle w:val="000000010000" w:firstRow="0" w:lastRow="0" w:firstColumn="0" w:lastColumn="0" w:oddVBand="0" w:evenVBand="0" w:oddHBand="0" w:evenHBand="1" w:firstRowFirstColumn="0" w:firstRowLastColumn="0" w:lastRowFirstColumn="0" w:lastRowLastColumn="0"/>
          <w:trHeight w:val="628"/>
        </w:trPr>
        <w:tc>
          <w:tcPr>
            <w:tcW w:w="3560" w:type="dxa"/>
          </w:tcPr>
          <w:p w:rsidR="00782C48" w:rsidRPr="00782C48" w:rsidRDefault="00782C48" w:rsidP="002C4834">
            <w:pPr>
              <w:pStyle w:val="AERtabletextleft"/>
            </w:pPr>
            <w:r w:rsidRPr="007C2E9B">
              <w:t>Type 1 to 4 metering</w:t>
            </w:r>
          </w:p>
        </w:tc>
        <w:tc>
          <w:tcPr>
            <w:tcW w:w="6637" w:type="dxa"/>
          </w:tcPr>
          <w:p w:rsidR="00782C48" w:rsidRPr="00782C48" w:rsidRDefault="00782C48" w:rsidP="002C4834">
            <w:pPr>
              <w:pStyle w:val="AERtabletextleft"/>
            </w:pPr>
            <w:r w:rsidRPr="007C2E9B">
              <w:t>Contestable metering services</w:t>
            </w:r>
            <w:r w:rsidRPr="00782C48">
              <w:t>.</w:t>
            </w:r>
          </w:p>
        </w:tc>
        <w:tc>
          <w:tcPr>
            <w:tcW w:w="1971" w:type="dxa"/>
          </w:tcPr>
          <w:p w:rsidR="00782C48" w:rsidRPr="00782C48" w:rsidRDefault="00782C48" w:rsidP="002C4834">
            <w:pPr>
              <w:pStyle w:val="AERtabletextleft"/>
            </w:pPr>
            <w:r w:rsidRPr="007C2E9B">
              <w:t>Unclassified</w:t>
            </w:r>
          </w:p>
        </w:tc>
        <w:tc>
          <w:tcPr>
            <w:tcW w:w="1864" w:type="dxa"/>
          </w:tcPr>
          <w:p w:rsidR="00782C48" w:rsidRPr="00782C48" w:rsidRDefault="00782C48" w:rsidP="002C4834">
            <w:pPr>
              <w:pStyle w:val="AERtabletextleft"/>
            </w:pPr>
            <w:r w:rsidRPr="007C2E9B">
              <w:t>Unclassified</w:t>
            </w:r>
          </w:p>
        </w:tc>
      </w:tr>
      <w:tr w:rsidR="000B393F" w:rsidRPr="00E36FB3" w:rsidTr="00D831CC">
        <w:trPr>
          <w:trHeight w:val="708"/>
        </w:trPr>
        <w:tc>
          <w:tcPr>
            <w:tcW w:w="3560" w:type="dxa"/>
          </w:tcPr>
          <w:p w:rsidR="00782C48" w:rsidRPr="00782C48" w:rsidRDefault="00782C48" w:rsidP="002C4834">
            <w:pPr>
              <w:pStyle w:val="AERtabletextleft"/>
            </w:pPr>
            <w:r w:rsidRPr="007C2E9B">
              <w:t>Watchman</w:t>
            </w:r>
          </w:p>
        </w:tc>
        <w:tc>
          <w:tcPr>
            <w:tcW w:w="6637" w:type="dxa"/>
          </w:tcPr>
          <w:p w:rsidR="00782C48" w:rsidRPr="00782C48" w:rsidRDefault="00782C48" w:rsidP="002C4834">
            <w:pPr>
              <w:pStyle w:val="AERtabletextleft"/>
            </w:pPr>
            <w:r w:rsidRPr="007C2E9B">
              <w:t xml:space="preserve">Unmetered light mounted on customer’s property or distribution pole for security purposes. </w:t>
            </w:r>
          </w:p>
        </w:tc>
        <w:tc>
          <w:tcPr>
            <w:tcW w:w="1971" w:type="dxa"/>
          </w:tcPr>
          <w:p w:rsidR="00782C48" w:rsidRPr="00782C48" w:rsidRDefault="00782C48" w:rsidP="002C4834">
            <w:pPr>
              <w:pStyle w:val="AERtabletextleft"/>
            </w:pPr>
            <w:r w:rsidRPr="007C2E9B">
              <w:t>Unclassified</w:t>
            </w:r>
          </w:p>
        </w:tc>
        <w:tc>
          <w:tcPr>
            <w:tcW w:w="1864" w:type="dxa"/>
          </w:tcPr>
          <w:p w:rsidR="00782C48" w:rsidRPr="00782C48" w:rsidRDefault="00782C48" w:rsidP="002C4834">
            <w:pPr>
              <w:pStyle w:val="AERtabletextleft"/>
            </w:pPr>
            <w:r w:rsidRPr="007C2E9B">
              <w:t>Unclassified</w:t>
            </w:r>
          </w:p>
        </w:tc>
      </w:tr>
      <w:tr w:rsidR="001261BF" w:rsidRPr="00E36FB3" w:rsidTr="00D831CC">
        <w:trPr>
          <w:cnfStyle w:val="000000010000" w:firstRow="0" w:lastRow="0" w:firstColumn="0" w:lastColumn="0" w:oddVBand="0" w:evenVBand="0" w:oddHBand="0" w:evenHBand="1" w:firstRowFirstColumn="0" w:firstRowLastColumn="0" w:lastRowFirstColumn="0" w:lastRowLastColumn="0"/>
          <w:trHeight w:val="620"/>
        </w:trPr>
        <w:tc>
          <w:tcPr>
            <w:tcW w:w="3560" w:type="dxa"/>
          </w:tcPr>
          <w:p w:rsidR="00782C48" w:rsidRDefault="00782C48" w:rsidP="002C4834">
            <w:pPr>
              <w:pStyle w:val="AERtabletextleft"/>
            </w:pPr>
            <w:r>
              <w:t>Distribution services provided in unregulated isolated networks</w:t>
            </w:r>
          </w:p>
        </w:tc>
        <w:tc>
          <w:tcPr>
            <w:tcW w:w="6637" w:type="dxa"/>
          </w:tcPr>
          <w:p w:rsidR="00782C48" w:rsidRPr="00364CA2" w:rsidRDefault="00782C48" w:rsidP="002C4834">
            <w:pPr>
              <w:pStyle w:val="AERtabletextleft"/>
            </w:pPr>
            <w:r>
              <w:t>Ownership and operation of isolated supply networks, other than the Mt Isa-Cloncurry supply network (Ergon Energy).</w:t>
            </w:r>
          </w:p>
        </w:tc>
        <w:tc>
          <w:tcPr>
            <w:tcW w:w="1971" w:type="dxa"/>
          </w:tcPr>
          <w:p w:rsidR="00782C48" w:rsidRPr="00364CA2" w:rsidRDefault="00782C48" w:rsidP="002C4834">
            <w:pPr>
              <w:pStyle w:val="AERtabletextleft"/>
            </w:pPr>
            <w:r>
              <w:t>Unclassified</w:t>
            </w:r>
          </w:p>
        </w:tc>
        <w:tc>
          <w:tcPr>
            <w:tcW w:w="1864" w:type="dxa"/>
          </w:tcPr>
          <w:p w:rsidR="00782C48" w:rsidRPr="00364CA2" w:rsidRDefault="00782C48" w:rsidP="002C4834">
            <w:pPr>
              <w:pStyle w:val="AERtabletextleft"/>
            </w:pPr>
            <w:r>
              <w:t>Unclassified</w:t>
            </w:r>
          </w:p>
        </w:tc>
      </w:tr>
      <w:tr w:rsidR="000B393F" w:rsidRPr="00E36FB3" w:rsidTr="00D831CC">
        <w:trPr>
          <w:trHeight w:val="671"/>
        </w:trPr>
        <w:tc>
          <w:tcPr>
            <w:tcW w:w="3560" w:type="dxa"/>
          </w:tcPr>
          <w:p w:rsidR="00782C48" w:rsidRPr="00364CA2" w:rsidRDefault="00782C48" w:rsidP="002C4834">
            <w:pPr>
              <w:pStyle w:val="AERtabletextleft"/>
            </w:pPr>
            <w:r>
              <w:lastRenderedPageBreak/>
              <w:t>High load escorts</w:t>
            </w:r>
          </w:p>
        </w:tc>
        <w:tc>
          <w:tcPr>
            <w:tcW w:w="6637" w:type="dxa"/>
          </w:tcPr>
          <w:p w:rsidR="00782C48" w:rsidRPr="00364CA2" w:rsidRDefault="00782C48" w:rsidP="002C4834">
            <w:pPr>
              <w:pStyle w:val="AERtabletextleft"/>
            </w:pPr>
            <w:r>
              <w:t>Request by customer to scope an appropriate route and lift wires to allow passage of high vehicles.</w:t>
            </w:r>
          </w:p>
        </w:tc>
        <w:tc>
          <w:tcPr>
            <w:tcW w:w="1971" w:type="dxa"/>
          </w:tcPr>
          <w:p w:rsidR="00782C48" w:rsidRPr="00364CA2" w:rsidRDefault="00782C48" w:rsidP="002C4834">
            <w:pPr>
              <w:pStyle w:val="AERtabletextleft"/>
            </w:pPr>
            <w:r>
              <w:t>Unclassified</w:t>
            </w:r>
          </w:p>
        </w:tc>
        <w:tc>
          <w:tcPr>
            <w:tcW w:w="1864" w:type="dxa"/>
          </w:tcPr>
          <w:p w:rsidR="00782C48" w:rsidRPr="00364CA2" w:rsidRDefault="00782C48" w:rsidP="002C4834">
            <w:pPr>
              <w:pStyle w:val="AERtabletextleft"/>
            </w:pPr>
            <w:r>
              <w:t>Alternative control / Unclassified</w:t>
            </w:r>
          </w:p>
        </w:tc>
      </w:tr>
      <w:tr w:rsidR="00782C48" w:rsidRPr="00E36FB3" w:rsidTr="00D831CC">
        <w:trPr>
          <w:cnfStyle w:val="000000010000" w:firstRow="0" w:lastRow="0" w:firstColumn="0" w:lastColumn="0" w:oddVBand="0" w:evenVBand="0" w:oddHBand="0" w:evenHBand="1" w:firstRowFirstColumn="0" w:firstRowLastColumn="0" w:lastRowFirstColumn="0" w:lastRowLastColumn="0"/>
          <w:trHeight w:val="441"/>
        </w:trPr>
        <w:tc>
          <w:tcPr>
            <w:tcW w:w="14032" w:type="dxa"/>
            <w:gridSpan w:val="4"/>
          </w:tcPr>
          <w:p w:rsidR="00782C48" w:rsidRDefault="00782C48" w:rsidP="002C4834">
            <w:pPr>
              <w:pStyle w:val="AERtabletextleft"/>
            </w:pPr>
            <w:r>
              <w:rPr>
                <w:rStyle w:val="Strong"/>
              </w:rPr>
              <w:t>Non-distribution services that are unregulated</w:t>
            </w:r>
            <w:r w:rsidRPr="00782C48">
              <w:rPr>
                <w:rStyle w:val="FootnoteReference"/>
              </w:rPr>
              <w:footnoteReference w:id="27"/>
            </w:r>
          </w:p>
        </w:tc>
      </w:tr>
      <w:tr w:rsidR="000B393F" w:rsidRPr="00E36FB3" w:rsidTr="00D831CC">
        <w:trPr>
          <w:trHeight w:val="733"/>
        </w:trPr>
        <w:tc>
          <w:tcPr>
            <w:tcW w:w="3560" w:type="dxa"/>
          </w:tcPr>
          <w:p w:rsidR="00782C48" w:rsidRDefault="00782C48" w:rsidP="002C4834">
            <w:pPr>
              <w:pStyle w:val="AERtabletextleft"/>
            </w:pPr>
            <w:r>
              <w:t>Rental and hire services</w:t>
            </w:r>
          </w:p>
        </w:tc>
        <w:tc>
          <w:tcPr>
            <w:tcW w:w="6637" w:type="dxa"/>
          </w:tcPr>
          <w:p w:rsidR="00782C48" w:rsidRPr="00364CA2" w:rsidRDefault="00782C48" w:rsidP="002C4834">
            <w:pPr>
              <w:pStyle w:val="AERtabletextleft"/>
            </w:pPr>
            <w:r>
              <w:t>Rental of distributor owned property (e.g. plant hire and asset leasing).</w:t>
            </w:r>
          </w:p>
        </w:tc>
        <w:tc>
          <w:tcPr>
            <w:tcW w:w="1971" w:type="dxa"/>
          </w:tcPr>
          <w:p w:rsidR="00782C48" w:rsidRDefault="00782C48" w:rsidP="002C4834">
            <w:pPr>
              <w:pStyle w:val="AERtabletextleft"/>
            </w:pPr>
            <w:r>
              <w:t>Unregulated</w:t>
            </w:r>
          </w:p>
        </w:tc>
        <w:tc>
          <w:tcPr>
            <w:tcW w:w="1864" w:type="dxa"/>
          </w:tcPr>
          <w:p w:rsidR="00782C48" w:rsidRDefault="00782C48" w:rsidP="002C4834">
            <w:pPr>
              <w:pStyle w:val="AERtabletextleft"/>
            </w:pPr>
            <w:r>
              <w:t>Unregulated</w:t>
            </w:r>
          </w:p>
        </w:tc>
      </w:tr>
      <w:tr w:rsidR="001261BF" w:rsidRPr="00E36FB3" w:rsidTr="00D831CC">
        <w:trPr>
          <w:cnfStyle w:val="000000010000" w:firstRow="0" w:lastRow="0" w:firstColumn="0" w:lastColumn="0" w:oddVBand="0" w:evenVBand="0" w:oddHBand="0" w:evenHBand="1" w:firstRowFirstColumn="0" w:firstRowLastColumn="0" w:lastRowFirstColumn="0" w:lastRowLastColumn="0"/>
          <w:trHeight w:val="733"/>
        </w:trPr>
        <w:tc>
          <w:tcPr>
            <w:tcW w:w="3560" w:type="dxa"/>
          </w:tcPr>
          <w:p w:rsidR="00782C48" w:rsidRDefault="00782C48" w:rsidP="002C4834">
            <w:pPr>
              <w:pStyle w:val="AERtabletextleft"/>
            </w:pPr>
            <w:r>
              <w:t>Test, inspect and calibrate</w:t>
            </w:r>
          </w:p>
        </w:tc>
        <w:tc>
          <w:tcPr>
            <w:tcW w:w="6637" w:type="dxa"/>
          </w:tcPr>
          <w:p w:rsidR="00782C48" w:rsidRPr="00364CA2" w:rsidRDefault="00782C48" w:rsidP="002C4834">
            <w:pPr>
              <w:pStyle w:val="AERtabletextleft"/>
            </w:pPr>
            <w:r>
              <w:t>Calibration and testing of equipment for external party products.</w:t>
            </w:r>
          </w:p>
        </w:tc>
        <w:tc>
          <w:tcPr>
            <w:tcW w:w="1971" w:type="dxa"/>
          </w:tcPr>
          <w:p w:rsidR="00782C48" w:rsidRDefault="00782C48" w:rsidP="002C4834">
            <w:pPr>
              <w:pStyle w:val="AERtabletextleft"/>
            </w:pPr>
            <w:r>
              <w:t>Unregulated</w:t>
            </w:r>
          </w:p>
        </w:tc>
        <w:tc>
          <w:tcPr>
            <w:tcW w:w="1864" w:type="dxa"/>
          </w:tcPr>
          <w:p w:rsidR="00782C48" w:rsidRDefault="00782C48" w:rsidP="002C4834">
            <w:pPr>
              <w:pStyle w:val="AERtabletextleft"/>
            </w:pPr>
            <w:r>
              <w:t>Unregulated</w:t>
            </w:r>
          </w:p>
        </w:tc>
      </w:tr>
      <w:tr w:rsidR="000B393F" w:rsidRPr="00E36FB3" w:rsidTr="00D831CC">
        <w:trPr>
          <w:trHeight w:val="559"/>
        </w:trPr>
        <w:tc>
          <w:tcPr>
            <w:tcW w:w="3560" w:type="dxa"/>
          </w:tcPr>
          <w:p w:rsidR="00782C48" w:rsidRDefault="00782C48" w:rsidP="002C4834">
            <w:pPr>
              <w:pStyle w:val="AERtabletextleft"/>
            </w:pPr>
            <w:r>
              <w:t>Property services</w:t>
            </w:r>
          </w:p>
        </w:tc>
        <w:tc>
          <w:tcPr>
            <w:tcW w:w="6637" w:type="dxa"/>
          </w:tcPr>
          <w:p w:rsidR="00782C48" w:rsidRPr="00AF272E" w:rsidRDefault="00782C48" w:rsidP="002C4834">
            <w:pPr>
              <w:pStyle w:val="AERtabletextleft"/>
            </w:pPr>
            <w:r w:rsidRPr="00AF272E">
              <w:t>Customers request the distributors undertake conveyancing property searches, conduct easement negotiations or purchase negotiations.</w:t>
            </w:r>
          </w:p>
        </w:tc>
        <w:tc>
          <w:tcPr>
            <w:tcW w:w="1971" w:type="dxa"/>
          </w:tcPr>
          <w:p w:rsidR="00782C48" w:rsidRDefault="00782C48" w:rsidP="002C4834">
            <w:pPr>
              <w:pStyle w:val="AERtabletextleft"/>
            </w:pPr>
            <w:r>
              <w:t>Unregulated</w:t>
            </w:r>
          </w:p>
        </w:tc>
        <w:tc>
          <w:tcPr>
            <w:tcW w:w="1864" w:type="dxa"/>
          </w:tcPr>
          <w:p w:rsidR="00782C48" w:rsidRPr="00AF272E" w:rsidRDefault="00782C48" w:rsidP="002C4834">
            <w:pPr>
              <w:pStyle w:val="AERtabletextleft"/>
            </w:pPr>
            <w:r>
              <w:t>Unregulated</w:t>
            </w:r>
          </w:p>
        </w:tc>
      </w:tr>
      <w:tr w:rsidR="001261BF" w:rsidRPr="00E36FB3" w:rsidTr="00D831CC">
        <w:trPr>
          <w:cnfStyle w:val="000000010000" w:firstRow="0" w:lastRow="0" w:firstColumn="0" w:lastColumn="0" w:oddVBand="0" w:evenVBand="0" w:oddHBand="0" w:evenHBand="1" w:firstRowFirstColumn="0" w:firstRowLastColumn="0" w:lastRowFirstColumn="0" w:lastRowLastColumn="0"/>
          <w:trHeight w:val="457"/>
        </w:trPr>
        <w:tc>
          <w:tcPr>
            <w:tcW w:w="3560" w:type="dxa"/>
          </w:tcPr>
          <w:p w:rsidR="00782C48" w:rsidRDefault="00782C48" w:rsidP="002C4834">
            <w:pPr>
              <w:pStyle w:val="AERtabletextleft"/>
            </w:pPr>
            <w:r>
              <w:t>Contracting services to other network service providers</w:t>
            </w:r>
          </w:p>
        </w:tc>
        <w:tc>
          <w:tcPr>
            <w:tcW w:w="6637" w:type="dxa"/>
          </w:tcPr>
          <w:p w:rsidR="00782C48" w:rsidRDefault="00782C48" w:rsidP="002C4834">
            <w:pPr>
              <w:pStyle w:val="AERtabletextleft"/>
            </w:pPr>
            <w:r w:rsidRPr="00782C48">
              <w:rPr>
                <w:rFonts w:eastAsia="Calibri"/>
              </w:rPr>
              <w:t>Services, such as specialist cable jointers, provided to other network service providers.</w:t>
            </w:r>
          </w:p>
        </w:tc>
        <w:tc>
          <w:tcPr>
            <w:tcW w:w="1971" w:type="dxa"/>
          </w:tcPr>
          <w:p w:rsidR="00782C48" w:rsidRPr="000350CE" w:rsidRDefault="00782C48" w:rsidP="002C4834">
            <w:pPr>
              <w:pStyle w:val="AERtabletextleft"/>
            </w:pPr>
            <w:r>
              <w:t>Unregulated</w:t>
            </w:r>
          </w:p>
        </w:tc>
        <w:tc>
          <w:tcPr>
            <w:tcW w:w="1864" w:type="dxa"/>
          </w:tcPr>
          <w:p w:rsidR="00782C48" w:rsidRPr="000350CE" w:rsidRDefault="00782C48" w:rsidP="002C4834">
            <w:pPr>
              <w:pStyle w:val="AERtabletextleft"/>
            </w:pPr>
            <w:r>
              <w:t>Unregulated</w:t>
            </w:r>
          </w:p>
        </w:tc>
      </w:tr>
      <w:tr w:rsidR="000B393F" w:rsidRPr="00E36FB3" w:rsidTr="00D831CC">
        <w:trPr>
          <w:trHeight w:val="510"/>
        </w:trPr>
        <w:tc>
          <w:tcPr>
            <w:tcW w:w="3560" w:type="dxa"/>
          </w:tcPr>
          <w:p w:rsidR="00782C48" w:rsidRDefault="00782C48" w:rsidP="002C4834">
            <w:pPr>
              <w:pStyle w:val="AERtabletextleft"/>
            </w:pPr>
            <w:r>
              <w:t>Provision of training to external parties</w:t>
            </w:r>
          </w:p>
        </w:tc>
        <w:tc>
          <w:tcPr>
            <w:tcW w:w="6637" w:type="dxa"/>
          </w:tcPr>
          <w:p w:rsidR="00782C48" w:rsidRPr="00364CA2" w:rsidRDefault="00782C48" w:rsidP="002C4834">
            <w:pPr>
              <w:pStyle w:val="AERtabletextleft"/>
            </w:pPr>
            <w:r>
              <w:t>Specialist post and pre-trade training provided by distributors to external parties.</w:t>
            </w:r>
          </w:p>
        </w:tc>
        <w:tc>
          <w:tcPr>
            <w:tcW w:w="1971" w:type="dxa"/>
          </w:tcPr>
          <w:p w:rsidR="00782C48" w:rsidRDefault="00782C48" w:rsidP="002C4834">
            <w:pPr>
              <w:pStyle w:val="AERtabletextleft"/>
            </w:pPr>
            <w:r w:rsidRPr="000350CE">
              <w:t>Unregulated</w:t>
            </w:r>
          </w:p>
        </w:tc>
        <w:tc>
          <w:tcPr>
            <w:tcW w:w="1864" w:type="dxa"/>
          </w:tcPr>
          <w:p w:rsidR="00782C48" w:rsidRDefault="00782C48" w:rsidP="002C4834">
            <w:pPr>
              <w:pStyle w:val="AERtabletextleft"/>
            </w:pPr>
            <w:r w:rsidRPr="000350CE">
              <w:t>Unregulated</w:t>
            </w:r>
          </w:p>
        </w:tc>
      </w:tr>
      <w:tr w:rsidR="001261BF" w:rsidRPr="00E36FB3" w:rsidTr="00D831CC">
        <w:trPr>
          <w:cnfStyle w:val="000000010000" w:firstRow="0" w:lastRow="0" w:firstColumn="0" w:lastColumn="0" w:oddVBand="0" w:evenVBand="0" w:oddHBand="0" w:evenHBand="1" w:firstRowFirstColumn="0" w:firstRowLastColumn="0" w:lastRowFirstColumn="0" w:lastRowLastColumn="0"/>
          <w:trHeight w:val="1158"/>
        </w:trPr>
        <w:tc>
          <w:tcPr>
            <w:tcW w:w="3560" w:type="dxa"/>
          </w:tcPr>
          <w:p w:rsidR="00782C48" w:rsidRPr="00AF272E" w:rsidRDefault="00782C48" w:rsidP="002C4834">
            <w:pPr>
              <w:pStyle w:val="AERtabletextleft"/>
            </w:pPr>
            <w:r w:rsidRPr="00AF272E">
              <w:lastRenderedPageBreak/>
              <w:t>Equipment services</w:t>
            </w:r>
          </w:p>
        </w:tc>
        <w:tc>
          <w:tcPr>
            <w:tcW w:w="6637" w:type="dxa"/>
          </w:tcPr>
          <w:p w:rsidR="00782C48" w:rsidRPr="00782C48" w:rsidRDefault="00782C48" w:rsidP="002C4834">
            <w:pPr>
              <w:pStyle w:val="AERtabletextleft"/>
            </w:pPr>
            <w:r w:rsidRPr="00AF272E">
              <w:t>Safety testing of equipment such as:</w:t>
            </w:r>
          </w:p>
          <w:p w:rsidR="00782C48" w:rsidRPr="00782C48" w:rsidRDefault="00782C48" w:rsidP="002C4834">
            <w:pPr>
              <w:pStyle w:val="AERtabletextleft"/>
            </w:pPr>
            <w:r w:rsidRPr="000F0476">
              <w:t xml:space="preserve">insulating gloves </w:t>
            </w:r>
          </w:p>
          <w:p w:rsidR="00782C48" w:rsidRPr="00782C48" w:rsidRDefault="00782C48" w:rsidP="002C4834">
            <w:pPr>
              <w:pStyle w:val="AERtabletextleft"/>
            </w:pPr>
            <w:r w:rsidRPr="000F0476">
              <w:t xml:space="preserve">live line hot sticks and rubber products </w:t>
            </w:r>
          </w:p>
          <w:p w:rsidR="00782C48" w:rsidRPr="00782C48" w:rsidRDefault="00782C48" w:rsidP="002C4834">
            <w:pPr>
              <w:pStyle w:val="AERtabletextleft"/>
            </w:pPr>
            <w:r w:rsidRPr="000F0476">
              <w:t xml:space="preserve">insulating mats and covers </w:t>
            </w:r>
          </w:p>
          <w:p w:rsidR="00782C48" w:rsidRPr="00782C48" w:rsidRDefault="00782C48" w:rsidP="002C4834">
            <w:pPr>
              <w:pStyle w:val="AERtabletextleft"/>
            </w:pPr>
            <w:r w:rsidRPr="000F0476">
              <w:t xml:space="preserve">voltage and phasing detectors, operational sticks </w:t>
            </w:r>
          </w:p>
          <w:p w:rsidR="00782C48" w:rsidRPr="00782C48" w:rsidRDefault="00782C48" w:rsidP="002C4834">
            <w:pPr>
              <w:pStyle w:val="AERtabletextleft"/>
            </w:pPr>
            <w:r w:rsidRPr="000F0476">
              <w:t xml:space="preserve">harnesses, climbing kits, rescue kits </w:t>
            </w:r>
          </w:p>
          <w:p w:rsidR="00782C48" w:rsidRPr="00782C48" w:rsidRDefault="00782C48" w:rsidP="002C4834">
            <w:pPr>
              <w:pStyle w:val="AERtabletextleft"/>
            </w:pPr>
            <w:r w:rsidRPr="00782C48">
              <w:rPr>
                <w:rFonts w:eastAsia="Calibri"/>
              </w:rPr>
              <w:t>step/extension ladders, pole platforms.</w:t>
            </w:r>
          </w:p>
        </w:tc>
        <w:tc>
          <w:tcPr>
            <w:tcW w:w="1971" w:type="dxa"/>
          </w:tcPr>
          <w:p w:rsidR="00782C48" w:rsidRPr="000350CE" w:rsidRDefault="00782C48" w:rsidP="002C4834">
            <w:pPr>
              <w:pStyle w:val="AERtabletextleft"/>
            </w:pPr>
            <w:r>
              <w:t>Unregulated</w:t>
            </w:r>
          </w:p>
        </w:tc>
        <w:tc>
          <w:tcPr>
            <w:tcW w:w="1864" w:type="dxa"/>
          </w:tcPr>
          <w:p w:rsidR="00782C48" w:rsidRPr="000350CE" w:rsidRDefault="00782C48" w:rsidP="002C4834">
            <w:pPr>
              <w:pStyle w:val="AERtabletextleft"/>
            </w:pPr>
            <w:r>
              <w:t>Unregulated</w:t>
            </w:r>
          </w:p>
        </w:tc>
      </w:tr>
      <w:tr w:rsidR="000B393F" w:rsidRPr="00E36FB3" w:rsidTr="00D831CC">
        <w:trPr>
          <w:trHeight w:val="649"/>
        </w:trPr>
        <w:tc>
          <w:tcPr>
            <w:tcW w:w="3560" w:type="dxa"/>
          </w:tcPr>
          <w:p w:rsidR="00782C48" w:rsidRDefault="00782C48" w:rsidP="002C4834">
            <w:pPr>
              <w:pStyle w:val="AERtabletextleft"/>
            </w:pPr>
            <w:r>
              <w:t>Sale of inventory, asset or scrap</w:t>
            </w:r>
          </w:p>
        </w:tc>
        <w:tc>
          <w:tcPr>
            <w:tcW w:w="6637" w:type="dxa"/>
          </w:tcPr>
          <w:p w:rsidR="00782C48" w:rsidRDefault="00782C48" w:rsidP="002C4834">
            <w:pPr>
              <w:pStyle w:val="AERtabletextleft"/>
            </w:pPr>
          </w:p>
        </w:tc>
        <w:tc>
          <w:tcPr>
            <w:tcW w:w="1971" w:type="dxa"/>
          </w:tcPr>
          <w:p w:rsidR="00782C48" w:rsidRPr="000350CE" w:rsidRDefault="00782C48" w:rsidP="002C4834">
            <w:pPr>
              <w:pStyle w:val="AERtabletextleft"/>
            </w:pPr>
            <w:r>
              <w:t>Unregulated</w:t>
            </w:r>
          </w:p>
        </w:tc>
        <w:tc>
          <w:tcPr>
            <w:tcW w:w="1864" w:type="dxa"/>
          </w:tcPr>
          <w:p w:rsidR="00782C48" w:rsidRPr="000350CE" w:rsidRDefault="00782C48" w:rsidP="002C4834">
            <w:pPr>
              <w:pStyle w:val="AERtabletextleft"/>
            </w:pPr>
            <w:r>
              <w:t>Unregulated</w:t>
            </w:r>
          </w:p>
        </w:tc>
      </w:tr>
      <w:tr w:rsidR="001261BF" w:rsidRPr="00E36FB3" w:rsidTr="00D831CC">
        <w:trPr>
          <w:cnfStyle w:val="000000010000" w:firstRow="0" w:lastRow="0" w:firstColumn="0" w:lastColumn="0" w:oddVBand="0" w:evenVBand="0" w:oddHBand="0" w:evenHBand="1" w:firstRowFirstColumn="0" w:firstRowLastColumn="0" w:lastRowFirstColumn="0" w:lastRowLastColumn="0"/>
          <w:trHeight w:val="573"/>
        </w:trPr>
        <w:tc>
          <w:tcPr>
            <w:tcW w:w="3560" w:type="dxa"/>
          </w:tcPr>
          <w:p w:rsidR="00782C48" w:rsidRDefault="00782C48" w:rsidP="002C4834">
            <w:pPr>
              <w:pStyle w:val="AERtabletextleft"/>
            </w:pPr>
            <w:r>
              <w:t>Operate and maintain customer assets</w:t>
            </w:r>
          </w:p>
        </w:tc>
        <w:tc>
          <w:tcPr>
            <w:tcW w:w="6637" w:type="dxa"/>
          </w:tcPr>
          <w:p w:rsidR="00782C48" w:rsidRDefault="00782C48" w:rsidP="002C4834">
            <w:pPr>
              <w:pStyle w:val="AERtabletextleft"/>
            </w:pPr>
            <w:r>
              <w:t>Contract to provide, operate and maintain services for connection assets owned by customer.</w:t>
            </w:r>
          </w:p>
        </w:tc>
        <w:tc>
          <w:tcPr>
            <w:tcW w:w="1971" w:type="dxa"/>
          </w:tcPr>
          <w:p w:rsidR="00782C48" w:rsidRPr="000350CE" w:rsidRDefault="00782C48" w:rsidP="002C4834">
            <w:pPr>
              <w:pStyle w:val="AERtabletextleft"/>
            </w:pPr>
            <w:r>
              <w:t>Unregulated</w:t>
            </w:r>
          </w:p>
        </w:tc>
        <w:tc>
          <w:tcPr>
            <w:tcW w:w="1864" w:type="dxa"/>
          </w:tcPr>
          <w:p w:rsidR="00782C48" w:rsidRPr="000350CE" w:rsidRDefault="00782C48" w:rsidP="002C4834">
            <w:pPr>
              <w:pStyle w:val="AERtabletextleft"/>
            </w:pPr>
            <w:r>
              <w:t>Unregulated</w:t>
            </w:r>
          </w:p>
        </w:tc>
      </w:tr>
    </w:tbl>
    <w:p w:rsidR="00C6660B" w:rsidRPr="00C6660B" w:rsidRDefault="00C6660B" w:rsidP="00C6660B"/>
    <w:sectPr w:rsidR="00C6660B" w:rsidRPr="00C6660B" w:rsidSect="00C6660B">
      <w:pgSz w:w="16838" w:h="11906" w:orient="landscape" w:code="9"/>
      <w:pgMar w:top="1729" w:right="1440" w:bottom="1701" w:left="1582"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6C5" w:rsidRPr="00290C63" w:rsidRDefault="005F06C5" w:rsidP="00290C63">
      <w:r>
        <w:separator/>
      </w:r>
    </w:p>
    <w:p w:rsidR="005F06C5" w:rsidRDefault="005F06C5"/>
  </w:endnote>
  <w:endnote w:type="continuationSeparator" w:id="0">
    <w:p w:rsidR="005F06C5" w:rsidRPr="00290C63" w:rsidRDefault="005F06C5" w:rsidP="00290C63">
      <w:r>
        <w:continuationSeparator/>
      </w:r>
    </w:p>
    <w:p w:rsidR="005F06C5" w:rsidRDefault="005F0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C5" w:rsidRPr="00290C63" w:rsidRDefault="005F06C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5F06C5" w:rsidRDefault="005F06C5"/>
  <w:p w:rsidR="005F06C5" w:rsidRDefault="005F06C5"/>
  <w:p w:rsidR="005F06C5" w:rsidRDefault="005F06C5"/>
  <w:p w:rsidR="005F06C5" w:rsidRDefault="005F06C5"/>
  <w:p w:rsidR="005F06C5" w:rsidRDefault="005F06C5"/>
  <w:p w:rsidR="005F06C5" w:rsidRDefault="005F06C5"/>
  <w:p w:rsidR="005F06C5" w:rsidRDefault="005F06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5F06C5" w:rsidRDefault="005F06C5">
        <w:pPr>
          <w:pStyle w:val="Footer"/>
        </w:pPr>
        <w:r>
          <w:t>13-</w:t>
        </w:r>
        <w:r>
          <w:fldChar w:fldCharType="begin"/>
        </w:r>
        <w:r>
          <w:instrText xml:space="preserve"> PAGE   \* MERGEFORMAT </w:instrText>
        </w:r>
        <w:r>
          <w:fldChar w:fldCharType="separate"/>
        </w:r>
        <w:r w:rsidR="0057775B">
          <w:rPr>
            <w:noProof/>
          </w:rPr>
          <w:t>3</w:t>
        </w:r>
        <w:r>
          <w:rPr>
            <w:noProof/>
          </w:rPr>
          <w:fldChar w:fldCharType="end"/>
        </w:r>
        <w:r>
          <w:rPr>
            <w:noProof/>
          </w:rPr>
          <w:t xml:space="preserve">      </w:t>
        </w:r>
        <w:r>
          <w:t xml:space="preserve">           </w:t>
        </w:r>
        <w:r>
          <w:rPr>
            <w:noProof/>
          </w:rPr>
          <w:t xml:space="preserve">  Attachment 1</w:t>
        </w:r>
        <w:r>
          <w:t>3</w:t>
        </w:r>
        <w:r>
          <w:rPr>
            <w:noProof/>
          </w:rPr>
          <w:t xml:space="preserve"> </w:t>
        </w:r>
        <w:r>
          <w:rPr>
            <w:rFonts w:cs="Gautami"/>
            <w:noProof/>
          </w:rPr>
          <w:t xml:space="preserve">– </w:t>
        </w:r>
        <w:r>
          <w:t>Classification of services</w:t>
        </w:r>
        <w:r>
          <w:rPr>
            <w:rFonts w:cs="Gautami"/>
            <w:noProof/>
          </w:rPr>
          <w:t xml:space="preserve"> | </w:t>
        </w:r>
        <w:r>
          <w:t>Energex</w:t>
        </w:r>
        <w:r>
          <w:rPr>
            <w:rFonts w:cs="Gautami"/>
            <w:noProof/>
          </w:rPr>
          <w:t xml:space="preserve"> determination 2015–20</w:t>
        </w:r>
      </w:p>
    </w:sdtContent>
  </w:sdt>
  <w:p w:rsidR="005F06C5" w:rsidRDefault="005F06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C5" w:rsidRPr="00290C63" w:rsidRDefault="005F06C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5F06C5" w:rsidRDefault="005F06C5">
    <w:pPr>
      <w:pStyle w:val="Footer"/>
    </w:pPr>
  </w:p>
  <w:p w:rsidR="005F06C5" w:rsidRDefault="005F06C5"/>
  <w:p w:rsidR="005F06C5" w:rsidRDefault="005F06C5"/>
  <w:p w:rsidR="005F06C5" w:rsidRDefault="005F06C5"/>
  <w:p w:rsidR="005F06C5" w:rsidRDefault="005F06C5"/>
  <w:p w:rsidR="005F06C5" w:rsidRDefault="005F06C5"/>
  <w:p w:rsidR="005F06C5" w:rsidRDefault="005F06C5"/>
  <w:p w:rsidR="005F06C5" w:rsidRDefault="005F0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6C5" w:rsidRPr="00290C63" w:rsidRDefault="005F06C5" w:rsidP="00290C63">
      <w:r>
        <w:separator/>
      </w:r>
    </w:p>
    <w:p w:rsidR="005F06C5" w:rsidRDefault="005F06C5"/>
  </w:footnote>
  <w:footnote w:type="continuationSeparator" w:id="0">
    <w:p w:rsidR="005F06C5" w:rsidRPr="00290C63" w:rsidRDefault="005F06C5" w:rsidP="00290C63">
      <w:r>
        <w:continuationSeparator/>
      </w:r>
    </w:p>
    <w:p w:rsidR="005F06C5" w:rsidRDefault="005F06C5"/>
  </w:footnote>
  <w:footnote w:id="1">
    <w:p w:rsidR="005F06C5" w:rsidRDefault="005F06C5" w:rsidP="0087281D">
      <w:pPr>
        <w:pStyle w:val="FootnoteText"/>
      </w:pPr>
      <w:r>
        <w:rPr>
          <w:rStyle w:val="FootnoteReference"/>
        </w:rPr>
        <w:footnoteRef/>
      </w:r>
      <w:r>
        <w:t xml:space="preserve"> </w:t>
      </w:r>
      <w:r>
        <w:tab/>
        <w:t>NER, cl. 6.12.1(1).</w:t>
      </w:r>
    </w:p>
  </w:footnote>
  <w:footnote w:id="2">
    <w:p w:rsidR="005F06C5" w:rsidRDefault="005F06C5" w:rsidP="0087281D">
      <w:pPr>
        <w:pStyle w:val="FootnoteText"/>
      </w:pPr>
      <w:r>
        <w:rPr>
          <w:rStyle w:val="FootnoteReference"/>
        </w:rPr>
        <w:footnoteRef/>
      </w:r>
      <w:r>
        <w:t xml:space="preserve"> </w:t>
      </w:r>
      <w:r>
        <w:tab/>
        <w:t>NER, cl. 6.12.3(b).</w:t>
      </w:r>
    </w:p>
  </w:footnote>
  <w:footnote w:id="3">
    <w:p w:rsidR="005F06C5" w:rsidRDefault="005F06C5" w:rsidP="0087281D">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Energex and Ergon Energy</w:t>
      </w:r>
      <w:r w:rsidRPr="00110FBA">
        <w:rPr>
          <w:rStyle w:val="AERtextitalic"/>
        </w:rPr>
        <w:t xml:space="preserve"> – </w:t>
      </w:r>
      <w:r>
        <w:rPr>
          <w:rStyle w:val="AERtextitalic"/>
        </w:rPr>
        <w:t>Regulatory control period commencing 1 July 2015</w:t>
      </w:r>
      <w:r>
        <w:t>, April 2014 pp. 18</w:t>
      </w:r>
      <w:r>
        <w:rPr>
          <w:rFonts w:cs="Gautami"/>
        </w:rPr>
        <w:t>–</w:t>
      </w:r>
      <w:r>
        <w:t>51.</w:t>
      </w:r>
    </w:p>
  </w:footnote>
  <w:footnote w:id="4">
    <w:p w:rsidR="007E6836" w:rsidRDefault="007E6836">
      <w:pPr>
        <w:pStyle w:val="FootnoteText"/>
      </w:pPr>
      <w:r>
        <w:rPr>
          <w:rStyle w:val="FootnoteReference"/>
        </w:rPr>
        <w:footnoteRef/>
      </w:r>
      <w:r>
        <w:t xml:space="preserve"> </w:t>
      </w:r>
      <w:r>
        <w:tab/>
        <w:t xml:space="preserve">Refer to attachment 14 </w:t>
      </w:r>
      <w:r>
        <w:rPr>
          <w:rFonts w:cs="Arial"/>
        </w:rPr>
        <w:t>−</w:t>
      </w:r>
      <w:r>
        <w:t xml:space="preserve"> Control mechanisms and attachment 16 </w:t>
      </w:r>
      <w:r>
        <w:rPr>
          <w:rFonts w:cs="Arial"/>
        </w:rPr>
        <w:t>−</w:t>
      </w:r>
      <w:r>
        <w:t xml:space="preserve"> Alternative control services. </w:t>
      </w:r>
    </w:p>
  </w:footnote>
  <w:footnote w:id="5">
    <w:p w:rsidR="005F06C5" w:rsidRDefault="005F06C5" w:rsidP="008B4174">
      <w:pPr>
        <w:pStyle w:val="FootnoteText"/>
      </w:pPr>
      <w:r>
        <w:rPr>
          <w:rStyle w:val="FootnoteReference"/>
        </w:rPr>
        <w:footnoteRef/>
      </w:r>
      <w:r>
        <w:t xml:space="preserve"> </w:t>
      </w:r>
      <w:r>
        <w:tab/>
        <w:t>NER, cl. 6.2.1 (b).</w:t>
      </w:r>
    </w:p>
  </w:footnote>
  <w:footnote w:id="6">
    <w:p w:rsidR="00834C5A" w:rsidRDefault="00834C5A">
      <w:pPr>
        <w:pStyle w:val="FootnoteText"/>
      </w:pPr>
      <w:r>
        <w:rPr>
          <w:rStyle w:val="FootnoteReference"/>
        </w:rPr>
        <w:footnoteRef/>
      </w:r>
      <w:r>
        <w:t xml:space="preserve"> </w:t>
      </w:r>
      <w:r>
        <w:tab/>
        <w:t>NER, cl. 6.2.1(c)</w:t>
      </w:r>
      <w:r w:rsidR="00587AE9">
        <w:t>; NEL, s. 2F.</w:t>
      </w:r>
    </w:p>
  </w:footnote>
  <w:footnote w:id="7">
    <w:p w:rsidR="005F06C5" w:rsidRDefault="005F06C5" w:rsidP="005F06C5">
      <w:pPr>
        <w:pStyle w:val="FootnoteText"/>
      </w:pPr>
      <w:r>
        <w:rPr>
          <w:rStyle w:val="FootnoteReference"/>
        </w:rPr>
        <w:footnoteRef/>
      </w:r>
      <w:r>
        <w:t xml:space="preserve"> </w:t>
      </w:r>
      <w:r>
        <w:tab/>
        <w:t>NER, cl. 6.2.1(c).</w:t>
      </w:r>
    </w:p>
  </w:footnote>
  <w:footnote w:id="8">
    <w:p w:rsidR="005F06C5" w:rsidRDefault="005F06C5" w:rsidP="005F06C5">
      <w:pPr>
        <w:pStyle w:val="FootnoteText"/>
      </w:pPr>
      <w:r>
        <w:rPr>
          <w:rStyle w:val="FootnoteReference"/>
        </w:rPr>
        <w:footnoteRef/>
      </w:r>
      <w:r>
        <w:t xml:space="preserve"> </w:t>
      </w:r>
      <w:r>
        <w:tab/>
        <w:t>NER, cl. 6.2.2(c).</w:t>
      </w:r>
    </w:p>
  </w:footnote>
  <w:footnote w:id="9">
    <w:p w:rsidR="005F06C5" w:rsidRDefault="005F06C5" w:rsidP="005F06C5">
      <w:pPr>
        <w:pStyle w:val="FootnoteText"/>
      </w:pPr>
      <w:r>
        <w:rPr>
          <w:rStyle w:val="FootnoteReference"/>
        </w:rPr>
        <w:footnoteRef/>
      </w:r>
      <w:r>
        <w:t xml:space="preserve"> </w:t>
      </w:r>
      <w:r>
        <w:tab/>
        <w:t xml:space="preserve">NER, cll. 6.2.1(d) and 6.2.2(d). </w:t>
      </w:r>
    </w:p>
  </w:footnote>
  <w:footnote w:id="10">
    <w:p w:rsidR="005F06C5" w:rsidRDefault="005F06C5" w:rsidP="00057FEA">
      <w:pPr>
        <w:pStyle w:val="FootnoteText"/>
      </w:pPr>
      <w:r>
        <w:rPr>
          <w:rStyle w:val="FootnoteReference"/>
        </w:rPr>
        <w:footnoteRef/>
      </w:r>
      <w:r>
        <w:t xml:space="preserve"> </w:t>
      </w:r>
      <w:r>
        <w:tab/>
        <w:t>NER, cl. 6.12.3(b).</w:t>
      </w:r>
    </w:p>
  </w:footnote>
  <w:footnote w:id="11">
    <w:p w:rsidR="005F06C5" w:rsidRDefault="005F06C5" w:rsidP="00057FEA">
      <w:pPr>
        <w:pStyle w:val="FootnoteText"/>
      </w:pPr>
      <w:r>
        <w:rPr>
          <w:rStyle w:val="FootnoteReference"/>
        </w:rPr>
        <w:footnoteRef/>
      </w:r>
      <w:r>
        <w:t xml:space="preserve"> </w:t>
      </w:r>
      <w:r>
        <w:tab/>
      </w:r>
      <w:r w:rsidRPr="000949F3">
        <w:t xml:space="preserve">AER, </w:t>
      </w:r>
      <w:r w:rsidRPr="000949F3">
        <w:rPr>
          <w:rStyle w:val="AERtextitalic"/>
        </w:rPr>
        <w:t>Final framework and approach for Energex and Ergon Energy – Regulatory control period commencing 1 July 201</w:t>
      </w:r>
      <w:r w:rsidRPr="000949F3">
        <w:t>5, April 2014 pp. 18–51.</w:t>
      </w:r>
    </w:p>
  </w:footnote>
  <w:footnote w:id="12">
    <w:p w:rsidR="005F06C5" w:rsidRDefault="005F06C5" w:rsidP="00057FEA">
      <w:pPr>
        <w:pStyle w:val="FootnoteText"/>
      </w:pPr>
      <w:r>
        <w:rPr>
          <w:rStyle w:val="FootnoteReference"/>
        </w:rPr>
        <w:footnoteRef/>
      </w:r>
      <w:r>
        <w:t xml:space="preserve"> </w:t>
      </w:r>
      <w:r>
        <w:tab/>
        <w:t xml:space="preserve">AEMC, </w:t>
      </w:r>
      <w:r w:rsidRPr="00B805D4">
        <w:rPr>
          <w:rStyle w:val="AERtextitalic"/>
        </w:rPr>
        <w:t>Final report —</w:t>
      </w:r>
      <w:r>
        <w:t xml:space="preserve"> </w:t>
      </w:r>
      <w:r w:rsidRPr="00E31BE8">
        <w:rPr>
          <w:rStyle w:val="AERtextitalic"/>
        </w:rPr>
        <w:t>Power of choice review - giving consumers options in the way they use electricity</w:t>
      </w:r>
      <w:r>
        <w:t>, November 2012.</w:t>
      </w:r>
    </w:p>
  </w:footnote>
  <w:footnote w:id="13">
    <w:p w:rsidR="005F06C5" w:rsidRDefault="005F06C5" w:rsidP="00057FEA">
      <w:pPr>
        <w:pStyle w:val="FootnoteText"/>
      </w:pPr>
      <w:r>
        <w:rPr>
          <w:rStyle w:val="FootnoteReference"/>
        </w:rPr>
        <w:footnoteRef/>
      </w:r>
      <w:r>
        <w:t xml:space="preserve"> </w:t>
      </w:r>
      <w:r>
        <w:tab/>
        <w:t xml:space="preserve">AEMC, </w:t>
      </w:r>
      <w:r w:rsidRPr="00821D18">
        <w:rPr>
          <w:rStyle w:val="AERtextitalic"/>
        </w:rPr>
        <w:t>Consultation paper — National electricity amendment (expanding competition in metering and related services)</w:t>
      </w:r>
      <w:r>
        <w:t>, April 2014.</w:t>
      </w:r>
    </w:p>
  </w:footnote>
  <w:footnote w:id="14">
    <w:p w:rsidR="005F06C5" w:rsidRDefault="005F06C5" w:rsidP="00057FEA">
      <w:pPr>
        <w:pStyle w:val="FootnoteText"/>
      </w:pPr>
      <w:r>
        <w:rPr>
          <w:rStyle w:val="FootnoteReference"/>
        </w:rPr>
        <w:footnoteRef/>
      </w:r>
      <w:r>
        <w:t xml:space="preserve"> </w:t>
      </w:r>
      <w:r>
        <w:tab/>
        <w:t xml:space="preserve">Energex, </w:t>
      </w:r>
      <w:r w:rsidRPr="00C84003">
        <w:rPr>
          <w:rStyle w:val="AERtextitalic"/>
        </w:rPr>
        <w:t>Regulatory proposal</w:t>
      </w:r>
      <w:r>
        <w:t xml:space="preserve">, October 2014, p. 72; Ergon Energy, </w:t>
      </w:r>
      <w:r w:rsidRPr="009A6E91">
        <w:rPr>
          <w:rStyle w:val="AERtextitalic"/>
        </w:rPr>
        <w:t>Regulatory proposal</w:t>
      </w:r>
      <w:r>
        <w:t>, October 2014, p. 14.</w:t>
      </w:r>
    </w:p>
  </w:footnote>
  <w:footnote w:id="15">
    <w:p w:rsidR="005F06C5" w:rsidRDefault="005F06C5">
      <w:pPr>
        <w:pStyle w:val="FootnoteText"/>
      </w:pPr>
      <w:r>
        <w:rPr>
          <w:rStyle w:val="FootnoteReference"/>
        </w:rPr>
        <w:footnoteRef/>
      </w:r>
      <w:r>
        <w:t xml:space="preserve"> </w:t>
      </w:r>
      <w:r>
        <w:tab/>
      </w:r>
      <w:r w:rsidR="007E6836" w:rsidRPr="00D00F1A">
        <w:t>AEMC,</w:t>
      </w:r>
      <w:r w:rsidR="007E6836">
        <w:t xml:space="preserve"> </w:t>
      </w:r>
      <w:r w:rsidR="007E6836" w:rsidRPr="00A638CE">
        <w:rPr>
          <w:rStyle w:val="AERtextitalic"/>
        </w:rPr>
        <w:t>Draft Rule Determination: National Electricity Amendment (Expanding competition in metering and related services) Rule 2015</w:t>
      </w:r>
      <w:r w:rsidR="007E6836">
        <w:t>, 26 March 2015.</w:t>
      </w:r>
    </w:p>
  </w:footnote>
  <w:footnote w:id="16">
    <w:p w:rsidR="005F06C5" w:rsidRDefault="005F06C5">
      <w:pPr>
        <w:pStyle w:val="FootnoteText"/>
      </w:pPr>
      <w:r>
        <w:rPr>
          <w:rStyle w:val="FootnoteReference"/>
        </w:rPr>
        <w:footnoteRef/>
      </w:r>
      <w:r>
        <w:t xml:space="preserve"> </w:t>
      </w:r>
      <w:r>
        <w:tab/>
      </w:r>
      <w:r w:rsidRPr="000949F3">
        <w:t xml:space="preserve">AER, </w:t>
      </w:r>
      <w:r w:rsidRPr="000949F3">
        <w:rPr>
          <w:rStyle w:val="AERtextitalic"/>
        </w:rPr>
        <w:t>Final framework and approach for Energex and Ergon Energy – Regulatory control period commencing 1 July 201</w:t>
      </w:r>
      <w:r>
        <w:t>5, April 2014 p. 116.</w:t>
      </w:r>
    </w:p>
  </w:footnote>
  <w:footnote w:id="17">
    <w:p w:rsidR="005F06C5" w:rsidRPr="004827FD" w:rsidRDefault="005F06C5" w:rsidP="004B6AB4">
      <w:pPr>
        <w:pStyle w:val="FootnoteText"/>
        <w:rPr>
          <w:rFonts w:cs="Arial"/>
        </w:rPr>
      </w:pPr>
      <w:r w:rsidRPr="004827FD">
        <w:rPr>
          <w:rStyle w:val="FootnoteReference"/>
          <w:rFonts w:cs="Arial"/>
        </w:rPr>
        <w:footnoteRef/>
      </w:r>
      <w:r w:rsidRPr="004827FD">
        <w:rPr>
          <w:rFonts w:cs="Arial"/>
        </w:rPr>
        <w:t xml:space="preserve"> </w:t>
      </w:r>
      <w:r w:rsidRPr="004827FD">
        <w:rPr>
          <w:rFonts w:cs="Arial"/>
        </w:rPr>
        <w:tab/>
        <w:t xml:space="preserve">Energex, </w:t>
      </w:r>
      <w:r w:rsidRPr="004827FD">
        <w:rPr>
          <w:rStyle w:val="AERtextitalic"/>
          <w:rFonts w:cs="Arial"/>
        </w:rPr>
        <w:t>Regulatory proposal</w:t>
      </w:r>
      <w:r>
        <w:rPr>
          <w:rFonts w:cs="Arial"/>
        </w:rPr>
        <w:t>, p. 280</w:t>
      </w:r>
      <w:r>
        <w:t xml:space="preserve">; </w:t>
      </w:r>
      <w:r w:rsidRPr="00375378">
        <w:t xml:space="preserve">Ergon Energy, </w:t>
      </w:r>
      <w:r w:rsidRPr="00375378">
        <w:rPr>
          <w:rStyle w:val="AERtextitalic"/>
        </w:rPr>
        <w:t>Regulatory proposal</w:t>
      </w:r>
      <w:r w:rsidRPr="00375378">
        <w:t>, p. 51.</w:t>
      </w:r>
    </w:p>
  </w:footnote>
  <w:footnote w:id="18">
    <w:p w:rsidR="005F06C5" w:rsidRDefault="005F06C5">
      <w:pPr>
        <w:pStyle w:val="FootnoteText"/>
      </w:pPr>
      <w:r>
        <w:rPr>
          <w:rStyle w:val="FootnoteReference"/>
        </w:rPr>
        <w:footnoteRef/>
      </w:r>
      <w:r>
        <w:t xml:space="preserve"> </w:t>
      </w:r>
      <w:r>
        <w:tab/>
        <w:t xml:space="preserve">Energex, </w:t>
      </w:r>
      <w:r w:rsidRPr="004E2EAD">
        <w:rPr>
          <w:rStyle w:val="AERtextitalic"/>
        </w:rPr>
        <w:t xml:space="preserve">Response to AER issues paper — </w:t>
      </w:r>
      <w:r>
        <w:rPr>
          <w:rStyle w:val="AERtextitalic"/>
        </w:rPr>
        <w:t>Queensland</w:t>
      </w:r>
      <w:r w:rsidRPr="004E2EAD">
        <w:rPr>
          <w:rStyle w:val="AERtextitalic"/>
        </w:rPr>
        <w:t xml:space="preserve"> electricity distribution regulatory proposals</w:t>
      </w:r>
      <w:r>
        <w:t>, January 2015, p. 25.</w:t>
      </w:r>
    </w:p>
  </w:footnote>
  <w:footnote w:id="19">
    <w:p w:rsidR="005F06C5" w:rsidRDefault="005F06C5">
      <w:pPr>
        <w:pStyle w:val="FootnoteText"/>
      </w:pPr>
      <w:r>
        <w:rPr>
          <w:rStyle w:val="FootnoteReference"/>
        </w:rPr>
        <w:footnoteRef/>
      </w:r>
      <w:r>
        <w:t xml:space="preserve"> </w:t>
      </w:r>
      <w:r>
        <w:tab/>
      </w:r>
      <w:r w:rsidRPr="000949F3">
        <w:t xml:space="preserve">AER, </w:t>
      </w:r>
      <w:r w:rsidRPr="000949F3">
        <w:rPr>
          <w:rStyle w:val="AERtextitalic"/>
        </w:rPr>
        <w:t>Final framework and approach for Energex and Ergon Energy – Regulatory control period commencing 1 July 201</w:t>
      </w:r>
      <w:r w:rsidRPr="000949F3">
        <w:t>5, April 2014 pp. 18–51.</w:t>
      </w:r>
    </w:p>
  </w:footnote>
  <w:footnote w:id="20">
    <w:p w:rsidR="005F06C5" w:rsidRDefault="005F06C5">
      <w:pPr>
        <w:pStyle w:val="FootnoteText"/>
      </w:pPr>
      <w:r>
        <w:rPr>
          <w:rStyle w:val="FootnoteReference"/>
        </w:rPr>
        <w:footnoteRef/>
      </w:r>
      <w:r>
        <w:t xml:space="preserve"> </w:t>
      </w:r>
      <w:r>
        <w:tab/>
      </w:r>
      <w:r w:rsidRPr="000949F3">
        <w:t xml:space="preserve">AER, </w:t>
      </w:r>
      <w:r w:rsidRPr="000949F3">
        <w:rPr>
          <w:rStyle w:val="AERtextitalic"/>
        </w:rPr>
        <w:t>Final framework and approach for Energex and Ergon Energy – Regulatory control period commencing 1 July 201</w:t>
      </w:r>
      <w:r w:rsidRPr="000949F3">
        <w:t>5, April 2014 p</w:t>
      </w:r>
      <w:r>
        <w:t xml:space="preserve"> 116.</w:t>
      </w:r>
    </w:p>
  </w:footnote>
  <w:footnote w:id="21">
    <w:p w:rsidR="005F06C5" w:rsidRDefault="005F06C5" w:rsidP="00F63D0F">
      <w:pPr>
        <w:pStyle w:val="FootnoteText"/>
      </w:pPr>
      <w:r>
        <w:rPr>
          <w:rStyle w:val="FootnoteReference"/>
        </w:rPr>
        <w:footnoteRef/>
      </w:r>
      <w:r>
        <w:t xml:space="preserve"> </w:t>
      </w:r>
      <w:r>
        <w:tab/>
      </w:r>
      <w:r w:rsidRPr="0032011E">
        <w:t xml:space="preserve">AER, </w:t>
      </w:r>
      <w:r w:rsidRPr="0032011E">
        <w:rPr>
          <w:rStyle w:val="AERtextitalic"/>
        </w:rPr>
        <w:t>Draft decision — Ausgrid distribution determination — attachment 13 Classification of distribution services</w:t>
      </w:r>
      <w:r>
        <w:t>, November 2014, p. 12</w:t>
      </w:r>
      <w:r w:rsidRPr="0032011E">
        <w:t>.</w:t>
      </w:r>
    </w:p>
  </w:footnote>
  <w:footnote w:id="22">
    <w:p w:rsidR="005F06C5" w:rsidRDefault="005F06C5" w:rsidP="00782C48">
      <w:pPr>
        <w:pStyle w:val="FootnoteText"/>
      </w:pPr>
      <w:r>
        <w:rPr>
          <w:rStyle w:val="FootnoteReference"/>
        </w:rPr>
        <w:footnoteRef/>
      </w:r>
      <w:r>
        <w:t xml:space="preserve"> Excluding designs for augmentation and extensions to shared network undertaken in feasibility and concept scoping for large customer connections (i.e. prior to  acceptance of connection offer) </w:t>
      </w:r>
    </w:p>
  </w:footnote>
  <w:footnote w:id="23">
    <w:p w:rsidR="005F06C5" w:rsidRDefault="005F06C5" w:rsidP="00782C48">
      <w:pPr>
        <w:pStyle w:val="FootnoteText"/>
      </w:pPr>
      <w:r>
        <w:rPr>
          <w:rStyle w:val="FootnoteReference"/>
        </w:rPr>
        <w:footnoteRef/>
      </w:r>
      <w:r>
        <w:t xml:space="preserve"> </w:t>
      </w:r>
      <w:r>
        <w:tab/>
        <w:t>Ergon Energy uses ‘minor customer’ in place of ‘small customer’.</w:t>
      </w:r>
    </w:p>
  </w:footnote>
  <w:footnote w:id="24">
    <w:p w:rsidR="005F06C5" w:rsidRDefault="005F06C5" w:rsidP="00782C48">
      <w:pPr>
        <w:pStyle w:val="FootnoteText"/>
      </w:pPr>
      <w:r>
        <w:rPr>
          <w:rStyle w:val="FootnoteReference"/>
        </w:rPr>
        <w:footnoteRef/>
      </w:r>
      <w:r>
        <w:t xml:space="preserve"> </w:t>
      </w:r>
      <w:r>
        <w:tab/>
        <w:t xml:space="preserve">See the Energex and Ergon Energy tariff schedules, available at their websites:  </w:t>
      </w:r>
      <w:r w:rsidRPr="00D13C3A">
        <w:t>www.energex.com.au</w:t>
      </w:r>
      <w:r>
        <w:t xml:space="preserve"> and www.ergon .com.au</w:t>
      </w:r>
    </w:p>
  </w:footnote>
  <w:footnote w:id="25">
    <w:p w:rsidR="005F06C5" w:rsidRDefault="005F06C5" w:rsidP="00782C48">
      <w:pPr>
        <w:pStyle w:val="FootnoteText"/>
      </w:pPr>
      <w:r>
        <w:rPr>
          <w:rStyle w:val="FootnoteReference"/>
        </w:rPr>
        <w:footnoteRef/>
      </w:r>
      <w:r>
        <w:t xml:space="preserve"> </w:t>
      </w:r>
      <w:r>
        <w:tab/>
        <w:t>Ergon Energy uses ‘major customer’ in place of ‘large customer’.</w:t>
      </w:r>
    </w:p>
  </w:footnote>
  <w:footnote w:id="26">
    <w:p w:rsidR="005F06C5" w:rsidRDefault="005F06C5" w:rsidP="00782C48">
      <w:pPr>
        <w:pStyle w:val="FootnoteText"/>
      </w:pPr>
      <w:r>
        <w:rPr>
          <w:rStyle w:val="FootnoteReference"/>
        </w:rPr>
        <w:footnoteRef/>
      </w:r>
      <w:r>
        <w:t xml:space="preserve"> </w:t>
      </w:r>
      <w:r>
        <w:tab/>
        <w:t>Does not include augmentation of the existing network.</w:t>
      </w:r>
    </w:p>
  </w:footnote>
  <w:footnote w:id="27">
    <w:p w:rsidR="005F06C5" w:rsidRDefault="005F06C5" w:rsidP="00782C48">
      <w:pPr>
        <w:pStyle w:val="FootnoteText"/>
      </w:pPr>
      <w:r>
        <w:rPr>
          <w:rStyle w:val="FootnoteReference"/>
        </w:rPr>
        <w:footnoteRef/>
      </w:r>
      <w:r>
        <w:t xml:space="preserve"> </w:t>
      </w:r>
      <w:r>
        <w:tab/>
        <w:t>In addition to services listed here, the distributors may use regulated assets to provide a range of unregulated services. Such assets are referred to by the rules as 'shared assets' and are subject to a revenue sharing mechanism set out in the AER's Shared Asset Guideline, available at www.aer.gov.au.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35FF2"/>
    <w:multiLevelType w:val="multilevel"/>
    <w:tmpl w:val="950A1C52"/>
    <w:numStyleLink w:val="AERHeadings"/>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3"/>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ECE4384"/>
    <w:multiLevelType w:val="multilevel"/>
    <w:tmpl w:val="D71CFEAE"/>
    <w:lvl w:ilvl="0">
      <w:start w:val="13"/>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6DE36827"/>
    <w:multiLevelType w:val="multilevel"/>
    <w:tmpl w:val="950A1C52"/>
    <w:numStyleLink w:val="AERHeadings"/>
  </w:abstractNum>
  <w:abstractNum w:abstractNumId="3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2819EC"/>
    <w:multiLevelType w:val="multilevel"/>
    <w:tmpl w:val="1250F310"/>
    <w:lvl w:ilvl="0">
      <w:start w:val="1"/>
      <w:numFmt w:val="bullet"/>
      <w:pStyle w:val="AERbulletlistfirststyle"/>
      <w:lvlText w:val=""/>
      <w:lvlJc w:val="left"/>
      <w:pPr>
        <w:ind w:left="8865"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2"/>
  </w:num>
  <w:num w:numId="14">
    <w:abstractNumId w:val="10"/>
  </w:num>
  <w:num w:numId="15">
    <w:abstractNumId w:val="13"/>
  </w:num>
  <w:num w:numId="16">
    <w:abstractNumId w:val="26"/>
  </w:num>
  <w:num w:numId="17">
    <w:abstractNumId w:val="9"/>
  </w:num>
  <w:num w:numId="18">
    <w:abstractNumId w:val="17"/>
  </w:num>
  <w:num w:numId="19">
    <w:abstractNumId w:val="27"/>
  </w:num>
  <w:num w:numId="20">
    <w:abstractNumId w:val="34"/>
  </w:num>
  <w:num w:numId="21">
    <w:abstractNumId w:val="14"/>
  </w:num>
  <w:num w:numId="22">
    <w:abstractNumId w:val="30"/>
  </w:num>
  <w:num w:numId="23">
    <w:abstractNumId w:val="28"/>
  </w:num>
  <w:num w:numId="24">
    <w:abstractNumId w:val="19"/>
  </w:num>
  <w:num w:numId="25">
    <w:abstractNumId w:val="29"/>
  </w:num>
  <w:num w:numId="26">
    <w:abstractNumId w:val="31"/>
  </w:num>
  <w:num w:numId="27">
    <w:abstractNumId w:val="21"/>
  </w:num>
  <w:num w:numId="28">
    <w:abstractNumId w:val="18"/>
  </w:num>
  <w:num w:numId="29">
    <w:abstractNumId w:val="16"/>
  </w:num>
  <w:num w:numId="30">
    <w:abstractNumId w:val="35"/>
  </w:num>
  <w:num w:numId="31">
    <w:abstractNumId w:val="15"/>
  </w:num>
  <w:num w:numId="32">
    <w:abstractNumId w:val="24"/>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3"/>
  </w:num>
  <w:num w:numId="37">
    <w:abstractNumId w:val="11"/>
    <w:lvlOverride w:ilvl="1">
      <w:lvl w:ilvl="1">
        <w:start w:val="13"/>
        <w:numFmt w:val="decimal"/>
        <w:lvlText w:val="%1%2"/>
        <w:lvlJc w:val="left"/>
        <w:pPr>
          <w:tabs>
            <w:tab w:val="num" w:pos="0"/>
          </w:tabs>
          <w:ind w:left="0" w:hanging="851"/>
        </w:pPr>
        <w:rPr>
          <w:rFonts w:hint="default"/>
        </w:rPr>
      </w:lvl>
    </w:lvlOverride>
  </w:num>
  <w:num w:numId="38">
    <w:abstractNumId w:val="23"/>
  </w:num>
  <w:num w:numId="39">
    <w:abstractNumId w:val="20"/>
  </w:num>
  <w:num w:numId="40">
    <w:abstractNumId w:val="25"/>
  </w:num>
  <w:num w:numId="41">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q7TmS1DD4smj/SRJjHuuIM/o1/NzrNdc43ijWbwPIVI=" w:saltValue="mo2JoS2lu6bqzXP8Mu3yxA==" w:algorithmName="SHA-256"/>
  <w:defaultTabStop w:val="34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328\AER15 180  NEW - Energex - prelim decision - Attach 18 - Connection policy.DOCX"/>
  </w:docVars>
  <w:rsids>
    <w:rsidRoot w:val="00961A4A"/>
    <w:rsid w:val="00000843"/>
    <w:rsid w:val="000051F1"/>
    <w:rsid w:val="000071FE"/>
    <w:rsid w:val="0001732E"/>
    <w:rsid w:val="00021202"/>
    <w:rsid w:val="00021F37"/>
    <w:rsid w:val="0002517F"/>
    <w:rsid w:val="00027007"/>
    <w:rsid w:val="0003578C"/>
    <w:rsid w:val="00037ABB"/>
    <w:rsid w:val="00037E8B"/>
    <w:rsid w:val="000408B8"/>
    <w:rsid w:val="00045299"/>
    <w:rsid w:val="00045C9E"/>
    <w:rsid w:val="00053B94"/>
    <w:rsid w:val="00056796"/>
    <w:rsid w:val="00057FEA"/>
    <w:rsid w:val="00063247"/>
    <w:rsid w:val="0006616E"/>
    <w:rsid w:val="00070F9F"/>
    <w:rsid w:val="0007137B"/>
    <w:rsid w:val="00071997"/>
    <w:rsid w:val="00073E1E"/>
    <w:rsid w:val="00074825"/>
    <w:rsid w:val="0007778B"/>
    <w:rsid w:val="000777EE"/>
    <w:rsid w:val="00085525"/>
    <w:rsid w:val="00085663"/>
    <w:rsid w:val="00085EBF"/>
    <w:rsid w:val="00087E62"/>
    <w:rsid w:val="000925D3"/>
    <w:rsid w:val="000949F3"/>
    <w:rsid w:val="000A3020"/>
    <w:rsid w:val="000A6C7B"/>
    <w:rsid w:val="000B286C"/>
    <w:rsid w:val="000B393F"/>
    <w:rsid w:val="000B418C"/>
    <w:rsid w:val="000C7F3F"/>
    <w:rsid w:val="000D063C"/>
    <w:rsid w:val="000D122C"/>
    <w:rsid w:val="000E1819"/>
    <w:rsid w:val="000E4435"/>
    <w:rsid w:val="000E4821"/>
    <w:rsid w:val="000E66F3"/>
    <w:rsid w:val="000E6AE7"/>
    <w:rsid w:val="000E6C72"/>
    <w:rsid w:val="000F63CB"/>
    <w:rsid w:val="00105FE1"/>
    <w:rsid w:val="00116EB2"/>
    <w:rsid w:val="001201F1"/>
    <w:rsid w:val="00120EC9"/>
    <w:rsid w:val="00124609"/>
    <w:rsid w:val="001261BF"/>
    <w:rsid w:val="00126A4C"/>
    <w:rsid w:val="0014573B"/>
    <w:rsid w:val="00152C88"/>
    <w:rsid w:val="001554A7"/>
    <w:rsid w:val="001573E4"/>
    <w:rsid w:val="00160756"/>
    <w:rsid w:val="0017232E"/>
    <w:rsid w:val="00174102"/>
    <w:rsid w:val="00180157"/>
    <w:rsid w:val="00185CB9"/>
    <w:rsid w:val="00186F77"/>
    <w:rsid w:val="00187441"/>
    <w:rsid w:val="0019019E"/>
    <w:rsid w:val="001926A4"/>
    <w:rsid w:val="00192AD5"/>
    <w:rsid w:val="001A268D"/>
    <w:rsid w:val="001A4281"/>
    <w:rsid w:val="001B45A0"/>
    <w:rsid w:val="001D055E"/>
    <w:rsid w:val="001D41D0"/>
    <w:rsid w:val="001E1E62"/>
    <w:rsid w:val="001F492E"/>
    <w:rsid w:val="001F5A6E"/>
    <w:rsid w:val="001F6DA3"/>
    <w:rsid w:val="002010BC"/>
    <w:rsid w:val="00202E03"/>
    <w:rsid w:val="0020492C"/>
    <w:rsid w:val="0020756E"/>
    <w:rsid w:val="00211139"/>
    <w:rsid w:val="002129D6"/>
    <w:rsid w:val="00220761"/>
    <w:rsid w:val="00224DB9"/>
    <w:rsid w:val="00233775"/>
    <w:rsid w:val="0023625B"/>
    <w:rsid w:val="00237E7B"/>
    <w:rsid w:val="00240BE2"/>
    <w:rsid w:val="00251745"/>
    <w:rsid w:val="00263AC0"/>
    <w:rsid w:val="00264264"/>
    <w:rsid w:val="002646F5"/>
    <w:rsid w:val="00266C6E"/>
    <w:rsid w:val="0026772D"/>
    <w:rsid w:val="00267CB5"/>
    <w:rsid w:val="00286874"/>
    <w:rsid w:val="00290C63"/>
    <w:rsid w:val="00291907"/>
    <w:rsid w:val="0029340A"/>
    <w:rsid w:val="00296B65"/>
    <w:rsid w:val="002A7DEF"/>
    <w:rsid w:val="002B0819"/>
    <w:rsid w:val="002B53B8"/>
    <w:rsid w:val="002B652F"/>
    <w:rsid w:val="002B6CEC"/>
    <w:rsid w:val="002B6FE9"/>
    <w:rsid w:val="002C4834"/>
    <w:rsid w:val="002D1431"/>
    <w:rsid w:val="002D1A4C"/>
    <w:rsid w:val="002D1BB2"/>
    <w:rsid w:val="002D7672"/>
    <w:rsid w:val="002E3855"/>
    <w:rsid w:val="002E56DF"/>
    <w:rsid w:val="002E7B22"/>
    <w:rsid w:val="002F4F97"/>
    <w:rsid w:val="002F7986"/>
    <w:rsid w:val="00301B40"/>
    <w:rsid w:val="003029EE"/>
    <w:rsid w:val="00305CC8"/>
    <w:rsid w:val="00306DEE"/>
    <w:rsid w:val="00307F6D"/>
    <w:rsid w:val="003177A2"/>
    <w:rsid w:val="003271B5"/>
    <w:rsid w:val="00327546"/>
    <w:rsid w:val="00327A1E"/>
    <w:rsid w:val="00331264"/>
    <w:rsid w:val="00334C8D"/>
    <w:rsid w:val="00343A18"/>
    <w:rsid w:val="003518B3"/>
    <w:rsid w:val="00355A7D"/>
    <w:rsid w:val="0035618E"/>
    <w:rsid w:val="00356CAF"/>
    <w:rsid w:val="00356E67"/>
    <w:rsid w:val="003578BD"/>
    <w:rsid w:val="00367987"/>
    <w:rsid w:val="003722AC"/>
    <w:rsid w:val="00375378"/>
    <w:rsid w:val="00375E7C"/>
    <w:rsid w:val="00377226"/>
    <w:rsid w:val="003846F1"/>
    <w:rsid w:val="0039608A"/>
    <w:rsid w:val="003A3FF4"/>
    <w:rsid w:val="003B484F"/>
    <w:rsid w:val="003C6B47"/>
    <w:rsid w:val="003E16CE"/>
    <w:rsid w:val="003E3A96"/>
    <w:rsid w:val="003E6F9C"/>
    <w:rsid w:val="003E7844"/>
    <w:rsid w:val="003F174D"/>
    <w:rsid w:val="004025AC"/>
    <w:rsid w:val="00415FAE"/>
    <w:rsid w:val="00440B25"/>
    <w:rsid w:val="0044105A"/>
    <w:rsid w:val="004502B6"/>
    <w:rsid w:val="00456AAC"/>
    <w:rsid w:val="004573CF"/>
    <w:rsid w:val="0045777E"/>
    <w:rsid w:val="00471C06"/>
    <w:rsid w:val="00474C52"/>
    <w:rsid w:val="00480B4B"/>
    <w:rsid w:val="00485DC4"/>
    <w:rsid w:val="00486F2A"/>
    <w:rsid w:val="0049189D"/>
    <w:rsid w:val="004957E0"/>
    <w:rsid w:val="004A4232"/>
    <w:rsid w:val="004A43D1"/>
    <w:rsid w:val="004B4412"/>
    <w:rsid w:val="004B6AB4"/>
    <w:rsid w:val="004C12B7"/>
    <w:rsid w:val="004C348C"/>
    <w:rsid w:val="004D55BA"/>
    <w:rsid w:val="004D5E6E"/>
    <w:rsid w:val="004D7866"/>
    <w:rsid w:val="004E22EC"/>
    <w:rsid w:val="004E2EAD"/>
    <w:rsid w:val="004E689D"/>
    <w:rsid w:val="004E7ECE"/>
    <w:rsid w:val="00500158"/>
    <w:rsid w:val="00516763"/>
    <w:rsid w:val="00516A1C"/>
    <w:rsid w:val="0052132B"/>
    <w:rsid w:val="00530128"/>
    <w:rsid w:val="00532467"/>
    <w:rsid w:val="0054687D"/>
    <w:rsid w:val="005476C9"/>
    <w:rsid w:val="005507BC"/>
    <w:rsid w:val="00553F1C"/>
    <w:rsid w:val="00555A0C"/>
    <w:rsid w:val="00564A4D"/>
    <w:rsid w:val="00567BA5"/>
    <w:rsid w:val="005714BD"/>
    <w:rsid w:val="00571B35"/>
    <w:rsid w:val="00571D57"/>
    <w:rsid w:val="005721BD"/>
    <w:rsid w:val="0057775B"/>
    <w:rsid w:val="00577A09"/>
    <w:rsid w:val="00577EA9"/>
    <w:rsid w:val="005829C2"/>
    <w:rsid w:val="00584D8F"/>
    <w:rsid w:val="005850E2"/>
    <w:rsid w:val="005867CF"/>
    <w:rsid w:val="00587851"/>
    <w:rsid w:val="00587AE9"/>
    <w:rsid w:val="005A1124"/>
    <w:rsid w:val="005A404D"/>
    <w:rsid w:val="005A4904"/>
    <w:rsid w:val="005B1E3C"/>
    <w:rsid w:val="005B2537"/>
    <w:rsid w:val="005C2540"/>
    <w:rsid w:val="005C26CC"/>
    <w:rsid w:val="005D2E4A"/>
    <w:rsid w:val="005D3E21"/>
    <w:rsid w:val="005D7BA2"/>
    <w:rsid w:val="005E36C2"/>
    <w:rsid w:val="005E5F1A"/>
    <w:rsid w:val="005F06C5"/>
    <w:rsid w:val="005F140A"/>
    <w:rsid w:val="005F2E24"/>
    <w:rsid w:val="00601CF8"/>
    <w:rsid w:val="006040B7"/>
    <w:rsid w:val="006101D9"/>
    <w:rsid w:val="00612E99"/>
    <w:rsid w:val="00615C6B"/>
    <w:rsid w:val="00616155"/>
    <w:rsid w:val="00621D6C"/>
    <w:rsid w:val="00621DCE"/>
    <w:rsid w:val="00624EFF"/>
    <w:rsid w:val="00632D6D"/>
    <w:rsid w:val="00633755"/>
    <w:rsid w:val="00635705"/>
    <w:rsid w:val="00636EA3"/>
    <w:rsid w:val="00642C3E"/>
    <w:rsid w:val="00647440"/>
    <w:rsid w:val="00650351"/>
    <w:rsid w:val="0065370B"/>
    <w:rsid w:val="0066104A"/>
    <w:rsid w:val="00663DAD"/>
    <w:rsid w:val="00675E20"/>
    <w:rsid w:val="00676679"/>
    <w:rsid w:val="00683C89"/>
    <w:rsid w:val="006B2395"/>
    <w:rsid w:val="006B4CF9"/>
    <w:rsid w:val="006B7AC8"/>
    <w:rsid w:val="006C3164"/>
    <w:rsid w:val="006C391D"/>
    <w:rsid w:val="006D2BFA"/>
    <w:rsid w:val="006D550F"/>
    <w:rsid w:val="006E183A"/>
    <w:rsid w:val="006F6D52"/>
    <w:rsid w:val="00701CAB"/>
    <w:rsid w:val="00707563"/>
    <w:rsid w:val="00711160"/>
    <w:rsid w:val="00714199"/>
    <w:rsid w:val="00717137"/>
    <w:rsid w:val="0072348C"/>
    <w:rsid w:val="00724A37"/>
    <w:rsid w:val="007303C3"/>
    <w:rsid w:val="00730531"/>
    <w:rsid w:val="00732AC8"/>
    <w:rsid w:val="007363FA"/>
    <w:rsid w:val="007429BE"/>
    <w:rsid w:val="00743223"/>
    <w:rsid w:val="00746E01"/>
    <w:rsid w:val="00752A6D"/>
    <w:rsid w:val="00757BDF"/>
    <w:rsid w:val="00763E5D"/>
    <w:rsid w:val="00767740"/>
    <w:rsid w:val="00771A0C"/>
    <w:rsid w:val="00777EE6"/>
    <w:rsid w:val="00780395"/>
    <w:rsid w:val="0078195A"/>
    <w:rsid w:val="00782C48"/>
    <w:rsid w:val="00782EEA"/>
    <w:rsid w:val="00793870"/>
    <w:rsid w:val="007B2C72"/>
    <w:rsid w:val="007B47AF"/>
    <w:rsid w:val="007B71AB"/>
    <w:rsid w:val="007C1C53"/>
    <w:rsid w:val="007C74BB"/>
    <w:rsid w:val="007D5503"/>
    <w:rsid w:val="007E4904"/>
    <w:rsid w:val="007E4CB5"/>
    <w:rsid w:val="007E6836"/>
    <w:rsid w:val="007F066B"/>
    <w:rsid w:val="007F735A"/>
    <w:rsid w:val="008033C4"/>
    <w:rsid w:val="00806C88"/>
    <w:rsid w:val="00807A9B"/>
    <w:rsid w:val="0081034E"/>
    <w:rsid w:val="00820694"/>
    <w:rsid w:val="00821D18"/>
    <w:rsid w:val="00832239"/>
    <w:rsid w:val="008344F6"/>
    <w:rsid w:val="00834C5A"/>
    <w:rsid w:val="0083510F"/>
    <w:rsid w:val="00847F85"/>
    <w:rsid w:val="00850F1C"/>
    <w:rsid w:val="00851209"/>
    <w:rsid w:val="0085345B"/>
    <w:rsid w:val="0087281D"/>
    <w:rsid w:val="008837AC"/>
    <w:rsid w:val="00884240"/>
    <w:rsid w:val="0088648F"/>
    <w:rsid w:val="008A3AF3"/>
    <w:rsid w:val="008A587D"/>
    <w:rsid w:val="008B35CD"/>
    <w:rsid w:val="008B4174"/>
    <w:rsid w:val="008B5FCC"/>
    <w:rsid w:val="008C5486"/>
    <w:rsid w:val="008D1661"/>
    <w:rsid w:val="008D533E"/>
    <w:rsid w:val="008E36BC"/>
    <w:rsid w:val="008E4DF7"/>
    <w:rsid w:val="008E7031"/>
    <w:rsid w:val="008E77DE"/>
    <w:rsid w:val="008E7AEC"/>
    <w:rsid w:val="008F07A3"/>
    <w:rsid w:val="008F1EB1"/>
    <w:rsid w:val="00900E1B"/>
    <w:rsid w:val="00902D02"/>
    <w:rsid w:val="00913AE2"/>
    <w:rsid w:val="00920CDD"/>
    <w:rsid w:val="009233EE"/>
    <w:rsid w:val="00925142"/>
    <w:rsid w:val="00930FF4"/>
    <w:rsid w:val="00937285"/>
    <w:rsid w:val="00942B68"/>
    <w:rsid w:val="00945C01"/>
    <w:rsid w:val="009460AA"/>
    <w:rsid w:val="00951978"/>
    <w:rsid w:val="00956894"/>
    <w:rsid w:val="0096049A"/>
    <w:rsid w:val="00961A4A"/>
    <w:rsid w:val="00965929"/>
    <w:rsid w:val="009661DE"/>
    <w:rsid w:val="0098181A"/>
    <w:rsid w:val="00983C25"/>
    <w:rsid w:val="009856B7"/>
    <w:rsid w:val="00985C86"/>
    <w:rsid w:val="00987507"/>
    <w:rsid w:val="009916E3"/>
    <w:rsid w:val="00992666"/>
    <w:rsid w:val="009A5FC3"/>
    <w:rsid w:val="009A6E91"/>
    <w:rsid w:val="009B74B0"/>
    <w:rsid w:val="009C0936"/>
    <w:rsid w:val="009C79B0"/>
    <w:rsid w:val="009D6B46"/>
    <w:rsid w:val="009D732F"/>
    <w:rsid w:val="009E66C1"/>
    <w:rsid w:val="009F3EB9"/>
    <w:rsid w:val="009F4940"/>
    <w:rsid w:val="009F5BA1"/>
    <w:rsid w:val="009F5FE6"/>
    <w:rsid w:val="009F7340"/>
    <w:rsid w:val="00A02A88"/>
    <w:rsid w:val="00A0562E"/>
    <w:rsid w:val="00A06482"/>
    <w:rsid w:val="00A0726D"/>
    <w:rsid w:val="00A10D9F"/>
    <w:rsid w:val="00A1176B"/>
    <w:rsid w:val="00A170B7"/>
    <w:rsid w:val="00A26BE5"/>
    <w:rsid w:val="00A31AA4"/>
    <w:rsid w:val="00A32FBB"/>
    <w:rsid w:val="00A35FB5"/>
    <w:rsid w:val="00A40DFF"/>
    <w:rsid w:val="00A415ED"/>
    <w:rsid w:val="00A428EE"/>
    <w:rsid w:val="00A4478A"/>
    <w:rsid w:val="00A44852"/>
    <w:rsid w:val="00A53602"/>
    <w:rsid w:val="00A5647A"/>
    <w:rsid w:val="00A567E8"/>
    <w:rsid w:val="00A57D04"/>
    <w:rsid w:val="00A60A26"/>
    <w:rsid w:val="00A61598"/>
    <w:rsid w:val="00A64C31"/>
    <w:rsid w:val="00A71DAB"/>
    <w:rsid w:val="00A84A99"/>
    <w:rsid w:val="00A84F46"/>
    <w:rsid w:val="00A871F4"/>
    <w:rsid w:val="00A91E3B"/>
    <w:rsid w:val="00AB0D2C"/>
    <w:rsid w:val="00AB21A1"/>
    <w:rsid w:val="00AC1B2C"/>
    <w:rsid w:val="00AC2605"/>
    <w:rsid w:val="00AC3264"/>
    <w:rsid w:val="00AC713D"/>
    <w:rsid w:val="00AD22C2"/>
    <w:rsid w:val="00AD29C2"/>
    <w:rsid w:val="00AD6674"/>
    <w:rsid w:val="00AE1BF1"/>
    <w:rsid w:val="00AF0DD2"/>
    <w:rsid w:val="00AF1F93"/>
    <w:rsid w:val="00AF5EF1"/>
    <w:rsid w:val="00B07EEB"/>
    <w:rsid w:val="00B10E78"/>
    <w:rsid w:val="00B13048"/>
    <w:rsid w:val="00B1716D"/>
    <w:rsid w:val="00B17A1D"/>
    <w:rsid w:val="00B207A0"/>
    <w:rsid w:val="00B21B56"/>
    <w:rsid w:val="00B23159"/>
    <w:rsid w:val="00B30276"/>
    <w:rsid w:val="00B47D9C"/>
    <w:rsid w:val="00B514DD"/>
    <w:rsid w:val="00B52AF0"/>
    <w:rsid w:val="00B561BD"/>
    <w:rsid w:val="00B562FA"/>
    <w:rsid w:val="00B56E03"/>
    <w:rsid w:val="00B642DA"/>
    <w:rsid w:val="00B67442"/>
    <w:rsid w:val="00B75542"/>
    <w:rsid w:val="00B8080B"/>
    <w:rsid w:val="00B8694E"/>
    <w:rsid w:val="00B87BA5"/>
    <w:rsid w:val="00B87C39"/>
    <w:rsid w:val="00B928B7"/>
    <w:rsid w:val="00B94C5E"/>
    <w:rsid w:val="00BA2842"/>
    <w:rsid w:val="00BA370E"/>
    <w:rsid w:val="00BA4665"/>
    <w:rsid w:val="00BB2F23"/>
    <w:rsid w:val="00BB2FB2"/>
    <w:rsid w:val="00BB3304"/>
    <w:rsid w:val="00BC0F70"/>
    <w:rsid w:val="00BD16C5"/>
    <w:rsid w:val="00BD2577"/>
    <w:rsid w:val="00BD3446"/>
    <w:rsid w:val="00BD6727"/>
    <w:rsid w:val="00BE1F1B"/>
    <w:rsid w:val="00BE47B5"/>
    <w:rsid w:val="00BE53D5"/>
    <w:rsid w:val="00BE6D39"/>
    <w:rsid w:val="00BF2835"/>
    <w:rsid w:val="00BF5CF5"/>
    <w:rsid w:val="00BF6CDD"/>
    <w:rsid w:val="00C02460"/>
    <w:rsid w:val="00C0359B"/>
    <w:rsid w:val="00C05E60"/>
    <w:rsid w:val="00C06C03"/>
    <w:rsid w:val="00C11782"/>
    <w:rsid w:val="00C2411E"/>
    <w:rsid w:val="00C25FA6"/>
    <w:rsid w:val="00C502A0"/>
    <w:rsid w:val="00C538A9"/>
    <w:rsid w:val="00C53B5A"/>
    <w:rsid w:val="00C540EB"/>
    <w:rsid w:val="00C54F5A"/>
    <w:rsid w:val="00C569B4"/>
    <w:rsid w:val="00C6660B"/>
    <w:rsid w:val="00C67A92"/>
    <w:rsid w:val="00C702EA"/>
    <w:rsid w:val="00C7639B"/>
    <w:rsid w:val="00C84003"/>
    <w:rsid w:val="00C86679"/>
    <w:rsid w:val="00C904ED"/>
    <w:rsid w:val="00C928F3"/>
    <w:rsid w:val="00C931FD"/>
    <w:rsid w:val="00CA3FF8"/>
    <w:rsid w:val="00CA489E"/>
    <w:rsid w:val="00CB0279"/>
    <w:rsid w:val="00CB666B"/>
    <w:rsid w:val="00CC1D02"/>
    <w:rsid w:val="00CC5948"/>
    <w:rsid w:val="00CC7F1D"/>
    <w:rsid w:val="00CD1838"/>
    <w:rsid w:val="00CD2696"/>
    <w:rsid w:val="00CD7E87"/>
    <w:rsid w:val="00CF1413"/>
    <w:rsid w:val="00D006AE"/>
    <w:rsid w:val="00D01CF0"/>
    <w:rsid w:val="00D04288"/>
    <w:rsid w:val="00D0442A"/>
    <w:rsid w:val="00D1742D"/>
    <w:rsid w:val="00D21498"/>
    <w:rsid w:val="00D26DAE"/>
    <w:rsid w:val="00D35F40"/>
    <w:rsid w:val="00D54246"/>
    <w:rsid w:val="00D57DCF"/>
    <w:rsid w:val="00D61388"/>
    <w:rsid w:val="00D61A54"/>
    <w:rsid w:val="00D636E7"/>
    <w:rsid w:val="00D63E14"/>
    <w:rsid w:val="00D64DEA"/>
    <w:rsid w:val="00D7168E"/>
    <w:rsid w:val="00D71E57"/>
    <w:rsid w:val="00D80893"/>
    <w:rsid w:val="00D81582"/>
    <w:rsid w:val="00D81A7B"/>
    <w:rsid w:val="00D831CC"/>
    <w:rsid w:val="00D845B9"/>
    <w:rsid w:val="00D84854"/>
    <w:rsid w:val="00D86CF4"/>
    <w:rsid w:val="00D90C32"/>
    <w:rsid w:val="00D924B8"/>
    <w:rsid w:val="00D92CF1"/>
    <w:rsid w:val="00D92D38"/>
    <w:rsid w:val="00D950F5"/>
    <w:rsid w:val="00DA4752"/>
    <w:rsid w:val="00DA61F3"/>
    <w:rsid w:val="00DB0F93"/>
    <w:rsid w:val="00DB1A67"/>
    <w:rsid w:val="00DB5074"/>
    <w:rsid w:val="00DC28BC"/>
    <w:rsid w:val="00DC33EE"/>
    <w:rsid w:val="00DC7981"/>
    <w:rsid w:val="00DE1093"/>
    <w:rsid w:val="00DE4EFA"/>
    <w:rsid w:val="00DE5520"/>
    <w:rsid w:val="00DE563D"/>
    <w:rsid w:val="00DE7C39"/>
    <w:rsid w:val="00DF19CF"/>
    <w:rsid w:val="00DF31F2"/>
    <w:rsid w:val="00DF437A"/>
    <w:rsid w:val="00DF5237"/>
    <w:rsid w:val="00DF7ED7"/>
    <w:rsid w:val="00E005F0"/>
    <w:rsid w:val="00E04818"/>
    <w:rsid w:val="00E06442"/>
    <w:rsid w:val="00E178CD"/>
    <w:rsid w:val="00E23993"/>
    <w:rsid w:val="00E25B8C"/>
    <w:rsid w:val="00E2743F"/>
    <w:rsid w:val="00E4302E"/>
    <w:rsid w:val="00E61906"/>
    <w:rsid w:val="00E640F4"/>
    <w:rsid w:val="00E65C85"/>
    <w:rsid w:val="00E66199"/>
    <w:rsid w:val="00E7145B"/>
    <w:rsid w:val="00E755EC"/>
    <w:rsid w:val="00E7624D"/>
    <w:rsid w:val="00E85CD1"/>
    <w:rsid w:val="00EA3141"/>
    <w:rsid w:val="00EA3D42"/>
    <w:rsid w:val="00EA5254"/>
    <w:rsid w:val="00EA6B1B"/>
    <w:rsid w:val="00EB3BFD"/>
    <w:rsid w:val="00EB4CC7"/>
    <w:rsid w:val="00EB4FB3"/>
    <w:rsid w:val="00EB5A0D"/>
    <w:rsid w:val="00ED5319"/>
    <w:rsid w:val="00ED5741"/>
    <w:rsid w:val="00ED7323"/>
    <w:rsid w:val="00EE1756"/>
    <w:rsid w:val="00EE28F3"/>
    <w:rsid w:val="00EF2046"/>
    <w:rsid w:val="00EF5110"/>
    <w:rsid w:val="00F07C4D"/>
    <w:rsid w:val="00F10411"/>
    <w:rsid w:val="00F15882"/>
    <w:rsid w:val="00F171E0"/>
    <w:rsid w:val="00F20BD3"/>
    <w:rsid w:val="00F27714"/>
    <w:rsid w:val="00F373A5"/>
    <w:rsid w:val="00F47559"/>
    <w:rsid w:val="00F56240"/>
    <w:rsid w:val="00F63D0F"/>
    <w:rsid w:val="00F64C7B"/>
    <w:rsid w:val="00F66497"/>
    <w:rsid w:val="00F676DD"/>
    <w:rsid w:val="00F75A26"/>
    <w:rsid w:val="00F76706"/>
    <w:rsid w:val="00F81176"/>
    <w:rsid w:val="00F82FF0"/>
    <w:rsid w:val="00F83FAD"/>
    <w:rsid w:val="00F87B7D"/>
    <w:rsid w:val="00F9484E"/>
    <w:rsid w:val="00F952A0"/>
    <w:rsid w:val="00FA3C7F"/>
    <w:rsid w:val="00FB0EA1"/>
    <w:rsid w:val="00FB68C4"/>
    <w:rsid w:val="00FB74E2"/>
    <w:rsid w:val="00FC10C4"/>
    <w:rsid w:val="00FC6352"/>
    <w:rsid w:val="00FD3E20"/>
    <w:rsid w:val="00FD5614"/>
    <w:rsid w:val="00FE0BE1"/>
    <w:rsid w:val="00FE1DE9"/>
    <w:rsid w:val="00FE36AF"/>
    <w:rsid w:val="00FE39C2"/>
    <w:rsid w:val="00FE3C32"/>
    <w:rsid w:val="00FE41DA"/>
    <w:rsid w:val="00FE64AE"/>
    <w:rsid w:val="00FF30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07EEB"/>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07EEB"/>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emf"/><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53A143-4B9D-4A99-BEFF-45B98439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178735C5</Template>
  <TotalTime>0</TotalTime>
  <Pages>35</Pages>
  <Words>7242</Words>
  <Characters>41282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2015-04-27T03:25:00Z</dcterms:created>
  <dcterms:modified xsi:type="dcterms:W3CDTF">2015-04-27T03:25:00Z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8355363</vt:lpwstr>
  </property>
  <property fmtid="{D5CDD505-2E9C-101B-9397-08002B2CF9AE}" pid="3" name="_MarkAsFinal">
    <vt:bool>true</vt:bool>
  </property>
</Properties>
</file>