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BBADD8D" wp14:editId="1AD2119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0F4FC9">
            <w:t>4</w:t>
          </w:r>
          <w:r>
            <w:t xml:space="preserve"> </w:t>
          </w:r>
          <w:r>
            <w:rPr>
              <w:rFonts w:cs="Arial"/>
            </w:rPr>
            <w:t>−</w:t>
          </w:r>
          <w:r>
            <w:t xml:space="preserve"> </w:t>
          </w:r>
          <w:r w:rsidR="000F4FC9">
            <w:t>Control mechanisms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727422"/>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D31F95">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F63FDA">
        <w:t xml:space="preserve">policy </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72742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31F95" w:rsidRDefault="00D31F9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727422" w:history="1">
            <w:r w:rsidRPr="00D83B90">
              <w:rPr>
                <w:rStyle w:val="Hyperlink"/>
              </w:rPr>
              <w:t>Note</w:t>
            </w:r>
            <w:r>
              <w:rPr>
                <w:webHidden/>
              </w:rPr>
              <w:tab/>
              <w:t>14-</w:t>
            </w:r>
            <w:r>
              <w:rPr>
                <w:webHidden/>
              </w:rPr>
              <w:fldChar w:fldCharType="begin"/>
            </w:r>
            <w:r>
              <w:rPr>
                <w:webHidden/>
              </w:rPr>
              <w:instrText xml:space="preserve"> PAGEREF _Toc417727422 \h </w:instrText>
            </w:r>
            <w:r>
              <w:rPr>
                <w:webHidden/>
              </w:rPr>
            </w:r>
            <w:r>
              <w:rPr>
                <w:webHidden/>
              </w:rPr>
              <w:fldChar w:fldCharType="separate"/>
            </w:r>
            <w:r>
              <w:rPr>
                <w:webHidden/>
              </w:rPr>
              <w:t>2</w:t>
            </w:r>
            <w:r>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23" w:history="1">
            <w:r w:rsidR="00D31F95" w:rsidRPr="00D83B90">
              <w:rPr>
                <w:rStyle w:val="Hyperlink"/>
              </w:rPr>
              <w:t>Contents</w:t>
            </w:r>
            <w:r w:rsidR="00D31F95">
              <w:rPr>
                <w:webHidden/>
              </w:rPr>
              <w:tab/>
              <w:t>14-</w:t>
            </w:r>
            <w:r w:rsidR="00D31F95">
              <w:rPr>
                <w:webHidden/>
              </w:rPr>
              <w:fldChar w:fldCharType="begin"/>
            </w:r>
            <w:r w:rsidR="00D31F95">
              <w:rPr>
                <w:webHidden/>
              </w:rPr>
              <w:instrText xml:space="preserve"> PAGEREF _Toc417727423 \h </w:instrText>
            </w:r>
            <w:r w:rsidR="00D31F95">
              <w:rPr>
                <w:webHidden/>
              </w:rPr>
            </w:r>
            <w:r w:rsidR="00D31F95">
              <w:rPr>
                <w:webHidden/>
              </w:rPr>
              <w:fldChar w:fldCharType="separate"/>
            </w:r>
            <w:r w:rsidR="00D31F95">
              <w:rPr>
                <w:webHidden/>
              </w:rPr>
              <w:t>3</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24" w:history="1">
            <w:r w:rsidR="00D31F95" w:rsidRPr="00D83B90">
              <w:rPr>
                <w:rStyle w:val="Hyperlink"/>
              </w:rPr>
              <w:t>Shortened forms</w:t>
            </w:r>
            <w:r w:rsidR="00D31F95">
              <w:rPr>
                <w:webHidden/>
              </w:rPr>
              <w:tab/>
              <w:t>14-</w:t>
            </w:r>
            <w:r w:rsidR="00D31F95">
              <w:rPr>
                <w:webHidden/>
              </w:rPr>
              <w:fldChar w:fldCharType="begin"/>
            </w:r>
            <w:r w:rsidR="00D31F95">
              <w:rPr>
                <w:webHidden/>
              </w:rPr>
              <w:instrText xml:space="preserve"> PAGEREF _Toc417727424 \h </w:instrText>
            </w:r>
            <w:r w:rsidR="00D31F95">
              <w:rPr>
                <w:webHidden/>
              </w:rPr>
            </w:r>
            <w:r w:rsidR="00D31F95">
              <w:rPr>
                <w:webHidden/>
              </w:rPr>
              <w:fldChar w:fldCharType="separate"/>
            </w:r>
            <w:r w:rsidR="00D31F95">
              <w:rPr>
                <w:webHidden/>
              </w:rPr>
              <w:t>5</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25" w:history="1">
            <w:r w:rsidR="00D31F95" w:rsidRPr="00D83B90">
              <w:rPr>
                <w:rStyle w:val="Hyperlink"/>
              </w:rPr>
              <w:t>14</w:t>
            </w:r>
            <w:r w:rsidR="00D31F95">
              <w:rPr>
                <w:rFonts w:asciiTheme="minorHAnsi" w:eastAsiaTheme="minorEastAsia" w:hAnsiTheme="minorHAnsi"/>
                <w:b w:val="0"/>
                <w:color w:val="auto"/>
                <w:sz w:val="22"/>
                <w:lang w:val="en-AU" w:eastAsia="en-AU"/>
              </w:rPr>
              <w:tab/>
            </w:r>
            <w:r w:rsidR="00D31F95" w:rsidRPr="00D83B90">
              <w:rPr>
                <w:rStyle w:val="Hyperlink"/>
              </w:rPr>
              <w:t>Control mechanisms for standard control services</w:t>
            </w:r>
            <w:r w:rsidR="00D31F95">
              <w:rPr>
                <w:webHidden/>
              </w:rPr>
              <w:tab/>
              <w:t>14-</w:t>
            </w:r>
            <w:r w:rsidR="00D31F95">
              <w:rPr>
                <w:webHidden/>
              </w:rPr>
              <w:fldChar w:fldCharType="begin"/>
            </w:r>
            <w:r w:rsidR="00D31F95">
              <w:rPr>
                <w:webHidden/>
              </w:rPr>
              <w:instrText xml:space="preserve"> PAGEREF _Toc417727425 \h </w:instrText>
            </w:r>
            <w:r w:rsidR="00D31F95">
              <w:rPr>
                <w:webHidden/>
              </w:rPr>
            </w:r>
            <w:r w:rsidR="00D31F95">
              <w:rPr>
                <w:webHidden/>
              </w:rPr>
              <w:fldChar w:fldCharType="separate"/>
            </w:r>
            <w:r w:rsidR="00D31F95">
              <w:rPr>
                <w:webHidden/>
              </w:rPr>
              <w:t>7</w:t>
            </w:r>
            <w:r w:rsidR="00D31F95">
              <w:rPr>
                <w:webHidden/>
              </w:rPr>
              <w:fldChar w:fldCharType="end"/>
            </w:r>
          </w:hyperlink>
        </w:p>
        <w:p w:rsidR="00D31F95" w:rsidRDefault="001E348D">
          <w:pPr>
            <w:pStyle w:val="TOC2"/>
            <w:tabs>
              <w:tab w:val="left" w:pos="1276"/>
            </w:tabs>
            <w:rPr>
              <w:rFonts w:asciiTheme="minorHAnsi" w:eastAsiaTheme="minorEastAsia" w:hAnsiTheme="minorHAnsi"/>
              <w:b w:val="0"/>
              <w:color w:val="auto"/>
              <w:sz w:val="22"/>
              <w:lang w:eastAsia="en-AU"/>
            </w:rPr>
          </w:pPr>
          <w:hyperlink w:anchor="_Toc417727426" w:history="1">
            <w:r w:rsidR="00D31F95" w:rsidRPr="00D83B90">
              <w:rPr>
                <w:rStyle w:val="Hyperlink"/>
              </w:rPr>
              <w:t>14.1</w:t>
            </w:r>
            <w:r w:rsidR="00D31F95">
              <w:rPr>
                <w:rFonts w:asciiTheme="minorHAnsi" w:eastAsiaTheme="minorEastAsia" w:hAnsiTheme="minorHAnsi"/>
                <w:b w:val="0"/>
                <w:color w:val="auto"/>
                <w:sz w:val="22"/>
                <w:lang w:eastAsia="en-AU"/>
              </w:rPr>
              <w:tab/>
            </w:r>
            <w:r w:rsidR="00D31F95" w:rsidRPr="00D83B90">
              <w:rPr>
                <w:rStyle w:val="Hyperlink"/>
              </w:rPr>
              <w:t>Preliminary decision</w:t>
            </w:r>
            <w:r w:rsidR="00D31F95">
              <w:rPr>
                <w:webHidden/>
              </w:rPr>
              <w:tab/>
              <w:t>14-</w:t>
            </w:r>
            <w:r w:rsidR="00D31F95">
              <w:rPr>
                <w:webHidden/>
              </w:rPr>
              <w:fldChar w:fldCharType="begin"/>
            </w:r>
            <w:r w:rsidR="00D31F95">
              <w:rPr>
                <w:webHidden/>
              </w:rPr>
              <w:instrText xml:space="preserve"> PAGEREF _Toc417727426 \h </w:instrText>
            </w:r>
            <w:r w:rsidR="00D31F95">
              <w:rPr>
                <w:webHidden/>
              </w:rPr>
            </w:r>
            <w:r w:rsidR="00D31F95">
              <w:rPr>
                <w:webHidden/>
              </w:rPr>
              <w:fldChar w:fldCharType="separate"/>
            </w:r>
            <w:r w:rsidR="00D31F95">
              <w:rPr>
                <w:webHidden/>
              </w:rPr>
              <w:t>7</w:t>
            </w:r>
            <w:r w:rsidR="00D31F95">
              <w:rPr>
                <w:webHidden/>
              </w:rPr>
              <w:fldChar w:fldCharType="end"/>
            </w:r>
          </w:hyperlink>
        </w:p>
        <w:p w:rsidR="00D31F95" w:rsidRDefault="001E348D">
          <w:pPr>
            <w:pStyle w:val="TOC2"/>
            <w:tabs>
              <w:tab w:val="left" w:pos="1276"/>
            </w:tabs>
            <w:rPr>
              <w:rFonts w:asciiTheme="minorHAnsi" w:eastAsiaTheme="minorEastAsia" w:hAnsiTheme="minorHAnsi"/>
              <w:b w:val="0"/>
              <w:color w:val="auto"/>
              <w:sz w:val="22"/>
              <w:lang w:eastAsia="en-AU"/>
            </w:rPr>
          </w:pPr>
          <w:hyperlink w:anchor="_Toc417727427" w:history="1">
            <w:r w:rsidR="00D31F95" w:rsidRPr="00D83B90">
              <w:rPr>
                <w:rStyle w:val="Hyperlink"/>
              </w:rPr>
              <w:t>14.2</w:t>
            </w:r>
            <w:r w:rsidR="00D31F95">
              <w:rPr>
                <w:rFonts w:asciiTheme="minorHAnsi" w:eastAsiaTheme="minorEastAsia" w:hAnsiTheme="minorHAnsi"/>
                <w:b w:val="0"/>
                <w:color w:val="auto"/>
                <w:sz w:val="22"/>
                <w:lang w:eastAsia="en-AU"/>
              </w:rPr>
              <w:tab/>
            </w:r>
            <w:r w:rsidR="00D31F95" w:rsidRPr="00D83B90">
              <w:rPr>
                <w:rStyle w:val="Hyperlink"/>
              </w:rPr>
              <w:t>Energex's proposal</w:t>
            </w:r>
            <w:r w:rsidR="00D31F95">
              <w:rPr>
                <w:webHidden/>
              </w:rPr>
              <w:tab/>
              <w:t>14-</w:t>
            </w:r>
            <w:r w:rsidR="00D31F95">
              <w:rPr>
                <w:webHidden/>
              </w:rPr>
              <w:fldChar w:fldCharType="begin"/>
            </w:r>
            <w:r w:rsidR="00D31F95">
              <w:rPr>
                <w:webHidden/>
              </w:rPr>
              <w:instrText xml:space="preserve"> PAGEREF _Toc417727427 \h </w:instrText>
            </w:r>
            <w:r w:rsidR="00D31F95">
              <w:rPr>
                <w:webHidden/>
              </w:rPr>
            </w:r>
            <w:r w:rsidR="00D31F95">
              <w:rPr>
                <w:webHidden/>
              </w:rPr>
              <w:fldChar w:fldCharType="separate"/>
            </w:r>
            <w:r w:rsidR="00D31F95">
              <w:rPr>
                <w:webHidden/>
              </w:rPr>
              <w:t>8</w:t>
            </w:r>
            <w:r w:rsidR="00D31F95">
              <w:rPr>
                <w:webHidden/>
              </w:rPr>
              <w:fldChar w:fldCharType="end"/>
            </w:r>
          </w:hyperlink>
        </w:p>
        <w:p w:rsidR="00D31F95" w:rsidRDefault="001E348D">
          <w:pPr>
            <w:pStyle w:val="TOC2"/>
            <w:tabs>
              <w:tab w:val="left" w:pos="1276"/>
            </w:tabs>
            <w:rPr>
              <w:rFonts w:asciiTheme="minorHAnsi" w:eastAsiaTheme="minorEastAsia" w:hAnsiTheme="minorHAnsi"/>
              <w:b w:val="0"/>
              <w:color w:val="auto"/>
              <w:sz w:val="22"/>
              <w:lang w:eastAsia="en-AU"/>
            </w:rPr>
          </w:pPr>
          <w:hyperlink w:anchor="_Toc417727428" w:history="1">
            <w:r w:rsidR="00D31F95" w:rsidRPr="00D83B90">
              <w:rPr>
                <w:rStyle w:val="Hyperlink"/>
              </w:rPr>
              <w:t>14.3</w:t>
            </w:r>
            <w:r w:rsidR="00D31F95">
              <w:rPr>
                <w:rFonts w:asciiTheme="minorHAnsi" w:eastAsiaTheme="minorEastAsia" w:hAnsiTheme="minorHAnsi"/>
                <w:b w:val="0"/>
                <w:color w:val="auto"/>
                <w:sz w:val="22"/>
                <w:lang w:eastAsia="en-AU"/>
              </w:rPr>
              <w:tab/>
            </w:r>
            <w:r w:rsidR="00D31F95" w:rsidRPr="00D83B90">
              <w:rPr>
                <w:rStyle w:val="Hyperlink"/>
              </w:rPr>
              <w:t>AER’s assessment approach</w:t>
            </w:r>
            <w:r w:rsidR="00D31F95">
              <w:rPr>
                <w:webHidden/>
              </w:rPr>
              <w:tab/>
              <w:t>14-</w:t>
            </w:r>
            <w:r w:rsidR="00D31F95">
              <w:rPr>
                <w:webHidden/>
              </w:rPr>
              <w:fldChar w:fldCharType="begin"/>
            </w:r>
            <w:r w:rsidR="00D31F95">
              <w:rPr>
                <w:webHidden/>
              </w:rPr>
              <w:instrText xml:space="preserve"> PAGEREF _Toc417727428 \h </w:instrText>
            </w:r>
            <w:r w:rsidR="00D31F95">
              <w:rPr>
                <w:webHidden/>
              </w:rPr>
            </w:r>
            <w:r w:rsidR="00D31F95">
              <w:rPr>
                <w:webHidden/>
              </w:rPr>
              <w:fldChar w:fldCharType="separate"/>
            </w:r>
            <w:r w:rsidR="00D31F95">
              <w:rPr>
                <w:webHidden/>
              </w:rPr>
              <w:t>8</w:t>
            </w:r>
            <w:r w:rsidR="00D31F95">
              <w:rPr>
                <w:webHidden/>
              </w:rPr>
              <w:fldChar w:fldCharType="end"/>
            </w:r>
          </w:hyperlink>
        </w:p>
        <w:p w:rsidR="00D31F95" w:rsidRDefault="001E348D">
          <w:pPr>
            <w:pStyle w:val="TOC2"/>
            <w:tabs>
              <w:tab w:val="left" w:pos="1276"/>
            </w:tabs>
            <w:rPr>
              <w:rFonts w:asciiTheme="minorHAnsi" w:eastAsiaTheme="minorEastAsia" w:hAnsiTheme="minorHAnsi"/>
              <w:b w:val="0"/>
              <w:color w:val="auto"/>
              <w:sz w:val="22"/>
              <w:lang w:eastAsia="en-AU"/>
            </w:rPr>
          </w:pPr>
          <w:hyperlink w:anchor="_Toc417727429" w:history="1">
            <w:r w:rsidR="00D31F95" w:rsidRPr="00D83B90">
              <w:rPr>
                <w:rStyle w:val="Hyperlink"/>
              </w:rPr>
              <w:t>14.4</w:t>
            </w:r>
            <w:r w:rsidR="00D31F95">
              <w:rPr>
                <w:rFonts w:asciiTheme="minorHAnsi" w:eastAsiaTheme="minorEastAsia" w:hAnsiTheme="minorHAnsi"/>
                <w:b w:val="0"/>
                <w:color w:val="auto"/>
                <w:sz w:val="22"/>
                <w:lang w:eastAsia="en-AU"/>
              </w:rPr>
              <w:tab/>
            </w:r>
            <w:r w:rsidR="00D31F95" w:rsidRPr="00D83B90">
              <w:rPr>
                <w:rStyle w:val="Hyperlink"/>
              </w:rPr>
              <w:t>Reasons for preliminary decision</w:t>
            </w:r>
            <w:r w:rsidR="00D31F95">
              <w:rPr>
                <w:webHidden/>
              </w:rPr>
              <w:tab/>
              <w:t>14-</w:t>
            </w:r>
            <w:r w:rsidR="00D31F95">
              <w:rPr>
                <w:webHidden/>
              </w:rPr>
              <w:fldChar w:fldCharType="begin"/>
            </w:r>
            <w:r w:rsidR="00D31F95">
              <w:rPr>
                <w:webHidden/>
              </w:rPr>
              <w:instrText xml:space="preserve"> PAGEREF _Toc417727429 \h </w:instrText>
            </w:r>
            <w:r w:rsidR="00D31F95">
              <w:rPr>
                <w:webHidden/>
              </w:rPr>
            </w:r>
            <w:r w:rsidR="00D31F95">
              <w:rPr>
                <w:webHidden/>
              </w:rPr>
              <w:fldChar w:fldCharType="separate"/>
            </w:r>
            <w:r w:rsidR="00D31F95">
              <w:rPr>
                <w:webHidden/>
              </w:rPr>
              <w:t>9</w:t>
            </w:r>
            <w:r w:rsidR="00D31F95">
              <w:rPr>
                <w:webHidden/>
              </w:rPr>
              <w:fldChar w:fldCharType="end"/>
            </w:r>
          </w:hyperlink>
        </w:p>
        <w:p w:rsidR="00D31F95" w:rsidRDefault="001E348D">
          <w:pPr>
            <w:pStyle w:val="TOC2"/>
            <w:tabs>
              <w:tab w:val="left" w:pos="1276"/>
            </w:tabs>
            <w:rPr>
              <w:rFonts w:asciiTheme="minorHAnsi" w:eastAsiaTheme="minorEastAsia" w:hAnsiTheme="minorHAnsi"/>
              <w:b w:val="0"/>
              <w:color w:val="auto"/>
              <w:sz w:val="22"/>
              <w:lang w:eastAsia="en-AU"/>
            </w:rPr>
          </w:pPr>
          <w:hyperlink w:anchor="_Toc417727430" w:history="1">
            <w:r w:rsidR="00D31F95" w:rsidRPr="00D83B90">
              <w:rPr>
                <w:rStyle w:val="Hyperlink"/>
              </w:rPr>
              <w:t>14.5</w:t>
            </w:r>
            <w:r w:rsidR="00D31F95">
              <w:rPr>
                <w:rFonts w:asciiTheme="minorHAnsi" w:eastAsiaTheme="minorEastAsia" w:hAnsiTheme="minorHAnsi"/>
                <w:b w:val="0"/>
                <w:color w:val="auto"/>
                <w:sz w:val="22"/>
                <w:lang w:eastAsia="en-AU"/>
              </w:rPr>
              <w:tab/>
            </w:r>
            <w:r w:rsidR="00D31F95" w:rsidRPr="00D83B90">
              <w:rPr>
                <w:rStyle w:val="Hyperlink"/>
              </w:rPr>
              <w:t>Application of the revenue cap</w:t>
            </w:r>
            <w:r w:rsidR="00D31F95">
              <w:rPr>
                <w:webHidden/>
              </w:rPr>
              <w:tab/>
              <w:t>14-</w:t>
            </w:r>
            <w:r w:rsidR="00D31F95">
              <w:rPr>
                <w:webHidden/>
              </w:rPr>
              <w:fldChar w:fldCharType="begin"/>
            </w:r>
            <w:r w:rsidR="00D31F95">
              <w:rPr>
                <w:webHidden/>
              </w:rPr>
              <w:instrText xml:space="preserve"> PAGEREF _Toc417727430 \h </w:instrText>
            </w:r>
            <w:r w:rsidR="00D31F95">
              <w:rPr>
                <w:webHidden/>
              </w:rPr>
            </w:r>
            <w:r w:rsidR="00D31F95">
              <w:rPr>
                <w:webHidden/>
              </w:rPr>
              <w:fldChar w:fldCharType="separate"/>
            </w:r>
            <w:r w:rsidR="00D31F95">
              <w:rPr>
                <w:webHidden/>
              </w:rPr>
              <w:t>9</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45" w:history="1">
            <w:r w:rsidR="00D31F95" w:rsidRPr="00D83B90">
              <w:rPr>
                <w:rStyle w:val="Hyperlink"/>
              </w:rPr>
              <w:t>A</w:t>
            </w:r>
            <w:r w:rsidR="00D31F95">
              <w:rPr>
                <w:rFonts w:asciiTheme="minorHAnsi" w:eastAsiaTheme="minorEastAsia" w:hAnsiTheme="minorHAnsi"/>
                <w:b w:val="0"/>
                <w:color w:val="auto"/>
                <w:sz w:val="22"/>
                <w:lang w:val="en-AU" w:eastAsia="en-AU"/>
              </w:rPr>
              <w:tab/>
            </w:r>
            <w:r w:rsidR="00D31F95" w:rsidRPr="00D83B90">
              <w:rPr>
                <w:rStyle w:val="Hyperlink"/>
              </w:rPr>
              <w:t>DUoS unders and overs account</w:t>
            </w:r>
            <w:r w:rsidR="00D31F95">
              <w:rPr>
                <w:webHidden/>
              </w:rPr>
              <w:tab/>
              <w:t>14-</w:t>
            </w:r>
            <w:r w:rsidR="00D31F95">
              <w:rPr>
                <w:webHidden/>
              </w:rPr>
              <w:fldChar w:fldCharType="begin"/>
            </w:r>
            <w:r w:rsidR="00D31F95">
              <w:rPr>
                <w:webHidden/>
              </w:rPr>
              <w:instrText xml:space="preserve"> PAGEREF _Toc417727445 \h </w:instrText>
            </w:r>
            <w:r w:rsidR="00D31F95">
              <w:rPr>
                <w:webHidden/>
              </w:rPr>
            </w:r>
            <w:r w:rsidR="00D31F95">
              <w:rPr>
                <w:webHidden/>
              </w:rPr>
              <w:fldChar w:fldCharType="separate"/>
            </w:r>
            <w:r w:rsidR="00D31F95">
              <w:rPr>
                <w:webHidden/>
              </w:rPr>
              <w:t>17</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46" w:history="1">
            <w:r w:rsidR="00D31F95" w:rsidRPr="00D83B90">
              <w:rPr>
                <w:rStyle w:val="Hyperlink"/>
              </w:rPr>
              <w:t>B</w:t>
            </w:r>
            <w:r w:rsidR="00D31F95">
              <w:rPr>
                <w:rFonts w:asciiTheme="minorHAnsi" w:eastAsiaTheme="minorEastAsia" w:hAnsiTheme="minorHAnsi"/>
                <w:b w:val="0"/>
                <w:color w:val="auto"/>
                <w:sz w:val="22"/>
                <w:lang w:val="en-AU" w:eastAsia="en-AU"/>
              </w:rPr>
              <w:tab/>
            </w:r>
            <w:r w:rsidR="00D31F95" w:rsidRPr="00D83B90">
              <w:rPr>
                <w:rStyle w:val="Hyperlink"/>
              </w:rPr>
              <w:t>Unders and overs account for designated pricing proposal charges</w:t>
            </w:r>
            <w:r w:rsidR="00D31F95">
              <w:rPr>
                <w:webHidden/>
              </w:rPr>
              <w:tab/>
              <w:t>14-</w:t>
            </w:r>
            <w:r w:rsidR="00D31F95">
              <w:rPr>
                <w:webHidden/>
              </w:rPr>
              <w:fldChar w:fldCharType="begin"/>
            </w:r>
            <w:r w:rsidR="00D31F95">
              <w:rPr>
                <w:webHidden/>
              </w:rPr>
              <w:instrText xml:space="preserve"> PAGEREF _Toc417727446 \h </w:instrText>
            </w:r>
            <w:r w:rsidR="00D31F95">
              <w:rPr>
                <w:webHidden/>
              </w:rPr>
            </w:r>
            <w:r w:rsidR="00D31F95">
              <w:rPr>
                <w:webHidden/>
              </w:rPr>
              <w:fldChar w:fldCharType="separate"/>
            </w:r>
            <w:r w:rsidR="00D31F95">
              <w:rPr>
                <w:webHidden/>
              </w:rPr>
              <w:t>19</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47" w:history="1">
            <w:r w:rsidR="00D31F95" w:rsidRPr="00D83B90">
              <w:rPr>
                <w:rStyle w:val="Hyperlink"/>
              </w:rPr>
              <w:t>C</w:t>
            </w:r>
            <w:r w:rsidR="00D31F95">
              <w:rPr>
                <w:rFonts w:asciiTheme="minorHAnsi" w:eastAsiaTheme="minorEastAsia" w:hAnsiTheme="minorHAnsi"/>
                <w:b w:val="0"/>
                <w:color w:val="auto"/>
                <w:sz w:val="22"/>
                <w:lang w:val="en-AU" w:eastAsia="en-AU"/>
              </w:rPr>
              <w:tab/>
            </w:r>
            <w:r w:rsidR="00D31F95" w:rsidRPr="00D83B90">
              <w:rPr>
                <w:rStyle w:val="Hyperlink"/>
              </w:rPr>
              <w:t>Reporting on recovery of jurisdictional schemes</w:t>
            </w:r>
            <w:r w:rsidR="00D31F95">
              <w:rPr>
                <w:webHidden/>
              </w:rPr>
              <w:tab/>
              <w:t>14-</w:t>
            </w:r>
            <w:r w:rsidR="00D31F95">
              <w:rPr>
                <w:webHidden/>
              </w:rPr>
              <w:fldChar w:fldCharType="begin"/>
            </w:r>
            <w:r w:rsidR="00D31F95">
              <w:rPr>
                <w:webHidden/>
              </w:rPr>
              <w:instrText xml:space="preserve"> PAGEREF _Toc417727447 \h </w:instrText>
            </w:r>
            <w:r w:rsidR="00D31F95">
              <w:rPr>
                <w:webHidden/>
              </w:rPr>
            </w:r>
            <w:r w:rsidR="00D31F95">
              <w:rPr>
                <w:webHidden/>
              </w:rPr>
              <w:fldChar w:fldCharType="separate"/>
            </w:r>
            <w:r w:rsidR="00D31F95">
              <w:rPr>
                <w:webHidden/>
              </w:rPr>
              <w:t>21</w:t>
            </w:r>
            <w:r w:rsidR="00D31F95">
              <w:rPr>
                <w:webHidden/>
              </w:rPr>
              <w:fldChar w:fldCharType="end"/>
            </w:r>
          </w:hyperlink>
        </w:p>
        <w:p w:rsidR="00D31F95" w:rsidRDefault="001E348D">
          <w:pPr>
            <w:pStyle w:val="TOC1"/>
            <w:rPr>
              <w:rFonts w:asciiTheme="minorHAnsi" w:eastAsiaTheme="minorEastAsia" w:hAnsiTheme="minorHAnsi"/>
              <w:b w:val="0"/>
              <w:color w:val="auto"/>
              <w:sz w:val="22"/>
              <w:lang w:val="en-AU" w:eastAsia="en-AU"/>
            </w:rPr>
          </w:pPr>
          <w:hyperlink w:anchor="_Toc417727448" w:history="1">
            <w:r w:rsidR="00D31F95" w:rsidRPr="00D83B90">
              <w:rPr>
                <w:rStyle w:val="Hyperlink"/>
              </w:rPr>
              <w:t>D</w:t>
            </w:r>
            <w:r w:rsidR="00D31F95">
              <w:rPr>
                <w:rFonts w:asciiTheme="minorHAnsi" w:eastAsiaTheme="minorEastAsia" w:hAnsiTheme="minorHAnsi"/>
                <w:b w:val="0"/>
                <w:color w:val="auto"/>
                <w:sz w:val="22"/>
                <w:lang w:val="en-AU" w:eastAsia="en-AU"/>
              </w:rPr>
              <w:tab/>
            </w:r>
            <w:r w:rsidR="00D31F95" w:rsidRPr="00D83B90">
              <w:rPr>
                <w:rStyle w:val="Hyperlink"/>
              </w:rPr>
              <w:t>Assigning retail customers to tariff classes</w:t>
            </w:r>
            <w:r w:rsidR="00D31F95">
              <w:rPr>
                <w:webHidden/>
              </w:rPr>
              <w:tab/>
              <w:t>14-</w:t>
            </w:r>
            <w:r w:rsidR="00D31F95">
              <w:rPr>
                <w:webHidden/>
              </w:rPr>
              <w:fldChar w:fldCharType="begin"/>
            </w:r>
            <w:r w:rsidR="00D31F95">
              <w:rPr>
                <w:webHidden/>
              </w:rPr>
              <w:instrText xml:space="preserve"> PAGEREF _Toc417727448 \h </w:instrText>
            </w:r>
            <w:r w:rsidR="00D31F95">
              <w:rPr>
                <w:webHidden/>
              </w:rPr>
            </w:r>
            <w:r w:rsidR="00D31F95">
              <w:rPr>
                <w:webHidden/>
              </w:rPr>
              <w:fldChar w:fldCharType="separate"/>
            </w:r>
            <w:r w:rsidR="00D31F95">
              <w:rPr>
                <w:webHidden/>
              </w:rPr>
              <w:t>23</w:t>
            </w:r>
            <w:r w:rsidR="00D31F95">
              <w:rPr>
                <w:webHidden/>
              </w:rPr>
              <w:fldChar w:fldCharType="end"/>
            </w:r>
          </w:hyperlink>
        </w:p>
        <w:p w:rsidR="00DE563D" w:rsidRDefault="00D31F95" w:rsidP="00D31F95">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7727424"/>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D31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augex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261276" w:rsidP="00261276">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D31F95" w:rsidP="00D31F95">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261276">
              <w:t>G</w:t>
            </w:r>
            <w:r w:rsidR="00DE563D">
              <w:t>uideline for electricity distribution</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261276">
              <w:t xml:space="preserve">and </w:t>
            </w:r>
            <w:r>
              <w:t>pricing principles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084027" w:rsidTr="00D31F95">
        <w:tc>
          <w:tcPr>
            <w:cnfStyle w:val="001000000000" w:firstRow="0" w:lastRow="0" w:firstColumn="1" w:lastColumn="0" w:oddVBand="0" w:evenVBand="0" w:oddHBand="0" w:evenHBand="0" w:firstRowFirstColumn="0" w:firstRowLastColumn="0" w:lastRowFirstColumn="0" w:lastRowLastColumn="0"/>
            <w:tcW w:w="4341" w:type="dxa"/>
          </w:tcPr>
          <w:p w:rsidR="00084027" w:rsidRDefault="00084027" w:rsidP="00DE563D">
            <w:pPr>
              <w:pStyle w:val="AERtabletextleft"/>
            </w:pPr>
            <w:r>
              <w:t>TAR</w:t>
            </w:r>
          </w:p>
        </w:tc>
        <w:tc>
          <w:tcPr>
            <w:tcW w:w="4352" w:type="dxa"/>
          </w:tcPr>
          <w:p w:rsidR="00084027" w:rsidRDefault="00084027"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total annual revenue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84027" w:rsidRPr="00DD5AA4" w:rsidRDefault="00084027" w:rsidP="00084027">
      <w:pPr>
        <w:pStyle w:val="Heading1"/>
      </w:pPr>
      <w:bookmarkStart w:id="9" w:name="_Toc413422293"/>
      <w:bookmarkStart w:id="10" w:name="_Toc417727425"/>
      <w:r w:rsidRPr="00DD5AA4">
        <w:lastRenderedPageBreak/>
        <w:t>Control mechanisms</w:t>
      </w:r>
      <w:bookmarkEnd w:id="9"/>
      <w:r>
        <w:t xml:space="preserve"> for standard control services</w:t>
      </w:r>
      <w:bookmarkEnd w:id="10"/>
    </w:p>
    <w:p w:rsidR="00084027" w:rsidRPr="007F4839" w:rsidRDefault="00084027" w:rsidP="00084027">
      <w:pPr>
        <w:rPr>
          <w:rStyle w:val="AERbody"/>
        </w:rPr>
      </w:pPr>
      <w:r w:rsidRPr="00F400FF">
        <w:rPr>
          <w:rStyle w:val="AERbody"/>
        </w:rPr>
        <w:t xml:space="preserve">The control mechanism imposes </w:t>
      </w:r>
      <w:r>
        <w:rPr>
          <w:rStyle w:val="AERbody"/>
        </w:rPr>
        <w:t>limits</w:t>
      </w:r>
      <w:r w:rsidRPr="00F400FF">
        <w:rPr>
          <w:rStyle w:val="AERbody"/>
        </w:rPr>
        <w:t xml:space="preserve"> over the prices of direct control services, and/or the revenue from these services. </w:t>
      </w:r>
      <w:r>
        <w:rPr>
          <w:rStyle w:val="AERbody"/>
        </w:rPr>
        <w:t xml:space="preserve">For standard control services, the National Electricity Rules (NER) state that the control mechanism must </w:t>
      </w:r>
      <w:r w:rsidRPr="00E67119">
        <w:rPr>
          <w:rStyle w:val="AERbody"/>
        </w:rPr>
        <w:t>be</w:t>
      </w:r>
      <w:r>
        <w:rPr>
          <w:rStyle w:val="AERbody"/>
        </w:rPr>
        <w:t xml:space="preserve"> </w:t>
      </w:r>
      <w:r w:rsidRPr="009E5169">
        <w:t>of the prospective CPI</w:t>
      </w:r>
      <w:r w:rsidR="00435273">
        <w:t>–</w:t>
      </w:r>
      <w:r w:rsidRPr="009E5169">
        <w:t>X form (or some incentive-based variant)</w:t>
      </w:r>
      <w:r>
        <w:rPr>
          <w:rStyle w:val="AERbody"/>
        </w:rPr>
        <w:t>.</w:t>
      </w:r>
      <w:r>
        <w:rPr>
          <w:rStyle w:val="FootnoteReference"/>
        </w:rPr>
        <w:footnoteReference w:id="1"/>
      </w:r>
    </w:p>
    <w:p w:rsidR="00084027" w:rsidRPr="00F400FF" w:rsidRDefault="00084027" w:rsidP="00084027">
      <w:pPr>
        <w:rPr>
          <w:rStyle w:val="AERbody"/>
        </w:rPr>
      </w:pPr>
      <w:r w:rsidRPr="00F400FF">
        <w:rPr>
          <w:rStyle w:val="AERbody"/>
        </w:rPr>
        <w:t xml:space="preserve">This </w:t>
      </w:r>
      <w:r>
        <w:rPr>
          <w:rStyle w:val="AERbody"/>
        </w:rPr>
        <w:t>attachment</w:t>
      </w:r>
      <w:r w:rsidRPr="00F400FF">
        <w:rPr>
          <w:rStyle w:val="AERbody"/>
        </w:rPr>
        <w:t xml:space="preserve"> </w:t>
      </w:r>
      <w:r>
        <w:rPr>
          <w:rStyle w:val="AERbody"/>
        </w:rPr>
        <w:t xml:space="preserve">sets out the </w:t>
      </w:r>
      <w:r w:rsidRPr="00F400FF">
        <w:rPr>
          <w:rStyle w:val="AERbody"/>
        </w:rPr>
        <w:t>formula</w:t>
      </w:r>
      <w:r>
        <w:rPr>
          <w:rStyle w:val="AERbody"/>
        </w:rPr>
        <w:t>e for Energex's control mechanism,</w:t>
      </w:r>
      <w:r w:rsidRPr="00F400FF">
        <w:rPr>
          <w:rStyle w:val="AERbody"/>
        </w:rPr>
        <w:t xml:space="preserve"> the revenue cap</w:t>
      </w:r>
      <w:r>
        <w:rPr>
          <w:rStyle w:val="AERbody"/>
        </w:rPr>
        <w:t>,</w:t>
      </w:r>
      <w:r w:rsidRPr="00F400FF">
        <w:rPr>
          <w:rStyle w:val="AERbody"/>
        </w:rPr>
        <w:t xml:space="preserve"> </w:t>
      </w:r>
      <w:r>
        <w:rPr>
          <w:rStyle w:val="AERbody"/>
        </w:rPr>
        <w:t>for</w:t>
      </w:r>
      <w:r w:rsidRPr="00F400FF">
        <w:rPr>
          <w:rStyle w:val="AERbody"/>
        </w:rPr>
        <w:t xml:space="preserve"> the </w:t>
      </w:r>
      <w:r>
        <w:rPr>
          <w:rStyle w:val="AERbody"/>
        </w:rPr>
        <w:t>2015–20</w:t>
      </w:r>
      <w:r w:rsidRPr="00F400FF">
        <w:rPr>
          <w:rStyle w:val="AERbody"/>
        </w:rPr>
        <w:t xml:space="preserve"> regulatory control period. </w:t>
      </w:r>
      <w:r>
        <w:rPr>
          <w:rStyle w:val="AERbody"/>
        </w:rPr>
        <w:t>It</w:t>
      </w:r>
      <w:r w:rsidRPr="00F400FF">
        <w:rPr>
          <w:rStyle w:val="AERbody"/>
        </w:rPr>
        <w:t xml:space="preserve"> discusses:</w:t>
      </w:r>
    </w:p>
    <w:p w:rsidR="00084027" w:rsidRPr="007F4839" w:rsidRDefault="00084027" w:rsidP="00084027">
      <w:pPr>
        <w:pStyle w:val="AERbulletlistfirststyle"/>
      </w:pPr>
      <w:r w:rsidRPr="007F4839">
        <w:t>how we will apply the revenue cap</w:t>
      </w:r>
    </w:p>
    <w:p w:rsidR="00084027" w:rsidRPr="007F4839" w:rsidRDefault="00084027" w:rsidP="00084027">
      <w:pPr>
        <w:pStyle w:val="AERbulletlistfirststyle"/>
      </w:pPr>
      <w:r w:rsidRPr="007F4839">
        <w:t>how we will determine compliance with the price controls</w:t>
      </w:r>
      <w:r>
        <w:rPr>
          <w:rStyle w:val="FootnoteReference"/>
        </w:rPr>
        <w:footnoteReference w:id="2"/>
      </w:r>
      <w:r w:rsidRPr="007F4839">
        <w:t xml:space="preserve"> </w:t>
      </w:r>
    </w:p>
    <w:p w:rsidR="00084027" w:rsidRPr="00A77867" w:rsidRDefault="00084027" w:rsidP="00084027">
      <w:pPr>
        <w:pStyle w:val="AERbulletlistfirststyle"/>
      </w:pPr>
      <w:r w:rsidRPr="00A77867">
        <w:t xml:space="preserve">the mechanism through which </w:t>
      </w:r>
      <w:r>
        <w:t>Energex</w:t>
      </w:r>
      <w:r w:rsidRPr="00A77867">
        <w:t xml:space="preserve"> will recover distribution use of system (DUoS) charges—including adjustments fo</w:t>
      </w:r>
      <w:bookmarkStart w:id="11" w:name="_GoBack"/>
      <w:bookmarkEnd w:id="11"/>
      <w:r w:rsidRPr="00A77867">
        <w:t>r revenue under</w:t>
      </w:r>
      <w:r>
        <w:t xml:space="preserve"> or over recovery—in the 2015–20 regulatory control</w:t>
      </w:r>
      <w:r w:rsidRPr="00A77867">
        <w:t xml:space="preserve"> period.</w:t>
      </w:r>
      <w:r w:rsidRPr="00F02F5F">
        <w:rPr>
          <w:rStyle w:val="FootnoteReference"/>
        </w:rPr>
        <w:footnoteReference w:id="3"/>
      </w:r>
    </w:p>
    <w:p w:rsidR="00084027" w:rsidRDefault="00084027" w:rsidP="00084027">
      <w:pPr>
        <w:pStyle w:val="AERbulletlistfirststyle"/>
      </w:pPr>
      <w:r w:rsidRPr="00A77867">
        <w:t xml:space="preserve">how </w:t>
      </w:r>
      <w:r>
        <w:t xml:space="preserve">Energex </w:t>
      </w:r>
      <w:r w:rsidRPr="00A77867">
        <w:t>must report to us on its recovery of designated pricing proposal charges and jurisdictional scheme amounts.</w:t>
      </w:r>
      <w:r w:rsidRPr="00F02F5F">
        <w:rPr>
          <w:rStyle w:val="FootnoteReference"/>
        </w:rPr>
        <w:footnoteReference w:id="4"/>
      </w:r>
      <w:r w:rsidRPr="00A77867">
        <w:t xml:space="preserve"> </w:t>
      </w:r>
    </w:p>
    <w:p w:rsidR="00084027" w:rsidRDefault="00084027" w:rsidP="00084027">
      <w:pPr>
        <w:pStyle w:val="AERbulletlistfirststyle"/>
      </w:pPr>
      <w:r>
        <w:t>the</w:t>
      </w:r>
      <w:r w:rsidRPr="00A77867">
        <w:t xml:space="preserve"> procedures </w:t>
      </w:r>
      <w:r>
        <w:t xml:space="preserve">Energex must apply </w:t>
      </w:r>
      <w:r w:rsidRPr="00A77867">
        <w:t>for assigning or reassigning retail customers to tariff classes.</w:t>
      </w:r>
      <w:r w:rsidRPr="00F02F5F">
        <w:rPr>
          <w:rStyle w:val="FootnoteReference"/>
        </w:rPr>
        <w:footnoteReference w:id="5"/>
      </w:r>
    </w:p>
    <w:p w:rsidR="00084027" w:rsidRPr="00DD5AA4" w:rsidRDefault="00084027" w:rsidP="00084027">
      <w:pPr>
        <w:pStyle w:val="Heading2"/>
      </w:pPr>
      <w:bookmarkStart w:id="12" w:name="_Toc403144136"/>
      <w:bookmarkStart w:id="13" w:name="_Toc413422294"/>
      <w:bookmarkStart w:id="14" w:name="_Toc417727426"/>
      <w:r w:rsidRPr="00DD5AA4">
        <w:t>Preliminary decision</w:t>
      </w:r>
      <w:bookmarkEnd w:id="12"/>
      <w:bookmarkEnd w:id="13"/>
      <w:bookmarkEnd w:id="14"/>
    </w:p>
    <w:p w:rsidR="00084027" w:rsidRDefault="00084027" w:rsidP="00084027">
      <w:pPr>
        <w:numPr>
          <w:ilvl w:val="0"/>
          <w:numId w:val="25"/>
        </w:numPr>
      </w:pPr>
      <w:r>
        <w:t>Our preliminary decision for Energex is as follows:</w:t>
      </w:r>
    </w:p>
    <w:p w:rsidR="00084027" w:rsidRPr="002C1CA7" w:rsidRDefault="00084027" w:rsidP="00084027">
      <w:pPr>
        <w:pStyle w:val="AERbulletlistfirststyle"/>
      </w:pPr>
      <w:r>
        <w:t>t</w:t>
      </w:r>
      <w:r w:rsidRPr="002C1CA7">
        <w:t xml:space="preserve">he control mechanism for standard control services provided by </w:t>
      </w:r>
      <w:r>
        <w:t>Energex</w:t>
      </w:r>
      <w:r w:rsidRPr="002C1CA7">
        <w:t xml:space="preserve"> is a revenue cap.</w:t>
      </w:r>
      <w:r w:rsidRPr="002C1CA7">
        <w:rPr>
          <w:rStyle w:val="FootnoteReference"/>
        </w:rPr>
        <w:footnoteReference w:id="6"/>
      </w:r>
    </w:p>
    <w:p w:rsidR="00084027" w:rsidRDefault="00084027" w:rsidP="00084027">
      <w:pPr>
        <w:pStyle w:val="AERbulletlistfirststyle"/>
      </w:pPr>
      <w:proofErr w:type="gramStart"/>
      <w:r>
        <w:t>s</w:t>
      </w:r>
      <w:r w:rsidRPr="00032495">
        <w:t>ection</w:t>
      </w:r>
      <w:proofErr w:type="gramEnd"/>
      <w:r w:rsidRPr="00032495">
        <w:t xml:space="preserve"> </w:t>
      </w:r>
      <w:r w:rsidRPr="00032495">
        <w:fldChar w:fldCharType="begin"/>
      </w:r>
      <w:r w:rsidRPr="00032495">
        <w:instrText xml:space="preserve"> REF _Ref403377926 \r \h </w:instrText>
      </w:r>
      <w:r w:rsidRPr="00032495">
        <w:fldChar w:fldCharType="separate"/>
      </w:r>
      <w:r>
        <w:t>14.5.3</w:t>
      </w:r>
      <w:r w:rsidRPr="00032495">
        <w:fldChar w:fldCharType="end"/>
      </w:r>
      <w:r w:rsidRPr="00032495">
        <w:t xml:space="preserve"> contains the formula that gives effect to the control mechanism for standard control services.</w:t>
      </w:r>
      <w:r>
        <w:rPr>
          <w:rStyle w:val="FootnoteReference"/>
        </w:rPr>
        <w:footnoteReference w:id="7"/>
      </w:r>
      <w:r>
        <w:t xml:space="preserve"> </w:t>
      </w:r>
      <w:r w:rsidRPr="008C251B">
        <w:t xml:space="preserve">The revenue cap for any given regulatory year is the </w:t>
      </w:r>
      <w:r>
        <w:t xml:space="preserve">total </w:t>
      </w:r>
      <w:r w:rsidRPr="008C251B">
        <w:t>annual revenue (</w:t>
      </w:r>
      <w:r>
        <w:t>T</w:t>
      </w:r>
      <w:r w:rsidRPr="008C251B">
        <w:t xml:space="preserve">AR) (for distribution services) for that regulatory year (calculated </w:t>
      </w:r>
      <w:r>
        <w:t xml:space="preserve">using the formula in </w:t>
      </w:r>
      <w:r>
        <w:fldChar w:fldCharType="begin"/>
      </w:r>
      <w:r>
        <w:instrText xml:space="preserve"> REF  _Ref414259790 \* Lower \h </w:instrText>
      </w:r>
      <w:r>
        <w:fldChar w:fldCharType="separate"/>
      </w:r>
      <w:r>
        <w:t xml:space="preserve">figure </w:t>
      </w:r>
      <w:r w:rsidRPr="00084027">
        <w:t>14</w:t>
      </w:r>
      <w:r>
        <w:t>.</w:t>
      </w:r>
      <w:r w:rsidRPr="00084027">
        <w:t>1</w:t>
      </w:r>
      <w:r>
        <w:fldChar w:fldCharType="end"/>
      </w:r>
      <w:r w:rsidRPr="008C251B">
        <w:t>) plus any adjustment required to move the DUoS under/over account to zero.</w:t>
      </w:r>
    </w:p>
    <w:p w:rsidR="00084027" w:rsidRPr="002C1CA7" w:rsidRDefault="00084027" w:rsidP="00084027">
      <w:pPr>
        <w:pStyle w:val="AERbulletlistfirststyle"/>
      </w:pPr>
      <w:proofErr w:type="gramStart"/>
      <w:r>
        <w:t>t</w:t>
      </w:r>
      <w:r w:rsidRPr="007A1A94">
        <w:t>he</w:t>
      </w:r>
      <w:proofErr w:type="gramEnd"/>
      <w:r w:rsidRPr="007A1A94">
        <w:t xml:space="preserve"> side constraints </w:t>
      </w:r>
      <w:r w:rsidRPr="002C1CA7">
        <w:t xml:space="preserve">applying to the price movements of each </w:t>
      </w:r>
      <w:r>
        <w:t xml:space="preserve">Energex </w:t>
      </w:r>
      <w:r w:rsidRPr="002C1CA7">
        <w:t xml:space="preserve">tariff class must be consistent with the formula in </w:t>
      </w:r>
      <w:r>
        <w:fldChar w:fldCharType="begin"/>
      </w:r>
      <w:r>
        <w:instrText xml:space="preserve"> REF  _Ref414259815 \* Lower \h </w:instrText>
      </w:r>
      <w:r>
        <w:fldChar w:fldCharType="separate"/>
      </w:r>
      <w:r>
        <w:t xml:space="preserve">figure </w:t>
      </w:r>
      <w:r w:rsidRPr="00084027">
        <w:t>14</w:t>
      </w:r>
      <w:r>
        <w:t>.</w:t>
      </w:r>
      <w:r w:rsidRPr="00084027">
        <w:t>2</w:t>
      </w:r>
      <w:r>
        <w:fldChar w:fldCharType="end"/>
      </w:r>
      <w:r w:rsidRPr="002C1CA7">
        <w:t>.</w:t>
      </w:r>
    </w:p>
    <w:p w:rsidR="00084027" w:rsidRPr="002C1CA7" w:rsidRDefault="00084027" w:rsidP="00084027">
      <w:pPr>
        <w:pStyle w:val="AERbulletlistfirststyle"/>
      </w:pPr>
      <w:r>
        <w:lastRenderedPageBreak/>
        <w:t>Energex</w:t>
      </w:r>
      <w:r w:rsidRPr="002C1CA7">
        <w:t xml:space="preserve"> must demonstrate compliance with the control mechanism for standard control services in accordance with appendi</w:t>
      </w:r>
      <w:r>
        <w:t>x</w:t>
      </w:r>
      <w:r w:rsidRPr="002C1CA7">
        <w:t xml:space="preserve"> </w:t>
      </w:r>
      <w:r>
        <w:fldChar w:fldCharType="begin"/>
      </w:r>
      <w:r>
        <w:instrText xml:space="preserve"> REF _Ref414260086 \n \h </w:instrText>
      </w:r>
      <w:r>
        <w:fldChar w:fldCharType="separate"/>
      </w:r>
      <w:r>
        <w:t>A</w:t>
      </w:r>
      <w:r>
        <w:fldChar w:fldCharType="end"/>
      </w:r>
      <w:r w:rsidRPr="002C1CA7">
        <w:t xml:space="preserve"> of this </w:t>
      </w:r>
      <w:r w:rsidR="00435273">
        <w:t>attachment</w:t>
      </w:r>
      <w:r w:rsidRPr="002C1CA7">
        <w:t>.</w:t>
      </w:r>
    </w:p>
    <w:p w:rsidR="00084027" w:rsidRPr="0038243C" w:rsidRDefault="00084027" w:rsidP="00084027">
      <w:pPr>
        <w:pStyle w:val="AERbulletlistfirststyle"/>
      </w:pPr>
      <w:r>
        <w:t>Energex</w:t>
      </w:r>
      <w:r w:rsidRPr="0038243C">
        <w:t xml:space="preserve"> must submit as part of its annual pricing proposal, a record of the amount of revenue recovered from </w:t>
      </w:r>
      <w:r>
        <w:t xml:space="preserve">designated pricing proposal </w:t>
      </w:r>
      <w:r w:rsidRPr="0038243C">
        <w:t xml:space="preserve">charges and associated payments in accordance with appendix </w:t>
      </w:r>
      <w:r>
        <w:fldChar w:fldCharType="begin"/>
      </w:r>
      <w:r>
        <w:instrText xml:space="preserve"> REF _Ref414260100 \n \h </w:instrText>
      </w:r>
      <w:r>
        <w:fldChar w:fldCharType="separate"/>
      </w:r>
      <w:r>
        <w:t>B</w:t>
      </w:r>
      <w:r>
        <w:fldChar w:fldCharType="end"/>
      </w:r>
      <w:r>
        <w:t xml:space="preserve"> </w:t>
      </w:r>
      <w:r w:rsidRPr="0038243C">
        <w:t xml:space="preserve">of this </w:t>
      </w:r>
      <w:r w:rsidR="00435273">
        <w:t>attachment</w:t>
      </w:r>
      <w:r w:rsidRPr="0038243C">
        <w:t>.</w:t>
      </w:r>
      <w:r>
        <w:rPr>
          <w:rStyle w:val="FootnoteReference"/>
        </w:rPr>
        <w:footnoteReference w:id="8"/>
      </w:r>
    </w:p>
    <w:p w:rsidR="00084027" w:rsidRDefault="00084027" w:rsidP="00084027">
      <w:pPr>
        <w:pStyle w:val="AERbulletlistfirststyle"/>
      </w:pPr>
      <w:r>
        <w:t>Energex</w:t>
      </w:r>
      <w:r w:rsidRPr="00B70B96">
        <w:t xml:space="preserve"> must report to us its jurisdiction scheme amounts recovery in accordance with appendix </w:t>
      </w:r>
      <w:r>
        <w:fldChar w:fldCharType="begin"/>
      </w:r>
      <w:r>
        <w:instrText xml:space="preserve"> REF _Ref414260112 \n \h </w:instrText>
      </w:r>
      <w:r>
        <w:fldChar w:fldCharType="separate"/>
      </w:r>
      <w:r>
        <w:t>C</w:t>
      </w:r>
      <w:r>
        <w:fldChar w:fldCharType="end"/>
      </w:r>
      <w:r>
        <w:t xml:space="preserve"> </w:t>
      </w:r>
      <w:r w:rsidRPr="00B70B96">
        <w:t xml:space="preserve">of this </w:t>
      </w:r>
      <w:r w:rsidR="00435273">
        <w:t>attachment</w:t>
      </w:r>
      <w:r w:rsidRPr="00B70B96">
        <w:t>.</w:t>
      </w:r>
    </w:p>
    <w:p w:rsidR="00084027" w:rsidRPr="00B70B96" w:rsidRDefault="00084027" w:rsidP="00084027">
      <w:pPr>
        <w:pStyle w:val="AERbulletlistfirststyle"/>
      </w:pPr>
      <w:proofErr w:type="gramStart"/>
      <w:r>
        <w:t>appendix</w:t>
      </w:r>
      <w:proofErr w:type="gramEnd"/>
      <w:r>
        <w:t xml:space="preserve"> </w:t>
      </w:r>
      <w:r>
        <w:fldChar w:fldCharType="begin"/>
      </w:r>
      <w:r>
        <w:instrText xml:space="preserve"> REF _Ref414260125 \n \h </w:instrText>
      </w:r>
      <w:r>
        <w:fldChar w:fldCharType="separate"/>
      </w:r>
      <w:r>
        <w:t>D</w:t>
      </w:r>
      <w:r>
        <w:fldChar w:fldCharType="end"/>
      </w:r>
      <w:r>
        <w:t xml:space="preserve"> </w:t>
      </w:r>
      <w:r w:rsidR="00435273">
        <w:t xml:space="preserve">of this attachment </w:t>
      </w:r>
      <w:r w:rsidRPr="00B70B96">
        <w:t xml:space="preserve">specifies </w:t>
      </w:r>
      <w:r w:rsidRPr="00B36828">
        <w:t xml:space="preserve">the procedures </w:t>
      </w:r>
      <w:r>
        <w:t xml:space="preserve">Energex </w:t>
      </w:r>
      <w:r w:rsidRPr="00B36828">
        <w:t xml:space="preserve">must apply for assigning retail customers to tariff classes or </w:t>
      </w:r>
      <w:r w:rsidRPr="001D7AC1">
        <w:t>reassigning retail customers from one tariff class to another</w:t>
      </w:r>
      <w:r w:rsidRPr="00FD0C5C">
        <w:t>.</w:t>
      </w:r>
    </w:p>
    <w:p w:rsidR="00084027" w:rsidRPr="00DD5AA4" w:rsidRDefault="00084027" w:rsidP="00084027">
      <w:pPr>
        <w:pStyle w:val="Heading2"/>
      </w:pPr>
      <w:bookmarkStart w:id="15" w:name="_Toc403144137"/>
      <w:bookmarkStart w:id="16" w:name="_Toc413422295"/>
      <w:bookmarkStart w:id="17" w:name="_Toc417727427"/>
      <w:r w:rsidRPr="00DD5AA4">
        <w:t>Energex's proposal</w:t>
      </w:r>
      <w:bookmarkEnd w:id="15"/>
      <w:bookmarkEnd w:id="16"/>
      <w:bookmarkEnd w:id="17"/>
    </w:p>
    <w:p w:rsidR="00084027" w:rsidRDefault="00084027" w:rsidP="00084027">
      <w:r>
        <w:t xml:space="preserve">Energex noted we will apply </w:t>
      </w:r>
      <w:r w:rsidRPr="00DF22FE">
        <w:t>a</w:t>
      </w:r>
      <w:r>
        <w:t xml:space="preserve"> </w:t>
      </w:r>
      <w:r w:rsidRPr="00DF22FE">
        <w:t>revenue cap</w:t>
      </w:r>
      <w:r>
        <w:t xml:space="preserve"> for standard control services in the 2015–20 regulatory control period.</w:t>
      </w:r>
      <w:r>
        <w:rPr>
          <w:rStyle w:val="FootnoteReference"/>
        </w:rPr>
        <w:footnoteReference w:id="9"/>
      </w:r>
      <w:r>
        <w:t xml:space="preserve"> Energex accepted our high level control mechanism for standard control services. Energex also described its assumptions regarding the control mechanism, including the formula</w:t>
      </w:r>
      <w:r w:rsidRPr="00DF22FE">
        <w:t>.</w:t>
      </w:r>
      <w:r>
        <w:rPr>
          <w:rStyle w:val="FootnoteReference"/>
        </w:rPr>
        <w:footnoteReference w:id="10"/>
      </w:r>
    </w:p>
    <w:p w:rsidR="00084027" w:rsidRPr="00DD5AA4" w:rsidRDefault="00084027" w:rsidP="00084027">
      <w:pPr>
        <w:pStyle w:val="Heading2"/>
      </w:pPr>
      <w:bookmarkStart w:id="18" w:name="_Toc403144138"/>
      <w:bookmarkStart w:id="19" w:name="_Toc413422296"/>
      <w:bookmarkStart w:id="20" w:name="_Toc417727428"/>
      <w:r w:rsidRPr="00DD5AA4">
        <w:t>AER’s assessment approach</w:t>
      </w:r>
      <w:bookmarkEnd w:id="18"/>
      <w:bookmarkEnd w:id="19"/>
      <w:bookmarkEnd w:id="20"/>
    </w:p>
    <w:p w:rsidR="00084027" w:rsidRDefault="00084027" w:rsidP="00084027">
      <w:r>
        <w:t>In our</w:t>
      </w:r>
      <w:r w:rsidRPr="00CD65AB">
        <w:t xml:space="preserve"> </w:t>
      </w:r>
      <w:r>
        <w:t>final framework and approach (F&amp;A), we</w:t>
      </w:r>
      <w:r w:rsidRPr="00CD65AB">
        <w:t xml:space="preserve"> </w:t>
      </w:r>
      <w:r>
        <w:t>d</w:t>
      </w:r>
      <w:r w:rsidRPr="00CD65AB">
        <w:t xml:space="preserve">ecided the control mechanism </w:t>
      </w:r>
      <w:r>
        <w:t>for</w:t>
      </w:r>
      <w:r w:rsidRPr="00CD65AB">
        <w:t xml:space="preserve"> standard control services would be a revenue cap. The basis must be of the prospective CPI</w:t>
      </w:r>
      <w:r>
        <w:t xml:space="preserve">–X form (or some incentive-based </w:t>
      </w:r>
      <w:r w:rsidRPr="00CD65AB">
        <w:t>variant).</w:t>
      </w:r>
      <w:r>
        <w:rPr>
          <w:rStyle w:val="FootnoteReference"/>
        </w:rPr>
        <w:footnoteReference w:id="11"/>
      </w:r>
      <w:r w:rsidRPr="00CD65AB">
        <w:t xml:space="preserve">  </w:t>
      </w:r>
      <w:r>
        <w:t xml:space="preserve">We </w:t>
      </w:r>
      <w:r w:rsidRPr="00CD65AB">
        <w:t>also</w:t>
      </w:r>
      <w:r>
        <w:t xml:space="preserve"> </w:t>
      </w:r>
      <w:r w:rsidRPr="00CD65AB">
        <w:t xml:space="preserve">stated </w:t>
      </w:r>
      <w:r>
        <w:t xml:space="preserve">we would finalise certain aspects of </w:t>
      </w:r>
      <w:r w:rsidRPr="00CD65AB">
        <w:t>the control mechanism</w:t>
      </w:r>
      <w:r>
        <w:t xml:space="preserve"> during the </w:t>
      </w:r>
      <w:r w:rsidRPr="00CD65AB">
        <w:t>distribution determination</w:t>
      </w:r>
      <w:r>
        <w:t xml:space="preserve"> process</w:t>
      </w:r>
      <w:r w:rsidRPr="00CD65AB">
        <w:t>.</w:t>
      </w:r>
      <w:r>
        <w:rPr>
          <w:rStyle w:val="FootnoteReference"/>
        </w:rPr>
        <w:footnoteReference w:id="12"/>
      </w:r>
    </w:p>
    <w:p w:rsidR="00084027" w:rsidRDefault="00084027" w:rsidP="00084027">
      <w:r w:rsidRPr="00CD65AB">
        <w:t xml:space="preserve">In determining the control mechanism for standard control services, </w:t>
      </w:r>
      <w:r>
        <w:t>we</w:t>
      </w:r>
      <w:r w:rsidRPr="00CD65AB">
        <w:t xml:space="preserve"> consider</w:t>
      </w:r>
      <w:r>
        <w:t>ed</w:t>
      </w:r>
      <w:r w:rsidRPr="00CD65AB">
        <w:t xml:space="preserve"> the factors in </w:t>
      </w:r>
      <w:r>
        <w:t xml:space="preserve">clause 6.2.5(c) of </w:t>
      </w:r>
      <w:r w:rsidRPr="00CD65AB">
        <w:t>the NER for each revenue adjustment mechanism and its application. This approach</w:t>
      </w:r>
      <w:r>
        <w:t>:</w:t>
      </w:r>
    </w:p>
    <w:p w:rsidR="00084027" w:rsidRDefault="00084027" w:rsidP="00084027">
      <w:pPr>
        <w:pStyle w:val="AERbulletlistfirststyle"/>
      </w:pPr>
      <w:r w:rsidRPr="00CD65AB">
        <w:t xml:space="preserve">satisfies the requirements of the NER </w:t>
      </w:r>
    </w:p>
    <w:p w:rsidR="00084027" w:rsidRDefault="00084027" w:rsidP="00084027">
      <w:pPr>
        <w:pStyle w:val="AERbulletlistfirststyle"/>
      </w:pPr>
      <w:proofErr w:type="gramStart"/>
      <w:r>
        <w:t>confirms</w:t>
      </w:r>
      <w:proofErr w:type="gramEnd"/>
      <w:r>
        <w:t xml:space="preserve"> our decision in the final F&amp;A</w:t>
      </w:r>
      <w:r w:rsidRPr="00CD65AB">
        <w:t xml:space="preserve"> decision to apply a revenue cap for </w:t>
      </w:r>
      <w:r>
        <w:t>Energex</w:t>
      </w:r>
      <w:r w:rsidRPr="00CD65AB">
        <w:t xml:space="preserve">'s standard control services in the </w:t>
      </w:r>
      <w:r>
        <w:t>2015</w:t>
      </w:r>
      <w:r w:rsidRPr="002B2E35">
        <w:t>–</w:t>
      </w:r>
      <w:r>
        <w:t>20</w:t>
      </w:r>
      <w:r w:rsidRPr="00CD65AB">
        <w:t xml:space="preserve"> regulatory control period.</w:t>
      </w:r>
    </w:p>
    <w:p w:rsidR="00D31F95" w:rsidRDefault="00D31F95" w:rsidP="00D31F95">
      <w:pPr>
        <w:pStyle w:val="AERbulletlistfirststyle"/>
        <w:numPr>
          <w:ilvl w:val="0"/>
          <w:numId w:val="0"/>
        </w:numPr>
        <w:ind w:left="357"/>
      </w:pPr>
    </w:p>
    <w:p w:rsidR="00084027" w:rsidRDefault="00084027" w:rsidP="00084027">
      <w:pPr>
        <w:pStyle w:val="Heading2"/>
      </w:pPr>
      <w:bookmarkStart w:id="21" w:name="_Toc403144140"/>
      <w:bookmarkStart w:id="22" w:name="_Toc413422297"/>
      <w:bookmarkStart w:id="23" w:name="_Toc417727429"/>
      <w:r>
        <w:lastRenderedPageBreak/>
        <w:t>Reasons for preliminary decision</w:t>
      </w:r>
      <w:bookmarkEnd w:id="21"/>
      <w:bookmarkEnd w:id="22"/>
      <w:bookmarkEnd w:id="23"/>
      <w:r>
        <w:t xml:space="preserve"> </w:t>
      </w:r>
    </w:p>
    <w:p w:rsidR="00084027" w:rsidRDefault="00084027" w:rsidP="00084027">
      <w:r>
        <w:t>In o</w:t>
      </w:r>
      <w:r w:rsidRPr="00286AFA">
        <w:t xml:space="preserve">ur </w:t>
      </w:r>
      <w:r>
        <w:t xml:space="preserve">final F&amp;A we deliberately </w:t>
      </w:r>
      <w:r w:rsidRPr="00286AFA">
        <w:t>set out a generic formula to give effect to the control mechanism for standard control service</w:t>
      </w:r>
      <w:r>
        <w:t>s</w:t>
      </w:r>
      <w:r w:rsidRPr="00286AFA">
        <w:t>.</w:t>
      </w:r>
      <w:r>
        <w:rPr>
          <w:rStyle w:val="FootnoteReference"/>
        </w:rPr>
        <w:footnoteReference w:id="13"/>
      </w:r>
      <w:r w:rsidRPr="00286AFA">
        <w:t xml:space="preserve"> </w:t>
      </w:r>
      <w:r>
        <w:t>The NER requires our final F&amp;A to include a formula for the control mechanism.</w:t>
      </w:r>
      <w:r>
        <w:rPr>
          <w:rStyle w:val="FootnoteReference"/>
        </w:rPr>
        <w:footnoteReference w:id="14"/>
      </w:r>
      <w:r>
        <w:t xml:space="preserve"> The control formula requires parameters that we would complete in our final distribution determination. T</w:t>
      </w:r>
      <w:r w:rsidRPr="00286AFA">
        <w:t xml:space="preserve">his </w:t>
      </w:r>
      <w:r>
        <w:t xml:space="preserve">preliminary </w:t>
      </w:r>
      <w:r w:rsidRPr="00286AFA">
        <w:t xml:space="preserve">decision </w:t>
      </w:r>
      <w:r>
        <w:t>clarifies</w:t>
      </w:r>
      <w:r w:rsidRPr="00286AFA">
        <w:t xml:space="preserve"> our position regarding the </w:t>
      </w:r>
      <w:r>
        <w:t xml:space="preserve">control formula and its respective </w:t>
      </w:r>
      <w:r w:rsidRPr="00286AFA">
        <w:t>parameters</w:t>
      </w:r>
      <w:r>
        <w:t xml:space="preserve">. </w:t>
      </w:r>
    </w:p>
    <w:p w:rsidR="00084027" w:rsidRDefault="00084027" w:rsidP="00084027">
      <w:pPr>
        <w:pStyle w:val="Heading2"/>
      </w:pPr>
      <w:bookmarkStart w:id="24" w:name="_Toc413422298"/>
      <w:bookmarkStart w:id="25" w:name="_Ref414638850"/>
      <w:bookmarkStart w:id="26" w:name="_Toc417727430"/>
      <w:r>
        <w:t>Application of the revenue cap</w:t>
      </w:r>
      <w:bookmarkEnd w:id="24"/>
      <w:bookmarkEnd w:id="25"/>
      <w:bookmarkEnd w:id="26"/>
    </w:p>
    <w:p w:rsidR="00084027" w:rsidRDefault="00084027" w:rsidP="00084027">
      <w:pPr>
        <w:pStyle w:val="HeadingBoldBlue"/>
        <w:numPr>
          <w:ilvl w:val="0"/>
          <w:numId w:val="24"/>
        </w:numPr>
      </w:pPr>
      <w:bookmarkStart w:id="27" w:name="_Toc414522001"/>
      <w:bookmarkStart w:id="28" w:name="_Toc414527811"/>
      <w:bookmarkStart w:id="29" w:name="_Toc417726987"/>
      <w:bookmarkStart w:id="30" w:name="_Toc417727357"/>
      <w:bookmarkStart w:id="31" w:name="_Toc417727431"/>
      <w:bookmarkStart w:id="32" w:name="_Toc410398722"/>
      <w:bookmarkStart w:id="33" w:name="_Toc413422299"/>
      <w:r>
        <w:t>Total annual revenue</w:t>
      </w:r>
      <w:bookmarkEnd w:id="27"/>
      <w:bookmarkEnd w:id="28"/>
      <w:bookmarkEnd w:id="29"/>
      <w:bookmarkEnd w:id="30"/>
      <w:bookmarkEnd w:id="31"/>
      <w:r>
        <w:t xml:space="preserve"> </w:t>
      </w:r>
    </w:p>
    <w:p w:rsidR="00084027" w:rsidRDefault="00084027" w:rsidP="00084027">
      <w:r>
        <w:t>T</w:t>
      </w:r>
      <w:r w:rsidRPr="0084180D">
        <w:t>he revenue cap for any given regulatory year is the total annual revenue (TAR) for distribution services.</w:t>
      </w:r>
      <w:r>
        <w:rPr>
          <w:rStyle w:val="FootnoteReference"/>
        </w:rPr>
        <w:footnoteReference w:id="15"/>
      </w:r>
      <w:r w:rsidRPr="0084180D">
        <w:t xml:space="preserve"> </w:t>
      </w:r>
      <w:r>
        <w:fldChar w:fldCharType="begin"/>
      </w:r>
      <w:r>
        <w:instrText xml:space="preserve"> REF _Ref414259790 \h </w:instrText>
      </w:r>
      <w:r>
        <w:fldChar w:fldCharType="separate"/>
      </w:r>
      <w:r>
        <w:t xml:space="preserve">Figure </w:t>
      </w:r>
      <w:r w:rsidRPr="00084027">
        <w:t>14</w:t>
      </w:r>
      <w:r>
        <w:t>.</w:t>
      </w:r>
      <w:r w:rsidRPr="00084027">
        <w:t>1</w:t>
      </w:r>
      <w:r>
        <w:fldChar w:fldCharType="end"/>
      </w:r>
      <w:r>
        <w:t xml:space="preserve"> </w:t>
      </w:r>
      <w:r w:rsidRPr="0084180D">
        <w:t>contains the formula that gives effect to the revenue cap.</w:t>
      </w:r>
      <w:r w:rsidRPr="0084180D">
        <w:rPr>
          <w:rStyle w:val="FootnoteReference"/>
        </w:rPr>
        <w:footnoteReference w:id="16"/>
      </w:r>
    </w:p>
    <w:p w:rsidR="00084027" w:rsidRDefault="00084027" w:rsidP="00084027">
      <w:pPr>
        <w:pStyle w:val="HeadingBoldBlue"/>
        <w:numPr>
          <w:ilvl w:val="0"/>
          <w:numId w:val="24"/>
        </w:numPr>
      </w:pPr>
      <w:bookmarkStart w:id="34" w:name="_Toc417726988"/>
      <w:bookmarkStart w:id="35" w:name="_Toc417727358"/>
      <w:bookmarkStart w:id="36" w:name="_Toc417727432"/>
      <w:r>
        <w:t>Incentive Adjustment</w:t>
      </w:r>
      <w:bookmarkEnd w:id="32"/>
      <w:bookmarkEnd w:id="33"/>
      <w:bookmarkEnd w:id="34"/>
      <w:bookmarkEnd w:id="35"/>
      <w:bookmarkEnd w:id="36"/>
      <w:r>
        <w:t xml:space="preserve"> </w:t>
      </w:r>
    </w:p>
    <w:p w:rsidR="00084027" w:rsidRDefault="00084027" w:rsidP="00084027">
      <w:r>
        <w:t>Energex</w:t>
      </w:r>
      <w:r w:rsidRPr="00DD240F">
        <w:t xml:space="preserve"> proposed to close off the </w:t>
      </w:r>
      <w:r>
        <w:t>demand management incentive scheme</w:t>
      </w:r>
      <w:r w:rsidRPr="00DD240F">
        <w:t xml:space="preserve"> applying in the 2010–15 regulatory control period through</w:t>
      </w:r>
      <w:r>
        <w:t xml:space="preserve"> the building blocks.</w:t>
      </w:r>
      <w:r>
        <w:rPr>
          <w:rStyle w:val="FootnoteReference"/>
        </w:rPr>
        <w:footnoteReference w:id="17"/>
      </w:r>
    </w:p>
    <w:p w:rsidR="00084027" w:rsidRPr="00DD240F" w:rsidRDefault="00084027" w:rsidP="00084027">
      <w:r w:rsidRPr="00DD240F">
        <w:t xml:space="preserve">We </w:t>
      </w:r>
      <w:r>
        <w:t>consider Energex should recover the final carryover amount through the pricing proposal process as this was the approach we decided in the scheme.</w:t>
      </w:r>
      <w:r>
        <w:rPr>
          <w:rStyle w:val="FootnoteReference"/>
        </w:rPr>
        <w:footnoteReference w:id="18"/>
      </w:r>
      <w:r w:rsidRPr="00DD240F">
        <w:t xml:space="preserve"> </w:t>
      </w:r>
      <w:r>
        <w:t xml:space="preserve">We </w:t>
      </w:r>
      <w:r w:rsidRPr="00DD240F">
        <w:t xml:space="preserve">have incorporated the final carryover amount in the control mechanism and side constraint formulas (see </w:t>
      </w:r>
      <w:r>
        <w:fldChar w:fldCharType="begin"/>
      </w:r>
      <w:r>
        <w:instrText xml:space="preserve"> REF  _Ref414259790 \* Lower \h </w:instrText>
      </w:r>
      <w:r>
        <w:fldChar w:fldCharType="separate"/>
      </w:r>
      <w:r>
        <w:t xml:space="preserve">figure </w:t>
      </w:r>
      <w:r w:rsidRPr="00084027">
        <w:t>14</w:t>
      </w:r>
      <w:r>
        <w:t>.</w:t>
      </w:r>
      <w:r w:rsidRPr="00084027">
        <w:t>1</w:t>
      </w:r>
      <w:r>
        <w:fldChar w:fldCharType="end"/>
      </w:r>
      <w:r>
        <w:t xml:space="preserve"> </w:t>
      </w:r>
      <w:r w:rsidRPr="00DD240F">
        <w:t>and</w:t>
      </w:r>
      <w:r>
        <w:t xml:space="preserve"> </w:t>
      </w:r>
      <w:r>
        <w:fldChar w:fldCharType="begin"/>
      </w:r>
      <w:r>
        <w:instrText xml:space="preserve"> REF  _Ref414263967 \* Lower \h </w:instrText>
      </w:r>
      <w:r>
        <w:fldChar w:fldCharType="separate"/>
      </w:r>
      <w:r>
        <w:t xml:space="preserve">figure </w:t>
      </w:r>
      <w:r w:rsidRPr="00084027">
        <w:t>14</w:t>
      </w:r>
      <w:r>
        <w:t>.</w:t>
      </w:r>
      <w:r w:rsidRPr="00084027">
        <w:t>2</w:t>
      </w:r>
      <w:r>
        <w:fldChar w:fldCharType="end"/>
      </w:r>
      <w:r w:rsidRPr="00DD240F">
        <w:t>).</w:t>
      </w:r>
    </w:p>
    <w:p w:rsidR="00084027" w:rsidRDefault="00084027" w:rsidP="00084027">
      <w:pPr>
        <w:pStyle w:val="HeadingBoldBlue"/>
      </w:pPr>
      <w:bookmarkStart w:id="37" w:name="_Toc417726989"/>
      <w:bookmarkStart w:id="38" w:name="_Toc417727359"/>
      <w:bookmarkStart w:id="39" w:name="_Toc417727433"/>
      <w:r>
        <w:t>S-factor</w:t>
      </w:r>
      <w:bookmarkEnd w:id="37"/>
      <w:bookmarkEnd w:id="38"/>
      <w:bookmarkEnd w:id="39"/>
    </w:p>
    <w:p w:rsidR="00084027" w:rsidRDefault="00084027" w:rsidP="00084027">
      <w:r>
        <w:t>Energex</w:t>
      </w:r>
      <w:r w:rsidRPr="009029E6">
        <w:t xml:space="preserve"> </w:t>
      </w:r>
      <w:r>
        <w:t>accepted our decision to apply an annual adjustment to revenue from distribution services due to the operation of an incentive scheme. As discussed in the service standards attachment, we will apply a Service Target Performance Incentive Scheme (S-factor) to Energex in the 2015</w:t>
      </w:r>
      <w:r w:rsidRPr="00032495">
        <w:t>–</w:t>
      </w:r>
      <w:r>
        <w:t>20 regulatory control period.</w:t>
      </w:r>
    </w:p>
    <w:p w:rsidR="00084027" w:rsidRPr="003342AC" w:rsidRDefault="00084027" w:rsidP="00084027">
      <w:pPr>
        <w:pStyle w:val="HeadingBoldBlue"/>
      </w:pPr>
      <w:bookmarkStart w:id="40" w:name="_Toc417726990"/>
      <w:bookmarkStart w:id="41" w:name="_Toc417727360"/>
      <w:bookmarkStart w:id="42" w:name="_Toc417727434"/>
      <w:bookmarkStart w:id="43" w:name="_Toc410398723"/>
      <w:bookmarkStart w:id="44" w:name="_Toc413422300"/>
      <w:r>
        <w:t>Intra-period adjustment to WACC</w:t>
      </w:r>
      <w:bookmarkEnd w:id="40"/>
      <w:bookmarkEnd w:id="41"/>
      <w:bookmarkEnd w:id="42"/>
    </w:p>
    <w:p w:rsidR="00084027" w:rsidRPr="003342AC" w:rsidRDefault="00084027" w:rsidP="00084027">
      <w:r>
        <w:t>W</w:t>
      </w:r>
      <w:r w:rsidRPr="003342AC">
        <w:t>e consider that changes to revenue resulting from the annual return on debt update should</w:t>
      </w:r>
      <w:r>
        <w:t xml:space="preserve"> </w:t>
      </w:r>
      <w:r w:rsidRPr="003342AC">
        <w:t>be implemented through revising the X</w:t>
      </w:r>
      <w:r w:rsidR="00435273">
        <w:t>-</w:t>
      </w:r>
      <w:r w:rsidRPr="003342AC">
        <w:t>factors</w:t>
      </w:r>
      <w:r>
        <w:t>.</w:t>
      </w:r>
    </w:p>
    <w:p w:rsidR="00084027" w:rsidRPr="00D44099" w:rsidRDefault="00084027" w:rsidP="00084027">
      <w:r w:rsidRPr="00D44099">
        <w:lastRenderedPageBreak/>
        <w:t>The attachment on the cost of capital</w:t>
      </w:r>
      <w:r w:rsidRPr="00D44099" w:rsidDel="006116B9">
        <w:t xml:space="preserve"> </w:t>
      </w:r>
      <w:r>
        <w:t>discusses</w:t>
      </w:r>
      <w:r w:rsidRPr="00D44099">
        <w:t xml:space="preserve"> the WACC</w:t>
      </w:r>
      <w:r>
        <w:t xml:space="preserve"> annual</w:t>
      </w:r>
      <w:r w:rsidRPr="00D44099">
        <w:t xml:space="preserve"> adjustment. The revenue attachment details issues relating to 'X-factors'.</w:t>
      </w:r>
    </w:p>
    <w:p w:rsidR="00084027" w:rsidRPr="00FC530C" w:rsidRDefault="00084027" w:rsidP="00084027">
      <w:pPr>
        <w:pStyle w:val="HeadingBoldBlue"/>
      </w:pPr>
      <w:bookmarkStart w:id="45" w:name="_Toc417726991"/>
      <w:bookmarkStart w:id="46" w:name="_Toc417727361"/>
      <w:bookmarkStart w:id="47" w:name="_Toc417727435"/>
      <w:r>
        <w:t>Annual adjustment (B-factor)</w:t>
      </w:r>
      <w:bookmarkEnd w:id="43"/>
      <w:bookmarkEnd w:id="44"/>
      <w:bookmarkEnd w:id="45"/>
      <w:bookmarkEnd w:id="46"/>
      <w:bookmarkEnd w:id="47"/>
    </w:p>
    <w:p w:rsidR="00084027" w:rsidRPr="00215EA7" w:rsidRDefault="00084027" w:rsidP="00084027">
      <w:pPr>
        <w:numPr>
          <w:ilvl w:val="0"/>
          <w:numId w:val="24"/>
        </w:numPr>
      </w:pPr>
      <w:r>
        <w:t xml:space="preserve">Energex stated </w:t>
      </w:r>
      <w:r w:rsidRPr="00215EA7">
        <w:t xml:space="preserve">the under recovery of </w:t>
      </w:r>
      <w:r>
        <w:t>c</w:t>
      </w:r>
      <w:r w:rsidRPr="00215EA7">
        <w:t xml:space="preserve">apital </w:t>
      </w:r>
      <w:r>
        <w:t>contributions for 2014–</w:t>
      </w:r>
      <w:r w:rsidRPr="00215EA7">
        <w:t xml:space="preserve">15 in </w:t>
      </w:r>
      <w:r>
        <w:t>its r</w:t>
      </w:r>
      <w:r w:rsidRPr="00215EA7">
        <w:t xml:space="preserve">egulatory </w:t>
      </w:r>
      <w:r>
        <w:t>p</w:t>
      </w:r>
      <w:r w:rsidRPr="00215EA7">
        <w:t xml:space="preserve">roposal </w:t>
      </w:r>
      <w:r>
        <w:t>is a</w:t>
      </w:r>
      <w:r w:rsidRPr="00215EA7">
        <w:t xml:space="preserve"> forecast</w:t>
      </w:r>
      <w:r>
        <w:t>.</w:t>
      </w:r>
      <w:r>
        <w:rPr>
          <w:rStyle w:val="FootnoteReference"/>
        </w:rPr>
        <w:footnoteReference w:id="19"/>
      </w:r>
      <w:r w:rsidRPr="00215EA7">
        <w:t xml:space="preserve"> </w:t>
      </w:r>
      <w:r>
        <w:t xml:space="preserve">Further, </w:t>
      </w:r>
      <w:r w:rsidRPr="00215EA7">
        <w:t>Energex</w:t>
      </w:r>
      <w:r>
        <w:t xml:space="preserve"> expects it</w:t>
      </w:r>
      <w:r w:rsidRPr="00215EA7">
        <w:t xml:space="preserve"> will not have finalised </w:t>
      </w:r>
      <w:r>
        <w:t>and audited values for the 2014</w:t>
      </w:r>
      <w:r>
        <w:softHyphen/>
        <w:t>–</w:t>
      </w:r>
      <w:r w:rsidRPr="00215EA7">
        <w:t>15 year for inclusion in the revised regulatory proposal</w:t>
      </w:r>
      <w:r>
        <w:t xml:space="preserve">. </w:t>
      </w:r>
      <w:r w:rsidRPr="00215EA7">
        <w:t xml:space="preserve">Energex </w:t>
      </w:r>
      <w:r>
        <w:t>therefore requested</w:t>
      </w:r>
      <w:r w:rsidRPr="00215EA7">
        <w:t xml:space="preserve"> an adjustment factor to allow for the true up of the difference between the actual and forecast under recoveries for that year.</w:t>
      </w:r>
      <w:r>
        <w:rPr>
          <w:rStyle w:val="FootnoteReference"/>
        </w:rPr>
        <w:footnoteReference w:id="20"/>
      </w:r>
      <w:r w:rsidRPr="00215EA7">
        <w:t xml:space="preserve">  </w:t>
      </w:r>
    </w:p>
    <w:p w:rsidR="00084027" w:rsidRDefault="00084027" w:rsidP="00084027">
      <w:pPr>
        <w:numPr>
          <w:ilvl w:val="0"/>
          <w:numId w:val="24"/>
        </w:numPr>
      </w:pPr>
      <w:r w:rsidRPr="00215EA7">
        <w:t xml:space="preserve">Once </w:t>
      </w:r>
      <w:r>
        <w:t xml:space="preserve">it has trued up </w:t>
      </w:r>
      <w:r w:rsidRPr="00215EA7">
        <w:t xml:space="preserve">the 2014-15 under recovery, Energex will no longer require an adjustment factor for </w:t>
      </w:r>
      <w:r>
        <w:t>c</w:t>
      </w:r>
      <w:r w:rsidRPr="00215EA7">
        <w:t xml:space="preserve">apital </w:t>
      </w:r>
      <w:r>
        <w:t>c</w:t>
      </w:r>
      <w:r w:rsidRPr="00215EA7">
        <w:t>ontribution under/over recovery</w:t>
      </w:r>
      <w:r>
        <w:t>. This is because</w:t>
      </w:r>
      <w:r w:rsidRPr="00215EA7">
        <w:t xml:space="preserve"> </w:t>
      </w:r>
      <w:r>
        <w:t>c</w:t>
      </w:r>
      <w:r w:rsidRPr="00215EA7">
        <w:t xml:space="preserve">apital </w:t>
      </w:r>
      <w:r>
        <w:t>c</w:t>
      </w:r>
      <w:r w:rsidRPr="00215EA7">
        <w:t>ontribution revenue wi</w:t>
      </w:r>
      <w:r>
        <w:t>ll no longer be treated as a DUo</w:t>
      </w:r>
      <w:r w:rsidRPr="00215EA7">
        <w:t>S revenue offset.</w:t>
      </w:r>
      <w:r>
        <w:rPr>
          <w:rStyle w:val="FootnoteReference"/>
        </w:rPr>
        <w:footnoteReference w:id="21"/>
      </w:r>
    </w:p>
    <w:p w:rsidR="00084027" w:rsidRDefault="00084027" w:rsidP="00084027">
      <w:r>
        <w:t>We agree with Energex because applying under or over-recoveries relating to capital contributions was an obligation under the transitional rules.</w:t>
      </w:r>
      <w:r>
        <w:rPr>
          <w:rStyle w:val="FootnoteReference"/>
        </w:rPr>
        <w:footnoteReference w:id="22"/>
      </w:r>
      <w:r>
        <w:t xml:space="preserve"> Energex's proposal will close off the transitional rules.  </w:t>
      </w:r>
    </w:p>
    <w:p w:rsidR="00084027" w:rsidRDefault="00084027" w:rsidP="00084027">
      <w:pPr>
        <w:numPr>
          <w:ilvl w:val="0"/>
          <w:numId w:val="24"/>
        </w:numPr>
      </w:pPr>
      <w:r w:rsidRPr="00575D20">
        <w:t xml:space="preserve">We removed DUoS under and over-recovery adjustments from the definition of the B-factor to be consistent with the approach we adopted in the 2010–15 regulatory control period.  </w:t>
      </w:r>
      <w:r>
        <w:t>Energex</w:t>
      </w:r>
      <w:r w:rsidRPr="00575D20">
        <w:t xml:space="preserve"> must still account for the DUoS unders and overs account when demonstrating compliance with the control mechanism for standard control services (see section </w:t>
      </w:r>
      <w:r>
        <w:fldChar w:fldCharType="begin"/>
      </w:r>
      <w:r>
        <w:instrText xml:space="preserve"> REF _Ref403377926 \n \h </w:instrText>
      </w:r>
      <w:r>
        <w:fldChar w:fldCharType="separate"/>
      </w:r>
      <w:r>
        <w:t>14.5.3</w:t>
      </w:r>
      <w:r>
        <w:fldChar w:fldCharType="end"/>
      </w:r>
      <w:r w:rsidRPr="00575D20">
        <w:t>).</w:t>
      </w:r>
      <w:r>
        <w:t xml:space="preserve"> </w:t>
      </w:r>
    </w:p>
    <w:p w:rsidR="00084027" w:rsidRDefault="00084027" w:rsidP="00084027">
      <w:pPr>
        <w:pStyle w:val="HeadingBoldBlue"/>
        <w:numPr>
          <w:ilvl w:val="0"/>
          <w:numId w:val="24"/>
        </w:numPr>
      </w:pPr>
      <w:bookmarkStart w:id="48" w:name="_Toc410398724"/>
      <w:bookmarkStart w:id="49" w:name="_Toc413422301"/>
      <w:bookmarkStart w:id="50" w:name="_Toc417726992"/>
      <w:bookmarkStart w:id="51" w:name="_Toc417727362"/>
      <w:bookmarkStart w:id="52" w:name="_Toc417727436"/>
      <w:r>
        <w:t>Annual adjustment (C-factor)</w:t>
      </w:r>
      <w:bookmarkEnd w:id="48"/>
      <w:bookmarkEnd w:id="49"/>
      <w:bookmarkEnd w:id="50"/>
      <w:bookmarkEnd w:id="51"/>
      <w:bookmarkEnd w:id="52"/>
    </w:p>
    <w:p w:rsidR="00084027" w:rsidRDefault="00084027" w:rsidP="00084027">
      <w:pPr>
        <w:numPr>
          <w:ilvl w:val="0"/>
          <w:numId w:val="24"/>
        </w:numPr>
      </w:pPr>
      <w:r>
        <w:t>Energex stated the C-factor should include adjustments likely to incorporate, but not be limited to, pass through events.</w:t>
      </w:r>
      <w:r>
        <w:rPr>
          <w:rStyle w:val="FootnoteReference"/>
        </w:rPr>
        <w:footnoteReference w:id="23"/>
      </w:r>
      <w:r>
        <w:t xml:space="preserve"> Energex proposed to include Feed-in-Tariff cost pass through amounts relating to 2013–14 and 2014–15.</w:t>
      </w:r>
      <w:r>
        <w:rPr>
          <w:rStyle w:val="FootnoteReference"/>
        </w:rPr>
        <w:footnoteReference w:id="24"/>
      </w:r>
    </w:p>
    <w:p w:rsidR="00084027" w:rsidRPr="00575D20" w:rsidRDefault="00084027" w:rsidP="00084027">
      <w:r w:rsidRPr="00575D20">
        <w:t xml:space="preserve">We agree with this because it is </w:t>
      </w:r>
      <w:r>
        <w:t xml:space="preserve">consistent </w:t>
      </w:r>
      <w:r w:rsidRPr="00575D20">
        <w:t>with our final F&amp;A.</w:t>
      </w:r>
      <w:r>
        <w:rPr>
          <w:rStyle w:val="FootnoteReference"/>
        </w:rPr>
        <w:footnoteReference w:id="25"/>
      </w:r>
    </w:p>
    <w:p w:rsidR="00084027" w:rsidRPr="00C80103" w:rsidRDefault="00084027" w:rsidP="00084027">
      <w:pPr>
        <w:pStyle w:val="HeadingBoldBlue"/>
      </w:pPr>
      <w:bookmarkStart w:id="53" w:name="_Toc410398725"/>
      <w:bookmarkStart w:id="54" w:name="_Toc413422302"/>
      <w:bookmarkStart w:id="55" w:name="_Toc417726993"/>
      <w:bookmarkStart w:id="56" w:name="_Toc417727363"/>
      <w:bookmarkStart w:id="57" w:name="_Toc417727437"/>
      <w:r w:rsidRPr="00C80103">
        <w:t xml:space="preserve">Under and over recovery mechanism </w:t>
      </w:r>
      <w:r>
        <w:t>for</w:t>
      </w:r>
      <w:r w:rsidRPr="00C80103">
        <w:t xml:space="preserve"> DU</w:t>
      </w:r>
      <w:r>
        <w:t>o</w:t>
      </w:r>
      <w:r w:rsidRPr="00C80103">
        <w:t>S</w:t>
      </w:r>
      <w:bookmarkEnd w:id="53"/>
      <w:bookmarkEnd w:id="54"/>
      <w:bookmarkEnd w:id="55"/>
      <w:bookmarkEnd w:id="56"/>
      <w:bookmarkEnd w:id="57"/>
    </w:p>
    <w:p w:rsidR="00084027" w:rsidRDefault="00084027" w:rsidP="00084027">
      <w:r w:rsidRPr="002447B0">
        <w:t xml:space="preserve">Under a revenue cap, </w:t>
      </w:r>
      <w:r>
        <w:t xml:space="preserve">Energex's </w:t>
      </w:r>
      <w:r w:rsidRPr="002447B0">
        <w:t>revenues are adjusted annually to clear any under or over recovery of actual revenue collected through DU</w:t>
      </w:r>
      <w:r>
        <w:t>o</w:t>
      </w:r>
      <w:r w:rsidRPr="002447B0">
        <w:t xml:space="preserve">S charges. </w:t>
      </w:r>
      <w:r>
        <w:t>With</w:t>
      </w:r>
      <w:r w:rsidRPr="002447B0">
        <w:t xml:space="preserve"> these arrangements</w:t>
      </w:r>
      <w:r>
        <w:t>,</w:t>
      </w:r>
      <w:r w:rsidRPr="002447B0">
        <w:t xml:space="preserve"> there is generally a two year lag between the year in which the DU</w:t>
      </w:r>
      <w:r>
        <w:t>o</w:t>
      </w:r>
      <w:r w:rsidRPr="002447B0">
        <w:t>S under or over recovery occurs and the year in which adjustments are made to prices to ‘clear’ the under or over recovery.</w:t>
      </w:r>
      <w:r>
        <w:t xml:space="preserve"> A</w:t>
      </w:r>
      <w:r w:rsidRPr="00B01FFA">
        <w:t xml:space="preserve">ppendix </w:t>
      </w:r>
      <w:r>
        <w:fldChar w:fldCharType="begin"/>
      </w:r>
      <w:r>
        <w:instrText xml:space="preserve"> REF _Ref414262328 \n \h </w:instrText>
      </w:r>
      <w:r>
        <w:fldChar w:fldCharType="separate"/>
      </w:r>
      <w:r>
        <w:t>A</w:t>
      </w:r>
      <w:r>
        <w:fldChar w:fldCharType="end"/>
      </w:r>
      <w:r>
        <w:t xml:space="preserve"> details t</w:t>
      </w:r>
      <w:r w:rsidRPr="00B01FFA">
        <w:t xml:space="preserve">he operation of this </w:t>
      </w:r>
      <w:r>
        <w:t>method</w:t>
      </w:r>
      <w:r w:rsidRPr="00B01FFA">
        <w:t>.</w:t>
      </w:r>
    </w:p>
    <w:p w:rsidR="00084027" w:rsidRDefault="00084027" w:rsidP="00084027">
      <w:r w:rsidRPr="002447B0">
        <w:lastRenderedPageBreak/>
        <w:t xml:space="preserve">To minimise price volatility between regulatory years, </w:t>
      </w:r>
      <w:r>
        <w:t xml:space="preserve">Energex proposed that </w:t>
      </w:r>
      <w:r w:rsidRPr="002447B0">
        <w:t>tolerance limits apply to the clearing of DU</w:t>
      </w:r>
      <w:r>
        <w:t>o</w:t>
      </w:r>
      <w:r w:rsidRPr="002447B0">
        <w:t xml:space="preserve">S under and over recoveries. </w:t>
      </w:r>
      <w:r>
        <w:t>Under this mechanism,</w:t>
      </w:r>
      <w:r w:rsidRPr="002447B0">
        <w:t xml:space="preserve"> the under or over recovery is required to be spread over multiple regulatory years</w:t>
      </w:r>
      <w:r w:rsidRPr="00C74028">
        <w:t xml:space="preserve"> </w:t>
      </w:r>
      <w:r>
        <w:t>w</w:t>
      </w:r>
      <w:r w:rsidRPr="002447B0">
        <w:t>hen tolerance limits are triggered</w:t>
      </w:r>
      <w:r>
        <w:t>.</w:t>
      </w:r>
      <w:r w:rsidRPr="002447B0">
        <w:t xml:space="preserve"> </w:t>
      </w:r>
    </w:p>
    <w:p w:rsidR="00084027" w:rsidRDefault="00084027" w:rsidP="00084027">
      <w:r>
        <w:t>We discuss tolerance limits below.</w:t>
      </w:r>
    </w:p>
    <w:p w:rsidR="00084027" w:rsidRDefault="00084027" w:rsidP="00084027">
      <w:pPr>
        <w:pStyle w:val="HeadingBoldBlue"/>
      </w:pPr>
      <w:bookmarkStart w:id="58" w:name="_Toc413414144"/>
      <w:bookmarkStart w:id="59" w:name="_Toc417726994"/>
      <w:bookmarkStart w:id="60" w:name="_Toc417727364"/>
      <w:bookmarkStart w:id="61" w:name="_Toc417727438"/>
      <w:bookmarkStart w:id="62" w:name="_Toc410398726"/>
      <w:bookmarkStart w:id="63" w:name="_Toc413422303"/>
      <w:r>
        <w:t>Future Tolerance Limits</w:t>
      </w:r>
      <w:bookmarkEnd w:id="58"/>
      <w:bookmarkEnd w:id="59"/>
      <w:bookmarkEnd w:id="60"/>
      <w:bookmarkEnd w:id="61"/>
    </w:p>
    <w:p w:rsidR="00084027" w:rsidRDefault="00084027" w:rsidP="00084027">
      <w:r>
        <w:t>We will</w:t>
      </w:r>
      <w:r w:rsidRPr="00AE712B">
        <w:t xml:space="preserve"> not apply tolerance limits to the DU</w:t>
      </w:r>
      <w:r>
        <w:t>o</w:t>
      </w:r>
      <w:r w:rsidRPr="00AE712B">
        <w:t xml:space="preserve">S unders and over accounts </w:t>
      </w:r>
      <w:r>
        <w:t>in the 2015–19 period</w:t>
      </w:r>
      <w:r w:rsidRPr="00AE712B">
        <w:t xml:space="preserve">. </w:t>
      </w:r>
      <w:r>
        <w:t>We consider the risk</w:t>
      </w:r>
      <w:r w:rsidRPr="00AE712B">
        <w:t xml:space="preserve">s </w:t>
      </w:r>
      <w:r>
        <w:t>of applying tolerance limits (delayed price shocks,</w:t>
      </w:r>
      <w:r w:rsidRPr="00AE712B">
        <w:t xml:space="preserve"> and reduced cost reflectivity in p</w:t>
      </w:r>
      <w:r>
        <w:t xml:space="preserve">rices) </w:t>
      </w:r>
      <w:r w:rsidRPr="00AE712B">
        <w:t xml:space="preserve">outweigh the </w:t>
      </w:r>
      <w:r>
        <w:t xml:space="preserve">benefits of potentially </w:t>
      </w:r>
      <w:r w:rsidRPr="00AE712B">
        <w:t>smoothing pric</w:t>
      </w:r>
      <w:r>
        <w:t>e</w:t>
      </w:r>
      <w:r w:rsidRPr="00AE712B">
        <w:t>s.</w:t>
      </w:r>
    </w:p>
    <w:p w:rsidR="00084027" w:rsidRDefault="00084027" w:rsidP="00084027">
      <w:r>
        <w:t xml:space="preserve">Applying tolerance limits potentially smooths price shocks </w:t>
      </w:r>
      <w:r w:rsidRPr="007A51D8">
        <w:t xml:space="preserve">that may occur as a result of </w:t>
      </w:r>
      <w:r w:rsidRPr="00AE712B">
        <w:t xml:space="preserve">volume risk under </w:t>
      </w:r>
      <w:r>
        <w:t>a revenue cap. Tolerance limits may also offer flexibility to attain price stability. Energex stated that the application of tolerance limits reflects the appropriate balance between the timing of revenue recovery (recoupment) and price increases (decreases) for customers.</w:t>
      </w:r>
      <w:r>
        <w:rPr>
          <w:rStyle w:val="FootnoteReference"/>
        </w:rPr>
        <w:footnoteReference w:id="26"/>
      </w:r>
    </w:p>
    <w:p w:rsidR="00084027" w:rsidRDefault="00084027" w:rsidP="00084027">
      <w:r>
        <w:t>In practice, however, tolerance limits may result in under or over recoveries accumulating during the regulatory control period. This would leave a large end-of-period adjustment to eliminate or reduce the account balance accumulated during previous years. As a result, price shocks are merely delayed, not eliminated. This occurred in Queensland where consistent under-recovery in the 2010–15 regulatory control period led to an accumulated $500 million in the account balance. The Queensland distributors proposed recovering this amount over the next regulatory control period.</w:t>
      </w:r>
      <w:r>
        <w:rPr>
          <w:rStyle w:val="FootnoteReference"/>
        </w:rPr>
        <w:footnoteReference w:id="27"/>
      </w:r>
    </w:p>
    <w:p w:rsidR="00084027" w:rsidRDefault="00084027" w:rsidP="00084027">
      <w:r>
        <w:t xml:space="preserve">Accumulating over or under recoveries that persist for multiple years may also distort the cost reflectiveness of tariffs and thus price signals to customers. For example, instead of tariffs falling for a particular customer class in a given year, they rise as the distributor draws down on its accumulated balance. This is not consistent with the network pricing objective: </w:t>
      </w:r>
      <w:r w:rsidRPr="00FC089E">
        <w:t xml:space="preserve">the tariffs a </w:t>
      </w:r>
      <w:r>
        <w:t xml:space="preserve">distributor </w:t>
      </w:r>
      <w:r w:rsidRPr="00FC089E">
        <w:t>charges a retail customer should reflect the efficient co</w:t>
      </w:r>
      <w:r>
        <w:t>sts of providing those services.</w:t>
      </w:r>
      <w:r>
        <w:rPr>
          <w:rStyle w:val="FootnoteReference"/>
        </w:rPr>
        <w:footnoteReference w:id="28"/>
      </w:r>
      <w:r>
        <w:t xml:space="preserve"> It is also not consistent with the requirement that tariffs minimise distortions to price signals for efficient usage.</w:t>
      </w:r>
      <w:r>
        <w:rPr>
          <w:rStyle w:val="FootnoteReference"/>
        </w:rPr>
        <w:footnoteReference w:id="29"/>
      </w:r>
    </w:p>
    <w:p w:rsidR="00084027" w:rsidRDefault="00084027" w:rsidP="00084027">
      <w:r>
        <w:t xml:space="preserve">The Independent Pricing and Regulatory Tribunal (IPART) and more recently the ACCC experienced similar issues of delayed cost reflectivity in their determinations for the State Water Corporation of NSW. </w:t>
      </w:r>
      <w:r w:rsidRPr="007A51D8">
        <w:t xml:space="preserve">In past determinations, IPART set price caps for certain </w:t>
      </w:r>
      <w:r>
        <w:t xml:space="preserve">valleys having regard to the </w:t>
      </w:r>
      <w:r w:rsidRPr="007316D4">
        <w:t xml:space="preserve">severe customer </w:t>
      </w:r>
      <w:r>
        <w:t xml:space="preserve">impact of full cost recovery </w:t>
      </w:r>
      <w:r>
        <w:lastRenderedPageBreak/>
        <w:t>(because of</w:t>
      </w:r>
      <w:r w:rsidRPr="007316D4">
        <w:t xml:space="preserve"> high prices in </w:t>
      </w:r>
      <w:r>
        <w:t>those valleys).</w:t>
      </w:r>
      <w:r>
        <w:rPr>
          <w:rStyle w:val="FootnoteReference"/>
        </w:rPr>
        <w:footnoteReference w:id="30"/>
      </w:r>
      <w:r>
        <w:t xml:space="preserve"> This resulted in prices for those valleys not recovering the revenue requirement in past years</w:t>
      </w:r>
      <w:r w:rsidRPr="007316D4">
        <w:t xml:space="preserve"> </w:t>
      </w:r>
      <w:r>
        <w:t xml:space="preserve">(although </w:t>
      </w:r>
      <w:r w:rsidRPr="007316D4">
        <w:t xml:space="preserve">the NSW Government </w:t>
      </w:r>
      <w:r>
        <w:t xml:space="preserve">funded the </w:t>
      </w:r>
      <w:r w:rsidRPr="007316D4">
        <w:t>shortfall through direct budgetary subsidies</w:t>
      </w:r>
      <w:r>
        <w:t>).</w:t>
      </w:r>
      <w:r>
        <w:rPr>
          <w:rStyle w:val="FootnoteReference"/>
        </w:rPr>
        <w:footnoteReference w:id="31"/>
      </w:r>
      <w:r>
        <w:t xml:space="preserve"> The issue of under recovery continued when the ACCC assumed regulation of State Water’s Murray-Darling Basin Valleys for the 2014–17 period.</w:t>
      </w:r>
      <w:r>
        <w:rPr>
          <w:rStyle w:val="FootnoteReference"/>
        </w:rPr>
        <w:footnoteReference w:id="32"/>
      </w:r>
      <w:r>
        <w:t xml:space="preserve"> We note the different characteristics of the water and electricity sectors influence their regulatory regimes. For example, the ACCC must consider price stability in its annual tariff process for State Water.</w:t>
      </w:r>
      <w:r>
        <w:rPr>
          <w:rStyle w:val="FootnoteReference"/>
        </w:rPr>
        <w:footnoteReference w:id="33"/>
      </w:r>
      <w:r>
        <w:t xml:space="preserve"> As we noted above, the NER emphasise that electricity distributors’ tariffs should reflect efficient costs.</w:t>
      </w:r>
      <w:r>
        <w:rPr>
          <w:rStyle w:val="FootnoteReference"/>
        </w:rPr>
        <w:footnoteReference w:id="34"/>
      </w:r>
      <w:r>
        <w:t xml:space="preserve"> Nevertheless, this example demonstrates the potential to delay cost reflective pricing when under (or over) recoveries of costs are allowed to accumulate.</w:t>
      </w:r>
    </w:p>
    <w:p w:rsidR="00084027" w:rsidRDefault="00084027" w:rsidP="00084027">
      <w:r w:rsidRPr="00991105">
        <w:t>Eliminating tolerance limits</w:t>
      </w:r>
      <w:r>
        <w:t xml:space="preserve"> removes</w:t>
      </w:r>
      <w:r w:rsidRPr="00991105">
        <w:t xml:space="preserve"> distortions to cost reflectivity that we discussed above. The move to cost reflective tariffs is now underway following the AEMC change to the distribution pricing rules in 2014.</w:t>
      </w:r>
      <w:r>
        <w:rPr>
          <w:rStyle w:val="FootnoteReference"/>
        </w:rPr>
        <w:footnoteReference w:id="35"/>
      </w:r>
      <w:r>
        <w:t xml:space="preserve"> </w:t>
      </w:r>
    </w:p>
    <w:p w:rsidR="00084027" w:rsidRDefault="00084027" w:rsidP="00084027">
      <w:r w:rsidRPr="00E01FB6">
        <w:t>A drawback</w:t>
      </w:r>
      <w:r>
        <w:t xml:space="preserve"> of not applying tolerance limits</w:t>
      </w:r>
      <w:r w:rsidRPr="00E01FB6">
        <w:t xml:space="preserve"> is the possibility of price shocks when the variance between the </w:t>
      </w:r>
      <w:r>
        <w:t xml:space="preserve">total annual revenue </w:t>
      </w:r>
      <w:r w:rsidRPr="00E01FB6">
        <w:t>and actual revenue is large.</w:t>
      </w:r>
      <w:r>
        <w:t xml:space="preserve"> However</w:t>
      </w:r>
      <w:r w:rsidRPr="00F12012">
        <w:t xml:space="preserve"> </w:t>
      </w:r>
      <w:r>
        <w:t>in-built smoothing mechanisms from some sources of error can mitigate the variability in revenue stemming from a revenue cap. For example:</w:t>
      </w:r>
    </w:p>
    <w:p w:rsidR="00084027" w:rsidRDefault="00084027" w:rsidP="00084027">
      <w:pPr>
        <w:pStyle w:val="AERbulletlistfirststyle"/>
      </w:pPr>
      <w:r>
        <w:t>under the STPIS, distributors can bank revenue adjustments resulting from the S-factor. Thus, there is no good reason for the S-factor payment to find their way into a tolerance limits account balance.</w:t>
      </w:r>
    </w:p>
    <w:p w:rsidR="00084027" w:rsidRDefault="00084027" w:rsidP="00084027">
      <w:pPr>
        <w:pStyle w:val="AERbulletlistfirststyle"/>
      </w:pPr>
      <w:r>
        <w:t>consumption forecasts are a potential source of error. We can mitigate such errors by approving reasonable forecasts during the distribution determination and pricing proposal process. This process, along with requirements for greater</w:t>
      </w:r>
      <w:r w:rsidRPr="00E01FB6">
        <w:t xml:space="preserve"> consultation, put the onus on distributors to produce reasonable volume forecasts at the outset.</w:t>
      </w:r>
    </w:p>
    <w:p w:rsidR="00084027" w:rsidRDefault="00084027" w:rsidP="00084027">
      <w:r>
        <w:t>While this was not a major factor in our decision, t</w:t>
      </w:r>
      <w:r w:rsidRPr="00F5201C">
        <w:t>olerance limits</w:t>
      </w:r>
      <w:r>
        <w:t xml:space="preserve"> also</w:t>
      </w:r>
      <w:r w:rsidRPr="00F5201C">
        <w:t xml:space="preserve"> increase administration costs for the regulator and distributors</w:t>
      </w:r>
      <w:r>
        <w:t>.</w:t>
      </w:r>
      <w:r w:rsidRPr="00F5201C">
        <w:t xml:space="preserve"> </w:t>
      </w:r>
      <w:r>
        <w:t xml:space="preserve">Both parties must keep </w:t>
      </w:r>
      <w:r w:rsidRPr="00F5201C">
        <w:t xml:space="preserve">records annually to track its operation over the regulatory control period. </w:t>
      </w:r>
      <w:r>
        <w:t xml:space="preserve">Administration costs may become particularly high </w:t>
      </w:r>
      <w:r w:rsidRPr="00F5201C">
        <w:t xml:space="preserve">where distributors </w:t>
      </w:r>
      <w:r>
        <w:t>proposed discretion for recovering revenue associated with the tolerance limits.</w:t>
      </w:r>
      <w:r>
        <w:rPr>
          <w:rStyle w:val="FootnoteReference"/>
        </w:rPr>
        <w:footnoteReference w:id="36"/>
      </w:r>
      <w:r>
        <w:t xml:space="preserve"> </w:t>
      </w:r>
      <w:r w:rsidRPr="00F5201C">
        <w:t>This may require negotiation between regulator and distributor during the pricing approval process.</w:t>
      </w:r>
      <w:r>
        <w:t xml:space="preserve"> There is also the added complexity and confusion, and associated costs, of different distributors proposing </w:t>
      </w:r>
      <w:r>
        <w:lastRenderedPageBreak/>
        <w:t>different mechanisms to recover such revenue. Eliminating tolerance limits also avoids these administration costs and potential confusion for customers.</w:t>
      </w:r>
    </w:p>
    <w:p w:rsidR="00084027" w:rsidRDefault="00084027" w:rsidP="00084027">
      <w:pPr>
        <w:pStyle w:val="HeadingBoldBlue"/>
      </w:pPr>
      <w:bookmarkStart w:id="64" w:name="_Toc417726995"/>
      <w:bookmarkStart w:id="65" w:name="_Toc417727365"/>
      <w:bookmarkStart w:id="66" w:name="_Toc417727439"/>
      <w:r w:rsidRPr="00520046">
        <w:t>Under and over recovery mechanism for</w:t>
      </w:r>
      <w:r>
        <w:t xml:space="preserve"> </w:t>
      </w:r>
      <w:bookmarkEnd w:id="62"/>
      <w:bookmarkEnd w:id="63"/>
      <w:r>
        <w:t>designated pricing proposal charges</w:t>
      </w:r>
      <w:bookmarkEnd w:id="64"/>
      <w:bookmarkEnd w:id="65"/>
      <w:bookmarkEnd w:id="66"/>
    </w:p>
    <w:p w:rsidR="00084027" w:rsidRDefault="00084027" w:rsidP="00084027">
      <w:pPr>
        <w:numPr>
          <w:ilvl w:val="0"/>
          <w:numId w:val="25"/>
        </w:numPr>
      </w:pPr>
      <w:r w:rsidRPr="0005278C">
        <w:t xml:space="preserve">We </w:t>
      </w:r>
      <w:r>
        <w:t xml:space="preserve">will </w:t>
      </w:r>
      <w:r w:rsidRPr="0005278C">
        <w:t xml:space="preserve">apply </w:t>
      </w:r>
      <w:r>
        <w:t xml:space="preserve">an </w:t>
      </w:r>
      <w:r w:rsidRPr="0005278C">
        <w:t xml:space="preserve">under and over recovery mechanism </w:t>
      </w:r>
      <w:r>
        <w:t xml:space="preserve">for designated pricing proposal charges </w:t>
      </w:r>
      <w:r w:rsidRPr="0005278C">
        <w:t>to smooth</w:t>
      </w:r>
      <w:r w:rsidRPr="00520046">
        <w:t xml:space="preserve"> the impact of over and under recovery into </w:t>
      </w:r>
      <w:r>
        <w:t>tariffs</w:t>
      </w:r>
      <w:r w:rsidRPr="00520046">
        <w:t xml:space="preserve"> </w:t>
      </w:r>
      <w:r>
        <w:t>year on year</w:t>
      </w:r>
      <w:r w:rsidRPr="00520046">
        <w:t xml:space="preserve">. </w:t>
      </w:r>
      <w:r>
        <w:t>Our reasons are the same for the D</w:t>
      </w:r>
      <w:r w:rsidRPr="00520046">
        <w:t>U</w:t>
      </w:r>
      <w:r>
        <w:t>o</w:t>
      </w:r>
      <w:r w:rsidRPr="00520046">
        <w:t>S under and over recovery as set out above</w:t>
      </w:r>
      <w:r w:rsidRPr="00412836">
        <w:t xml:space="preserve"> </w:t>
      </w:r>
      <w:r>
        <w:t>and is consistent with the requirements of the NER</w:t>
      </w:r>
      <w:r w:rsidRPr="00520046">
        <w:t>.</w:t>
      </w:r>
      <w:r>
        <w:rPr>
          <w:rStyle w:val="FootnoteReference"/>
        </w:rPr>
        <w:footnoteReference w:id="37"/>
      </w:r>
    </w:p>
    <w:p w:rsidR="00084027" w:rsidRPr="00B91BF9" w:rsidRDefault="00084027" w:rsidP="00084027">
      <w:r>
        <w:t>We</w:t>
      </w:r>
      <w:r w:rsidRPr="00B01FFA">
        <w:t xml:space="preserve"> </w:t>
      </w:r>
      <w:r>
        <w:t xml:space="preserve">based the </w:t>
      </w:r>
      <w:r w:rsidRPr="00B01FFA">
        <w:t xml:space="preserve">unders and overs account </w:t>
      </w:r>
      <w:r>
        <w:t xml:space="preserve">for designated pricing proposal charges </w:t>
      </w:r>
      <w:r w:rsidRPr="00B01FFA">
        <w:t xml:space="preserve">on the approach </w:t>
      </w:r>
      <w:r>
        <w:t xml:space="preserve">we </w:t>
      </w:r>
      <w:r w:rsidRPr="00B01FFA">
        <w:t xml:space="preserve">used </w:t>
      </w:r>
      <w:r>
        <w:t>in the 2010–15 regulatory control period</w:t>
      </w:r>
      <w:r w:rsidRPr="00B01FFA">
        <w:t xml:space="preserve">. </w:t>
      </w:r>
      <w:r>
        <w:t>See</w:t>
      </w:r>
      <w:r w:rsidRPr="00B01FFA">
        <w:t xml:space="preserve"> appendix </w:t>
      </w:r>
      <w:r>
        <w:fldChar w:fldCharType="begin"/>
      </w:r>
      <w:r>
        <w:instrText xml:space="preserve"> REF _Ref414262915 \n \h </w:instrText>
      </w:r>
      <w:r>
        <w:fldChar w:fldCharType="separate"/>
      </w:r>
      <w:r>
        <w:t>B</w:t>
      </w:r>
      <w:r>
        <w:fldChar w:fldCharType="end"/>
      </w:r>
      <w:r w:rsidRPr="00B01FFA">
        <w:t xml:space="preserve"> </w:t>
      </w:r>
      <w:r>
        <w:t>for a more detailed discussion.</w:t>
      </w:r>
    </w:p>
    <w:p w:rsidR="00084027" w:rsidRDefault="00084027" w:rsidP="00084027">
      <w:pPr>
        <w:pStyle w:val="Heading3"/>
      </w:pPr>
      <w:bookmarkStart w:id="67" w:name="_Toc413422304"/>
      <w:bookmarkStart w:id="68" w:name="_Toc417727366"/>
      <w:bookmarkStart w:id="69" w:name="_Toc417727440"/>
      <w:r>
        <w:t>Reporting on jurisdictional scheme amounts</w:t>
      </w:r>
      <w:bookmarkEnd w:id="67"/>
      <w:bookmarkEnd w:id="68"/>
      <w:bookmarkEnd w:id="69"/>
    </w:p>
    <w:p w:rsidR="00084027" w:rsidRDefault="00084027" w:rsidP="00084027">
      <w:pPr>
        <w:numPr>
          <w:ilvl w:val="0"/>
          <w:numId w:val="25"/>
        </w:numPr>
      </w:pPr>
      <w:r>
        <w:t>Energex is proposing to utilise the jurisdictional scheme provisions contained in the Rules and apply these to Solar Bonus Scheme payments. From 1 July 2015, Energex will recover Solar Bonus Scheme payments, including any under/over recovery, from customers as part of the annual pricing process.</w:t>
      </w:r>
      <w:r>
        <w:rPr>
          <w:rStyle w:val="FootnoteReference"/>
        </w:rPr>
        <w:footnoteReference w:id="38"/>
      </w:r>
    </w:p>
    <w:p w:rsidR="00084027" w:rsidRPr="005E2BD6" w:rsidRDefault="00084027" w:rsidP="00084027">
      <w:pPr>
        <w:numPr>
          <w:ilvl w:val="0"/>
          <w:numId w:val="25"/>
        </w:numPr>
      </w:pPr>
      <w:r>
        <w:t xml:space="preserve">Appendix </w:t>
      </w:r>
      <w:r>
        <w:fldChar w:fldCharType="begin"/>
      </w:r>
      <w:r>
        <w:instrText xml:space="preserve"> REF _Ref414263247 \n \h </w:instrText>
      </w:r>
      <w:r>
        <w:fldChar w:fldCharType="separate"/>
      </w:r>
      <w:r>
        <w:t>C</w:t>
      </w:r>
      <w:r>
        <w:fldChar w:fldCharType="end"/>
      </w:r>
      <w:r>
        <w:t xml:space="preserve"> sets out the unders and overs mechanism for jurisdictional scheme amounts.</w:t>
      </w:r>
    </w:p>
    <w:p w:rsidR="00084027" w:rsidRPr="00B91BF9" w:rsidRDefault="00084027" w:rsidP="00084027">
      <w:r>
        <w:t xml:space="preserve">We note payments </w:t>
      </w:r>
      <w:r w:rsidRPr="00B271ED">
        <w:t xml:space="preserve">under the Solar Bonus Scheme were treated as operating expenditure </w:t>
      </w:r>
      <w:r>
        <w:t xml:space="preserve">in </w:t>
      </w:r>
      <w:r w:rsidRPr="00B271ED">
        <w:t xml:space="preserve">the </w:t>
      </w:r>
      <w:r>
        <w:t xml:space="preserve">2010–15 </w:t>
      </w:r>
      <w:r w:rsidRPr="00B271ED">
        <w:t>regulatory control period</w:t>
      </w:r>
      <w:r>
        <w:t>.</w:t>
      </w:r>
      <w:r w:rsidRPr="00B271ED">
        <w:t xml:space="preserve"> </w:t>
      </w:r>
      <w:r>
        <w:t>The difference</w:t>
      </w:r>
      <w:r w:rsidRPr="00B271ED">
        <w:t xml:space="preserve"> between the forecast and actual payments </w:t>
      </w:r>
      <w:r>
        <w:t xml:space="preserve">were </w:t>
      </w:r>
      <w:r w:rsidRPr="00B271ED">
        <w:t>nominated pass through event</w:t>
      </w:r>
      <w:r>
        <w:t>s</w:t>
      </w:r>
      <w:r w:rsidRPr="00B271ED">
        <w:t xml:space="preserve">. Once </w:t>
      </w:r>
      <w:r>
        <w:t xml:space="preserve">we approved </w:t>
      </w:r>
      <w:r w:rsidRPr="00B271ED">
        <w:t xml:space="preserve">the cost pass through amounts, </w:t>
      </w:r>
      <w:r>
        <w:t>Energex</w:t>
      </w:r>
      <w:r w:rsidRPr="00B271ED">
        <w:t xml:space="preserve"> pass</w:t>
      </w:r>
      <w:r>
        <w:t>ed</w:t>
      </w:r>
      <w:r w:rsidRPr="00B271ED">
        <w:t xml:space="preserve"> these amounts to customers </w:t>
      </w:r>
      <w:r>
        <w:t>through their DUo</w:t>
      </w:r>
      <w:r w:rsidRPr="00B271ED">
        <w:t xml:space="preserve">S charges. </w:t>
      </w:r>
      <w:r>
        <w:t>Energex</w:t>
      </w:r>
      <w:r w:rsidRPr="007A51D8">
        <w:t xml:space="preserve"> will not continue with this method in the 2015–20 regulatory control </w:t>
      </w:r>
      <w:proofErr w:type="gramStart"/>
      <w:r w:rsidRPr="007A51D8">
        <w:t>period</w:t>
      </w:r>
      <w:proofErr w:type="gramEnd"/>
      <w:r w:rsidRPr="007A51D8">
        <w:t>, except to close off the previous arrangement through the C-factor (see section</w:t>
      </w:r>
      <w:r>
        <w:t xml:space="preserve"> </w:t>
      </w:r>
      <w:r>
        <w:fldChar w:fldCharType="begin"/>
      </w:r>
      <w:r>
        <w:instrText xml:space="preserve"> REF _Ref414638850 \n \h </w:instrText>
      </w:r>
      <w:r>
        <w:fldChar w:fldCharType="separate"/>
      </w:r>
      <w:r>
        <w:t>14.5</w:t>
      </w:r>
      <w:r>
        <w:fldChar w:fldCharType="end"/>
      </w:r>
      <w:r w:rsidRPr="007A51D8">
        <w:t>).</w:t>
      </w:r>
    </w:p>
    <w:p w:rsidR="00084027" w:rsidRDefault="00084027" w:rsidP="00084027">
      <w:pPr>
        <w:pStyle w:val="Heading3"/>
      </w:pPr>
      <w:bookmarkStart w:id="70" w:name="_Toc413422305"/>
      <w:bookmarkStart w:id="71" w:name="_Toc417727367"/>
      <w:bookmarkStart w:id="72" w:name="_Toc417727441"/>
      <w:r>
        <w:t>Side Constraints</w:t>
      </w:r>
      <w:bookmarkEnd w:id="70"/>
      <w:bookmarkEnd w:id="71"/>
      <w:bookmarkEnd w:id="72"/>
    </w:p>
    <w:p w:rsidR="00084027" w:rsidRDefault="00084027" w:rsidP="00084027">
      <w:pPr>
        <w:numPr>
          <w:ilvl w:val="0"/>
          <w:numId w:val="24"/>
        </w:numPr>
      </w:pPr>
      <w:r>
        <w:fldChar w:fldCharType="begin"/>
      </w:r>
      <w:r>
        <w:instrText xml:space="preserve"> REF _Ref414259815 \h </w:instrText>
      </w:r>
      <w:r>
        <w:fldChar w:fldCharType="separate"/>
      </w:r>
      <w:r>
        <w:t xml:space="preserve">Figure </w:t>
      </w:r>
      <w:r w:rsidRPr="00084027">
        <w:t>14</w:t>
      </w:r>
      <w:r>
        <w:t>.</w:t>
      </w:r>
      <w:r w:rsidRPr="00084027">
        <w:t>2</w:t>
      </w:r>
      <w:r>
        <w:fldChar w:fldCharType="end"/>
      </w:r>
      <w:r>
        <w:t xml:space="preserve"> contains the formula for side constraints. </w:t>
      </w:r>
      <w:r w:rsidRPr="00B20705">
        <w:t xml:space="preserve">We consider the application of the unders and overs in the side constraint formula provides for the appropriate treatment of these revenue adjustments </w:t>
      </w:r>
      <w:r>
        <w:t xml:space="preserve">consistent </w:t>
      </w:r>
      <w:r w:rsidRPr="00B20705">
        <w:t>with the NER.</w:t>
      </w:r>
      <w:r>
        <w:rPr>
          <w:rStyle w:val="FootnoteReference"/>
        </w:rPr>
        <w:footnoteReference w:id="39"/>
      </w:r>
    </w:p>
    <w:p w:rsidR="00084027" w:rsidRPr="00B20705" w:rsidRDefault="00084027" w:rsidP="00084027">
      <w:pPr>
        <w:numPr>
          <w:ilvl w:val="0"/>
          <w:numId w:val="24"/>
        </w:numPr>
      </w:pPr>
      <w:r w:rsidRPr="007A51D8">
        <w:t xml:space="preserve">For each year after the first year of each regulatory period, side constraints will apply to the weighted average revenue to be raised from each tariff class. In accordance with the NER, the permissible percentage increase is the greater of CPI–X plus 2 per cent or CPI plus 2 per cent. Recovery of certain revenues such as those to accommodate </w:t>
      </w:r>
      <w:r w:rsidRPr="007A51D8">
        <w:lastRenderedPageBreak/>
        <w:t>cost pass throughs is disregarded in deciding whether the permissible percentage has been exceeded.</w:t>
      </w:r>
      <w:r w:rsidRPr="007A51D8">
        <w:rPr>
          <w:rStyle w:val="FootnoteReference"/>
        </w:rPr>
        <w:footnoteReference w:id="40"/>
      </w:r>
    </w:p>
    <w:p w:rsidR="00084027" w:rsidRDefault="00084027" w:rsidP="00084027">
      <w:pPr>
        <w:pStyle w:val="Heading3"/>
      </w:pPr>
      <w:bookmarkStart w:id="73" w:name="_Ref403377926"/>
      <w:bookmarkStart w:id="74" w:name="_Toc404360467"/>
      <w:bookmarkStart w:id="75" w:name="_Toc410398729"/>
      <w:bookmarkStart w:id="76" w:name="_Toc413422306"/>
      <w:bookmarkStart w:id="77" w:name="_Toc417727368"/>
      <w:bookmarkStart w:id="78" w:name="_Toc417727442"/>
      <w:r w:rsidRPr="00FD60FB">
        <w:t>Control mechanism formulas</w:t>
      </w:r>
      <w:bookmarkEnd w:id="73"/>
      <w:bookmarkEnd w:id="74"/>
      <w:bookmarkEnd w:id="75"/>
      <w:bookmarkEnd w:id="76"/>
      <w:bookmarkEnd w:id="77"/>
      <w:bookmarkEnd w:id="78"/>
    </w:p>
    <w:p w:rsidR="00084027" w:rsidRPr="001376DB" w:rsidRDefault="00084027" w:rsidP="00084027">
      <w:pPr>
        <w:pStyle w:val="HeadingBoldBlue"/>
        <w:numPr>
          <w:ilvl w:val="0"/>
          <w:numId w:val="24"/>
        </w:numPr>
      </w:pPr>
      <w:bookmarkStart w:id="79" w:name="_Toc410398730"/>
      <w:bookmarkStart w:id="80" w:name="_Toc413422307"/>
      <w:bookmarkStart w:id="81" w:name="_Toc417726999"/>
      <w:bookmarkStart w:id="82" w:name="_Toc417727369"/>
      <w:bookmarkStart w:id="83" w:name="_Toc417727443"/>
      <w:r>
        <w:t>Prescribed (Distribution) services</w:t>
      </w:r>
      <w:bookmarkEnd w:id="79"/>
      <w:bookmarkEnd w:id="80"/>
      <w:bookmarkEnd w:id="81"/>
      <w:bookmarkEnd w:id="82"/>
      <w:bookmarkEnd w:id="83"/>
    </w:p>
    <w:p w:rsidR="00084027" w:rsidRDefault="00084027" w:rsidP="00084027">
      <w:pPr>
        <w:numPr>
          <w:ilvl w:val="0"/>
          <w:numId w:val="24"/>
        </w:numPr>
      </w:pPr>
      <w:r>
        <w:t xml:space="preserve">Energex's </w:t>
      </w:r>
      <w:r w:rsidRPr="00FD60FB">
        <w:t xml:space="preserve">pricing proposals must submit to the AER proposed tariffs and charging parameters. </w:t>
      </w:r>
      <w:r>
        <w:t>Energex'</w:t>
      </w:r>
      <w:r w:rsidRPr="00FD60FB">
        <w:t xml:space="preserve">s revenues must be consistent with the </w:t>
      </w:r>
      <w:r>
        <w:t>total annual revenue</w:t>
      </w:r>
      <w:r w:rsidRPr="00FD60FB">
        <w:t xml:space="preserve"> formula set out below plus any unders and overs adjustment neede</w:t>
      </w:r>
      <w:r>
        <w:t>d to move the balance of its DUoS</w:t>
      </w:r>
      <w:r w:rsidRPr="00FD60FB">
        <w:t xml:space="preserve"> unders and overs account to zero.</w:t>
      </w:r>
    </w:p>
    <w:p w:rsidR="00084027" w:rsidRPr="00084DB2" w:rsidRDefault="00084027" w:rsidP="00084027">
      <w:pPr>
        <w:pStyle w:val="Caption"/>
        <w:rPr>
          <w:rStyle w:val="Strong"/>
        </w:rPr>
      </w:pPr>
      <w:bookmarkStart w:id="84" w:name="_Ref414259790"/>
      <w:r>
        <w:t xml:space="preserve">Figure </w:t>
      </w:r>
      <w:r w:rsidRPr="00084027">
        <w:fldChar w:fldCharType="begin"/>
      </w:r>
      <w:r>
        <w:instrText xml:space="preserve"> STYLEREF 1 \s </w:instrText>
      </w:r>
      <w:r w:rsidRPr="00084027">
        <w:fldChar w:fldCharType="separate"/>
      </w:r>
      <w:r w:rsidRPr="00084027">
        <w:t>14</w:t>
      </w:r>
      <w:r w:rsidRPr="00084027">
        <w:fldChar w:fldCharType="end"/>
      </w:r>
      <w:r>
        <w:t>.</w:t>
      </w:r>
      <w:r w:rsidRPr="00084027">
        <w:fldChar w:fldCharType="begin"/>
      </w:r>
      <w:r>
        <w:instrText xml:space="preserve"> SEQ Figure \* ARABIC \s 1 </w:instrText>
      </w:r>
      <w:r w:rsidRPr="00084027">
        <w:fldChar w:fldCharType="separate"/>
      </w:r>
      <w:r w:rsidRPr="00084027">
        <w:t>1</w:t>
      </w:r>
      <w:r w:rsidRPr="00084027">
        <w:fldChar w:fldCharType="end"/>
      </w:r>
      <w:bookmarkEnd w:id="84"/>
      <w:r>
        <w:tab/>
        <w:t>Revenue cap formula</w:t>
      </w:r>
    </w:p>
    <w:p w:rsidR="00084027" w:rsidRPr="00084DB2" w:rsidRDefault="00084027" w:rsidP="00084027">
      <w:pPr>
        <w:pStyle w:val="ListNumber"/>
        <w:rPr>
          <w:rStyle w:val="Strong"/>
        </w:rPr>
      </w:pPr>
      <w:r w:rsidRPr="00084DB2">
        <w:object w:dxaOrig="3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8.75pt" o:ole="">
            <v:imagedata r:id="rId14" o:title=""/>
          </v:shape>
          <o:OLEObject Type="Embed" ProgID="Equation.3" ShapeID="_x0000_i1025" DrawAspect="Content" ObjectID="_1491646505" r:id="rId15"/>
        </w:object>
      </w:r>
    </w:p>
    <w:p w:rsidR="00084027" w:rsidRPr="00084DB2" w:rsidRDefault="00084027" w:rsidP="00084027">
      <w:pPr>
        <w:pStyle w:val="ListNumber"/>
      </w:pPr>
      <w:r w:rsidRPr="00084027">
        <w:object w:dxaOrig="2040" w:dyaOrig="700">
          <v:shape id="_x0000_i1026" type="#_x0000_t75" style="width:102pt;height:35.25pt" o:ole="">
            <v:imagedata r:id="rId16" o:title=""/>
          </v:shape>
          <o:OLEObject Type="Embed" ProgID="Equation.3" ShapeID="_x0000_i1026" DrawAspect="Content" ObjectID="_1491646506" r:id="rId17"/>
        </w:object>
      </w:r>
      <w:r w:rsidRPr="00084DB2">
        <w:tab/>
      </w:r>
      <w:r w:rsidRPr="00084DB2">
        <w:tab/>
      </w:r>
      <w:r w:rsidRPr="00084DB2">
        <w:tab/>
      </w:r>
      <w:r>
        <w:tab/>
      </w:r>
      <w:r>
        <w:tab/>
      </w:r>
      <w:r>
        <w:tab/>
      </w:r>
      <w:r>
        <w:tab/>
      </w:r>
      <w:r>
        <w:tab/>
      </w:r>
      <w:proofErr w:type="spellStart"/>
      <w:r w:rsidRPr="00084DB2">
        <w:t>i</w:t>
      </w:r>
      <w:proofErr w:type="spellEnd"/>
      <w:r w:rsidRPr="00084DB2">
        <w:t>=1,...,n and j=1,...,m</w:t>
      </w:r>
      <w:r w:rsidRPr="00084DB2" w:rsidDel="00467655">
        <w:t xml:space="preserve"> </w:t>
      </w:r>
      <w:r>
        <w:t>and t=1</w:t>
      </w:r>
      <w:r w:rsidRPr="00084DB2">
        <w:t>,...,5</w:t>
      </w:r>
    </w:p>
    <w:p w:rsidR="00084027" w:rsidRPr="00084DB2" w:rsidRDefault="00084027" w:rsidP="00084027">
      <w:pPr>
        <w:pStyle w:val="ListNumber"/>
      </w:pPr>
      <w:r w:rsidRPr="00084027">
        <w:object w:dxaOrig="2500" w:dyaOrig="360">
          <v:shape id="_x0000_i1027" type="#_x0000_t75" style="width:127.5pt;height:18.75pt" o:ole="">
            <v:imagedata r:id="rId18" o:title=""/>
          </v:shape>
          <o:OLEObject Type="Embed" ProgID="Equation.3" ShapeID="_x0000_i1027" DrawAspect="Content" ObjectID="_1491646507" r:id="rId19"/>
        </w:object>
      </w:r>
      <w:r w:rsidRPr="00084DB2">
        <w:tab/>
      </w:r>
      <w:r w:rsidRPr="00084DB2">
        <w:tab/>
      </w:r>
    </w:p>
    <w:p w:rsidR="00084027" w:rsidRDefault="00084027" w:rsidP="00084027">
      <w:pPr>
        <w:numPr>
          <w:ilvl w:val="0"/>
          <w:numId w:val="24"/>
        </w:numPr>
      </w:pPr>
      <w:r>
        <w:t>Where:</w:t>
      </w:r>
    </w:p>
    <w:p w:rsidR="00084027" w:rsidRDefault="00084027" w:rsidP="00084027">
      <w:pPr>
        <w:numPr>
          <w:ilvl w:val="0"/>
          <w:numId w:val="24"/>
        </w:numPr>
      </w:pPr>
      <w:r w:rsidRPr="00BE39C1">
        <w:rPr>
          <w:rStyle w:val="AERbody"/>
        </w:rPr>
        <w:object w:dxaOrig="440" w:dyaOrig="360">
          <v:shape id="_x0000_i1028" type="#_x0000_t75" style="width:22.5pt;height:18.75pt" o:ole="">
            <v:imagedata r:id="rId20" o:title=""/>
          </v:shape>
          <o:OLEObject Type="Embed" ProgID="Equation.3" ShapeID="_x0000_i1028" DrawAspect="Content" ObjectID="_1491646508" r:id="rId21"/>
        </w:object>
      </w:r>
      <w:r w:rsidRPr="002455D4">
        <w:rPr>
          <w:rStyle w:val="AERbody"/>
        </w:rPr>
        <w:tab/>
      </w:r>
      <w:proofErr w:type="gramStart"/>
      <w:r>
        <w:rPr>
          <w:rStyle w:val="AERbody"/>
        </w:rPr>
        <w:t>is</w:t>
      </w:r>
      <w:proofErr w:type="gramEnd"/>
      <w:r>
        <w:rPr>
          <w:rStyle w:val="AERbody"/>
        </w:rPr>
        <w:t xml:space="preserve"> the annual smoothed expected revenue for regulatory year t. For the first year of the regulatory control period 2015-20, this amount will be equal to the smoothed revenue requirement for 2015-16 set out in the PTRM. </w:t>
      </w:r>
    </w:p>
    <w:p w:rsidR="001959A5" w:rsidRPr="001959A5" w:rsidRDefault="001959A5" w:rsidP="001959A5">
      <w:pPr>
        <w:pStyle w:val="ListParagraph"/>
        <w:numPr>
          <w:ilvl w:val="0"/>
          <w:numId w:val="24"/>
        </w:numPr>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1959A5">
        <w:t xml:space="preserve"> </w:t>
      </w:r>
      <w:r w:rsidRPr="001959A5">
        <w:tab/>
        <w:t>is the annual percentage change in the ABS CPI All Groups, Weighted Average of Eight Capital Cities from December in year t-2 to December in year t-1. For example, for the 2015–16 year, t–2 is December 2013 and t–1 is December 2014 and in the 2016–17 year, t–2 is December 2014 and t–1 is December 2015 and so on.</w:t>
      </w:r>
      <w:r w:rsidRPr="001959A5">
        <w:tab/>
      </w:r>
    </w:p>
    <w:p w:rsidR="00084027" w:rsidRDefault="00084027" w:rsidP="00084027">
      <w:pPr>
        <w:numPr>
          <w:ilvl w:val="0"/>
          <w:numId w:val="24"/>
        </w:numPr>
        <w:rPr>
          <w:rStyle w:val="AERbody"/>
        </w:rPr>
      </w:pPr>
      <w:r w:rsidRPr="00BE39C1">
        <w:rPr>
          <w:rStyle w:val="AERbody"/>
        </w:rPr>
        <w:object w:dxaOrig="360" w:dyaOrig="380">
          <v:shape id="_x0000_i1029" type="#_x0000_t75" style="width:18.75pt;height:20.25pt" o:ole="">
            <v:imagedata r:id="rId22" o:title=""/>
          </v:shape>
          <o:OLEObject Type="Embed" ProgID="Equation.3" ShapeID="_x0000_i1029" DrawAspect="Content" ObjectID="_1491646509" r:id="rId23"/>
        </w:object>
      </w:r>
      <w:r w:rsidRPr="00410ED8">
        <w:rPr>
          <w:rStyle w:val="AERbody"/>
        </w:rPr>
        <w:t xml:space="preserve"> </w:t>
      </w:r>
      <w:r>
        <w:rPr>
          <w:rStyle w:val="AERbody"/>
        </w:rPr>
        <w:tab/>
      </w:r>
      <w:proofErr w:type="gramStart"/>
      <w:r>
        <w:rPr>
          <w:rStyle w:val="AERbody"/>
        </w:rPr>
        <w:t>is</w:t>
      </w:r>
      <w:proofErr w:type="gramEnd"/>
      <w:r>
        <w:rPr>
          <w:rStyle w:val="AERbody"/>
        </w:rPr>
        <w:t xml:space="preserve"> the X-factor for each year of the next regulatory control period as determined in the PTRM</w:t>
      </w:r>
      <w:r w:rsidRPr="00EC5A30">
        <w:t>, and annually revised for the return on debt update in accordance with the formula specified in the return on debt appendix</w:t>
      </w:r>
      <w:r w:rsidR="001F32BC">
        <w:t xml:space="preserve"> </w:t>
      </w:r>
      <w:r w:rsidR="002353DD">
        <w:t>I</w:t>
      </w:r>
      <w:r w:rsidRPr="00EC5A30">
        <w:t xml:space="preserve"> calculated for the relevant year</w:t>
      </w:r>
      <w:r>
        <w:rPr>
          <w:rStyle w:val="AERbody"/>
        </w:rPr>
        <w:t>.</w:t>
      </w:r>
    </w:p>
    <w:p w:rsidR="00084027" w:rsidRPr="002455D4" w:rsidRDefault="00084027" w:rsidP="00084027">
      <w:pPr>
        <w:numPr>
          <w:ilvl w:val="0"/>
          <w:numId w:val="24"/>
        </w:numPr>
        <w:rPr>
          <w:rStyle w:val="AERbody"/>
        </w:rPr>
      </w:pPr>
      <w:r w:rsidRPr="00112528">
        <w:rPr>
          <w:rStyle w:val="AERbody"/>
        </w:rPr>
        <w:object w:dxaOrig="300" w:dyaOrig="380">
          <v:shape id="_x0000_i1030" type="#_x0000_t75" style="width:14.25pt;height:20.25pt" o:ole="">
            <v:imagedata r:id="rId24" o:title=""/>
          </v:shape>
          <o:OLEObject Type="Embed" ProgID="Equation.3" ShapeID="_x0000_i1030" DrawAspect="Content" ObjectID="_1491646510" r:id="rId25"/>
        </w:object>
      </w:r>
      <w:r>
        <w:rPr>
          <w:rStyle w:val="AERbody"/>
        </w:rPr>
        <w:tab/>
      </w:r>
      <w:r>
        <w:rPr>
          <w:rStyle w:val="AERbody"/>
        </w:rPr>
        <w:tab/>
      </w:r>
      <w:r w:rsidRPr="002455D4">
        <w:rPr>
          <w:rStyle w:val="AERbody"/>
        </w:rPr>
        <w:t xml:space="preserve">is the </w:t>
      </w:r>
      <w:r>
        <w:rPr>
          <w:rStyle w:val="AERbody"/>
        </w:rPr>
        <w:t xml:space="preserve">STPIS factor sum of the raw s-factors for all reliability of supply and customer service parameters (as applicable) to be applied in </w:t>
      </w:r>
      <w:r w:rsidRPr="002455D4">
        <w:rPr>
          <w:rStyle w:val="AERbody"/>
        </w:rPr>
        <w:t>year t.</w:t>
      </w:r>
      <w:r>
        <w:rPr>
          <w:rStyle w:val="FootnoteReference"/>
        </w:rPr>
        <w:footnoteReference w:id="41"/>
      </w:r>
      <w:r>
        <w:rPr>
          <w:rStyle w:val="AERbody"/>
        </w:rPr>
        <w:t xml:space="preserve"> </w:t>
      </w:r>
    </w:p>
    <w:p w:rsidR="00084027" w:rsidRDefault="00084027" w:rsidP="00084027">
      <w:pPr>
        <w:numPr>
          <w:ilvl w:val="0"/>
          <w:numId w:val="24"/>
        </w:numPr>
        <w:rPr>
          <w:rStyle w:val="AERbody"/>
        </w:rPr>
      </w:pPr>
      <w:r w:rsidRPr="00443D8B">
        <w:rPr>
          <w:rStyle w:val="AERbody"/>
        </w:rPr>
        <w:object w:dxaOrig="540" w:dyaOrig="360">
          <v:shape id="_x0000_i1031" type="#_x0000_t75" style="width:26.25pt;height:18.75pt" o:ole="">
            <v:imagedata r:id="rId26" o:title=""/>
          </v:shape>
          <o:OLEObject Type="Embed" ProgID="Equation.3" ShapeID="_x0000_i1031" DrawAspect="Content" ObjectID="_1491646511" r:id="rId27"/>
        </w:object>
      </w:r>
      <w:r>
        <w:rPr>
          <w:rStyle w:val="AERbody"/>
        </w:rPr>
        <w:tab/>
      </w:r>
      <w:proofErr w:type="gramStart"/>
      <w:r w:rsidRPr="002455D4">
        <w:rPr>
          <w:rStyle w:val="AERbody"/>
        </w:rPr>
        <w:t>is</w:t>
      </w:r>
      <w:proofErr w:type="gramEnd"/>
      <w:r w:rsidRPr="002455D4">
        <w:rPr>
          <w:rStyle w:val="AERbody"/>
        </w:rPr>
        <w:t xml:space="preserve"> </w:t>
      </w:r>
      <w:r>
        <w:rPr>
          <w:rStyle w:val="AERbody"/>
        </w:rPr>
        <w:t xml:space="preserve">the total annual revenue </w:t>
      </w:r>
      <w:r w:rsidRPr="002455D4">
        <w:rPr>
          <w:rStyle w:val="AERbody"/>
        </w:rPr>
        <w:t xml:space="preserve">in year </w:t>
      </w:r>
      <w:r w:rsidRPr="00BE39C1">
        <w:rPr>
          <w:rStyle w:val="AERtextitalic"/>
        </w:rPr>
        <w:t>t</w:t>
      </w:r>
      <w:r w:rsidRPr="002455D4">
        <w:rPr>
          <w:rStyle w:val="AERbody"/>
        </w:rPr>
        <w:t>.</w:t>
      </w:r>
    </w:p>
    <w:p w:rsidR="00084027" w:rsidRPr="002455D4" w:rsidRDefault="00084027" w:rsidP="00084027">
      <w:pPr>
        <w:numPr>
          <w:ilvl w:val="0"/>
          <w:numId w:val="24"/>
        </w:numPr>
        <w:rPr>
          <w:rStyle w:val="AERbody"/>
        </w:rPr>
      </w:pPr>
      <w:r w:rsidRPr="009B4F46">
        <w:rPr>
          <w:rStyle w:val="AERbody"/>
        </w:rPr>
        <w:object w:dxaOrig="340" w:dyaOrig="380">
          <v:shape id="_x0000_i1032" type="#_x0000_t75" style="width:16.5pt;height:20.25pt" o:ole="">
            <v:imagedata r:id="rId28" o:title=""/>
          </v:shape>
          <o:OLEObject Type="Embed" ProgID="Equation.3" ShapeID="_x0000_i1032" DrawAspect="Content" ObjectID="_1491646512" r:id="rId29"/>
        </w:object>
      </w:r>
      <w:r w:rsidRPr="002455D4">
        <w:rPr>
          <w:rStyle w:val="AERbody"/>
        </w:rPr>
        <w:tab/>
      </w:r>
      <w:proofErr w:type="gramStart"/>
      <w:r w:rsidRPr="002455D4">
        <w:rPr>
          <w:rStyle w:val="AERbody"/>
        </w:rPr>
        <w:t>is</w:t>
      </w:r>
      <w:proofErr w:type="gramEnd"/>
      <w:r w:rsidRPr="002455D4">
        <w:rPr>
          <w:rStyle w:val="AERbody"/>
        </w:rPr>
        <w:t xml:space="preserve"> the price of component </w:t>
      </w:r>
      <w:proofErr w:type="spellStart"/>
      <w:r w:rsidRPr="002455D4">
        <w:rPr>
          <w:rStyle w:val="AERbody"/>
        </w:rPr>
        <w:t>i</w:t>
      </w:r>
      <w:proofErr w:type="spellEnd"/>
      <w:r w:rsidRPr="002455D4">
        <w:rPr>
          <w:rStyle w:val="AERbody"/>
        </w:rPr>
        <w:t xml:space="preserve"> of tariff j in year t.</w:t>
      </w:r>
    </w:p>
    <w:p w:rsidR="00084027" w:rsidRDefault="00084027" w:rsidP="00084027">
      <w:pPr>
        <w:numPr>
          <w:ilvl w:val="0"/>
          <w:numId w:val="24"/>
        </w:numPr>
        <w:rPr>
          <w:rStyle w:val="AERbody"/>
        </w:rPr>
      </w:pPr>
      <w:r w:rsidRPr="009B4F46">
        <w:rPr>
          <w:rStyle w:val="AERbody"/>
        </w:rPr>
        <w:object w:dxaOrig="300" w:dyaOrig="380">
          <v:shape id="_x0000_i1033" type="#_x0000_t75" style="width:14.25pt;height:20.25pt" o:ole="">
            <v:imagedata r:id="rId30" o:title=""/>
          </v:shape>
          <o:OLEObject Type="Embed" ProgID="Equation.3" ShapeID="_x0000_i1033" DrawAspect="Content" ObjectID="_1491646513" r:id="rId31"/>
        </w:object>
      </w:r>
      <w:r w:rsidRPr="002455D4">
        <w:rPr>
          <w:rStyle w:val="AERbody"/>
        </w:rPr>
        <w:tab/>
      </w:r>
      <w:r>
        <w:rPr>
          <w:rStyle w:val="AERbody"/>
        </w:rPr>
        <w:tab/>
      </w:r>
      <w:proofErr w:type="gramStart"/>
      <w:r w:rsidRPr="002455D4">
        <w:rPr>
          <w:rStyle w:val="AERbody"/>
        </w:rPr>
        <w:t>is</w:t>
      </w:r>
      <w:proofErr w:type="gramEnd"/>
      <w:r w:rsidRPr="002455D4">
        <w:rPr>
          <w:rStyle w:val="AERbody"/>
        </w:rPr>
        <w:t xml:space="preserve"> the</w:t>
      </w:r>
      <w:r>
        <w:rPr>
          <w:rStyle w:val="AERbody"/>
        </w:rPr>
        <w:t xml:space="preserve"> forecast</w:t>
      </w:r>
      <w:r w:rsidRPr="002455D4">
        <w:rPr>
          <w:rStyle w:val="AERbody"/>
        </w:rPr>
        <w:t xml:space="preserve"> quantity of component </w:t>
      </w:r>
      <w:proofErr w:type="spellStart"/>
      <w:r w:rsidRPr="002455D4">
        <w:rPr>
          <w:rStyle w:val="AERbody"/>
        </w:rPr>
        <w:t>i</w:t>
      </w:r>
      <w:proofErr w:type="spellEnd"/>
      <w:r w:rsidRPr="002455D4">
        <w:rPr>
          <w:rStyle w:val="AERbody"/>
        </w:rPr>
        <w:t xml:space="preserve"> of tariff j in year t.</w:t>
      </w:r>
    </w:p>
    <w:p w:rsidR="00084027" w:rsidRDefault="00084027" w:rsidP="00084027">
      <w:pPr>
        <w:numPr>
          <w:ilvl w:val="0"/>
          <w:numId w:val="24"/>
        </w:numPr>
      </w:pPr>
      <w:r w:rsidRPr="00BB746A">
        <w:rPr>
          <w:rStyle w:val="AERbody"/>
        </w:rPr>
        <w:object w:dxaOrig="279" w:dyaOrig="380">
          <v:shape id="_x0000_i1034" type="#_x0000_t75" style="width:13.5pt;height:20.25pt" o:ole="">
            <v:imagedata r:id="rId32" o:title=""/>
          </v:shape>
          <o:OLEObject Type="Embed" ProgID="Equation.3" ShapeID="_x0000_i1034" DrawAspect="Content" ObjectID="_1491646514" r:id="rId33"/>
        </w:object>
      </w:r>
      <w:r>
        <w:rPr>
          <w:rStyle w:val="AERbody"/>
        </w:rPr>
        <w:tab/>
      </w:r>
      <w:r>
        <w:rPr>
          <w:rStyle w:val="AERbody"/>
        </w:rPr>
        <w:tab/>
      </w:r>
      <w:proofErr w:type="gramStart"/>
      <w:r>
        <w:t>is</w:t>
      </w:r>
      <w:proofErr w:type="gramEnd"/>
      <w:r>
        <w:t xml:space="preserve"> t</w:t>
      </w:r>
      <w:r w:rsidRPr="00BB746A">
        <w:t xml:space="preserve">he final carryover amount </w:t>
      </w:r>
      <w:r>
        <w:t xml:space="preserve">from the application of the DMIS from the 2010–15 distribution determination. This amount </w:t>
      </w:r>
      <w:r w:rsidRPr="00BB746A">
        <w:t xml:space="preserve">will be deducted from/added to allowed revenue in </w:t>
      </w:r>
      <w:r>
        <w:t xml:space="preserve">the </w:t>
      </w:r>
      <w:r w:rsidRPr="00BB746A">
        <w:t>2016-17</w:t>
      </w:r>
      <w:r>
        <w:t xml:space="preserve"> pricing proposal.</w:t>
      </w:r>
    </w:p>
    <w:p w:rsidR="00084027" w:rsidRDefault="00084027" w:rsidP="00084027">
      <w:pPr>
        <w:numPr>
          <w:ilvl w:val="0"/>
          <w:numId w:val="24"/>
        </w:numPr>
        <w:rPr>
          <w:rStyle w:val="AERbody"/>
        </w:rPr>
      </w:pPr>
      <w:r w:rsidRPr="005D4566">
        <w:rPr>
          <w:rStyle w:val="AERbody"/>
        </w:rPr>
        <w:object w:dxaOrig="320" w:dyaOrig="380">
          <v:shape id="_x0000_i1035" type="#_x0000_t75" style="width:15.75pt;height:20.25pt" o:ole="">
            <v:imagedata r:id="rId34" o:title=""/>
          </v:shape>
          <o:OLEObject Type="Embed" ProgID="Equation.3" ShapeID="_x0000_i1035" DrawAspect="Content" ObjectID="_1491646515" r:id="rId35"/>
        </w:object>
      </w:r>
      <w:r>
        <w:rPr>
          <w:rStyle w:val="AERbody"/>
        </w:rPr>
        <w:tab/>
      </w:r>
      <w:r>
        <w:rPr>
          <w:rStyle w:val="AERbody"/>
        </w:rPr>
        <w:tab/>
      </w:r>
      <w:proofErr w:type="gramStart"/>
      <w:r>
        <w:t>is</w:t>
      </w:r>
      <w:proofErr w:type="gramEnd"/>
      <w:r>
        <w:t xml:space="preserve"> a</w:t>
      </w:r>
      <w:r w:rsidRPr="00D93496">
        <w:t>ny under or over-recoveries relating to capital contributions from 2014</w:t>
      </w:r>
      <w:r>
        <w:t>–</w:t>
      </w:r>
      <w:r w:rsidRPr="00D93496">
        <w:t>15</w:t>
      </w:r>
      <w:r>
        <w:t>.</w:t>
      </w:r>
    </w:p>
    <w:p w:rsidR="00084027" w:rsidRDefault="00084027" w:rsidP="00084027">
      <w:pPr>
        <w:pStyle w:val="AERnumberedlistsecondstyle"/>
        <w:numPr>
          <w:ilvl w:val="0"/>
          <w:numId w:val="24"/>
        </w:numPr>
        <w:rPr>
          <w:rStyle w:val="AERbody"/>
        </w:rPr>
      </w:pPr>
      <w:r w:rsidRPr="000E6995">
        <w:rPr>
          <w:rStyle w:val="AERbody"/>
        </w:rPr>
        <w:object w:dxaOrig="320" w:dyaOrig="380">
          <v:shape id="_x0000_i1036" type="#_x0000_t75" style="width:15.75pt;height:20.25pt" o:ole="">
            <v:imagedata r:id="rId36" o:title=""/>
          </v:shape>
          <o:OLEObject Type="Embed" ProgID="Equation.3" ShapeID="_x0000_i1036" DrawAspect="Content" ObjectID="_1491646516" r:id="rId37"/>
        </w:object>
      </w:r>
      <w:r>
        <w:rPr>
          <w:rStyle w:val="AERbody"/>
        </w:rPr>
        <w:tab/>
      </w:r>
      <w:proofErr w:type="gramStart"/>
      <w:r>
        <w:t>is</w:t>
      </w:r>
      <w:proofErr w:type="gramEnd"/>
      <w:r>
        <w:t xml:space="preserve"> the sum of adjustments relating to pass through events.</w:t>
      </w:r>
    </w:p>
    <w:p w:rsidR="00084027" w:rsidRDefault="00084027" w:rsidP="00084027">
      <w:pPr>
        <w:pStyle w:val="HeadingBoldBlue"/>
      </w:pPr>
      <w:bookmarkStart w:id="85" w:name="_Toc417727000"/>
      <w:bookmarkStart w:id="86" w:name="_Toc417727370"/>
      <w:bookmarkStart w:id="87" w:name="_Toc417727444"/>
      <w:bookmarkStart w:id="88" w:name="_Ref414259815"/>
      <w:bookmarkStart w:id="89" w:name="_Ref401742912"/>
      <w:bookmarkStart w:id="90" w:name="_Toc410398731"/>
      <w:r>
        <w:t>Side constraints</w:t>
      </w:r>
      <w:bookmarkEnd w:id="85"/>
      <w:bookmarkEnd w:id="86"/>
      <w:bookmarkEnd w:id="87"/>
    </w:p>
    <w:p w:rsidR="00084027" w:rsidRPr="00410ED8" w:rsidRDefault="00084027" w:rsidP="00084027">
      <w:pPr>
        <w:numPr>
          <w:ilvl w:val="0"/>
          <w:numId w:val="24"/>
        </w:numPr>
      </w:pPr>
      <w:r>
        <w:rPr>
          <w:rStyle w:val="AERbody"/>
        </w:rPr>
        <w:t xml:space="preserve">Energex will </w:t>
      </w:r>
      <w:r w:rsidRPr="00F11595">
        <w:rPr>
          <w:rStyle w:val="AERbody"/>
        </w:rPr>
        <w:t>be required to demonstrate in its pricing proposal that proposed DUO</w:t>
      </w:r>
      <w:r>
        <w:rPr>
          <w:rStyle w:val="AERbody"/>
        </w:rPr>
        <w:t>S</w:t>
      </w:r>
      <w:r w:rsidRPr="00F11595">
        <w:rPr>
          <w:rStyle w:val="AERbody"/>
        </w:rPr>
        <w:t xml:space="preserve"> prices for the next year (t) will meet the </w:t>
      </w:r>
      <w:r>
        <w:rPr>
          <w:rStyle w:val="AERbody"/>
        </w:rPr>
        <w:t>side constraints formula</w:t>
      </w:r>
      <w:r w:rsidRPr="00F11595">
        <w:rPr>
          <w:rStyle w:val="AERbody"/>
        </w:rPr>
        <w:t xml:space="preserve"> </w:t>
      </w:r>
      <w:r>
        <w:rPr>
          <w:rStyle w:val="AERbody"/>
        </w:rPr>
        <w:t xml:space="preserve">in </w:t>
      </w:r>
      <w:r>
        <w:rPr>
          <w:rStyle w:val="AERbody"/>
        </w:rPr>
        <w:fldChar w:fldCharType="begin"/>
      </w:r>
      <w:r>
        <w:rPr>
          <w:rStyle w:val="AERbody"/>
        </w:rPr>
        <w:instrText xml:space="preserve"> REF  _Ref414263967 \* Lower \h </w:instrText>
      </w:r>
      <w:r>
        <w:rPr>
          <w:rStyle w:val="AERbody"/>
        </w:rPr>
      </w:r>
      <w:r>
        <w:rPr>
          <w:rStyle w:val="AERbody"/>
        </w:rPr>
        <w:fldChar w:fldCharType="separate"/>
      </w:r>
      <w:r>
        <w:t xml:space="preserve">figure </w:t>
      </w:r>
      <w:r w:rsidRPr="00084027">
        <w:t>14</w:t>
      </w:r>
      <w:r>
        <w:t>.</w:t>
      </w:r>
      <w:r w:rsidRPr="00084027">
        <w:t>2</w:t>
      </w:r>
      <w:r>
        <w:rPr>
          <w:rStyle w:val="AERbody"/>
        </w:rPr>
        <w:fldChar w:fldCharType="end"/>
      </w:r>
      <w:r>
        <w:rPr>
          <w:rStyle w:val="AERbody"/>
        </w:rPr>
        <w:t xml:space="preserve"> </w:t>
      </w:r>
      <w:r w:rsidRPr="00F11595">
        <w:rPr>
          <w:rStyle w:val="AERbody"/>
        </w:rPr>
        <w:t>for each tariff class</w:t>
      </w:r>
      <w:r>
        <w:rPr>
          <w:rStyle w:val="AERbody"/>
        </w:rPr>
        <w:t>.</w:t>
      </w:r>
      <w:r>
        <w:rPr>
          <w:rStyle w:val="FootnoteReference"/>
        </w:rPr>
        <w:footnoteReference w:id="42"/>
      </w:r>
    </w:p>
    <w:p w:rsidR="00084027" w:rsidRDefault="00084027" w:rsidP="00084027">
      <w:pPr>
        <w:pStyle w:val="Caption"/>
        <w:rPr>
          <w:rStyle w:val="AERbody"/>
        </w:rPr>
      </w:pPr>
      <w:bookmarkStart w:id="91" w:name="_Ref414263967"/>
      <w:r>
        <w:t xml:space="preserve">Figure </w:t>
      </w:r>
      <w:r w:rsidRPr="00084027">
        <w:fldChar w:fldCharType="begin"/>
      </w:r>
      <w:r>
        <w:instrText xml:space="preserve"> STYLEREF 1 \s </w:instrText>
      </w:r>
      <w:r w:rsidRPr="00084027">
        <w:fldChar w:fldCharType="separate"/>
      </w:r>
      <w:r w:rsidRPr="00084027">
        <w:t>14</w:t>
      </w:r>
      <w:r w:rsidRPr="00084027">
        <w:fldChar w:fldCharType="end"/>
      </w:r>
      <w:r>
        <w:t>.</w:t>
      </w:r>
      <w:r w:rsidRPr="00084027">
        <w:fldChar w:fldCharType="begin"/>
      </w:r>
      <w:r>
        <w:instrText xml:space="preserve"> SEQ Figure \* ARABIC \s 1 </w:instrText>
      </w:r>
      <w:r w:rsidRPr="00084027">
        <w:fldChar w:fldCharType="separate"/>
      </w:r>
      <w:r w:rsidRPr="00084027">
        <w:t>2</w:t>
      </w:r>
      <w:r w:rsidRPr="00084027">
        <w:fldChar w:fldCharType="end"/>
      </w:r>
      <w:bookmarkEnd w:id="88"/>
      <w:bookmarkEnd w:id="91"/>
      <w:r>
        <w:tab/>
        <w:t>Side constraints</w:t>
      </w:r>
    </w:p>
    <w:bookmarkEnd w:id="89"/>
    <w:bookmarkEnd w:id="90"/>
    <w:p w:rsidR="00084027" w:rsidRPr="00301F4F" w:rsidRDefault="00084027" w:rsidP="00084027">
      <w:pPr>
        <w:numPr>
          <w:ilvl w:val="0"/>
          <w:numId w:val="24"/>
        </w:numPr>
        <w:rPr>
          <w:rStyle w:val="AERbody"/>
        </w:rPr>
      </w:pPr>
      <w:r w:rsidRPr="00084027">
        <w:object w:dxaOrig="6759" w:dyaOrig="1359">
          <v:shape id="_x0000_i1037" type="#_x0000_t75" style="width:336pt;height:69pt" o:ole="">
            <v:imagedata r:id="rId38" o:title=""/>
          </v:shape>
          <o:OLEObject Type="Embed" ProgID="Equation.3" ShapeID="_x0000_i1037" DrawAspect="Content" ObjectID="_1491646517" r:id="rId39"/>
        </w:object>
      </w:r>
    </w:p>
    <w:p w:rsidR="00084027" w:rsidRDefault="00084027" w:rsidP="00084027">
      <w:pPr>
        <w:numPr>
          <w:ilvl w:val="0"/>
          <w:numId w:val="24"/>
        </w:numPr>
      </w:pPr>
      <w:r w:rsidRPr="00E35E33">
        <w:t>where each tariff class has up to ‘m’ components, and where:</w:t>
      </w:r>
    </w:p>
    <w:p w:rsidR="00084027" w:rsidRPr="007B6699" w:rsidRDefault="00084027" w:rsidP="00084027">
      <w:r w:rsidRPr="003E5763">
        <w:rPr>
          <w:rStyle w:val="AERbody"/>
        </w:rPr>
        <w:object w:dxaOrig="300" w:dyaOrig="380">
          <v:shape id="_x0000_i1038" type="#_x0000_t75" style="width:14.25pt;height:20.25pt" o:ole="">
            <v:imagedata r:id="rId40" o:title=""/>
          </v:shape>
          <o:OLEObject Type="Embed" ProgID="Equation.3" ShapeID="_x0000_i1038" DrawAspect="Content" ObjectID="_1491646518" r:id="rId41"/>
        </w:object>
      </w:r>
      <w:r w:rsidRPr="007B6699">
        <w:t xml:space="preserve"> </w:t>
      </w:r>
      <w:r>
        <w:tab/>
      </w:r>
      <w:proofErr w:type="gramStart"/>
      <w:r w:rsidRPr="007B6699">
        <w:t>is</w:t>
      </w:r>
      <w:proofErr w:type="gramEnd"/>
      <w:r w:rsidRPr="007B6699">
        <w:t xml:space="preserve"> the proposed price for component ‘j’ of the tariff class for year t</w:t>
      </w:r>
      <w:r>
        <w:t>.</w:t>
      </w:r>
    </w:p>
    <w:p w:rsidR="00084027" w:rsidRPr="007B6699" w:rsidRDefault="00084027" w:rsidP="00084027">
      <w:r w:rsidRPr="003E5763">
        <w:rPr>
          <w:rStyle w:val="AERbody"/>
        </w:rPr>
        <w:object w:dxaOrig="400" w:dyaOrig="380">
          <v:shape id="_x0000_i1039" type="#_x0000_t75" style="width:20.25pt;height:20.25pt" o:ole="">
            <v:imagedata r:id="rId42" o:title=""/>
          </v:shape>
          <o:OLEObject Type="Embed" ProgID="Equation.3" ShapeID="_x0000_i1039" DrawAspect="Content" ObjectID="_1491646519" r:id="rId43"/>
        </w:object>
      </w:r>
      <w:r>
        <w:rPr>
          <w:rStyle w:val="AERbody"/>
        </w:rPr>
        <w:tab/>
      </w:r>
      <w:r w:rsidRPr="007B6699">
        <w:t xml:space="preserve"> </w:t>
      </w:r>
      <w:proofErr w:type="gramStart"/>
      <w:r w:rsidRPr="007B6699">
        <w:t>is</w:t>
      </w:r>
      <w:proofErr w:type="gramEnd"/>
      <w:r w:rsidRPr="007B6699">
        <w:t xml:space="preserve"> the price for component ‘j’ of the tariff class in year t–1</w:t>
      </w:r>
      <w:r>
        <w:t>.</w:t>
      </w:r>
    </w:p>
    <w:p w:rsidR="00084027" w:rsidRPr="007B6699" w:rsidRDefault="00084027" w:rsidP="00084027">
      <w:r w:rsidRPr="003E5763">
        <w:rPr>
          <w:rStyle w:val="AERbody"/>
        </w:rPr>
        <w:object w:dxaOrig="300" w:dyaOrig="380">
          <v:shape id="_x0000_i1040" type="#_x0000_t75" style="width:14.25pt;height:20.25pt" o:ole="">
            <v:imagedata r:id="rId44" o:title=""/>
          </v:shape>
          <o:OLEObject Type="Embed" ProgID="Equation.3" ShapeID="_x0000_i1040" DrawAspect="Content" ObjectID="_1491646520" r:id="rId45"/>
        </w:object>
      </w:r>
      <w:r w:rsidRPr="007B6699">
        <w:t xml:space="preserve"> </w:t>
      </w:r>
      <w:r>
        <w:tab/>
      </w:r>
      <w:proofErr w:type="gramStart"/>
      <w:r w:rsidRPr="007B6699">
        <w:t>is</w:t>
      </w:r>
      <w:proofErr w:type="gramEnd"/>
      <w:r w:rsidRPr="007B6699">
        <w:t xml:space="preserve"> the forecast quantity of component ‘j’ of the tariff class in year t</w:t>
      </w:r>
      <w:r>
        <w:t>.</w:t>
      </w:r>
    </w:p>
    <w:p w:rsidR="00084027" w:rsidRDefault="00084027" w:rsidP="00084027">
      <w:pPr>
        <w:numPr>
          <w:ilvl w:val="0"/>
          <w:numId w:val="24"/>
        </w:numPr>
      </w:pPr>
      <w:r w:rsidRPr="00D67C06">
        <w:object w:dxaOrig="680" w:dyaOrig="360">
          <v:shape id="_x0000_i1041" type="#_x0000_t75" style="width:32.25pt;height:18.75pt" o:ole="">
            <v:imagedata r:id="rId46" o:title=""/>
          </v:shape>
          <o:OLEObject Type="Embed" ProgID="Equation.3" ShapeID="_x0000_i1041" DrawAspect="Content" ObjectID="_1491646521" r:id="rId47"/>
        </w:object>
      </w:r>
      <w:r>
        <w:t xml:space="preserve"> </w:t>
      </w:r>
      <w:proofErr w:type="gramStart"/>
      <w:r>
        <w:t>is</w:t>
      </w:r>
      <w:proofErr w:type="gramEnd"/>
      <w:r>
        <w:t xml:space="preserve"> the annual percentage change in the Australian Bureau of Statistics (ABS) CPI All Groups, Weighted Average of Eight Capital Cities from December in year t-2 to December in year t-1.</w:t>
      </w:r>
    </w:p>
    <w:p w:rsidR="00084027" w:rsidRDefault="00084027" w:rsidP="00084027">
      <w:r w:rsidRPr="007B6699">
        <w:rPr>
          <w:rStyle w:val="AERbody"/>
        </w:rPr>
        <w:object w:dxaOrig="320" w:dyaOrig="360">
          <v:shape id="_x0000_i1042" type="#_x0000_t75" style="width:16.5pt;height:18.75pt" o:ole="">
            <v:imagedata r:id="rId48" o:title=""/>
          </v:shape>
          <o:OLEObject Type="Embed" ProgID="Equation.3" ShapeID="_x0000_i1042" DrawAspect="Content" ObjectID="_1491646522" r:id="rId49"/>
        </w:object>
      </w:r>
      <w:r>
        <w:rPr>
          <w:rStyle w:val="AERbody"/>
        </w:rPr>
        <w:t xml:space="preserve"> </w:t>
      </w:r>
      <w:r>
        <w:rPr>
          <w:rStyle w:val="AERbody"/>
        </w:rPr>
        <w:tab/>
      </w:r>
      <w:proofErr w:type="gramStart"/>
      <w:r w:rsidRPr="00EC5A30">
        <w:t>the</w:t>
      </w:r>
      <w:proofErr w:type="gramEnd"/>
      <w:r w:rsidRPr="00EC5A30">
        <w:t xml:space="preserve"> smoothing factor determined in accordance with the PTRM as approved in the AER's </w:t>
      </w:r>
      <w:r w:rsidR="001F32BC">
        <w:t>preliminary</w:t>
      </w:r>
      <w:r w:rsidR="001F32BC" w:rsidRPr="00EC5A30">
        <w:t xml:space="preserve"> </w:t>
      </w:r>
      <w:r w:rsidRPr="00EC5A30">
        <w:t xml:space="preserve">decision, and annually revised for the return on debt update in </w:t>
      </w:r>
      <w:r w:rsidRPr="00EC5A30">
        <w:lastRenderedPageBreak/>
        <w:t>accordance with the formula specified in the return on debt appendix</w:t>
      </w:r>
      <w:r w:rsidR="001F32BC">
        <w:t xml:space="preserve"> </w:t>
      </w:r>
      <w:r w:rsidR="002353DD">
        <w:t>I</w:t>
      </w:r>
      <w:r w:rsidRPr="00EC5A30">
        <w:t xml:space="preserve"> calculated for the relevant year</w:t>
      </w:r>
      <w:r>
        <w:t>.</w:t>
      </w:r>
      <w:r w:rsidRPr="00002548">
        <w:t xml:space="preserve"> </w:t>
      </w:r>
      <w:r>
        <w:t>If X&gt;0, then X will be set equal to zero for the purposes of the side constraint formula.</w:t>
      </w:r>
    </w:p>
    <w:p w:rsidR="00084027" w:rsidRDefault="00084027" w:rsidP="00084027">
      <w:pPr>
        <w:rPr>
          <w:rStyle w:val="AERbody"/>
        </w:rPr>
      </w:pPr>
      <w:r w:rsidRPr="00112528">
        <w:rPr>
          <w:rStyle w:val="AERbody"/>
        </w:rPr>
        <w:object w:dxaOrig="300" w:dyaOrig="380">
          <v:shape id="_x0000_i1043" type="#_x0000_t75" style="width:14.25pt;height:20.25pt" o:ole="">
            <v:imagedata r:id="rId24" o:title=""/>
          </v:shape>
          <o:OLEObject Type="Embed" ProgID="Equation.3" ShapeID="_x0000_i1043" DrawAspect="Content" ObjectID="_1491646523" r:id="rId50"/>
        </w:object>
      </w:r>
      <w:r>
        <w:rPr>
          <w:rStyle w:val="AERbody"/>
        </w:rPr>
        <w:tab/>
      </w:r>
      <w:proofErr w:type="gramStart"/>
      <w:r w:rsidRPr="002455D4">
        <w:rPr>
          <w:rStyle w:val="AERbody"/>
        </w:rPr>
        <w:t>is</w:t>
      </w:r>
      <w:proofErr w:type="gramEnd"/>
      <w:r w:rsidRPr="002455D4">
        <w:rPr>
          <w:rStyle w:val="AERbody"/>
        </w:rPr>
        <w:t xml:space="preserve"> the </w:t>
      </w:r>
      <w:r>
        <w:rPr>
          <w:rStyle w:val="AERbody"/>
        </w:rPr>
        <w:t xml:space="preserve">STPIS factor sum of the raw s-factors for all reliability of supply and customer service parameters (as applicable) to be applied in </w:t>
      </w:r>
      <w:r w:rsidRPr="002455D4">
        <w:rPr>
          <w:rStyle w:val="AERbody"/>
        </w:rPr>
        <w:t>year t</w:t>
      </w:r>
      <w:r>
        <w:rPr>
          <w:rStyle w:val="AERbody"/>
        </w:rPr>
        <w:t>.</w:t>
      </w:r>
      <w:r>
        <w:rPr>
          <w:rStyle w:val="FootnoteReference"/>
        </w:rPr>
        <w:footnoteReference w:id="43"/>
      </w:r>
    </w:p>
    <w:p w:rsidR="00084027" w:rsidRDefault="00084027" w:rsidP="00084027">
      <w:pPr>
        <w:numPr>
          <w:ilvl w:val="0"/>
          <w:numId w:val="24"/>
        </w:numPr>
      </w:pPr>
      <w:r w:rsidRPr="00BB746A">
        <w:rPr>
          <w:rStyle w:val="AERbody"/>
        </w:rPr>
        <w:object w:dxaOrig="279" w:dyaOrig="380">
          <v:shape id="_x0000_i1044" type="#_x0000_t75" style="width:13.5pt;height:20.25pt" o:ole="">
            <v:imagedata r:id="rId32" o:title=""/>
          </v:shape>
          <o:OLEObject Type="Embed" ProgID="Equation.3" ShapeID="_x0000_i1044" DrawAspect="Content" ObjectID="_1491646524" r:id="rId51"/>
        </w:object>
      </w:r>
      <w:r>
        <w:rPr>
          <w:rStyle w:val="AERbody"/>
        </w:rPr>
        <w:tab/>
      </w:r>
      <w:r>
        <w:rPr>
          <w:rStyle w:val="AERbody"/>
        </w:rPr>
        <w:tab/>
      </w:r>
      <w:proofErr w:type="gramStart"/>
      <w:r>
        <w:t>is</w:t>
      </w:r>
      <w:proofErr w:type="gramEnd"/>
      <w:r>
        <w:t xml:space="preserve"> t</w:t>
      </w:r>
      <w:r w:rsidRPr="00BB746A">
        <w:t xml:space="preserve">he final carryover amount </w:t>
      </w:r>
      <w:r>
        <w:t xml:space="preserve">from the application of the DMIS from the 2010–15 distribution determination. This amount </w:t>
      </w:r>
      <w:r w:rsidRPr="00BB746A">
        <w:t xml:space="preserve">will be deducted from/added to allowed revenue in </w:t>
      </w:r>
      <w:r>
        <w:t xml:space="preserve">the </w:t>
      </w:r>
      <w:r w:rsidRPr="00BB746A">
        <w:t>2016-17</w:t>
      </w:r>
      <w:r>
        <w:t xml:space="preserve"> pricing proposal.</w:t>
      </w:r>
    </w:p>
    <w:p w:rsidR="00084027" w:rsidRDefault="00084027" w:rsidP="00084027">
      <w:pPr>
        <w:numPr>
          <w:ilvl w:val="0"/>
          <w:numId w:val="24"/>
        </w:numPr>
        <w:rPr>
          <w:rStyle w:val="AERbody"/>
        </w:rPr>
      </w:pPr>
      <w:r w:rsidRPr="005D4566">
        <w:rPr>
          <w:rStyle w:val="AERbody"/>
        </w:rPr>
        <w:object w:dxaOrig="320" w:dyaOrig="380">
          <v:shape id="_x0000_i1045" type="#_x0000_t75" style="width:15.75pt;height:20.25pt" o:ole="">
            <v:imagedata r:id="rId34" o:title=""/>
          </v:shape>
          <o:OLEObject Type="Embed" ProgID="Equation.3" ShapeID="_x0000_i1045" DrawAspect="Content" ObjectID="_1491646525" r:id="rId52"/>
        </w:object>
      </w:r>
      <w:r>
        <w:rPr>
          <w:rStyle w:val="AERbody"/>
        </w:rPr>
        <w:tab/>
      </w:r>
      <w:r>
        <w:rPr>
          <w:rStyle w:val="AERbody"/>
        </w:rPr>
        <w:tab/>
      </w:r>
      <w:proofErr w:type="gramStart"/>
      <w:r>
        <w:t>is</w:t>
      </w:r>
      <w:proofErr w:type="gramEnd"/>
      <w:r>
        <w:t xml:space="preserve"> a</w:t>
      </w:r>
      <w:r w:rsidRPr="00D93496">
        <w:t>ny under or over-recoveries relating to capital contributions from 2014</w:t>
      </w:r>
      <w:r>
        <w:t>–</w:t>
      </w:r>
      <w:r w:rsidRPr="00D93496">
        <w:t>15</w:t>
      </w:r>
      <w:r>
        <w:t>.</w:t>
      </w:r>
    </w:p>
    <w:p w:rsidR="00084027" w:rsidRDefault="00084027" w:rsidP="00084027">
      <w:pPr>
        <w:pStyle w:val="AERnumberedlistsecondstyle"/>
        <w:numPr>
          <w:ilvl w:val="0"/>
          <w:numId w:val="24"/>
        </w:numPr>
      </w:pPr>
      <w:r w:rsidRPr="000E6995">
        <w:rPr>
          <w:rStyle w:val="AERbody"/>
        </w:rPr>
        <w:object w:dxaOrig="320" w:dyaOrig="380">
          <v:shape id="_x0000_i1046" type="#_x0000_t75" style="width:15.75pt;height:20.25pt" o:ole="">
            <v:imagedata r:id="rId36" o:title=""/>
          </v:shape>
          <o:OLEObject Type="Embed" ProgID="Equation.3" ShapeID="_x0000_i1046" DrawAspect="Content" ObjectID="_1491646526" r:id="rId53"/>
        </w:object>
      </w:r>
      <w:r>
        <w:rPr>
          <w:rStyle w:val="AERbody"/>
        </w:rPr>
        <w:tab/>
      </w:r>
      <w:r>
        <w:t>is the sum of adjustments related to:</w:t>
      </w:r>
    </w:p>
    <w:p w:rsidR="00084027" w:rsidRDefault="00084027" w:rsidP="00084027">
      <w:pPr>
        <w:pStyle w:val="AERbulletlistfirststyle"/>
        <w:rPr>
          <w:rStyle w:val="AERbody"/>
        </w:rPr>
      </w:pPr>
      <w:r>
        <w:rPr>
          <w:rStyle w:val="AERbody"/>
        </w:rPr>
        <w:t>feed-in t</w:t>
      </w:r>
      <w:r w:rsidRPr="00D93496">
        <w:rPr>
          <w:rStyle w:val="AERbody"/>
        </w:rPr>
        <w:t>ariff cost pass through amounts relating to 2013</w:t>
      </w:r>
      <w:r>
        <w:rPr>
          <w:rStyle w:val="AERbody"/>
        </w:rPr>
        <w:t>–</w:t>
      </w:r>
      <w:r w:rsidRPr="00D93496">
        <w:rPr>
          <w:rStyle w:val="AERbody"/>
        </w:rPr>
        <w:t>14 and 2014</w:t>
      </w:r>
      <w:r>
        <w:rPr>
          <w:rStyle w:val="AERbody"/>
        </w:rPr>
        <w:t>–</w:t>
      </w:r>
      <w:r w:rsidRPr="00D93496">
        <w:rPr>
          <w:rStyle w:val="AERbody"/>
        </w:rPr>
        <w:t>15</w:t>
      </w:r>
    </w:p>
    <w:p w:rsidR="00084027" w:rsidRDefault="00084027" w:rsidP="00084027">
      <w:pPr>
        <w:pStyle w:val="AERbulletlistfirststyle"/>
      </w:pPr>
      <w:r>
        <w:rPr>
          <w:rStyle w:val="AERbody"/>
        </w:rPr>
        <w:t>a</w:t>
      </w:r>
      <w:r w:rsidRPr="00D93496">
        <w:rPr>
          <w:rStyle w:val="AERbody"/>
        </w:rPr>
        <w:t>mounts relating to the occurrence of any of the prescribed and nomi</w:t>
      </w:r>
      <w:r>
        <w:rPr>
          <w:rStyle w:val="AERbody"/>
        </w:rPr>
        <w:t>nated cost pass through events.</w:t>
      </w:r>
    </w:p>
    <w:p w:rsidR="00084027" w:rsidRDefault="00084027" w:rsidP="00084027">
      <w:r w:rsidRPr="00E67119">
        <w:rPr>
          <w:rStyle w:val="AERbody"/>
        </w:rPr>
        <w:object w:dxaOrig="720" w:dyaOrig="360">
          <v:shape id="_x0000_i1047" type="#_x0000_t75" style="width:35.25pt;height:18.75pt" o:ole="">
            <v:imagedata r:id="rId54" o:title=""/>
          </v:shape>
          <o:OLEObject Type="Embed" ProgID="Equation.3" ShapeID="_x0000_i1047" DrawAspect="Content" ObjectID="_1491646527" r:id="rId55"/>
        </w:object>
      </w:r>
      <w:proofErr w:type="gramStart"/>
      <w:r w:rsidRPr="007B6699">
        <w:t>is</w:t>
      </w:r>
      <w:proofErr w:type="gramEnd"/>
      <w:r w:rsidRPr="007B6699">
        <w:t xml:space="preserve"> an annual adjustment factor r</w:t>
      </w:r>
      <w:r>
        <w:t>elated to the balance of the DUoS</w:t>
      </w:r>
      <w:r w:rsidRPr="007B6699">
        <w:t xml:space="preserve"> unders and overs account wi</w:t>
      </w:r>
      <w:r>
        <w:t>th respect to regulatory year t.</w:t>
      </w:r>
    </w:p>
    <w:p w:rsidR="00084027" w:rsidRPr="00BB2CCA" w:rsidRDefault="00084027" w:rsidP="00084027">
      <w:pPr>
        <w:numPr>
          <w:ilvl w:val="0"/>
          <w:numId w:val="24"/>
        </w:numPr>
        <w:rPr>
          <w:rStyle w:val="AERbody"/>
        </w:rPr>
      </w:pPr>
      <w:r w:rsidRPr="00BB2CCA">
        <w:rPr>
          <w:rStyle w:val="AERbody"/>
        </w:rPr>
        <w:t>With the exception of the CPI and X factors, the percentage for each of the other factors above can be calculated by dividing the increm</w:t>
      </w:r>
      <w:r>
        <w:rPr>
          <w:rStyle w:val="AERbody"/>
        </w:rPr>
        <w:t>ental revenues (as used in the total annual revenue</w:t>
      </w:r>
      <w:r w:rsidRPr="00BB2CCA">
        <w:rPr>
          <w:rStyle w:val="AERbody"/>
        </w:rPr>
        <w:t xml:space="preserve">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084027" w:rsidRDefault="00084027" w:rsidP="00084027"/>
    <w:p w:rsidR="00084027" w:rsidRPr="00290C63" w:rsidRDefault="00084027" w:rsidP="00084027"/>
    <w:p w:rsidR="00084027" w:rsidRPr="00B20705" w:rsidRDefault="00084027" w:rsidP="00084027">
      <w:pPr>
        <w:pStyle w:val="ListParagraph"/>
        <w:numPr>
          <w:ilvl w:val="0"/>
          <w:numId w:val="24"/>
        </w:numPr>
      </w:pPr>
    </w:p>
    <w:p w:rsidR="00084027" w:rsidRPr="000B0DC0" w:rsidRDefault="00084027" w:rsidP="00084027"/>
    <w:p w:rsidR="00084027" w:rsidRDefault="00084027" w:rsidP="00084027"/>
    <w:p w:rsidR="00084027" w:rsidRPr="000B0DC0" w:rsidRDefault="00084027" w:rsidP="00084027"/>
    <w:p w:rsidR="00084027" w:rsidRDefault="00084027" w:rsidP="00084027"/>
    <w:p w:rsidR="00084027" w:rsidRDefault="00084027" w:rsidP="00084027"/>
    <w:p w:rsidR="00084027" w:rsidRPr="00D31F95" w:rsidRDefault="00084027" w:rsidP="00D31F95">
      <w:pPr>
        <w:pStyle w:val="Heading7"/>
      </w:pPr>
      <w:bookmarkStart w:id="92" w:name="_Toc404360468"/>
      <w:bookmarkStart w:id="93" w:name="_Toc409509555"/>
      <w:bookmarkStart w:id="94" w:name="_Ref409510030"/>
      <w:bookmarkStart w:id="95" w:name="_Toc413422309"/>
      <w:bookmarkStart w:id="96" w:name="_Ref414260086"/>
      <w:bookmarkStart w:id="97" w:name="_Ref414262328"/>
      <w:bookmarkStart w:id="98" w:name="_Toc417727445"/>
      <w:proofErr w:type="spellStart"/>
      <w:r w:rsidRPr="00D31F95">
        <w:lastRenderedPageBreak/>
        <w:t>DUoS</w:t>
      </w:r>
      <w:proofErr w:type="spellEnd"/>
      <w:r w:rsidRPr="00D31F95">
        <w:t xml:space="preserve"> </w:t>
      </w:r>
      <w:proofErr w:type="spellStart"/>
      <w:r w:rsidRPr="00D31F95">
        <w:t>unders</w:t>
      </w:r>
      <w:proofErr w:type="spellEnd"/>
      <w:r w:rsidRPr="00D31F95">
        <w:t xml:space="preserve"> and overs account</w:t>
      </w:r>
      <w:bookmarkEnd w:id="92"/>
      <w:bookmarkEnd w:id="93"/>
      <w:bookmarkEnd w:id="94"/>
      <w:bookmarkEnd w:id="95"/>
      <w:bookmarkEnd w:id="96"/>
      <w:bookmarkEnd w:id="97"/>
      <w:bookmarkEnd w:id="98"/>
    </w:p>
    <w:p w:rsidR="00084027" w:rsidRPr="00002548" w:rsidRDefault="00084027" w:rsidP="00084027">
      <w:r w:rsidRPr="00002548">
        <w:t xml:space="preserve">To demonstrate compliance with its distribution determination in the 2015-2020 regulatory control period, Energex must maintain a DUoS unders and overs account in its annual pricing proposal under clause 6.18.2(b)(7) of the NER. </w:t>
      </w:r>
    </w:p>
    <w:p w:rsidR="00084027" w:rsidRPr="00002548" w:rsidRDefault="00084027" w:rsidP="00084027">
      <w:r w:rsidRPr="00002548">
        <w:t>Energex must provide the amounts for th</w:t>
      </w:r>
      <w:r>
        <w:t>e following entries in their DUo</w:t>
      </w:r>
      <w:r w:rsidRPr="00002548">
        <w:t>S unders and overs account for the most recently completed regulatory year (t–2) and the next regulatory year (t):</w:t>
      </w:r>
    </w:p>
    <w:p w:rsidR="00084027" w:rsidRPr="00084027" w:rsidRDefault="00084027" w:rsidP="00084027">
      <w:pPr>
        <w:pStyle w:val="ListNumber"/>
        <w:numPr>
          <w:ilvl w:val="0"/>
          <w:numId w:val="47"/>
        </w:numPr>
      </w:pPr>
      <w:r w:rsidRPr="00354702">
        <w:t xml:space="preserve">opening balance for year t–2 and year t </w:t>
      </w:r>
    </w:p>
    <w:p w:rsidR="00084027" w:rsidRPr="00354702" w:rsidRDefault="00084027" w:rsidP="00084027">
      <w:pPr>
        <w:pStyle w:val="ListNumber"/>
      </w:pPr>
      <w:r w:rsidRPr="00354702">
        <w:t xml:space="preserve">an interest charge for two years on the opening balance in year t–2. This adjustment should be calculated using the approved nominal weighted average cost of capital (WACC). No such charge applies to the opening balance for year t </w:t>
      </w:r>
    </w:p>
    <w:p w:rsidR="00084027" w:rsidRPr="00354702" w:rsidRDefault="00084027" w:rsidP="00084027">
      <w:pPr>
        <w:pStyle w:val="ListNumber"/>
      </w:pPr>
      <w:r w:rsidRPr="00354702">
        <w:t>the amount of revenue</w:t>
      </w:r>
      <w:r>
        <w:t xml:space="preserve"> recovered from DUo</w:t>
      </w:r>
      <w:r w:rsidRPr="00354702">
        <w:t xml:space="preserve">S charges in respect of that year, less any under/over adjustment approved by the regulator for year t–2 (in relation to year t–4), less the </w:t>
      </w:r>
      <w:r>
        <w:t>total</w:t>
      </w:r>
      <w:r w:rsidRPr="00354702">
        <w:t xml:space="preserve"> </w:t>
      </w:r>
      <w:r>
        <w:t xml:space="preserve">annual </w:t>
      </w:r>
      <w:r w:rsidRPr="00354702">
        <w:t>revenue</w:t>
      </w:r>
      <w:r>
        <w:t xml:space="preserve"> </w:t>
      </w:r>
      <w:r w:rsidRPr="00354702">
        <w:t xml:space="preserve">for the year in question </w:t>
      </w:r>
    </w:p>
    <w:p w:rsidR="00084027" w:rsidRPr="00354702" w:rsidRDefault="00084027" w:rsidP="00084027">
      <w:pPr>
        <w:pStyle w:val="ListNumber"/>
      </w:pPr>
      <w:r w:rsidRPr="00354702">
        <w:t xml:space="preserve">an interest charge for two years related to the net amount in item 3 for year t–2. This adjustment should be calculated using the approved nominal WACC. No such charge applies to the net amount in item 2 for year t </w:t>
      </w:r>
    </w:p>
    <w:p w:rsidR="00084027" w:rsidRPr="00354702" w:rsidRDefault="00084027" w:rsidP="00084027">
      <w:pPr>
        <w:pStyle w:val="ListNumber"/>
      </w:pPr>
      <w:r w:rsidRPr="00354702">
        <w:t xml:space="preserve">the total of items 1–4 to derive the closing balance for each year. </w:t>
      </w:r>
    </w:p>
    <w:p w:rsidR="00084027" w:rsidRPr="00002548" w:rsidRDefault="00084027" w:rsidP="00084027">
      <w:r w:rsidRPr="00002548">
        <w:t xml:space="preserve">Energex must provide details of calculations in the format set out in </w:t>
      </w:r>
      <w:r>
        <w:fldChar w:fldCharType="begin"/>
      </w:r>
      <w:r>
        <w:instrText xml:space="preserve"> REF  _Ref414264472 \* Lower \h </w:instrText>
      </w:r>
      <w:r>
        <w:fldChar w:fldCharType="separate"/>
      </w:r>
      <w:r>
        <w:t xml:space="preserve">table </w:t>
      </w:r>
      <w:r w:rsidRPr="00084027">
        <w:t>14</w:t>
      </w:r>
      <w:r>
        <w:t>.</w:t>
      </w:r>
      <w:r w:rsidRPr="00084027">
        <w:t>1</w:t>
      </w:r>
      <w:r>
        <w:fldChar w:fldCharType="end"/>
      </w:r>
      <w:r w:rsidRPr="00002548">
        <w:t xml:space="preserve">. Amounts provided for the most recently completed regulatory year (t–2) must be audited. Amounts for the next regulatory year (t) will be regarded as a forecast. </w:t>
      </w:r>
    </w:p>
    <w:p w:rsidR="00084027" w:rsidRPr="00002548" w:rsidRDefault="00084027" w:rsidP="00084027">
      <w:r w:rsidRPr="00002548">
        <w:t>In proposing variations to</w:t>
      </w:r>
      <w:r>
        <w:t xml:space="preserve"> the amount and structure of DUo</w:t>
      </w:r>
      <w:r w:rsidRPr="00002548">
        <w:t>S charges, Energex is to achieve an expected zero balance on its</w:t>
      </w:r>
      <w:r>
        <w:t xml:space="preserve"> DUo</w:t>
      </w:r>
      <w:r w:rsidRPr="00002548">
        <w:t xml:space="preserve">S unders and overs accounts at the end of each regulatory year in the next regulatory control period. </w:t>
      </w:r>
    </w:p>
    <w:p w:rsidR="00084027" w:rsidRPr="00002548" w:rsidRDefault="00084027" w:rsidP="00084027">
      <w:r w:rsidRPr="00002548">
        <w:t xml:space="preserve">The proposed prices for year t are based on the sum of the </w:t>
      </w:r>
      <w:r>
        <w:t>total annual revenue</w:t>
      </w:r>
      <w:r w:rsidRPr="00002548">
        <w:t xml:space="preserve"> for year t plus any</w:t>
      </w:r>
    </w:p>
    <w:p w:rsidR="00084027" w:rsidRPr="00002548" w:rsidRDefault="00084027" w:rsidP="00084027">
      <w:pPr>
        <w:pStyle w:val="Caption"/>
      </w:pPr>
      <w:bookmarkStart w:id="99" w:name="_Ref414264472"/>
      <w:r>
        <w:t xml:space="preserve">Table </w:t>
      </w:r>
      <w:r w:rsidRPr="00084027">
        <w:fldChar w:fldCharType="begin"/>
      </w:r>
      <w:r>
        <w:instrText xml:space="preserve"> STYLEREF 1 \s </w:instrText>
      </w:r>
      <w:r w:rsidRPr="00084027">
        <w:fldChar w:fldCharType="separate"/>
      </w:r>
      <w:r w:rsidRPr="00084027">
        <w:t>14</w:t>
      </w:r>
      <w:r w:rsidRPr="00084027">
        <w:fldChar w:fldCharType="end"/>
      </w:r>
      <w:r>
        <w:t>.</w:t>
      </w:r>
      <w:r w:rsidRPr="00084027">
        <w:fldChar w:fldCharType="begin"/>
      </w:r>
      <w:r>
        <w:instrText xml:space="preserve"> SEQ Table \* ARABIC \s 1 </w:instrText>
      </w:r>
      <w:r w:rsidRPr="00084027">
        <w:fldChar w:fldCharType="separate"/>
      </w:r>
      <w:r w:rsidRPr="00084027">
        <w:t>1</w:t>
      </w:r>
      <w:r w:rsidRPr="00084027">
        <w:fldChar w:fldCharType="end"/>
      </w:r>
      <w:bookmarkEnd w:id="99"/>
      <w:r>
        <w:tab/>
        <w:t>Example calculation of DUoS unders and overs account ($000, nominal)</w:t>
      </w:r>
    </w:p>
    <w:tbl>
      <w:tblPr>
        <w:tblStyle w:val="AERtable-text0"/>
        <w:tblW w:w="4235" w:type="pct"/>
        <w:tblLook w:val="04A0" w:firstRow="1" w:lastRow="0" w:firstColumn="1" w:lastColumn="0" w:noHBand="0" w:noVBand="1"/>
      </w:tblPr>
      <w:tblGrid>
        <w:gridCol w:w="4703"/>
        <w:gridCol w:w="1330"/>
        <w:gridCol w:w="1330"/>
      </w:tblGrid>
      <w:tr w:rsidR="00084027" w:rsidTr="00D31F9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4027" w:rsidRPr="00C366E5" w:rsidRDefault="00084027" w:rsidP="00084027"/>
        </w:tc>
        <w:tc>
          <w:tcPr>
            <w:tcW w:w="903" w:type="pct"/>
            <w:vAlign w:val="top"/>
          </w:tcPr>
          <w:p w:rsidR="00084027" w:rsidRPr="00084027" w:rsidRDefault="00084027" w:rsidP="00084027">
            <w:pPr>
              <w:pStyle w:val="AERtabletextright"/>
            </w:pPr>
            <w:r>
              <w:t>Y</w:t>
            </w:r>
            <w:r w:rsidRPr="00084027">
              <w:t>ear t–2 (actual)</w:t>
            </w:r>
          </w:p>
        </w:tc>
        <w:tc>
          <w:tcPr>
            <w:tcW w:w="903" w:type="pct"/>
            <w:vAlign w:val="top"/>
          </w:tcPr>
          <w:p w:rsidR="00084027" w:rsidRPr="00084027" w:rsidRDefault="00084027" w:rsidP="00084027">
            <w:pPr>
              <w:pStyle w:val="AERtabletextright"/>
            </w:pPr>
            <w:r>
              <w:t>Y</w:t>
            </w:r>
            <w:r w:rsidRPr="00084027">
              <w:t>ear t (forecast)</w:t>
            </w:r>
          </w:p>
        </w:tc>
      </w:tr>
      <w:tr w:rsidR="00084027" w:rsidTr="00084027">
        <w:trPr>
          <w:trHeight w:val="373"/>
        </w:trPr>
        <w:tc>
          <w:tcPr>
            <w:tcW w:w="3194" w:type="pct"/>
            <w:vAlign w:val="top"/>
          </w:tcPr>
          <w:p w:rsidR="00084027" w:rsidRPr="00084027" w:rsidRDefault="00084027" w:rsidP="00084027">
            <w:pPr>
              <w:pStyle w:val="AERtabletextleft"/>
            </w:pPr>
            <w:r w:rsidRPr="00F60FD3">
              <w:t>Revenue from DUOS charges</w:t>
            </w:r>
          </w:p>
        </w:tc>
        <w:tc>
          <w:tcPr>
            <w:tcW w:w="903" w:type="pct"/>
            <w:vAlign w:val="top"/>
          </w:tcPr>
          <w:p w:rsidR="00084027" w:rsidRPr="00084027" w:rsidRDefault="00084027" w:rsidP="00084027">
            <w:pPr>
              <w:pStyle w:val="AERtabletextright"/>
            </w:pPr>
            <w:r>
              <w:t>1</w:t>
            </w:r>
            <w:r w:rsidRPr="00084027">
              <w:t>,332,656</w:t>
            </w:r>
          </w:p>
        </w:tc>
        <w:tc>
          <w:tcPr>
            <w:tcW w:w="903" w:type="pct"/>
            <w:vAlign w:val="top"/>
          </w:tcPr>
          <w:p w:rsidR="00084027" w:rsidRPr="00084027" w:rsidRDefault="00084027" w:rsidP="00084027">
            <w:pPr>
              <w:pStyle w:val="AERtabletextright"/>
            </w:pPr>
            <w:r>
              <w:t>1</w:t>
            </w:r>
            <w:r w:rsidRPr="00084027">
              <w:t>,838,309</w:t>
            </w:r>
          </w:p>
        </w:tc>
      </w:tr>
      <w:tr w:rsidR="00084027" w:rsidTr="0008402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4027" w:rsidRPr="00084027" w:rsidRDefault="00084027" w:rsidP="00084027">
            <w:pPr>
              <w:pStyle w:val="TableofFigures"/>
            </w:pPr>
            <w:r>
              <w:t xml:space="preserve">Less </w:t>
            </w:r>
            <w:r w:rsidRPr="00084027">
              <w:t>Total Allowed Revenue for the relevant year</w:t>
            </w:r>
          </w:p>
        </w:tc>
        <w:tc>
          <w:tcPr>
            <w:tcW w:w="903" w:type="pct"/>
            <w:vAlign w:val="top"/>
          </w:tcPr>
          <w:p w:rsidR="00084027" w:rsidRPr="00084027" w:rsidRDefault="00084027" w:rsidP="00084027">
            <w:pPr>
              <w:pStyle w:val="AERtabletextright"/>
            </w:pPr>
            <w:r>
              <w:t>1</w:t>
            </w:r>
            <w:r w:rsidRPr="00084027">
              <w:t>,366,900</w:t>
            </w:r>
          </w:p>
        </w:tc>
        <w:tc>
          <w:tcPr>
            <w:tcW w:w="903" w:type="pct"/>
            <w:vAlign w:val="top"/>
          </w:tcPr>
          <w:p w:rsidR="00084027" w:rsidRPr="00084027" w:rsidRDefault="00084027" w:rsidP="00084027">
            <w:pPr>
              <w:pStyle w:val="AERtabletextright"/>
            </w:pPr>
            <w:r>
              <w:t>1</w:t>
            </w:r>
            <w:r w:rsidRPr="00084027">
              <w:t>,750,770</w:t>
            </w:r>
          </w:p>
        </w:tc>
      </w:tr>
      <w:tr w:rsidR="00084027" w:rsidRPr="00C61E00" w:rsidTr="00084027">
        <w:tc>
          <w:tcPr>
            <w:tcW w:w="3194" w:type="pct"/>
            <w:vAlign w:val="top"/>
          </w:tcPr>
          <w:p w:rsidR="00084027" w:rsidRPr="00084027" w:rsidRDefault="00084027" w:rsidP="00084027">
            <w:pPr>
              <w:pStyle w:val="TableofFigures"/>
            </w:pPr>
            <w:r>
              <w:t>A</w:t>
            </w:r>
            <w:r w:rsidRPr="00084027">
              <w:t>llowed revenues (ARt)</w:t>
            </w:r>
          </w:p>
        </w:tc>
        <w:tc>
          <w:tcPr>
            <w:tcW w:w="903" w:type="pct"/>
            <w:vAlign w:val="top"/>
          </w:tcPr>
          <w:p w:rsidR="00084027" w:rsidRPr="00084027" w:rsidRDefault="00084027" w:rsidP="00084027">
            <w:pPr>
              <w:pStyle w:val="AERtabletextright"/>
            </w:pPr>
            <w:r>
              <w:t>1</w:t>
            </w:r>
            <w:r w:rsidRPr="00084027">
              <w:t>,362,301</w:t>
            </w:r>
          </w:p>
        </w:tc>
        <w:tc>
          <w:tcPr>
            <w:tcW w:w="903" w:type="pct"/>
            <w:vAlign w:val="top"/>
          </w:tcPr>
          <w:p w:rsidR="00084027" w:rsidRPr="00084027" w:rsidRDefault="00084027" w:rsidP="00084027">
            <w:pPr>
              <w:pStyle w:val="AERtabletextright"/>
            </w:pPr>
            <w:r>
              <w:t>1</w:t>
            </w:r>
            <w:r w:rsidRPr="00084027">
              <w:t>,573,963</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ofFigures"/>
            </w:pPr>
            <w:r>
              <w:t xml:space="preserve">Incentive </w:t>
            </w:r>
            <w:r w:rsidRPr="00084027">
              <w:t>scheme adjustments(It)</w:t>
            </w:r>
          </w:p>
        </w:tc>
        <w:tc>
          <w:tcPr>
            <w:tcW w:w="903" w:type="pct"/>
            <w:vAlign w:val="top"/>
          </w:tcPr>
          <w:p w:rsidR="00084027" w:rsidRPr="00084027" w:rsidRDefault="00084027" w:rsidP="00084027">
            <w:pPr>
              <w:pStyle w:val="AERtabletextright"/>
            </w:pPr>
            <w:r>
              <w:t>(13,</w:t>
            </w:r>
            <w:r w:rsidRPr="00084027">
              <w:t>528)</w:t>
            </w:r>
          </w:p>
        </w:tc>
        <w:tc>
          <w:tcPr>
            <w:tcW w:w="903" w:type="pct"/>
            <w:vAlign w:val="top"/>
          </w:tcPr>
          <w:p w:rsidR="00084027" w:rsidRPr="00084027" w:rsidRDefault="00084027" w:rsidP="00084027">
            <w:pPr>
              <w:pStyle w:val="AERtabletextright"/>
            </w:pPr>
            <w:r>
              <w:t>31,4</w:t>
            </w:r>
            <w:r w:rsidRPr="00084027">
              <w:t>79</w:t>
            </w:r>
          </w:p>
        </w:tc>
      </w:tr>
      <w:tr w:rsidR="00084027" w:rsidTr="00084027">
        <w:tc>
          <w:tcPr>
            <w:tcW w:w="3194" w:type="pct"/>
            <w:vAlign w:val="top"/>
          </w:tcPr>
          <w:p w:rsidR="00084027" w:rsidRPr="00084027" w:rsidRDefault="00084027" w:rsidP="00084027">
            <w:r>
              <w:lastRenderedPageBreak/>
              <w:t xml:space="preserve">DUOS </w:t>
            </w:r>
            <w:r w:rsidRPr="00084027">
              <w:t>under/over adjustment approved by the regulator for year t-2 (Bt)</w:t>
            </w:r>
          </w:p>
        </w:tc>
        <w:tc>
          <w:tcPr>
            <w:tcW w:w="903" w:type="pct"/>
            <w:vAlign w:val="top"/>
          </w:tcPr>
          <w:p w:rsidR="00084027" w:rsidRPr="00084027" w:rsidRDefault="00084027" w:rsidP="00084027">
            <w:pPr>
              <w:pStyle w:val="AERtabletextright"/>
            </w:pPr>
            <w:r>
              <w:t>4</w:t>
            </w:r>
            <w:r w:rsidRPr="00084027">
              <w:t>9,358</w:t>
            </w:r>
          </w:p>
        </w:tc>
        <w:tc>
          <w:tcPr>
            <w:tcW w:w="903" w:type="pct"/>
            <w:vAlign w:val="top"/>
          </w:tcPr>
          <w:p w:rsidR="00084027" w:rsidRPr="00084027" w:rsidRDefault="00084027" w:rsidP="00084027">
            <w:pPr>
              <w:pStyle w:val="AERtabletextright"/>
            </w:pPr>
            <w:r>
              <w:t>6</w:t>
            </w:r>
            <w:r w:rsidRPr="00084027">
              <w:t>1,308</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T</w:t>
            </w:r>
            <w:r w:rsidRPr="00084027">
              <w:t>ransitional under/over adjustments (capital contributions) (</w:t>
            </w:r>
            <w:proofErr w:type="spellStart"/>
            <w:r w:rsidRPr="00084027">
              <w:t>Bt</w:t>
            </w:r>
            <w:proofErr w:type="spellEnd"/>
            <w:r w:rsidRPr="00084027">
              <w:t>)</w:t>
            </w:r>
          </w:p>
        </w:tc>
        <w:tc>
          <w:tcPr>
            <w:tcW w:w="903" w:type="pct"/>
            <w:vAlign w:val="top"/>
          </w:tcPr>
          <w:p w:rsidR="00084027" w:rsidRPr="00084027" w:rsidRDefault="00084027" w:rsidP="00084027">
            <w:pPr>
              <w:pStyle w:val="AERtabletextright"/>
            </w:pPr>
            <w:r>
              <w:t>2</w:t>
            </w:r>
            <w:r w:rsidRPr="00084027">
              <w:t>1,043</w:t>
            </w:r>
          </w:p>
        </w:tc>
        <w:tc>
          <w:tcPr>
            <w:tcW w:w="903" w:type="pct"/>
            <w:vAlign w:val="top"/>
          </w:tcPr>
          <w:p w:rsidR="00084027" w:rsidRPr="00084027" w:rsidRDefault="00084027" w:rsidP="00084027">
            <w:pPr>
              <w:pStyle w:val="AERtabletextright"/>
            </w:pPr>
            <w:r>
              <w:t>n</w:t>
            </w:r>
            <w:r w:rsidRPr="00084027">
              <w:t>/a</w:t>
            </w:r>
          </w:p>
        </w:tc>
      </w:tr>
      <w:tr w:rsidR="00084027" w:rsidTr="00084027">
        <w:tc>
          <w:tcPr>
            <w:tcW w:w="3194" w:type="pct"/>
            <w:vAlign w:val="top"/>
          </w:tcPr>
          <w:p w:rsidR="00084027" w:rsidRPr="00084027" w:rsidRDefault="00084027" w:rsidP="00084027">
            <w:r>
              <w:t>A</w:t>
            </w:r>
            <w:r w:rsidRPr="00084027">
              <w:t>pproved pass throughs and other adjustments (Ct)</w:t>
            </w:r>
          </w:p>
        </w:tc>
        <w:tc>
          <w:tcPr>
            <w:tcW w:w="903" w:type="pct"/>
            <w:vAlign w:val="top"/>
          </w:tcPr>
          <w:p w:rsidR="00084027" w:rsidRPr="00084027" w:rsidRDefault="00084027" w:rsidP="00084027">
            <w:pPr>
              <w:pStyle w:val="AERtabletextright"/>
            </w:pPr>
            <w:r>
              <w:t>(52,</w:t>
            </w:r>
            <w:r w:rsidRPr="00084027">
              <w:t>274)</w:t>
            </w:r>
          </w:p>
        </w:tc>
        <w:tc>
          <w:tcPr>
            <w:tcW w:w="903" w:type="pct"/>
            <w:vAlign w:val="top"/>
          </w:tcPr>
          <w:p w:rsidR="00084027" w:rsidRPr="00084027" w:rsidRDefault="00084027" w:rsidP="00084027">
            <w:pPr>
              <w:pStyle w:val="AERtabletextright"/>
            </w:pPr>
            <w:r>
              <w:t>84,020</w:t>
            </w:r>
          </w:p>
          <w:p w:rsidR="00084027" w:rsidRPr="00534888" w:rsidRDefault="00084027" w:rsidP="00084027">
            <w:pPr>
              <w:pStyle w:val="AERtabletextright"/>
            </w:pP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A</w:t>
            </w:r>
            <w:r w:rsidRPr="00084027">
              <w:t>ctual under/over recovery year t-2 (proposed under/over adjustment in year t)</w:t>
            </w:r>
          </w:p>
          <w:p w:rsidR="00084027" w:rsidRPr="00C61E00" w:rsidRDefault="00084027" w:rsidP="00084027">
            <w:pPr>
              <w:pStyle w:val="Tabletext"/>
            </w:pPr>
          </w:p>
        </w:tc>
        <w:tc>
          <w:tcPr>
            <w:tcW w:w="903" w:type="pct"/>
            <w:vAlign w:val="top"/>
          </w:tcPr>
          <w:p w:rsidR="00084027" w:rsidRPr="00084027" w:rsidRDefault="00084027" w:rsidP="00084027">
            <w:pPr>
              <w:pStyle w:val="AERtabletextright"/>
            </w:pPr>
            <w:r>
              <w:t>(</w:t>
            </w:r>
            <w:r w:rsidRPr="00084027">
              <w:t>34,244)</w:t>
            </w:r>
          </w:p>
        </w:tc>
        <w:tc>
          <w:tcPr>
            <w:tcW w:w="903" w:type="pct"/>
            <w:vAlign w:val="top"/>
          </w:tcPr>
          <w:p w:rsidR="00084027" w:rsidRPr="00084027" w:rsidRDefault="00084027" w:rsidP="00084027">
            <w:pPr>
              <w:pStyle w:val="AERtabletextright"/>
            </w:pPr>
            <w:r>
              <w:t>8</w:t>
            </w:r>
            <w:r w:rsidRPr="00084027">
              <w:t>7,539</w:t>
            </w:r>
          </w:p>
        </w:tc>
      </w:tr>
      <w:tr w:rsidR="00084027" w:rsidTr="00084027">
        <w:tc>
          <w:tcPr>
            <w:tcW w:w="3194" w:type="pct"/>
            <w:vAlign w:val="top"/>
          </w:tcPr>
          <w:p w:rsidR="00084027" w:rsidRPr="00084027" w:rsidRDefault="00084027" w:rsidP="00084027">
            <w:pPr>
              <w:pStyle w:val="Tabletext"/>
            </w:pPr>
            <w:r>
              <w:t>D</w:t>
            </w:r>
            <w:r w:rsidRPr="00084027">
              <w:t>UOS Unders and Overs Account</w:t>
            </w:r>
          </w:p>
        </w:tc>
        <w:tc>
          <w:tcPr>
            <w:tcW w:w="903" w:type="pct"/>
            <w:vAlign w:val="top"/>
          </w:tcPr>
          <w:p w:rsidR="00084027" w:rsidRPr="00C61E00" w:rsidRDefault="00084027" w:rsidP="00084027">
            <w:pPr>
              <w:pStyle w:val="AERtabletextright"/>
            </w:pPr>
          </w:p>
        </w:tc>
        <w:tc>
          <w:tcPr>
            <w:tcW w:w="903" w:type="pct"/>
            <w:vAlign w:val="top"/>
          </w:tcPr>
          <w:p w:rsidR="00084027" w:rsidRPr="00C61E00" w:rsidRDefault="00084027" w:rsidP="00084027">
            <w:pPr>
              <w:pStyle w:val="AERtabletextright"/>
            </w:pP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N</w:t>
            </w:r>
            <w:r w:rsidRPr="00084027">
              <w:t>ominal WACC for year t-2</w:t>
            </w:r>
          </w:p>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C61E00" w:rsidRDefault="00084027" w:rsidP="00084027">
            <w:pPr>
              <w:pStyle w:val="AERtabletextright"/>
            </w:pPr>
          </w:p>
        </w:tc>
      </w:tr>
      <w:tr w:rsidR="00084027" w:rsidTr="00084027">
        <w:tc>
          <w:tcPr>
            <w:tcW w:w="3194" w:type="pct"/>
            <w:vAlign w:val="top"/>
          </w:tcPr>
          <w:p w:rsidR="00084027" w:rsidRPr="00084027" w:rsidRDefault="00084027" w:rsidP="00084027">
            <w:r>
              <w:t>N</w:t>
            </w:r>
            <w:r w:rsidRPr="00084027">
              <w:t>ominal WACC for year t-1</w:t>
            </w:r>
          </w:p>
          <w:p w:rsidR="00084027" w:rsidRPr="00C61E00" w:rsidRDefault="00084027" w:rsidP="00084027"/>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C61E00" w:rsidRDefault="00084027" w:rsidP="00084027">
            <w:pPr>
              <w:pStyle w:val="AERtabletextright"/>
            </w:pP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O</w:t>
            </w:r>
            <w:r w:rsidRPr="00084027">
              <w:t>pening balance</w:t>
            </w:r>
          </w:p>
        </w:tc>
        <w:tc>
          <w:tcPr>
            <w:tcW w:w="903" w:type="pct"/>
            <w:vAlign w:val="top"/>
          </w:tcPr>
          <w:p w:rsidR="00084027" w:rsidRPr="00084027" w:rsidRDefault="00084027" w:rsidP="00084027">
            <w:pPr>
              <w:pStyle w:val="AERtabletextright"/>
            </w:pPr>
            <w:r>
              <w:t>(</w:t>
            </w:r>
            <w:r w:rsidRPr="00084027">
              <w:t>91,033)</w:t>
            </w:r>
          </w:p>
        </w:tc>
        <w:tc>
          <w:tcPr>
            <w:tcW w:w="903" w:type="pct"/>
            <w:vAlign w:val="top"/>
          </w:tcPr>
          <w:p w:rsidR="00084027" w:rsidRPr="00084027" w:rsidRDefault="00084027" w:rsidP="00084027">
            <w:pPr>
              <w:pStyle w:val="AERtabletextright"/>
            </w:pPr>
            <w:r>
              <w:t>(</w:t>
            </w:r>
            <w:r w:rsidRPr="00084027">
              <w:t>141,106)</w:t>
            </w:r>
          </w:p>
        </w:tc>
      </w:tr>
      <w:tr w:rsidR="00084027" w:rsidTr="00084027">
        <w:tc>
          <w:tcPr>
            <w:tcW w:w="3194" w:type="pct"/>
            <w:vAlign w:val="top"/>
          </w:tcPr>
          <w:p w:rsidR="00084027" w:rsidRPr="00084027" w:rsidRDefault="00084027" w:rsidP="00084027">
            <w:r>
              <w:t xml:space="preserve">Interest </w:t>
            </w:r>
            <w:r w:rsidRPr="00084027">
              <w:t>on opening balance for 1 regulatory year</w:t>
            </w:r>
          </w:p>
        </w:tc>
        <w:tc>
          <w:tcPr>
            <w:tcW w:w="903" w:type="pct"/>
            <w:vAlign w:val="top"/>
          </w:tcPr>
          <w:p w:rsidR="00084027" w:rsidRPr="00084027" w:rsidRDefault="00084027" w:rsidP="00084027">
            <w:pPr>
              <w:pStyle w:val="AERtabletextright"/>
            </w:pPr>
            <w:r>
              <w:t>(8,848)</w:t>
            </w:r>
          </w:p>
        </w:tc>
        <w:tc>
          <w:tcPr>
            <w:tcW w:w="903" w:type="pct"/>
            <w:vAlign w:val="top"/>
          </w:tcPr>
          <w:p w:rsidR="00084027" w:rsidRPr="00084027" w:rsidRDefault="00084027" w:rsidP="00084027">
            <w:pPr>
              <w:pStyle w:val="AERtabletextright"/>
            </w:pPr>
            <w:r>
              <w:t>na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 xml:space="preserve">Actual </w:t>
            </w:r>
            <w:r w:rsidRPr="00084027">
              <w:t>under/over recovery in year t-2 (proposed under/over adjustment in year t)</w:t>
            </w:r>
          </w:p>
        </w:tc>
        <w:tc>
          <w:tcPr>
            <w:tcW w:w="903" w:type="pct"/>
            <w:vAlign w:val="top"/>
          </w:tcPr>
          <w:p w:rsidR="00084027" w:rsidRPr="00084027" w:rsidRDefault="00084027" w:rsidP="00084027">
            <w:pPr>
              <w:pStyle w:val="AERtabletextright"/>
            </w:pPr>
            <w:r>
              <w:t>(</w:t>
            </w:r>
            <w:r w:rsidRPr="00084027">
              <w:t>34,244)</w:t>
            </w:r>
          </w:p>
        </w:tc>
        <w:tc>
          <w:tcPr>
            <w:tcW w:w="903" w:type="pct"/>
            <w:vAlign w:val="top"/>
          </w:tcPr>
          <w:p w:rsidR="00084027" w:rsidRPr="00084027" w:rsidRDefault="00084027" w:rsidP="00084027">
            <w:pPr>
              <w:pStyle w:val="AERtabletextright"/>
            </w:pPr>
            <w:r>
              <w:t>87,</w:t>
            </w:r>
            <w:r w:rsidRPr="00084027">
              <w:t>539</w:t>
            </w:r>
          </w:p>
        </w:tc>
      </w:tr>
      <w:tr w:rsidR="00084027" w:rsidTr="00084027">
        <w:tc>
          <w:tcPr>
            <w:tcW w:w="3194" w:type="pct"/>
            <w:vAlign w:val="top"/>
          </w:tcPr>
          <w:p w:rsidR="00084027" w:rsidRPr="00084027" w:rsidRDefault="00084027" w:rsidP="00084027">
            <w:r>
              <w:t xml:space="preserve">Interest </w:t>
            </w:r>
            <w:r w:rsidRPr="00084027">
              <w:t>on under/over recovery for 2 regulatory years</w:t>
            </w:r>
          </w:p>
        </w:tc>
        <w:tc>
          <w:tcPr>
            <w:tcW w:w="903" w:type="pct"/>
            <w:vAlign w:val="top"/>
          </w:tcPr>
          <w:p w:rsidR="00084027" w:rsidRPr="00084027" w:rsidRDefault="00084027" w:rsidP="00084027">
            <w:pPr>
              <w:pStyle w:val="AERtabletextright"/>
            </w:pPr>
            <w:r>
              <w:t>(6</w:t>
            </w:r>
            <w:r w:rsidRPr="00084027">
              <w:t>,981)</w:t>
            </w:r>
          </w:p>
        </w:tc>
        <w:tc>
          <w:tcPr>
            <w:tcW w:w="903" w:type="pct"/>
            <w:vAlign w:val="top"/>
          </w:tcPr>
          <w:p w:rsidR="00084027" w:rsidRPr="00084027" w:rsidRDefault="00084027" w:rsidP="00084027">
            <w:pPr>
              <w:pStyle w:val="AERtabletextright"/>
            </w:pPr>
            <w:r>
              <w:t>N</w:t>
            </w:r>
            <w:r w:rsidRPr="00084027">
              <w:t>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C</w:t>
            </w:r>
            <w:r w:rsidRPr="00084027">
              <w:t>losing Balance</w:t>
            </w:r>
          </w:p>
        </w:tc>
        <w:tc>
          <w:tcPr>
            <w:tcW w:w="903" w:type="pct"/>
            <w:vAlign w:val="top"/>
          </w:tcPr>
          <w:p w:rsidR="00084027" w:rsidRPr="00084027" w:rsidRDefault="00084027" w:rsidP="00084027">
            <w:pPr>
              <w:pStyle w:val="AERtabletextright"/>
            </w:pPr>
            <w:r>
              <w:t>(</w:t>
            </w:r>
            <w:r w:rsidRPr="00084027">
              <w:t>141,106)</w:t>
            </w:r>
          </w:p>
        </w:tc>
        <w:tc>
          <w:tcPr>
            <w:tcW w:w="903" w:type="pct"/>
            <w:vAlign w:val="top"/>
          </w:tcPr>
          <w:p w:rsidR="00084027" w:rsidRPr="00084027" w:rsidRDefault="00084027" w:rsidP="00084027">
            <w:pPr>
              <w:pStyle w:val="AERtabletextright"/>
            </w:pPr>
            <w:r>
              <w:t>(</w:t>
            </w:r>
            <w:r w:rsidRPr="00084027">
              <w:t>53,567)</w:t>
            </w:r>
          </w:p>
        </w:tc>
      </w:tr>
    </w:tbl>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Pr>
        <w:pStyle w:val="Heading7"/>
      </w:pPr>
      <w:bookmarkStart w:id="100" w:name="_Toc413422310"/>
      <w:bookmarkStart w:id="101" w:name="_Ref414260100"/>
      <w:bookmarkStart w:id="102" w:name="_Ref414262915"/>
      <w:bookmarkStart w:id="103" w:name="_Toc417727446"/>
      <w:r>
        <w:lastRenderedPageBreak/>
        <w:t>Unders and overs account</w:t>
      </w:r>
      <w:bookmarkEnd w:id="100"/>
      <w:bookmarkEnd w:id="101"/>
      <w:bookmarkEnd w:id="102"/>
      <w:r>
        <w:t xml:space="preserve"> for designated pricing proposal charges</w:t>
      </w:r>
      <w:bookmarkEnd w:id="103"/>
    </w:p>
    <w:p w:rsidR="00084027" w:rsidRPr="008C5750" w:rsidRDefault="00084027" w:rsidP="00084027">
      <w:r w:rsidRPr="008C5750">
        <w:t>To demonstrate compliance with its distribution determination in the 2015–20 regulatory control period, Energex must maintain an unders and overs account for designated pricing proposal charges in its annual pricing proposal</w:t>
      </w:r>
      <w:r>
        <w:t xml:space="preserve"> under clause 6.18.2(b)(6)</w:t>
      </w:r>
      <w:r w:rsidRPr="008C5750">
        <w:t>.</w:t>
      </w:r>
    </w:p>
    <w:p w:rsidR="00084027" w:rsidRPr="008C5750" w:rsidRDefault="00084027" w:rsidP="00084027">
      <w:r w:rsidRPr="008C5750">
        <w:t xml:space="preserve">Energex must provide the amounts for the following entries in its unders and overs account for the most recently completed regulatory year (t–2) and the next regulatory year (t): </w:t>
      </w:r>
    </w:p>
    <w:p w:rsidR="00084027" w:rsidRPr="00084027" w:rsidRDefault="00084027" w:rsidP="00084027">
      <w:pPr>
        <w:pStyle w:val="ListNumber"/>
        <w:numPr>
          <w:ilvl w:val="0"/>
          <w:numId w:val="48"/>
        </w:numPr>
      </w:pPr>
      <w:r w:rsidRPr="004D5043">
        <w:t xml:space="preserve">the opening balance for each year. The opening balance for year t–2 should be zero </w:t>
      </w:r>
    </w:p>
    <w:p w:rsidR="00084027" w:rsidRPr="004D5043" w:rsidRDefault="00084027" w:rsidP="00084027">
      <w:pPr>
        <w:pStyle w:val="ListNumber"/>
      </w:pPr>
      <w:r w:rsidRPr="004D5043">
        <w:t xml:space="preserve">the amount of revenue recovered from </w:t>
      </w:r>
      <w:r>
        <w:t xml:space="preserve">designated pricing proposal </w:t>
      </w:r>
      <w:r w:rsidRPr="004D5043">
        <w:t xml:space="preserve">charges applied in respect of that year, less any under/over adjustment approved by the regulator for year t–2 (in relation to year t–4), less the amounts of all transmission related payments made by </w:t>
      </w:r>
      <w:r>
        <w:t>Energex.</w:t>
      </w:r>
    </w:p>
    <w:p w:rsidR="00084027" w:rsidRPr="004D5043" w:rsidRDefault="00084027" w:rsidP="00084027">
      <w:pPr>
        <w:pStyle w:val="ListNumber"/>
      </w:pPr>
      <w:r w:rsidRPr="004D5043">
        <w:t xml:space="preserve">an interest charge for two years related to the net amount in item 2 for year t–2. This adjustment should be calculated using the approved nominal weighted average cost of capital (WACC). </w:t>
      </w:r>
    </w:p>
    <w:p w:rsidR="00084027" w:rsidRPr="004D5043" w:rsidRDefault="00084027" w:rsidP="00084027">
      <w:pPr>
        <w:pStyle w:val="ListNumber"/>
      </w:pPr>
      <w:r w:rsidRPr="004D5043">
        <w:t xml:space="preserve">the total of items 1–3 to derive the closing balance for each year. </w:t>
      </w:r>
    </w:p>
    <w:p w:rsidR="00084027" w:rsidRPr="004D5043" w:rsidRDefault="00084027" w:rsidP="00084027">
      <w:pPr>
        <w:pStyle w:val="ListParagraph"/>
        <w:numPr>
          <w:ilvl w:val="0"/>
          <w:numId w:val="24"/>
        </w:numPr>
      </w:pPr>
      <w:r>
        <w:t>Energex</w:t>
      </w:r>
      <w:r w:rsidRPr="004D5043">
        <w:t xml:space="preserve"> must provide details of calculations </w:t>
      </w:r>
      <w:r>
        <w:t xml:space="preserve">in the format set out in </w:t>
      </w:r>
      <w:r>
        <w:fldChar w:fldCharType="begin"/>
      </w:r>
      <w:r>
        <w:instrText xml:space="preserve"> REF  _Ref414264935 \* Lower \h </w:instrText>
      </w:r>
      <w:r>
        <w:fldChar w:fldCharType="separate"/>
      </w:r>
      <w:r>
        <w:t xml:space="preserve">table </w:t>
      </w:r>
      <w:r w:rsidRPr="00084027">
        <w:t>14</w:t>
      </w:r>
      <w:r>
        <w:t>.</w:t>
      </w:r>
      <w:r w:rsidRPr="00084027">
        <w:t>2</w:t>
      </w:r>
      <w:r>
        <w:fldChar w:fldCharType="end"/>
      </w:r>
      <w:r>
        <w:t xml:space="preserve"> </w:t>
      </w:r>
      <w:r w:rsidRPr="004D5043">
        <w:t xml:space="preserve">of this </w:t>
      </w:r>
      <w:r>
        <w:t xml:space="preserve">preliminary </w:t>
      </w:r>
      <w:r w:rsidRPr="004D5043">
        <w:t xml:space="preserve">decision. Amounts provided for the most recently completed regulatory year (t–2) must be audited. Amounts for the next regulatory year (t) will be regarded as forecasts. </w:t>
      </w:r>
    </w:p>
    <w:p w:rsidR="00084027" w:rsidRPr="004D5043" w:rsidRDefault="00084027" w:rsidP="00084027">
      <w:pPr>
        <w:pStyle w:val="ListParagraph"/>
        <w:numPr>
          <w:ilvl w:val="0"/>
          <w:numId w:val="24"/>
        </w:numPr>
      </w:pPr>
      <w:r w:rsidRPr="004D5043">
        <w:t xml:space="preserve">In proposing variations to the amount and structure of </w:t>
      </w:r>
      <w:r>
        <w:t xml:space="preserve">designated pricing proposal </w:t>
      </w:r>
      <w:r w:rsidRPr="004D5043">
        <w:t xml:space="preserve">charges for a given regulatory year t, </w:t>
      </w:r>
      <w:r>
        <w:t xml:space="preserve">Energex must </w:t>
      </w:r>
      <w:r w:rsidRPr="004D5043">
        <w:t xml:space="preserve">achieve a zero expected balance on </w:t>
      </w:r>
      <w:r>
        <w:t>its</w:t>
      </w:r>
      <w:r w:rsidRPr="004D5043">
        <w:t xml:space="preserve"> unders and overs account </w:t>
      </w:r>
      <w:r>
        <w:t xml:space="preserve">for designated pricing proposal charges </w:t>
      </w:r>
      <w:r w:rsidRPr="004D5043">
        <w:t xml:space="preserve">at the end of each regulatory year in the </w:t>
      </w:r>
      <w:r>
        <w:t xml:space="preserve">2015–20 </w:t>
      </w:r>
      <w:r w:rsidRPr="004D5043">
        <w:t xml:space="preserve">regulatory control period. </w:t>
      </w:r>
    </w:p>
    <w:p w:rsidR="00084027" w:rsidRPr="008C5750" w:rsidRDefault="00084027" w:rsidP="00084027">
      <w:pPr>
        <w:pStyle w:val="Caption"/>
      </w:pPr>
      <w:bookmarkStart w:id="104" w:name="_Ref414264935"/>
      <w:r>
        <w:t xml:space="preserve">Table </w:t>
      </w:r>
      <w:r w:rsidRPr="00084027">
        <w:fldChar w:fldCharType="begin"/>
      </w:r>
      <w:r>
        <w:instrText xml:space="preserve"> STYLEREF 1 \s </w:instrText>
      </w:r>
      <w:r w:rsidRPr="00084027">
        <w:fldChar w:fldCharType="separate"/>
      </w:r>
      <w:r w:rsidRPr="00084027">
        <w:t>14</w:t>
      </w:r>
      <w:r w:rsidRPr="00084027">
        <w:fldChar w:fldCharType="end"/>
      </w:r>
      <w:r>
        <w:t>.</w:t>
      </w:r>
      <w:r w:rsidRPr="00084027">
        <w:fldChar w:fldCharType="begin"/>
      </w:r>
      <w:r>
        <w:instrText xml:space="preserve"> SEQ Table \* ARABIC \s 1 </w:instrText>
      </w:r>
      <w:r w:rsidRPr="00084027">
        <w:fldChar w:fldCharType="separate"/>
      </w:r>
      <w:r w:rsidRPr="00084027">
        <w:t>2</w:t>
      </w:r>
      <w:r w:rsidRPr="00084027">
        <w:fldChar w:fldCharType="end"/>
      </w:r>
      <w:bookmarkEnd w:id="104"/>
      <w:r>
        <w:tab/>
        <w:t>Example calculation of unders and overs account for designated pricing proposal charges ($000, nominal)</w:t>
      </w:r>
    </w:p>
    <w:tbl>
      <w:tblPr>
        <w:tblStyle w:val="AERtable-text0"/>
        <w:tblW w:w="4235" w:type="pct"/>
        <w:tblLook w:val="04A0" w:firstRow="1" w:lastRow="0" w:firstColumn="1" w:lastColumn="0" w:noHBand="0" w:noVBand="1"/>
      </w:tblPr>
      <w:tblGrid>
        <w:gridCol w:w="4703"/>
        <w:gridCol w:w="1330"/>
        <w:gridCol w:w="1330"/>
      </w:tblGrid>
      <w:tr w:rsidR="00084027" w:rsidTr="00D31F9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4027" w:rsidRPr="00C366E5" w:rsidRDefault="00084027" w:rsidP="00084027"/>
        </w:tc>
        <w:tc>
          <w:tcPr>
            <w:tcW w:w="903" w:type="pct"/>
            <w:vAlign w:val="top"/>
          </w:tcPr>
          <w:p w:rsidR="00084027" w:rsidRPr="00084027" w:rsidRDefault="00084027" w:rsidP="00084027">
            <w:pPr>
              <w:pStyle w:val="AERtabletextright"/>
            </w:pPr>
            <w:r>
              <w:t>Y</w:t>
            </w:r>
            <w:r w:rsidRPr="00084027">
              <w:t>ear t–2 (actual)</w:t>
            </w:r>
          </w:p>
        </w:tc>
        <w:tc>
          <w:tcPr>
            <w:tcW w:w="903" w:type="pct"/>
            <w:vAlign w:val="top"/>
          </w:tcPr>
          <w:p w:rsidR="00084027" w:rsidRPr="00084027" w:rsidRDefault="00084027" w:rsidP="00084027">
            <w:pPr>
              <w:pStyle w:val="AERtabletextright"/>
            </w:pPr>
            <w:r>
              <w:t>Y</w:t>
            </w:r>
            <w:r w:rsidRPr="00084027">
              <w:t>ear t (forecast)</w:t>
            </w:r>
          </w:p>
        </w:tc>
      </w:tr>
      <w:tr w:rsidR="00084027" w:rsidTr="00084027">
        <w:trPr>
          <w:trHeight w:val="373"/>
        </w:trPr>
        <w:tc>
          <w:tcPr>
            <w:tcW w:w="3194" w:type="pct"/>
            <w:vAlign w:val="top"/>
          </w:tcPr>
          <w:p w:rsidR="00084027" w:rsidRPr="00084027" w:rsidRDefault="00084027" w:rsidP="00084027">
            <w:pPr>
              <w:pStyle w:val="AERtabletextleft"/>
            </w:pPr>
            <w:r w:rsidRPr="00F60FD3">
              <w:t xml:space="preserve">Revenue from </w:t>
            </w:r>
            <w:r w:rsidRPr="00084027">
              <w:t>designated pricing proposal charges</w:t>
            </w:r>
          </w:p>
        </w:tc>
        <w:tc>
          <w:tcPr>
            <w:tcW w:w="903" w:type="pct"/>
            <w:vAlign w:val="top"/>
          </w:tcPr>
          <w:p w:rsidR="00084027" w:rsidRPr="00084027" w:rsidRDefault="00084027" w:rsidP="00084027">
            <w:pPr>
              <w:pStyle w:val="AERtabletextright"/>
            </w:pPr>
            <w:r>
              <w:t>2</w:t>
            </w:r>
            <w:r w:rsidRPr="00084027">
              <w:t>96,021</w:t>
            </w:r>
          </w:p>
        </w:tc>
        <w:tc>
          <w:tcPr>
            <w:tcW w:w="903" w:type="pct"/>
            <w:vAlign w:val="top"/>
          </w:tcPr>
          <w:p w:rsidR="00084027" w:rsidRPr="00084027" w:rsidRDefault="00084027" w:rsidP="00084027">
            <w:pPr>
              <w:pStyle w:val="AERtabletextright"/>
            </w:pPr>
            <w:r>
              <w:t>3</w:t>
            </w:r>
            <w:r w:rsidRPr="00084027">
              <w:t>37,688</w:t>
            </w:r>
          </w:p>
        </w:tc>
      </w:tr>
      <w:tr w:rsidR="00084027" w:rsidTr="0008402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4027" w:rsidRPr="00084027" w:rsidRDefault="00084027" w:rsidP="00084027">
            <w:pPr>
              <w:pStyle w:val="TableofFigures"/>
            </w:pPr>
            <w:r>
              <w:t xml:space="preserve">Less </w:t>
            </w:r>
            <w:r w:rsidRPr="00084027">
              <w:t>under/over adjustment approved by the regulator for year t-2</w:t>
            </w:r>
          </w:p>
        </w:tc>
        <w:tc>
          <w:tcPr>
            <w:tcW w:w="903" w:type="pct"/>
            <w:vAlign w:val="top"/>
          </w:tcPr>
          <w:p w:rsidR="00084027" w:rsidRPr="00084027" w:rsidRDefault="00084027" w:rsidP="00084027">
            <w:pPr>
              <w:pStyle w:val="AERtabletextright"/>
            </w:pPr>
            <w:r>
              <w:t>(</w:t>
            </w:r>
            <w:r w:rsidRPr="00084027">
              <w:t>3,717)</w:t>
            </w:r>
            <w:r w:rsidRPr="00084027">
              <w:rPr>
                <w:rStyle w:val="AERsuperscript"/>
              </w:rPr>
              <w:t>a</w:t>
            </w:r>
          </w:p>
        </w:tc>
        <w:tc>
          <w:tcPr>
            <w:tcW w:w="903" w:type="pct"/>
            <w:vAlign w:val="top"/>
          </w:tcPr>
          <w:p w:rsidR="00084027" w:rsidRPr="00084027" w:rsidRDefault="00084027" w:rsidP="00084027">
            <w:pPr>
              <w:pStyle w:val="AERtabletextright"/>
            </w:pPr>
            <w:r>
              <w:t>n</w:t>
            </w:r>
            <w:r w:rsidRPr="00084027">
              <w:t>/a</w:t>
            </w:r>
          </w:p>
        </w:tc>
      </w:tr>
      <w:tr w:rsidR="00084027" w:rsidRPr="00C61E00" w:rsidTr="00084027">
        <w:tc>
          <w:tcPr>
            <w:tcW w:w="3194" w:type="pct"/>
            <w:vAlign w:val="top"/>
          </w:tcPr>
          <w:p w:rsidR="00084027" w:rsidRPr="00084027" w:rsidRDefault="00084027" w:rsidP="00084027">
            <w:pPr>
              <w:pStyle w:val="TableofFigures"/>
            </w:pPr>
            <w:r>
              <w:t>L</w:t>
            </w:r>
            <w:r w:rsidRPr="00084027">
              <w:t>ess total transmission related payments</w:t>
            </w:r>
          </w:p>
        </w:tc>
        <w:tc>
          <w:tcPr>
            <w:tcW w:w="903" w:type="pct"/>
            <w:vAlign w:val="top"/>
          </w:tcPr>
          <w:p w:rsidR="00084027" w:rsidRPr="00084027" w:rsidRDefault="00084027" w:rsidP="00084027">
            <w:pPr>
              <w:pStyle w:val="AERtabletextright"/>
            </w:pPr>
            <w:r>
              <w:t>3</w:t>
            </w:r>
            <w:r w:rsidRPr="00084027">
              <w:t>04,685</w:t>
            </w:r>
          </w:p>
        </w:tc>
        <w:tc>
          <w:tcPr>
            <w:tcW w:w="903" w:type="pct"/>
            <w:vAlign w:val="top"/>
          </w:tcPr>
          <w:p w:rsidR="00084027" w:rsidRPr="00084027" w:rsidRDefault="00084027" w:rsidP="00084027">
            <w:pPr>
              <w:pStyle w:val="AERtabletextright"/>
            </w:pPr>
            <w:r>
              <w:t>3</w:t>
            </w:r>
            <w:r w:rsidRPr="00084027">
              <w:t>31,732</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ofFigures"/>
            </w:pPr>
            <w:r>
              <w:lastRenderedPageBreak/>
              <w:t>T</w:t>
            </w:r>
            <w:r w:rsidRPr="00084027">
              <w:t>ransmission charges to be paid to TNSPs</w:t>
            </w:r>
          </w:p>
        </w:tc>
        <w:tc>
          <w:tcPr>
            <w:tcW w:w="903" w:type="pct"/>
            <w:vAlign w:val="top"/>
          </w:tcPr>
          <w:p w:rsidR="00084027" w:rsidRPr="00084027" w:rsidRDefault="00084027" w:rsidP="00084027">
            <w:pPr>
              <w:pStyle w:val="AERtabletextright"/>
            </w:pPr>
            <w:r>
              <w:t>2</w:t>
            </w:r>
            <w:r w:rsidRPr="00084027">
              <w:t>98,764</w:t>
            </w:r>
          </w:p>
        </w:tc>
        <w:tc>
          <w:tcPr>
            <w:tcW w:w="903" w:type="pct"/>
            <w:vAlign w:val="top"/>
          </w:tcPr>
          <w:p w:rsidR="00084027" w:rsidRPr="00084027" w:rsidRDefault="00084027" w:rsidP="00084027">
            <w:pPr>
              <w:pStyle w:val="AERtabletextright"/>
            </w:pPr>
            <w:r>
              <w:t>3</w:t>
            </w:r>
            <w:r w:rsidRPr="00084027">
              <w:t>22,768</w:t>
            </w:r>
          </w:p>
        </w:tc>
      </w:tr>
      <w:tr w:rsidR="00084027" w:rsidTr="00084027">
        <w:tc>
          <w:tcPr>
            <w:tcW w:w="3194" w:type="pct"/>
            <w:vAlign w:val="top"/>
          </w:tcPr>
          <w:p w:rsidR="00084027" w:rsidRPr="00084027" w:rsidRDefault="00084027" w:rsidP="00084027">
            <w:r>
              <w:t>P</w:t>
            </w:r>
            <w:r w:rsidRPr="00084027">
              <w:t>ayment to other DNSPs</w:t>
            </w:r>
          </w:p>
        </w:tc>
        <w:tc>
          <w:tcPr>
            <w:tcW w:w="903" w:type="pct"/>
            <w:vAlign w:val="top"/>
          </w:tcPr>
          <w:p w:rsidR="00084027" w:rsidRPr="00084027" w:rsidRDefault="00084027" w:rsidP="00084027">
            <w:pPr>
              <w:pStyle w:val="AERtabletextright"/>
            </w:pPr>
            <w:r>
              <w:t>2</w:t>
            </w:r>
            <w:r w:rsidRPr="00084027">
              <w:t>,692</w:t>
            </w:r>
          </w:p>
        </w:tc>
        <w:tc>
          <w:tcPr>
            <w:tcW w:w="903" w:type="pct"/>
            <w:vAlign w:val="top"/>
          </w:tcPr>
          <w:p w:rsidR="00084027" w:rsidRPr="00084027" w:rsidRDefault="00084027" w:rsidP="00084027">
            <w:pPr>
              <w:pStyle w:val="AERtabletextright"/>
            </w:pPr>
            <w:r>
              <w:t>4</w:t>
            </w:r>
            <w:r w:rsidRPr="00084027">
              <w:t>,749</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U</w:t>
            </w:r>
            <w:r w:rsidRPr="00084027">
              <w:t>nder/over recovery for the regulatory year</w:t>
            </w:r>
          </w:p>
          <w:p w:rsidR="00084027" w:rsidRPr="00A86014" w:rsidRDefault="00084027" w:rsidP="00084027">
            <w:pPr>
              <w:pStyle w:val="Tabletext"/>
            </w:pPr>
          </w:p>
        </w:tc>
        <w:tc>
          <w:tcPr>
            <w:tcW w:w="903" w:type="pct"/>
            <w:vAlign w:val="top"/>
          </w:tcPr>
          <w:p w:rsidR="00084027" w:rsidRPr="00084027" w:rsidRDefault="00084027" w:rsidP="00084027">
            <w:pPr>
              <w:pStyle w:val="AERtabletextright"/>
            </w:pPr>
            <w:r>
              <w:t>(</w:t>
            </w:r>
            <w:r w:rsidRPr="00084027">
              <w:t>4,947)</w:t>
            </w:r>
          </w:p>
        </w:tc>
        <w:tc>
          <w:tcPr>
            <w:tcW w:w="903" w:type="pct"/>
            <w:vAlign w:val="top"/>
          </w:tcPr>
          <w:p w:rsidR="00084027" w:rsidRPr="00084027" w:rsidRDefault="00084027" w:rsidP="00084027">
            <w:pPr>
              <w:pStyle w:val="AERtabletextright"/>
            </w:pPr>
            <w:r>
              <w:t>5</w:t>
            </w:r>
            <w:r w:rsidRPr="00084027">
              <w:t>,956</w:t>
            </w:r>
          </w:p>
        </w:tc>
      </w:tr>
      <w:tr w:rsidR="00084027" w:rsidTr="00084027">
        <w:tc>
          <w:tcPr>
            <w:tcW w:w="3194" w:type="pct"/>
            <w:vAlign w:val="top"/>
          </w:tcPr>
          <w:p w:rsidR="00084027" w:rsidRPr="00084027" w:rsidRDefault="00084027" w:rsidP="00084027">
            <w:pPr>
              <w:pStyle w:val="Tabletext"/>
            </w:pPr>
            <w:r w:rsidRPr="004736C3">
              <w:t>Unders and Overs Account</w:t>
            </w:r>
          </w:p>
        </w:tc>
        <w:tc>
          <w:tcPr>
            <w:tcW w:w="903" w:type="pct"/>
            <w:vAlign w:val="top"/>
          </w:tcPr>
          <w:p w:rsidR="00084027" w:rsidRPr="00C61E00" w:rsidRDefault="00084027" w:rsidP="00084027">
            <w:pPr>
              <w:pStyle w:val="AERtabletextright"/>
            </w:pPr>
          </w:p>
        </w:tc>
        <w:tc>
          <w:tcPr>
            <w:tcW w:w="903" w:type="pct"/>
            <w:vAlign w:val="top"/>
          </w:tcPr>
          <w:p w:rsidR="00084027" w:rsidRPr="00C61E00" w:rsidRDefault="00084027" w:rsidP="00084027">
            <w:pPr>
              <w:pStyle w:val="AERtabletextright"/>
            </w:pP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N</w:t>
            </w:r>
            <w:r w:rsidRPr="00084027">
              <w:t>ominal WACC for year t-2</w:t>
            </w:r>
          </w:p>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084027" w:rsidRDefault="00084027" w:rsidP="00084027">
            <w:pPr>
              <w:pStyle w:val="AERtabletextright"/>
            </w:pPr>
            <w:r>
              <w:t>n/a</w:t>
            </w:r>
          </w:p>
        </w:tc>
      </w:tr>
      <w:tr w:rsidR="00084027" w:rsidTr="00084027">
        <w:tc>
          <w:tcPr>
            <w:tcW w:w="3194" w:type="pct"/>
            <w:vAlign w:val="top"/>
          </w:tcPr>
          <w:p w:rsidR="00084027" w:rsidRPr="00084027" w:rsidRDefault="00084027" w:rsidP="00084027">
            <w:r>
              <w:t>N</w:t>
            </w:r>
            <w:r w:rsidRPr="00084027">
              <w:t>ominal WACC for year t-1</w:t>
            </w:r>
          </w:p>
          <w:p w:rsidR="00084027" w:rsidRPr="00C61E00" w:rsidRDefault="00084027" w:rsidP="00084027"/>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084027" w:rsidRDefault="00084027" w:rsidP="00084027">
            <w:pPr>
              <w:pStyle w:val="AERtabletextright"/>
            </w:pPr>
            <w:r>
              <w:t>n/a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O</w:t>
            </w:r>
            <w:r w:rsidRPr="00084027">
              <w:t>pening balance</w:t>
            </w:r>
          </w:p>
        </w:tc>
        <w:tc>
          <w:tcPr>
            <w:tcW w:w="903" w:type="pct"/>
            <w:vAlign w:val="top"/>
          </w:tcPr>
          <w:p w:rsidR="00084027" w:rsidRPr="00084027" w:rsidRDefault="00084027" w:rsidP="00084027">
            <w:pPr>
              <w:pStyle w:val="AERtabletextright"/>
            </w:pPr>
            <w:r>
              <w:t>0</w:t>
            </w:r>
          </w:p>
        </w:tc>
        <w:tc>
          <w:tcPr>
            <w:tcW w:w="903" w:type="pct"/>
            <w:vAlign w:val="top"/>
          </w:tcPr>
          <w:p w:rsidR="00084027" w:rsidRPr="00084027" w:rsidRDefault="00084027" w:rsidP="00084027">
            <w:pPr>
              <w:pStyle w:val="AERtabletextright"/>
            </w:pPr>
            <w:r>
              <w:t>(</w:t>
            </w:r>
            <w:r w:rsidRPr="00084027">
              <w:t>5,956)</w:t>
            </w:r>
          </w:p>
        </w:tc>
      </w:tr>
      <w:tr w:rsidR="00084027" w:rsidTr="00084027">
        <w:tc>
          <w:tcPr>
            <w:tcW w:w="3194" w:type="pct"/>
            <w:vAlign w:val="top"/>
          </w:tcPr>
          <w:p w:rsidR="00084027" w:rsidRPr="00084027" w:rsidRDefault="00084027" w:rsidP="00084027">
            <w:r>
              <w:t xml:space="preserve">Interest </w:t>
            </w:r>
            <w:r w:rsidRPr="00084027">
              <w:t>on opening balance</w:t>
            </w:r>
          </w:p>
        </w:tc>
        <w:tc>
          <w:tcPr>
            <w:tcW w:w="903" w:type="pct"/>
            <w:vAlign w:val="top"/>
          </w:tcPr>
          <w:p w:rsidR="00084027" w:rsidRPr="00084027" w:rsidRDefault="00084027" w:rsidP="00084027">
            <w:pPr>
              <w:pStyle w:val="AERtabletextright"/>
            </w:pPr>
            <w:r>
              <w:t>0</w:t>
            </w:r>
          </w:p>
        </w:tc>
        <w:tc>
          <w:tcPr>
            <w:tcW w:w="903" w:type="pct"/>
            <w:vAlign w:val="top"/>
          </w:tcPr>
          <w:p w:rsidR="00084027" w:rsidRPr="00084027" w:rsidRDefault="00084027" w:rsidP="00084027">
            <w:pPr>
              <w:pStyle w:val="AERtabletextright"/>
            </w:pPr>
            <w:r>
              <w:t>n</w:t>
            </w:r>
            <w:r w:rsidRPr="00084027">
              <w:t>/a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U</w:t>
            </w:r>
            <w:r w:rsidRPr="00084027">
              <w:t xml:space="preserve">nder/over recovery in year t-2 </w:t>
            </w:r>
          </w:p>
        </w:tc>
        <w:tc>
          <w:tcPr>
            <w:tcW w:w="903" w:type="pct"/>
            <w:vAlign w:val="top"/>
          </w:tcPr>
          <w:p w:rsidR="00084027" w:rsidRPr="00084027" w:rsidRDefault="00084027" w:rsidP="00084027">
            <w:pPr>
              <w:pStyle w:val="AERtabletextright"/>
            </w:pPr>
            <w:r>
              <w:t>(</w:t>
            </w:r>
            <w:r w:rsidRPr="00084027">
              <w:t>4,947)</w:t>
            </w:r>
          </w:p>
        </w:tc>
        <w:tc>
          <w:tcPr>
            <w:tcW w:w="903" w:type="pct"/>
            <w:vAlign w:val="top"/>
          </w:tcPr>
          <w:p w:rsidR="00084027" w:rsidRPr="00084027" w:rsidRDefault="00084027" w:rsidP="00084027">
            <w:pPr>
              <w:pStyle w:val="AERtabletextright"/>
            </w:pPr>
            <w:r>
              <w:t>5</w:t>
            </w:r>
            <w:r w:rsidRPr="00084027">
              <w:t>,956</w:t>
            </w:r>
          </w:p>
        </w:tc>
      </w:tr>
      <w:tr w:rsidR="00084027" w:rsidTr="00084027">
        <w:tc>
          <w:tcPr>
            <w:tcW w:w="3194" w:type="pct"/>
            <w:vAlign w:val="top"/>
          </w:tcPr>
          <w:p w:rsidR="00084027" w:rsidRPr="00084027" w:rsidRDefault="00084027" w:rsidP="00084027">
            <w:r>
              <w:t xml:space="preserve">Interest </w:t>
            </w:r>
            <w:r w:rsidRPr="00084027">
              <w:t>on under/over recovery for year t-2</w:t>
            </w:r>
          </w:p>
        </w:tc>
        <w:tc>
          <w:tcPr>
            <w:tcW w:w="903" w:type="pct"/>
            <w:vAlign w:val="top"/>
          </w:tcPr>
          <w:p w:rsidR="00084027" w:rsidRPr="00084027" w:rsidRDefault="00084027" w:rsidP="00084027">
            <w:pPr>
              <w:pStyle w:val="AERtabletextright"/>
            </w:pPr>
            <w:r>
              <w:t>(</w:t>
            </w:r>
            <w:r w:rsidRPr="00084027">
              <w:t>1,009)</w:t>
            </w:r>
          </w:p>
        </w:tc>
        <w:tc>
          <w:tcPr>
            <w:tcW w:w="903" w:type="pct"/>
            <w:vAlign w:val="top"/>
          </w:tcPr>
          <w:p w:rsidR="00084027" w:rsidRPr="00084027" w:rsidRDefault="00084027" w:rsidP="00084027">
            <w:pPr>
              <w:pStyle w:val="AERtabletextright"/>
            </w:pPr>
            <w:r>
              <w:t>n</w:t>
            </w:r>
            <w:r w:rsidRPr="00084027">
              <w:t>/a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C</w:t>
            </w:r>
            <w:r w:rsidRPr="00084027">
              <w:t>losing Balance</w:t>
            </w:r>
          </w:p>
        </w:tc>
        <w:tc>
          <w:tcPr>
            <w:tcW w:w="903" w:type="pct"/>
            <w:vAlign w:val="top"/>
          </w:tcPr>
          <w:p w:rsidR="00084027" w:rsidRPr="00084027" w:rsidRDefault="00084027" w:rsidP="00084027">
            <w:pPr>
              <w:pStyle w:val="AERtabletextright"/>
            </w:pPr>
            <w:r>
              <w:t>(</w:t>
            </w:r>
            <w:r w:rsidRPr="00084027">
              <w:t>5,956)</w:t>
            </w:r>
          </w:p>
        </w:tc>
        <w:tc>
          <w:tcPr>
            <w:tcW w:w="903" w:type="pct"/>
            <w:vAlign w:val="top"/>
          </w:tcPr>
          <w:p w:rsidR="00084027" w:rsidRPr="00084027" w:rsidRDefault="00084027" w:rsidP="00084027">
            <w:pPr>
              <w:pStyle w:val="AERtabletextright"/>
            </w:pPr>
            <w:r>
              <w:t>0</w:t>
            </w:r>
          </w:p>
        </w:tc>
      </w:tr>
    </w:tbl>
    <w:p w:rsidR="00084027" w:rsidRDefault="00084027" w:rsidP="00084027">
      <w:pPr>
        <w:pStyle w:val="AERtablesource"/>
      </w:pPr>
      <w:r>
        <w:t>(a)</w:t>
      </w:r>
      <w:r>
        <w:tab/>
      </w:r>
      <w:r w:rsidRPr="008C5750">
        <w:t xml:space="preserve">In this example, the regulator agreed that the </w:t>
      </w:r>
      <w:r>
        <w:t xml:space="preserve">distributor </w:t>
      </w:r>
      <w:r w:rsidRPr="008C5750">
        <w:t xml:space="preserve">could </w:t>
      </w:r>
      <w:r>
        <w:t>under recover its revenues by $3.7</w:t>
      </w:r>
      <w:r w:rsidRPr="008C5750">
        <w:t xml:space="preserve"> million in year t–2 due to</w:t>
      </w:r>
      <w:r>
        <w:t xml:space="preserve"> over </w:t>
      </w:r>
      <w:r w:rsidRPr="008C5750">
        <w:t>recoveries in year t–4.</w:t>
      </w:r>
    </w:p>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 w:rsidR="00084027" w:rsidRDefault="00084027" w:rsidP="00084027">
      <w:pPr>
        <w:pStyle w:val="Heading7"/>
      </w:pPr>
      <w:bookmarkStart w:id="105" w:name="_Toc404360470"/>
      <w:bookmarkStart w:id="106" w:name="_Ref409703621"/>
      <w:bookmarkStart w:id="107" w:name="_Ref411263731"/>
      <w:bookmarkStart w:id="108" w:name="_Toc412705990"/>
      <w:bookmarkStart w:id="109" w:name="_Toc413422311"/>
      <w:bookmarkStart w:id="110" w:name="_Ref414260112"/>
      <w:bookmarkStart w:id="111" w:name="_Ref414263247"/>
      <w:bookmarkStart w:id="112" w:name="_Toc417727447"/>
      <w:r>
        <w:lastRenderedPageBreak/>
        <w:t>Reporting on recovery of jurisdictional schemes</w:t>
      </w:r>
      <w:bookmarkEnd w:id="105"/>
      <w:bookmarkEnd w:id="106"/>
      <w:bookmarkEnd w:id="107"/>
      <w:bookmarkEnd w:id="108"/>
      <w:bookmarkEnd w:id="109"/>
      <w:bookmarkEnd w:id="110"/>
      <w:bookmarkEnd w:id="111"/>
      <w:bookmarkEnd w:id="112"/>
    </w:p>
    <w:p w:rsidR="00084027" w:rsidRPr="00354702" w:rsidRDefault="00084027" w:rsidP="00084027">
      <w:pPr>
        <w:pStyle w:val="ListParagraph"/>
        <w:numPr>
          <w:ilvl w:val="0"/>
          <w:numId w:val="24"/>
        </w:numPr>
      </w:pPr>
      <w:r w:rsidRPr="00354702">
        <w:t xml:space="preserve">To demonstrate compliance with </w:t>
      </w:r>
      <w:r>
        <w:t>its</w:t>
      </w:r>
      <w:r w:rsidRPr="00354702">
        <w:t xml:space="preserve"> distribution</w:t>
      </w:r>
      <w:r>
        <w:t xml:space="preserve"> determination</w:t>
      </w:r>
      <w:r w:rsidRPr="00354702">
        <w:t xml:space="preserve"> in the </w:t>
      </w:r>
      <w:r>
        <w:t>2015-2020</w:t>
      </w:r>
      <w:r w:rsidRPr="00354702">
        <w:t xml:space="preserve"> regulatory control period, </w:t>
      </w:r>
      <w:r>
        <w:t>Energex must</w:t>
      </w:r>
      <w:r w:rsidRPr="00354702">
        <w:t xml:space="preserve"> maintain a </w:t>
      </w:r>
      <w:r>
        <w:t>jurisdictional schemes</w:t>
      </w:r>
      <w:r w:rsidRPr="00354702">
        <w:t xml:space="preserve"> unders and overs </w:t>
      </w:r>
      <w:r w:rsidR="0076026C" w:rsidRPr="00354702">
        <w:t>account</w:t>
      </w:r>
      <w:r w:rsidR="0076026C">
        <w:t xml:space="preserve"> in</w:t>
      </w:r>
      <w:r w:rsidRPr="00354702">
        <w:t xml:space="preserve"> </w:t>
      </w:r>
      <w:r>
        <w:t>its</w:t>
      </w:r>
      <w:r w:rsidRPr="00354702">
        <w:t xml:space="preserve"> annual pricin</w:t>
      </w:r>
      <w:r>
        <w:t>g proposal</w:t>
      </w:r>
      <w:r w:rsidRPr="00354702">
        <w:t xml:space="preserve"> under clause 6.18.2(b)(</w:t>
      </w:r>
      <w:r>
        <w:t>6A</w:t>
      </w:r>
      <w:r w:rsidRPr="00354702">
        <w:t xml:space="preserve">) of the NER. </w:t>
      </w:r>
    </w:p>
    <w:p w:rsidR="00084027" w:rsidRPr="00354702" w:rsidRDefault="00084027" w:rsidP="00084027">
      <w:pPr>
        <w:pStyle w:val="ListParagraph"/>
        <w:numPr>
          <w:ilvl w:val="0"/>
          <w:numId w:val="24"/>
        </w:numPr>
      </w:pPr>
      <w:r>
        <w:t>Energex</w:t>
      </w:r>
      <w:r w:rsidRPr="00354702">
        <w:t xml:space="preserve"> must provide the amounts for the following entries in their </w:t>
      </w:r>
      <w:r>
        <w:t>jurisdictional schemes</w:t>
      </w:r>
      <w:r w:rsidRPr="00354702">
        <w:t xml:space="preserve"> unders and overs account for the most recently completed regulatory year (t–2) and the next regulatory year (t):</w:t>
      </w:r>
    </w:p>
    <w:p w:rsidR="00084027" w:rsidRPr="00084027" w:rsidRDefault="00084027" w:rsidP="00084027">
      <w:pPr>
        <w:pStyle w:val="ListNumber"/>
        <w:numPr>
          <w:ilvl w:val="0"/>
          <w:numId w:val="49"/>
        </w:numPr>
      </w:pPr>
      <w:r w:rsidRPr="00354702">
        <w:t xml:space="preserve">opening balance for year t–2 and year t </w:t>
      </w:r>
    </w:p>
    <w:p w:rsidR="00084027" w:rsidRPr="00354702" w:rsidRDefault="00084027" w:rsidP="00084027">
      <w:pPr>
        <w:pStyle w:val="ListNumber"/>
      </w:pPr>
      <w:r w:rsidRPr="00354702">
        <w:t xml:space="preserve">an interest charge for two years on the opening balance in year t–2. This adjustment should be calculated using the approved nominal weighted average cost of capital (WACC). No such charge applies to the opening balance for year t </w:t>
      </w:r>
    </w:p>
    <w:p w:rsidR="00084027" w:rsidRPr="00354702" w:rsidRDefault="00084027" w:rsidP="00084027">
      <w:pPr>
        <w:pStyle w:val="ListNumber"/>
      </w:pPr>
      <w:r w:rsidRPr="00354702">
        <w:t xml:space="preserve">the amount of revenue recovered from </w:t>
      </w:r>
      <w:r>
        <w:t>jurisdictional</w:t>
      </w:r>
      <w:r w:rsidRPr="00354702">
        <w:t xml:space="preserve"> charges in respect of that year, less any under/over adjustment approved by the regulator for year t–2 (in relation to year t–4), less the </w:t>
      </w:r>
      <w:r>
        <w:t xml:space="preserve">jurisdictional schemes payments made by Energex </w:t>
      </w:r>
      <w:r w:rsidRPr="00354702">
        <w:t xml:space="preserve"> for the year in question </w:t>
      </w:r>
    </w:p>
    <w:p w:rsidR="00084027" w:rsidRPr="00354702" w:rsidRDefault="00084027" w:rsidP="00084027">
      <w:pPr>
        <w:pStyle w:val="ListNumber"/>
      </w:pPr>
      <w:r w:rsidRPr="00354702">
        <w:t xml:space="preserve">an interest charge for two years related to the net amount in item 3 for year t–2. This adjustment should be calculated using the approved nominal WACC. No such charge applies to the net amount in item 2 for year t </w:t>
      </w:r>
    </w:p>
    <w:p w:rsidR="00084027" w:rsidRPr="00354702" w:rsidRDefault="00084027" w:rsidP="00084027">
      <w:pPr>
        <w:pStyle w:val="ListNumber"/>
      </w:pPr>
      <w:r w:rsidRPr="00354702">
        <w:t xml:space="preserve">the total of items 1–4 to derive the closing balance for each year. </w:t>
      </w:r>
    </w:p>
    <w:p w:rsidR="00084027" w:rsidRPr="008C5750" w:rsidRDefault="00084027" w:rsidP="00084027">
      <w:r w:rsidRPr="008C5750">
        <w:t xml:space="preserve">Energex must provide details of calculations in the format set out in table C.1. Amounts provided for the most recently completed regulatory year (t–2) must be audited. Amounts for the next regulatory year (t) will be regarded as a forecast. </w:t>
      </w:r>
    </w:p>
    <w:p w:rsidR="00084027" w:rsidRPr="008C5750" w:rsidRDefault="00084027" w:rsidP="00084027">
      <w:r w:rsidRPr="008C5750">
        <w:t xml:space="preserve">In proposing variations to the amount and structure of jurisdictional charges, Energex is to achieve an expected zero balance on its jurisdictional schemes unders and overs accounts at the end of each regulatory year in the next regulatory control period. </w:t>
      </w:r>
    </w:p>
    <w:p w:rsidR="00084027" w:rsidRPr="00586FB9" w:rsidRDefault="00084027" w:rsidP="00084027">
      <w:pPr>
        <w:pStyle w:val="Caption"/>
      </w:pPr>
      <w:r>
        <w:t xml:space="preserve">Table </w:t>
      </w:r>
      <w:r w:rsidRPr="00084027">
        <w:fldChar w:fldCharType="begin"/>
      </w:r>
      <w:r>
        <w:instrText xml:space="preserve"> STYLEREF 1 \s </w:instrText>
      </w:r>
      <w:r w:rsidRPr="00084027">
        <w:fldChar w:fldCharType="separate"/>
      </w:r>
      <w:r w:rsidRPr="00084027">
        <w:t>14</w:t>
      </w:r>
      <w:r w:rsidRPr="00084027">
        <w:fldChar w:fldCharType="end"/>
      </w:r>
      <w:r>
        <w:t>.</w:t>
      </w:r>
      <w:r w:rsidRPr="00084027">
        <w:fldChar w:fldCharType="begin"/>
      </w:r>
      <w:r>
        <w:instrText xml:space="preserve"> SEQ Table \* ARABIC \s 1 </w:instrText>
      </w:r>
      <w:r w:rsidRPr="00084027">
        <w:fldChar w:fldCharType="separate"/>
      </w:r>
      <w:r w:rsidRPr="00084027">
        <w:t>3</w:t>
      </w:r>
      <w:r w:rsidRPr="00084027">
        <w:fldChar w:fldCharType="end"/>
      </w:r>
      <w:r>
        <w:tab/>
        <w:t>Example calculation of jurisdictional schemes unders and overs account ($000, nominal)</w:t>
      </w:r>
    </w:p>
    <w:tbl>
      <w:tblPr>
        <w:tblStyle w:val="AERtable-text0"/>
        <w:tblW w:w="4235" w:type="pct"/>
        <w:tblLook w:val="04A0" w:firstRow="1" w:lastRow="0" w:firstColumn="1" w:lastColumn="0" w:noHBand="0" w:noVBand="1"/>
      </w:tblPr>
      <w:tblGrid>
        <w:gridCol w:w="4703"/>
        <w:gridCol w:w="1330"/>
        <w:gridCol w:w="1330"/>
      </w:tblGrid>
      <w:tr w:rsidR="00084027" w:rsidTr="00D31F95">
        <w:trPr>
          <w:cnfStyle w:val="100000000000" w:firstRow="1" w:lastRow="0" w:firstColumn="0" w:lastColumn="0" w:oddVBand="0" w:evenVBand="0" w:oddHBand="0" w:evenHBand="0" w:firstRowFirstColumn="0" w:firstRowLastColumn="0" w:lastRowFirstColumn="0" w:lastRowLastColumn="0"/>
          <w:tblHeader/>
        </w:trPr>
        <w:tc>
          <w:tcPr>
            <w:tcW w:w="3194" w:type="pct"/>
          </w:tcPr>
          <w:p w:rsidR="00084027" w:rsidRPr="00C366E5" w:rsidRDefault="00084027" w:rsidP="00084027"/>
        </w:tc>
        <w:tc>
          <w:tcPr>
            <w:tcW w:w="903" w:type="pct"/>
            <w:vAlign w:val="top"/>
          </w:tcPr>
          <w:p w:rsidR="00084027" w:rsidRPr="00084027" w:rsidRDefault="00084027" w:rsidP="00084027">
            <w:pPr>
              <w:pStyle w:val="AERtabletextright"/>
            </w:pPr>
            <w:r>
              <w:t>Y</w:t>
            </w:r>
            <w:r w:rsidRPr="00084027">
              <w:t>ear t–2 (actual)</w:t>
            </w:r>
          </w:p>
        </w:tc>
        <w:tc>
          <w:tcPr>
            <w:tcW w:w="903" w:type="pct"/>
            <w:vAlign w:val="top"/>
          </w:tcPr>
          <w:p w:rsidR="00084027" w:rsidRPr="00084027" w:rsidRDefault="00084027" w:rsidP="00084027">
            <w:pPr>
              <w:pStyle w:val="AERtabletextright"/>
            </w:pPr>
            <w:r>
              <w:t>Y</w:t>
            </w:r>
            <w:r w:rsidRPr="00084027">
              <w:t>ear t (forecast)</w:t>
            </w:r>
          </w:p>
        </w:tc>
      </w:tr>
      <w:tr w:rsidR="00084027" w:rsidTr="00084027">
        <w:trPr>
          <w:trHeight w:val="373"/>
        </w:trPr>
        <w:tc>
          <w:tcPr>
            <w:tcW w:w="3194" w:type="pct"/>
            <w:vAlign w:val="top"/>
          </w:tcPr>
          <w:p w:rsidR="00084027" w:rsidRPr="00084027" w:rsidRDefault="00084027" w:rsidP="00084027">
            <w:pPr>
              <w:pStyle w:val="AERtabletextleft"/>
            </w:pPr>
            <w:r w:rsidRPr="00F60FD3">
              <w:t xml:space="preserve">Revenue from </w:t>
            </w:r>
            <w:r w:rsidRPr="00084027">
              <w:t>Jurisdictional charges</w:t>
            </w:r>
          </w:p>
        </w:tc>
        <w:tc>
          <w:tcPr>
            <w:tcW w:w="903" w:type="pct"/>
            <w:vAlign w:val="top"/>
          </w:tcPr>
          <w:p w:rsidR="00084027" w:rsidRPr="00084027" w:rsidRDefault="00084027" w:rsidP="00084027">
            <w:pPr>
              <w:pStyle w:val="AERtabletextright"/>
            </w:pPr>
            <w:r>
              <w:t>296,021</w:t>
            </w:r>
          </w:p>
        </w:tc>
        <w:tc>
          <w:tcPr>
            <w:tcW w:w="903" w:type="pct"/>
            <w:vAlign w:val="top"/>
          </w:tcPr>
          <w:p w:rsidR="00084027" w:rsidRPr="00084027" w:rsidRDefault="00084027" w:rsidP="00084027">
            <w:pPr>
              <w:pStyle w:val="AERtabletextright"/>
            </w:pPr>
            <w:r>
              <w:t>337,688</w:t>
            </w:r>
          </w:p>
        </w:tc>
      </w:tr>
      <w:tr w:rsidR="00084027" w:rsidTr="00084027">
        <w:trPr>
          <w:cnfStyle w:val="000000010000" w:firstRow="0" w:lastRow="0" w:firstColumn="0" w:lastColumn="0" w:oddVBand="0" w:evenVBand="0" w:oddHBand="0" w:evenHBand="1" w:firstRowFirstColumn="0" w:firstRowLastColumn="0" w:lastRowFirstColumn="0" w:lastRowLastColumn="0"/>
          <w:trHeight w:val="373"/>
        </w:trPr>
        <w:tc>
          <w:tcPr>
            <w:tcW w:w="3194" w:type="pct"/>
            <w:vAlign w:val="top"/>
          </w:tcPr>
          <w:p w:rsidR="00084027" w:rsidRPr="00084027" w:rsidRDefault="00084027" w:rsidP="00084027">
            <w:pPr>
              <w:pStyle w:val="TableofFigures"/>
            </w:pPr>
            <w:r>
              <w:t>Less under/over adjustment approved by the regulator for year t-2</w:t>
            </w:r>
          </w:p>
        </w:tc>
        <w:tc>
          <w:tcPr>
            <w:tcW w:w="903" w:type="pct"/>
            <w:vAlign w:val="top"/>
          </w:tcPr>
          <w:p w:rsidR="00084027" w:rsidRPr="00084027" w:rsidRDefault="00084027" w:rsidP="00084027">
            <w:pPr>
              <w:pStyle w:val="AERtabletextright"/>
            </w:pPr>
            <w:r>
              <w:t>(3,717)</w:t>
            </w:r>
            <w:r w:rsidRPr="00084027">
              <w:rPr>
                <w:rStyle w:val="AERsuperscript"/>
              </w:rPr>
              <w:t>a</w:t>
            </w:r>
          </w:p>
        </w:tc>
        <w:tc>
          <w:tcPr>
            <w:tcW w:w="903" w:type="pct"/>
            <w:vAlign w:val="top"/>
          </w:tcPr>
          <w:p w:rsidR="00084027" w:rsidRPr="00084027" w:rsidRDefault="00084027" w:rsidP="00084027">
            <w:pPr>
              <w:pStyle w:val="AERtabletextright"/>
            </w:pPr>
            <w:r>
              <w:t>n/a</w:t>
            </w:r>
          </w:p>
        </w:tc>
      </w:tr>
      <w:tr w:rsidR="00084027" w:rsidRPr="00C61E00" w:rsidTr="00084027">
        <w:tc>
          <w:tcPr>
            <w:tcW w:w="3194" w:type="pct"/>
            <w:vAlign w:val="top"/>
          </w:tcPr>
          <w:p w:rsidR="00084027" w:rsidRPr="00084027" w:rsidRDefault="00084027" w:rsidP="00084027">
            <w:pPr>
              <w:pStyle w:val="TableofFigures"/>
            </w:pPr>
            <w:r>
              <w:t>Less total jurisdictional related payments</w:t>
            </w:r>
          </w:p>
        </w:tc>
        <w:tc>
          <w:tcPr>
            <w:tcW w:w="903" w:type="pct"/>
            <w:vAlign w:val="top"/>
          </w:tcPr>
          <w:p w:rsidR="00084027" w:rsidRPr="00084027" w:rsidRDefault="00084027" w:rsidP="00084027">
            <w:pPr>
              <w:pStyle w:val="AERtabletextright"/>
            </w:pPr>
            <w:r>
              <w:t>304,685</w:t>
            </w:r>
          </w:p>
        </w:tc>
        <w:tc>
          <w:tcPr>
            <w:tcW w:w="903" w:type="pct"/>
            <w:vAlign w:val="top"/>
          </w:tcPr>
          <w:p w:rsidR="00084027" w:rsidRPr="00084027" w:rsidRDefault="00084027" w:rsidP="00084027">
            <w:pPr>
              <w:pStyle w:val="AERtabletextright"/>
            </w:pPr>
            <w:r>
              <w:t>331,732</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Under/over recovery for the regulatory year</w:t>
            </w:r>
          </w:p>
          <w:p w:rsidR="00084027" w:rsidRPr="00A86014" w:rsidRDefault="00084027" w:rsidP="00084027">
            <w:pPr>
              <w:pStyle w:val="Tabletext"/>
            </w:pPr>
          </w:p>
        </w:tc>
        <w:tc>
          <w:tcPr>
            <w:tcW w:w="903" w:type="pct"/>
            <w:vAlign w:val="top"/>
          </w:tcPr>
          <w:p w:rsidR="00084027" w:rsidRPr="00084027" w:rsidRDefault="00084027" w:rsidP="00084027">
            <w:pPr>
              <w:pStyle w:val="AERtabletextright"/>
            </w:pPr>
            <w:r>
              <w:lastRenderedPageBreak/>
              <w:t>(4,947)</w:t>
            </w:r>
          </w:p>
        </w:tc>
        <w:tc>
          <w:tcPr>
            <w:tcW w:w="903" w:type="pct"/>
            <w:vAlign w:val="top"/>
          </w:tcPr>
          <w:p w:rsidR="00084027" w:rsidRPr="00084027" w:rsidRDefault="00084027" w:rsidP="00084027">
            <w:pPr>
              <w:pStyle w:val="AERtabletextright"/>
            </w:pPr>
            <w:r>
              <w:t>5,956</w:t>
            </w:r>
          </w:p>
        </w:tc>
      </w:tr>
      <w:tr w:rsidR="00084027" w:rsidTr="00084027">
        <w:tc>
          <w:tcPr>
            <w:tcW w:w="3194" w:type="pct"/>
            <w:vAlign w:val="top"/>
          </w:tcPr>
          <w:p w:rsidR="00084027" w:rsidRPr="00084027" w:rsidRDefault="00084027" w:rsidP="00084027">
            <w:pPr>
              <w:pStyle w:val="Tabletext"/>
            </w:pPr>
            <w:r>
              <w:lastRenderedPageBreak/>
              <w:t>Jurisdictional Schemes</w:t>
            </w:r>
            <w:r w:rsidRPr="00084027">
              <w:t xml:space="preserve"> Unders and Overs Account</w:t>
            </w:r>
          </w:p>
        </w:tc>
        <w:tc>
          <w:tcPr>
            <w:tcW w:w="903" w:type="pct"/>
            <w:vAlign w:val="top"/>
          </w:tcPr>
          <w:p w:rsidR="00084027" w:rsidRPr="00C61E00" w:rsidRDefault="00084027" w:rsidP="00084027">
            <w:pPr>
              <w:pStyle w:val="AERtabletextright"/>
            </w:pPr>
          </w:p>
        </w:tc>
        <w:tc>
          <w:tcPr>
            <w:tcW w:w="903" w:type="pct"/>
            <w:vAlign w:val="top"/>
          </w:tcPr>
          <w:p w:rsidR="00084027" w:rsidRPr="00C61E00" w:rsidRDefault="00084027" w:rsidP="00084027">
            <w:pPr>
              <w:pStyle w:val="AERtabletextright"/>
            </w:pP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N</w:t>
            </w:r>
            <w:r w:rsidRPr="00084027">
              <w:t>ominal WACC for year t-2</w:t>
            </w:r>
          </w:p>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084027" w:rsidRDefault="00084027" w:rsidP="00084027">
            <w:pPr>
              <w:pStyle w:val="AERtabletextright"/>
            </w:pPr>
            <w:r>
              <w:t>n/a</w:t>
            </w:r>
          </w:p>
        </w:tc>
      </w:tr>
      <w:tr w:rsidR="00084027" w:rsidTr="00084027">
        <w:tc>
          <w:tcPr>
            <w:tcW w:w="3194" w:type="pct"/>
            <w:vAlign w:val="top"/>
          </w:tcPr>
          <w:p w:rsidR="00084027" w:rsidRPr="00084027" w:rsidRDefault="00084027" w:rsidP="00084027">
            <w:r>
              <w:t>N</w:t>
            </w:r>
            <w:r w:rsidRPr="00084027">
              <w:t>ominal WACC for year t-1</w:t>
            </w:r>
          </w:p>
          <w:p w:rsidR="00084027" w:rsidRPr="00C61E00" w:rsidRDefault="00084027" w:rsidP="00084027"/>
        </w:tc>
        <w:tc>
          <w:tcPr>
            <w:tcW w:w="903" w:type="pct"/>
            <w:vAlign w:val="top"/>
          </w:tcPr>
          <w:p w:rsidR="00084027" w:rsidRPr="00084027" w:rsidRDefault="00084027" w:rsidP="00084027">
            <w:pPr>
              <w:pStyle w:val="AERtabletextright"/>
            </w:pPr>
            <w:r>
              <w:t>9</w:t>
            </w:r>
            <w:r w:rsidRPr="00084027">
              <w:t>.72%</w:t>
            </w:r>
          </w:p>
        </w:tc>
        <w:tc>
          <w:tcPr>
            <w:tcW w:w="903" w:type="pct"/>
            <w:vAlign w:val="top"/>
          </w:tcPr>
          <w:p w:rsidR="00084027" w:rsidRPr="00084027" w:rsidRDefault="00084027" w:rsidP="00084027">
            <w:pPr>
              <w:pStyle w:val="AERtabletextright"/>
            </w:pPr>
            <w:r>
              <w:t>n/a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O</w:t>
            </w:r>
            <w:r w:rsidRPr="00084027">
              <w:t>pening balance</w:t>
            </w:r>
          </w:p>
        </w:tc>
        <w:tc>
          <w:tcPr>
            <w:tcW w:w="903" w:type="pct"/>
            <w:vAlign w:val="top"/>
          </w:tcPr>
          <w:p w:rsidR="00084027" w:rsidRPr="00084027" w:rsidRDefault="00084027" w:rsidP="00084027">
            <w:pPr>
              <w:pStyle w:val="AERtabletextright"/>
            </w:pPr>
            <w:r>
              <w:t>0</w:t>
            </w:r>
          </w:p>
        </w:tc>
        <w:tc>
          <w:tcPr>
            <w:tcW w:w="903" w:type="pct"/>
            <w:vAlign w:val="top"/>
          </w:tcPr>
          <w:p w:rsidR="00084027" w:rsidRPr="00084027" w:rsidRDefault="00084027" w:rsidP="00084027">
            <w:pPr>
              <w:pStyle w:val="AERtabletextright"/>
            </w:pPr>
            <w:r>
              <w:t>(5,956)</w:t>
            </w:r>
          </w:p>
        </w:tc>
      </w:tr>
      <w:tr w:rsidR="00084027" w:rsidTr="00084027">
        <w:tc>
          <w:tcPr>
            <w:tcW w:w="3194" w:type="pct"/>
            <w:vAlign w:val="top"/>
          </w:tcPr>
          <w:p w:rsidR="00084027" w:rsidRPr="00084027" w:rsidRDefault="00084027" w:rsidP="00084027">
            <w:r>
              <w:t xml:space="preserve">Interest </w:t>
            </w:r>
            <w:r w:rsidRPr="00084027">
              <w:t>on opening balance</w:t>
            </w:r>
          </w:p>
        </w:tc>
        <w:tc>
          <w:tcPr>
            <w:tcW w:w="903" w:type="pct"/>
            <w:vAlign w:val="top"/>
          </w:tcPr>
          <w:p w:rsidR="00084027" w:rsidRPr="00084027" w:rsidRDefault="00084027" w:rsidP="00084027">
            <w:pPr>
              <w:pStyle w:val="AERtabletextright"/>
            </w:pPr>
            <w:r>
              <w:t>0</w:t>
            </w:r>
          </w:p>
        </w:tc>
        <w:tc>
          <w:tcPr>
            <w:tcW w:w="903" w:type="pct"/>
            <w:vAlign w:val="top"/>
          </w:tcPr>
          <w:p w:rsidR="00084027" w:rsidRPr="00084027" w:rsidRDefault="00084027" w:rsidP="00084027">
            <w:pPr>
              <w:pStyle w:val="AERtabletextright"/>
            </w:pPr>
            <w:r>
              <w:t>n/a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r>
              <w:t>U</w:t>
            </w:r>
            <w:r w:rsidRPr="00084027">
              <w:t xml:space="preserve">nder/over recovery in year t-2 </w:t>
            </w:r>
          </w:p>
        </w:tc>
        <w:tc>
          <w:tcPr>
            <w:tcW w:w="903" w:type="pct"/>
            <w:vAlign w:val="top"/>
          </w:tcPr>
          <w:p w:rsidR="00084027" w:rsidRPr="00084027" w:rsidRDefault="00084027" w:rsidP="00084027">
            <w:pPr>
              <w:pStyle w:val="AERtabletextright"/>
            </w:pPr>
            <w:r>
              <w:t>(4,947)</w:t>
            </w:r>
          </w:p>
        </w:tc>
        <w:tc>
          <w:tcPr>
            <w:tcW w:w="903" w:type="pct"/>
            <w:vAlign w:val="top"/>
          </w:tcPr>
          <w:p w:rsidR="00084027" w:rsidRPr="00084027" w:rsidRDefault="00084027" w:rsidP="00084027">
            <w:pPr>
              <w:pStyle w:val="AERtabletextright"/>
            </w:pPr>
            <w:r>
              <w:t>5,956</w:t>
            </w:r>
          </w:p>
        </w:tc>
      </w:tr>
      <w:tr w:rsidR="00084027" w:rsidTr="00084027">
        <w:tc>
          <w:tcPr>
            <w:tcW w:w="3194" w:type="pct"/>
            <w:vAlign w:val="top"/>
          </w:tcPr>
          <w:p w:rsidR="00084027" w:rsidRPr="00084027" w:rsidRDefault="00084027" w:rsidP="00084027">
            <w:r>
              <w:t xml:space="preserve">Interest </w:t>
            </w:r>
            <w:r w:rsidRPr="00084027">
              <w:t>on under/over recovery for year t-2</w:t>
            </w:r>
          </w:p>
        </w:tc>
        <w:tc>
          <w:tcPr>
            <w:tcW w:w="903" w:type="pct"/>
            <w:vAlign w:val="top"/>
          </w:tcPr>
          <w:p w:rsidR="00084027" w:rsidRPr="00084027" w:rsidRDefault="00084027" w:rsidP="00084027">
            <w:pPr>
              <w:pStyle w:val="AERtabletextright"/>
            </w:pPr>
            <w:r>
              <w:t>(1,009)</w:t>
            </w:r>
          </w:p>
        </w:tc>
        <w:tc>
          <w:tcPr>
            <w:tcW w:w="903" w:type="pct"/>
            <w:vAlign w:val="top"/>
          </w:tcPr>
          <w:p w:rsidR="00084027" w:rsidRPr="00084027" w:rsidRDefault="00084027" w:rsidP="00084027">
            <w:pPr>
              <w:pStyle w:val="AERtabletextright"/>
            </w:pPr>
            <w:r>
              <w:t>n/a</w:t>
            </w:r>
          </w:p>
        </w:tc>
      </w:tr>
      <w:tr w:rsidR="00084027" w:rsidTr="00084027">
        <w:trPr>
          <w:cnfStyle w:val="000000010000" w:firstRow="0" w:lastRow="0" w:firstColumn="0" w:lastColumn="0" w:oddVBand="0" w:evenVBand="0" w:oddHBand="0" w:evenHBand="1" w:firstRowFirstColumn="0" w:firstRowLastColumn="0" w:lastRowFirstColumn="0" w:lastRowLastColumn="0"/>
        </w:trPr>
        <w:tc>
          <w:tcPr>
            <w:tcW w:w="3194" w:type="pct"/>
            <w:vAlign w:val="top"/>
          </w:tcPr>
          <w:p w:rsidR="00084027" w:rsidRPr="00084027" w:rsidRDefault="00084027" w:rsidP="00084027">
            <w:pPr>
              <w:pStyle w:val="Tabletext"/>
            </w:pPr>
            <w:r>
              <w:t>C</w:t>
            </w:r>
            <w:r w:rsidRPr="00084027">
              <w:t>losing Balance</w:t>
            </w:r>
          </w:p>
        </w:tc>
        <w:tc>
          <w:tcPr>
            <w:tcW w:w="903" w:type="pct"/>
            <w:vAlign w:val="top"/>
          </w:tcPr>
          <w:p w:rsidR="00084027" w:rsidRPr="00084027" w:rsidRDefault="00084027" w:rsidP="00084027">
            <w:pPr>
              <w:pStyle w:val="AERtabletextright"/>
            </w:pPr>
            <w:r>
              <w:t>(5,956)</w:t>
            </w:r>
          </w:p>
        </w:tc>
        <w:tc>
          <w:tcPr>
            <w:tcW w:w="903" w:type="pct"/>
            <w:vAlign w:val="top"/>
          </w:tcPr>
          <w:p w:rsidR="00084027" w:rsidRPr="00084027" w:rsidRDefault="00084027" w:rsidP="00084027">
            <w:pPr>
              <w:pStyle w:val="AERtabletextright"/>
            </w:pPr>
            <w:r>
              <w:t>0</w:t>
            </w:r>
          </w:p>
        </w:tc>
      </w:tr>
    </w:tbl>
    <w:p w:rsidR="00084027" w:rsidRPr="00586FB9" w:rsidRDefault="00084027" w:rsidP="00084027">
      <w:pPr>
        <w:pStyle w:val="AERtablesource"/>
      </w:pPr>
      <w:r>
        <w:t>(a)</w:t>
      </w:r>
      <w:r>
        <w:tab/>
      </w:r>
      <w:r w:rsidRPr="008C5750">
        <w:t xml:space="preserve">In this example, the regulator agreed that the </w:t>
      </w:r>
      <w:r>
        <w:t xml:space="preserve">distributor </w:t>
      </w:r>
      <w:r w:rsidRPr="008C5750">
        <w:t xml:space="preserve">could </w:t>
      </w:r>
      <w:r>
        <w:t>under recover its revenues by $3.7</w:t>
      </w:r>
      <w:r w:rsidRPr="008C5750">
        <w:t xml:space="preserve"> million in year t–2 due to</w:t>
      </w:r>
      <w:r>
        <w:t xml:space="preserve"> over </w:t>
      </w:r>
      <w:r w:rsidRPr="008C5750">
        <w:t>recoveries in year t–4.</w:t>
      </w:r>
    </w:p>
    <w:p w:rsidR="00084027" w:rsidRPr="00084027" w:rsidRDefault="00084027" w:rsidP="00084027">
      <w:r>
        <w:br w:type="page"/>
      </w:r>
    </w:p>
    <w:p w:rsidR="00084027" w:rsidRDefault="00084027" w:rsidP="00084027">
      <w:pPr>
        <w:pStyle w:val="Heading7"/>
      </w:pPr>
      <w:bookmarkStart w:id="113" w:name="_Ref414260125"/>
      <w:bookmarkStart w:id="114" w:name="_Toc417727448"/>
      <w:r>
        <w:lastRenderedPageBreak/>
        <w:t>Assigning retail customers to tariff classes</w:t>
      </w:r>
      <w:bookmarkEnd w:id="113"/>
      <w:bookmarkEnd w:id="114"/>
    </w:p>
    <w:p w:rsidR="00084027" w:rsidRPr="003B352B" w:rsidRDefault="00084027" w:rsidP="00084027">
      <w:r w:rsidRPr="00016B42">
        <w:rPr>
          <w:rStyle w:val="AERbody"/>
        </w:rPr>
        <w:t>We are required to decide on the principles governing assignment or reassignment of retail customers to</w:t>
      </w:r>
      <w:r>
        <w:t xml:space="preserve"> or between </w:t>
      </w:r>
      <w:r w:rsidRPr="00016B42">
        <w:rPr>
          <w:rStyle w:val="AERbody"/>
        </w:rPr>
        <w:t>tariff classes</w:t>
      </w:r>
      <w:r>
        <w:t>.</w:t>
      </w:r>
      <w:r>
        <w:rPr>
          <w:rStyle w:val="FootnoteReference"/>
        </w:rPr>
        <w:footnoteReference w:id="44"/>
      </w:r>
      <w:r>
        <w:t xml:space="preserve"> </w:t>
      </w:r>
      <w:r w:rsidRPr="00016B42">
        <w:t>There is no requirement on Energex to propose such procedures and consequently we must develop the required procedure.</w:t>
      </w:r>
      <w:r w:rsidRPr="003B352B">
        <w:t xml:space="preserve"> </w:t>
      </w:r>
    </w:p>
    <w:p w:rsidR="00084027" w:rsidRPr="00016B42" w:rsidRDefault="00084027" w:rsidP="00084027">
      <w:pPr>
        <w:pStyle w:val="Heading8"/>
      </w:pPr>
      <w:bookmarkStart w:id="115" w:name="_Toc417727374"/>
      <w:bookmarkStart w:id="116" w:name="_Toc417727449"/>
      <w:r>
        <w:t>AER's approach</w:t>
      </w:r>
      <w:bookmarkEnd w:id="115"/>
      <w:bookmarkEnd w:id="116"/>
    </w:p>
    <w:p w:rsidR="00084027" w:rsidRDefault="00084027" w:rsidP="00084027">
      <w:pPr>
        <w:numPr>
          <w:ilvl w:val="0"/>
          <w:numId w:val="25"/>
        </w:numPr>
      </w:pPr>
      <w:r>
        <w:t>We apply the principles set out in clause 6.18.4(a) of the NER when formulating the provisions which Energex must apply with assignment or re-assigning retail customers to tariff classes. A distributor's decision to assign a retail customer to a particular tariff class or to re-assign a retail customer from one tariff class to another should be subject to an effective system of assessment and review.</w:t>
      </w:r>
      <w:r>
        <w:rPr>
          <w:rStyle w:val="FootnoteReference"/>
        </w:rPr>
        <w:footnoteReference w:id="45"/>
      </w:r>
    </w:p>
    <w:p w:rsidR="00084027" w:rsidRPr="00016B42" w:rsidRDefault="00084027" w:rsidP="00084027">
      <w:pPr>
        <w:pStyle w:val="Heading8"/>
      </w:pPr>
      <w:bookmarkStart w:id="117" w:name="_Toc417727375"/>
      <w:bookmarkStart w:id="118" w:name="_Toc417727450"/>
      <w:r>
        <w:t>Reasons for preliminary decision</w:t>
      </w:r>
      <w:bookmarkEnd w:id="117"/>
      <w:bookmarkEnd w:id="118"/>
    </w:p>
    <w:p w:rsidR="00084027" w:rsidRPr="00016B42" w:rsidRDefault="00084027" w:rsidP="00084027">
      <w:r w:rsidRPr="00016B42">
        <w:t>The following procedures governing assignment or reassignment of retail customers to tariff classes will apply for Energex. Its regulatory proposal did contain an effective system of assessment and review</w:t>
      </w:r>
      <w:r w:rsidRPr="00016B42">
        <w:rPr>
          <w:rStyle w:val="FootnoteReference"/>
        </w:rPr>
        <w:footnoteReference w:id="46"/>
      </w:r>
      <w:r w:rsidRPr="00016B42">
        <w:t xml:space="preserve"> when it decides to assign a customer to a particular tariff class, or to re-assign a customer from one tariff class to another.</w:t>
      </w:r>
      <w:r w:rsidRPr="00016B42">
        <w:rPr>
          <w:rStyle w:val="FootnoteReference"/>
        </w:rPr>
        <w:footnoteReference w:id="47"/>
      </w:r>
      <w:r w:rsidRPr="00016B42">
        <w:t xml:space="preserve"> </w:t>
      </w:r>
    </w:p>
    <w:p w:rsidR="00084027" w:rsidRDefault="00084027" w:rsidP="00084027">
      <w:r w:rsidRPr="00016B42">
        <w:t>We consider that an effective internal review system should clearly set out the process of escalation and</w:t>
      </w:r>
      <w:r>
        <w:t xml:space="preserve"> the review system should</w:t>
      </w:r>
      <w:r w:rsidRPr="00016B42">
        <w:t xml:space="preserve"> be visible and transparent to users. A well</w:t>
      </w:r>
      <w:r>
        <w:t>–</w:t>
      </w:r>
      <w:r w:rsidRPr="00016B42">
        <w:t xml:space="preserve">documented </w:t>
      </w:r>
      <w:r>
        <w:t xml:space="preserve">and </w:t>
      </w:r>
      <w:r w:rsidRPr="00016B42">
        <w:t xml:space="preserve">transparent system is necessary for an effective system of review. </w:t>
      </w:r>
    </w:p>
    <w:p w:rsidR="00084027" w:rsidRDefault="00084027" w:rsidP="00084027">
      <w:r w:rsidRPr="00016B42">
        <w:t xml:space="preserve">An effective system of assessment and review under clause 6.18.4(a)(4) may, apart from providing for internal review, also include an effective external system of review as the next step in the process of escalation. The assignment or reassignment of a customer to a tariff class has a direct impact on the price the customer will be charged for direct control services. </w:t>
      </w:r>
    </w:p>
    <w:p w:rsidR="00084027" w:rsidRPr="00016B42" w:rsidRDefault="00084027" w:rsidP="00084027">
      <w:r w:rsidRPr="00016B42">
        <w:t xml:space="preserve">Customers dissatisfied by a decision of the internal review process should have access to </w:t>
      </w:r>
      <w:r>
        <w:t>an</w:t>
      </w:r>
      <w:r w:rsidRPr="00016B42">
        <w:t xml:space="preserve"> external review body. In our last decision for Queensland distribution determinations we recognised the Queensland Water and Energy Ombudsman as the external review body for small retail customers.</w:t>
      </w:r>
      <w:r w:rsidRPr="00016B42">
        <w:rPr>
          <w:rStyle w:val="FootnoteReference"/>
        </w:rPr>
        <w:footnoteReference w:id="48"/>
      </w:r>
    </w:p>
    <w:p w:rsidR="00084027" w:rsidRPr="00016B42" w:rsidRDefault="00084027" w:rsidP="00084027">
      <w:r w:rsidRPr="00016B42">
        <w:t xml:space="preserve">In the event of a dispute between a distributor and a customer about assignment or reassignment of a customer to a tariff class, </w:t>
      </w:r>
      <w:r>
        <w:t>the</w:t>
      </w:r>
      <w:r w:rsidRPr="00016B42">
        <w:t xml:space="preserve"> dispute may be able to be referred us </w:t>
      </w:r>
      <w:r w:rsidRPr="00016B42">
        <w:lastRenderedPageBreak/>
        <w:t>in accordance with Part 10 of the NEL and clause 6.22.1 of the NER.</w:t>
      </w:r>
      <w:r w:rsidRPr="00016B42">
        <w:rPr>
          <w:rStyle w:val="FootnoteReference"/>
        </w:rPr>
        <w:footnoteReference w:id="49"/>
      </w:r>
      <w:r w:rsidRPr="00016B42">
        <w:t xml:space="preserve"> We have included in Energex’s procedure for assigning customers to tariff classes </w:t>
      </w:r>
      <w:r>
        <w:t xml:space="preserve">a requirement </w:t>
      </w:r>
      <w:r w:rsidRPr="00016B42">
        <w:t xml:space="preserve">that the distributor must inform customers of the availability of the dispute resolution mechanism under Part 10 of the NEL. </w:t>
      </w:r>
    </w:p>
    <w:p w:rsidR="00084027" w:rsidRPr="00016B42" w:rsidRDefault="00084027" w:rsidP="00084027">
      <w:pPr>
        <w:pStyle w:val="Heading8"/>
      </w:pPr>
      <w:bookmarkStart w:id="119" w:name="_Toc417727376"/>
      <w:bookmarkStart w:id="120" w:name="_Toc417727451"/>
      <w:r w:rsidRPr="00016B42">
        <w:t>Energex’s proposal</w:t>
      </w:r>
      <w:bookmarkEnd w:id="119"/>
      <w:bookmarkEnd w:id="120"/>
    </w:p>
    <w:p w:rsidR="00084027" w:rsidRPr="00016B42" w:rsidRDefault="00084027" w:rsidP="00084027">
      <w:r w:rsidRPr="00016B42">
        <w:t>Energex’s regulatory proposal planned to group customers into three tariff classes:</w:t>
      </w:r>
    </w:p>
    <w:p w:rsidR="00084027" w:rsidRPr="00016B42" w:rsidRDefault="00084027" w:rsidP="00084027">
      <w:pPr>
        <w:pStyle w:val="AERbulletlistfirststyle"/>
      </w:pPr>
      <w:r>
        <w:t>Individually</w:t>
      </w:r>
      <w:r w:rsidRPr="00016B42">
        <w:t xml:space="preserve"> Calculated Customers (ICC)</w:t>
      </w:r>
    </w:p>
    <w:p w:rsidR="00084027" w:rsidRPr="00016B42" w:rsidRDefault="00084027" w:rsidP="00084027">
      <w:pPr>
        <w:pStyle w:val="AERbulletlistfirststyle"/>
      </w:pPr>
      <w:r>
        <w:t>Connection</w:t>
      </w:r>
      <w:r w:rsidRPr="00016B42">
        <w:t xml:space="preserve"> Asset Customers (CAC)</w:t>
      </w:r>
    </w:p>
    <w:p w:rsidR="00084027" w:rsidRPr="00016B42" w:rsidRDefault="00084027" w:rsidP="00084027">
      <w:pPr>
        <w:pStyle w:val="AERbulletlistfirststyle"/>
      </w:pPr>
      <w:r>
        <w:t>Standard</w:t>
      </w:r>
      <w:r w:rsidRPr="00016B42">
        <w:t xml:space="preserve"> Asset Customer (SAC)</w:t>
      </w:r>
      <w:r>
        <w:t>.</w:t>
      </w:r>
      <w:r>
        <w:rPr>
          <w:rStyle w:val="FootnoteReference"/>
        </w:rPr>
        <w:footnoteReference w:id="50"/>
      </w:r>
      <w:r w:rsidRPr="00016B42">
        <w:t xml:space="preserve"> </w:t>
      </w:r>
    </w:p>
    <w:p w:rsidR="00084027" w:rsidRPr="00016B42" w:rsidRDefault="00084027" w:rsidP="00084027">
      <w:pPr>
        <w:pStyle w:val="Heading8"/>
      </w:pPr>
      <w:bookmarkStart w:id="121" w:name="_Toc417727377"/>
      <w:bookmarkStart w:id="122" w:name="_Toc417727452"/>
      <w:r>
        <w:t>Procedures for assigning or reassigning retail customers to tariff classes</w:t>
      </w:r>
      <w:bookmarkEnd w:id="121"/>
      <w:bookmarkEnd w:id="122"/>
    </w:p>
    <w:p w:rsidR="00084027" w:rsidRDefault="00084027" w:rsidP="00084027">
      <w:r>
        <w:t>The procedures outlined in this section apply to all direct control services.</w:t>
      </w:r>
    </w:p>
    <w:p w:rsidR="00084027" w:rsidRPr="00D31F95" w:rsidRDefault="00084027" w:rsidP="00D31F95">
      <w:pPr>
        <w:pStyle w:val="HeadingBoldItalic"/>
        <w:rPr>
          <w:rStyle w:val="Strong"/>
          <w:b/>
          <w:bCs/>
        </w:rPr>
      </w:pPr>
      <w:r w:rsidRPr="00D31F95">
        <w:rPr>
          <w:rStyle w:val="Strong"/>
          <w:b/>
          <w:bCs/>
        </w:rPr>
        <w:t>Assignment of existing retail customers to tariff classes at the commencement of the forthcoming regulatory control period</w:t>
      </w:r>
    </w:p>
    <w:p w:rsidR="00084027" w:rsidRDefault="00084027" w:rsidP="00084027">
      <w:pPr>
        <w:pStyle w:val="ListNumber"/>
        <w:numPr>
          <w:ilvl w:val="1"/>
          <w:numId w:val="25"/>
        </w:numPr>
      </w:pPr>
      <w:r>
        <w:t>Energex’s retail customers will be taken to be “assigned” to the tariff class which Energex was charging that retail customer immediately prior to 1 July 2015 if:</w:t>
      </w:r>
    </w:p>
    <w:p w:rsidR="00084027" w:rsidRPr="00016B42" w:rsidRDefault="00084027" w:rsidP="00084027">
      <w:pPr>
        <w:pStyle w:val="AERbulletlistfirststyle"/>
      </w:pPr>
      <w:r>
        <w:t xml:space="preserve">they were an </w:t>
      </w:r>
      <w:r w:rsidRPr="00016B42">
        <w:t>Energex retail customer prior to 1 July 2015</w:t>
      </w:r>
    </w:p>
    <w:p w:rsidR="00084027" w:rsidRPr="00016B42" w:rsidRDefault="00084027" w:rsidP="00084027">
      <w:pPr>
        <w:pStyle w:val="AERbulletlistfirststyle"/>
      </w:pPr>
      <w:r>
        <w:t xml:space="preserve">they continue to be a retail customer of </w:t>
      </w:r>
      <w:r w:rsidRPr="00016B42">
        <w:t>Energex as at 1 July 2015.</w:t>
      </w:r>
    </w:p>
    <w:p w:rsidR="00084027" w:rsidRPr="00D31F95" w:rsidRDefault="00084027" w:rsidP="00D31F95">
      <w:pPr>
        <w:pStyle w:val="HeadingBoldItalic"/>
        <w:rPr>
          <w:rStyle w:val="Strong"/>
          <w:b/>
          <w:bCs/>
        </w:rPr>
      </w:pPr>
      <w:r w:rsidRPr="00D31F95">
        <w:rPr>
          <w:rStyle w:val="Strong"/>
          <w:b/>
          <w:bCs/>
        </w:rPr>
        <w:t>Assignment of new retail customers to a tariff class during the forthcoming regulatory control period</w:t>
      </w:r>
    </w:p>
    <w:p w:rsidR="00084027" w:rsidRDefault="00084027" w:rsidP="00084027">
      <w:pPr>
        <w:pStyle w:val="ListNumber"/>
        <w:numPr>
          <w:ilvl w:val="1"/>
          <w:numId w:val="25"/>
        </w:numPr>
      </w:pPr>
      <w:r>
        <w:t>If, after 1 July 2015, Energex becomes aware that a person will become a retail customer of Energex, then Energex must determine the tariff class to which the new retail customer will be assigned.</w:t>
      </w:r>
    </w:p>
    <w:p w:rsidR="00084027" w:rsidRDefault="00084027" w:rsidP="00084027">
      <w:pPr>
        <w:pStyle w:val="ListNumber"/>
        <w:numPr>
          <w:ilvl w:val="1"/>
          <w:numId w:val="25"/>
        </w:numPr>
      </w:pPr>
      <w:r>
        <w:t>In determining the tariff class to which a retail customer or potential retail customer will be assigned, or reassigned, in accordance with paragraphs 2 or 5 of this section, Energex must take into account one or more of the following factors:</w:t>
      </w:r>
      <w:r>
        <w:rPr>
          <w:rStyle w:val="FootnoteReference"/>
        </w:rPr>
        <w:footnoteReference w:id="51"/>
      </w:r>
      <w:r>
        <w:t xml:space="preserve"> </w:t>
      </w:r>
    </w:p>
    <w:p w:rsidR="00084027" w:rsidRDefault="00084027" w:rsidP="00084027">
      <w:pPr>
        <w:pStyle w:val="AERnumberedlistsecondstyle"/>
        <w:numPr>
          <w:ilvl w:val="2"/>
          <w:numId w:val="25"/>
        </w:numPr>
      </w:pPr>
      <w:r>
        <w:t>the nature and extent of the retail customer’s usage</w:t>
      </w:r>
    </w:p>
    <w:p w:rsidR="00084027" w:rsidRDefault="00084027" w:rsidP="00084027">
      <w:pPr>
        <w:pStyle w:val="AERnumberedlistsecondstyle"/>
        <w:numPr>
          <w:ilvl w:val="2"/>
          <w:numId w:val="25"/>
        </w:numPr>
      </w:pPr>
      <w:r>
        <w:lastRenderedPageBreak/>
        <w:t>the nature of the retail customer’s connection to the network</w:t>
      </w:r>
      <w:r>
        <w:rPr>
          <w:rStyle w:val="FootnoteReference"/>
        </w:rPr>
        <w:footnoteReference w:id="52"/>
      </w:r>
      <w:r>
        <w:t xml:space="preserve">   </w:t>
      </w:r>
    </w:p>
    <w:p w:rsidR="00084027" w:rsidRDefault="00084027" w:rsidP="00084027">
      <w:pPr>
        <w:pStyle w:val="AERnumberedlistsecondstyle"/>
        <w:numPr>
          <w:ilvl w:val="2"/>
          <w:numId w:val="25"/>
        </w:numPr>
      </w:pPr>
      <w:r>
        <w:t>whether remotely-read interval metering or other similar metering technology has been installed at the retail customer's premises as a result of a regulatory obligation or requirement.</w:t>
      </w:r>
    </w:p>
    <w:p w:rsidR="00084027" w:rsidRDefault="00084027" w:rsidP="00084027">
      <w:pPr>
        <w:pStyle w:val="ListNumber"/>
        <w:numPr>
          <w:ilvl w:val="1"/>
          <w:numId w:val="25"/>
        </w:numPr>
      </w:pPr>
      <w:r>
        <w:t>In addition to the requirements of paragraph 3 above, Energex, when assigning or reassigning a retail customer to a tariff class, must ensure:</w:t>
      </w:r>
    </w:p>
    <w:p w:rsidR="00084027" w:rsidRDefault="00084027" w:rsidP="00084027">
      <w:pPr>
        <w:pStyle w:val="AERnumberedlistsecondstyle"/>
        <w:numPr>
          <w:ilvl w:val="2"/>
          <w:numId w:val="25"/>
        </w:numPr>
      </w:pPr>
      <w:r>
        <w:t>retail customers with similar connection and usage profiles are treated equally</w:t>
      </w:r>
      <w:r>
        <w:rPr>
          <w:rStyle w:val="FootnoteReference"/>
        </w:rPr>
        <w:footnoteReference w:id="53"/>
      </w:r>
      <w:r>
        <w:t xml:space="preserve"> </w:t>
      </w:r>
    </w:p>
    <w:p w:rsidR="00084027" w:rsidRDefault="00084027" w:rsidP="00084027">
      <w:pPr>
        <w:pStyle w:val="AERnumberedlistsecondstyle"/>
        <w:numPr>
          <w:ilvl w:val="2"/>
          <w:numId w:val="25"/>
        </w:numPr>
      </w:pPr>
      <w:r>
        <w:t>retail customers who have micro–generation facilities are not treated less favourably than retail customers with similar load profiles without such facilities.</w:t>
      </w:r>
      <w:r>
        <w:rPr>
          <w:rStyle w:val="FootnoteReference"/>
        </w:rPr>
        <w:footnoteReference w:id="54"/>
      </w:r>
      <w:r>
        <w:t xml:space="preserve"> </w:t>
      </w:r>
    </w:p>
    <w:p w:rsidR="00084027" w:rsidRPr="00D31F95" w:rsidRDefault="00084027" w:rsidP="00D31F95">
      <w:pPr>
        <w:pStyle w:val="HeadingBoldItalic"/>
        <w:rPr>
          <w:rStyle w:val="Strong"/>
          <w:b/>
          <w:bCs/>
        </w:rPr>
      </w:pPr>
      <w:r w:rsidRPr="00D31F95">
        <w:rPr>
          <w:rStyle w:val="Strong"/>
          <w:b/>
          <w:bCs/>
        </w:rPr>
        <w:t>Reassignment of existing retail customers to another existing or a new tariff during the next regulatory control period</w:t>
      </w:r>
    </w:p>
    <w:p w:rsidR="00084027" w:rsidRDefault="00084027" w:rsidP="00084027">
      <w:pPr>
        <w:pStyle w:val="ListNumber"/>
        <w:numPr>
          <w:ilvl w:val="1"/>
          <w:numId w:val="25"/>
        </w:numPr>
      </w:pPr>
      <w:r>
        <w:t>Energex may reassign a retail customer to another tariff class if the existing retail customer's load characteristics or connection characteristics (or both) have changed such that it is no longer appropriate for that retail customer to be assigned to the tariff class to which the retail customer is currently assigned or a retail customer no longer has the same or materially similar load or connection characteristics as other retail customers on the retail customer’s existing tariff class, then it may reassign that retail customer to another tariff class. In determining the tariff class to which a retail customer will be reassigned, Energex must take into account paragraphs 3 and 4 above.</w:t>
      </w:r>
    </w:p>
    <w:p w:rsidR="00084027" w:rsidRPr="00D31F95" w:rsidRDefault="00084027" w:rsidP="00D31F95">
      <w:pPr>
        <w:pStyle w:val="HeadingBoldItalic"/>
        <w:rPr>
          <w:rStyle w:val="Strong"/>
          <w:b/>
          <w:bCs/>
        </w:rPr>
      </w:pPr>
      <w:r w:rsidRPr="00D31F95">
        <w:rPr>
          <w:rStyle w:val="Strong"/>
          <w:b/>
          <w:bCs/>
        </w:rPr>
        <w:t>Objections to proposed assignments and reassignments</w:t>
      </w:r>
    </w:p>
    <w:p w:rsidR="00084027" w:rsidRDefault="00084027" w:rsidP="00084027">
      <w:pPr>
        <w:pStyle w:val="ListNumber"/>
        <w:numPr>
          <w:ilvl w:val="1"/>
          <w:numId w:val="25"/>
        </w:numPr>
      </w:pPr>
      <w:r>
        <w:t>Energex must notify a customer's retailer in writing of the tariff class to which the customer's retailer has been assigned or reassigned, prior to the assignment or reassignment occurring.</w:t>
      </w:r>
    </w:p>
    <w:p w:rsidR="00084027" w:rsidRDefault="00084027" w:rsidP="00084027">
      <w:pPr>
        <w:pStyle w:val="ListNumber"/>
        <w:numPr>
          <w:ilvl w:val="1"/>
          <w:numId w:val="25"/>
        </w:numPr>
      </w:pPr>
      <w:r>
        <w:t>A notice under paragraph 6 above must include advice informing the customer's retailer that they may request further information from Energex and that the customer's retailer may object to the proposed reassignment. This notice must specifically include:</w:t>
      </w:r>
    </w:p>
    <w:p w:rsidR="00084027" w:rsidRDefault="00084027" w:rsidP="00084027">
      <w:pPr>
        <w:pStyle w:val="AERnumberedlistsecondstyle"/>
        <w:numPr>
          <w:ilvl w:val="2"/>
          <w:numId w:val="25"/>
        </w:numPr>
      </w:pPr>
      <w:r>
        <w:t>a written document describing Energex’s internal procedures for reviewing objections, if the customer's retailer provides express consent, a soft copy of such information may be provided via email</w:t>
      </w:r>
    </w:p>
    <w:p w:rsidR="00084027" w:rsidRDefault="00084027" w:rsidP="00084027">
      <w:pPr>
        <w:pStyle w:val="AERnumberedlistsecondstyle"/>
        <w:numPr>
          <w:ilvl w:val="2"/>
          <w:numId w:val="25"/>
        </w:numPr>
      </w:pPr>
      <w:r>
        <w:t xml:space="preserve">that if the objection is not resolved to the satisfaction of the customer's retailer under Energex’s internal review system within a reasonable timeframe, then, to the extent resolution of such disputes are within the jurisdiction of the Energy </w:t>
      </w:r>
      <w:r>
        <w:lastRenderedPageBreak/>
        <w:t>and Water Ombudsman or like officer, the customer's retailer is entitled to escalate the matter to such a body</w:t>
      </w:r>
    </w:p>
    <w:p w:rsidR="00084027" w:rsidRDefault="00084027" w:rsidP="00084027">
      <w:pPr>
        <w:pStyle w:val="AERnumberedlistsecondstyle"/>
        <w:numPr>
          <w:ilvl w:val="2"/>
          <w:numId w:val="25"/>
        </w:numPr>
      </w:pPr>
      <w:r>
        <w:t>that if the objection is not resolved to the satisfaction of the customer's retailer under Energex’s internal review system and the body noted in clause 7.b. above, then the customer's retailer is entitled to seek a decision of the AER via the dispute resolution process available under Part 10 of the NEL.</w:t>
      </w:r>
    </w:p>
    <w:p w:rsidR="00084027" w:rsidRDefault="00084027" w:rsidP="00084027">
      <w:pPr>
        <w:pStyle w:val="ListNumber"/>
        <w:numPr>
          <w:ilvl w:val="1"/>
          <w:numId w:val="25"/>
        </w:numPr>
      </w:pPr>
      <w:r>
        <w:t>If, in response to a notice issued in accordance with paragraph 7 above, Energex receives a request for further information from a customer's retailer, then it must provide such information within a reasonable timeframe. If Energex reasonably claims confidentiality over any of the information requested by the customer's retailer, then it is not required to provide that information to the customer's retailer. If the customer's retailer disagrees with such confidentiality claims, he or she may have resort to the dispute resolution procedures referred to in section 7above (as modified for a confidentiality dispute)</w:t>
      </w:r>
      <w:r w:rsidRPr="00EF0886">
        <w:t>.</w:t>
      </w:r>
    </w:p>
    <w:p w:rsidR="00084027" w:rsidRDefault="00084027" w:rsidP="00084027">
      <w:pPr>
        <w:pStyle w:val="ListNumber"/>
        <w:numPr>
          <w:ilvl w:val="1"/>
          <w:numId w:val="25"/>
        </w:numPr>
      </w:pPr>
      <w:r>
        <w:t>If, in response to a notice issued in accordance with paragraph 7 above, a customer's retailer makes an objection to Energex about the proposed assignment or reassignment, Energex must reconsider the proposed assignment or reassignment. In doing so Energex must take into consideration the factors in paragraphs 3 and 4 above, and notify the customer's retailer in writing of its decision and the reasons for that decision.</w:t>
      </w:r>
    </w:p>
    <w:p w:rsidR="00084027" w:rsidRDefault="00084027" w:rsidP="00084027">
      <w:pPr>
        <w:pStyle w:val="ListNumber"/>
        <w:numPr>
          <w:ilvl w:val="1"/>
          <w:numId w:val="25"/>
        </w:numPr>
      </w:pPr>
      <w:r>
        <w:t>If a customer's retailer’s objection to a tariff class assignment or reassignment is upheld by the relevant body noted in paragraph 7 b and c above, then any adjustment which needs to be made to tariffs will be done by Energex as part of the next annual review of prices.</w:t>
      </w:r>
    </w:p>
    <w:p w:rsidR="00084027" w:rsidRDefault="00084027" w:rsidP="00084027">
      <w:pPr>
        <w:pStyle w:val="ListNumber"/>
        <w:numPr>
          <w:ilvl w:val="1"/>
          <w:numId w:val="25"/>
        </w:numPr>
      </w:pPr>
      <w:r>
        <w:t xml:space="preserve">If a customer's retailer objects to Energex’s tariff class assignment Energex must provide the information set out in paragraph 7 above and adopt and comply with the arrangements set out in paragraphs 8, 9 and 10 above in respect of requests for further information by the customer's retailer and resolution of the objection. </w:t>
      </w:r>
    </w:p>
    <w:p w:rsidR="00084027" w:rsidRPr="00D31F95" w:rsidRDefault="00084027" w:rsidP="00D31F95">
      <w:pPr>
        <w:pStyle w:val="HeadingBoldItalic"/>
        <w:rPr>
          <w:rStyle w:val="Strong"/>
          <w:b/>
          <w:bCs/>
        </w:rPr>
      </w:pPr>
      <w:r w:rsidRPr="00D31F95">
        <w:rPr>
          <w:rStyle w:val="Strong"/>
          <w:b/>
          <w:bCs/>
        </w:rPr>
        <w:t>System of assessment and review of the basis on which a retail customer is charged</w:t>
      </w:r>
    </w:p>
    <w:p w:rsidR="00CB0279" w:rsidRPr="00290C63" w:rsidRDefault="00084027" w:rsidP="00084027">
      <w:pPr>
        <w:pStyle w:val="ListNumber"/>
        <w:numPr>
          <w:ilvl w:val="0"/>
          <w:numId w:val="0"/>
        </w:numPr>
      </w:pPr>
      <w:r>
        <w:t>Where the charging parameters for a particular tariff result in a basis of charge varies according to the retail customer’s usage or load profile, Energex must set out in its annual pricing proposal a method by which it will review and assess the basis on which a retail customer is charged.</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27" w:rsidRPr="00290C63" w:rsidRDefault="00084027" w:rsidP="00290C63">
      <w:r>
        <w:separator/>
      </w:r>
    </w:p>
    <w:p w:rsidR="00084027" w:rsidRDefault="00084027"/>
  </w:endnote>
  <w:endnote w:type="continuationSeparator" w:id="0">
    <w:p w:rsidR="00084027" w:rsidRPr="00290C63" w:rsidRDefault="00084027" w:rsidP="00290C63">
      <w:r>
        <w:continuationSeparator/>
      </w:r>
    </w:p>
    <w:p w:rsidR="00084027" w:rsidRDefault="0008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27" w:rsidRPr="00290C63" w:rsidRDefault="0008402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84027" w:rsidRDefault="00084027"/>
  <w:p w:rsidR="00084027" w:rsidRDefault="00084027"/>
  <w:p w:rsidR="00084027" w:rsidRDefault="00084027"/>
  <w:p w:rsidR="00084027" w:rsidRDefault="00084027"/>
  <w:p w:rsidR="00084027" w:rsidRDefault="00084027"/>
  <w:p w:rsidR="00084027" w:rsidRDefault="00084027"/>
  <w:p w:rsidR="00084027" w:rsidRDefault="000840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084027" w:rsidRDefault="00084027">
        <w:pPr>
          <w:pStyle w:val="Footer"/>
        </w:pPr>
        <w:r>
          <w:t>14-</w:t>
        </w:r>
        <w:r>
          <w:fldChar w:fldCharType="begin"/>
        </w:r>
        <w:r>
          <w:instrText xml:space="preserve"> PAGE   \* MERGEFORMAT </w:instrText>
        </w:r>
        <w:r>
          <w:fldChar w:fldCharType="separate"/>
        </w:r>
        <w:r w:rsidR="001E348D">
          <w:rPr>
            <w:noProof/>
          </w:rPr>
          <w:t>21</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Energex</w:t>
        </w:r>
        <w:r>
          <w:rPr>
            <w:rFonts w:cs="Gautami"/>
            <w:noProof/>
          </w:rPr>
          <w:t xml:space="preserve"> determination 2015–20</w:t>
        </w:r>
      </w:p>
    </w:sdtContent>
  </w:sdt>
  <w:p w:rsidR="00084027" w:rsidRDefault="00084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27" w:rsidRPr="00290C63" w:rsidRDefault="0008402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84027" w:rsidRDefault="00084027">
    <w:pPr>
      <w:pStyle w:val="Footer"/>
    </w:pPr>
  </w:p>
  <w:p w:rsidR="00084027" w:rsidRDefault="00084027"/>
  <w:p w:rsidR="00084027" w:rsidRDefault="00084027"/>
  <w:p w:rsidR="00084027" w:rsidRDefault="00084027"/>
  <w:p w:rsidR="00084027" w:rsidRDefault="00084027"/>
  <w:p w:rsidR="00084027" w:rsidRDefault="00084027"/>
  <w:p w:rsidR="00084027" w:rsidRDefault="00084027"/>
  <w:p w:rsidR="00084027" w:rsidRDefault="000840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27" w:rsidRPr="00290C63" w:rsidRDefault="00084027" w:rsidP="00290C63">
      <w:r>
        <w:separator/>
      </w:r>
    </w:p>
    <w:p w:rsidR="00084027" w:rsidRDefault="00084027"/>
  </w:footnote>
  <w:footnote w:type="continuationSeparator" w:id="0">
    <w:p w:rsidR="00084027" w:rsidRPr="00290C63" w:rsidRDefault="00084027" w:rsidP="00290C63">
      <w:r>
        <w:continuationSeparator/>
      </w:r>
    </w:p>
    <w:p w:rsidR="00084027" w:rsidRDefault="00084027"/>
  </w:footnote>
  <w:footnote w:id="1">
    <w:p w:rsidR="00084027" w:rsidRDefault="00084027" w:rsidP="00084027">
      <w:pPr>
        <w:pStyle w:val="FootnoteText"/>
      </w:pPr>
      <w:r>
        <w:rPr>
          <w:rStyle w:val="FootnoteReference"/>
        </w:rPr>
        <w:footnoteRef/>
      </w:r>
      <w:r>
        <w:t xml:space="preserve"> </w:t>
      </w:r>
      <w:r>
        <w:tab/>
      </w:r>
      <w:proofErr w:type="gramStart"/>
      <w:r>
        <w:t>NER, clause 6.2.6(a).</w:t>
      </w:r>
      <w:proofErr w:type="gramEnd"/>
    </w:p>
  </w:footnote>
  <w:footnote w:id="2">
    <w:p w:rsidR="00084027" w:rsidRDefault="00084027" w:rsidP="00084027">
      <w:pPr>
        <w:pStyle w:val="FootnoteText"/>
      </w:pPr>
      <w:r>
        <w:rPr>
          <w:rStyle w:val="FootnoteReference"/>
        </w:rPr>
        <w:footnoteRef/>
      </w:r>
      <w:r>
        <w:t xml:space="preserve"> </w:t>
      </w:r>
      <w:r>
        <w:tab/>
        <w:t>NER, cl 6.12.1(13).</w:t>
      </w:r>
    </w:p>
  </w:footnote>
  <w:footnote w:id="3">
    <w:p w:rsidR="00084027" w:rsidRDefault="00084027" w:rsidP="00084027">
      <w:pPr>
        <w:pStyle w:val="FootnoteText"/>
      </w:pPr>
      <w:r>
        <w:rPr>
          <w:rStyle w:val="FootnoteReference"/>
        </w:rPr>
        <w:footnoteRef/>
      </w:r>
      <w:r>
        <w:t xml:space="preserve"> </w:t>
      </w:r>
      <w:r>
        <w:tab/>
        <w:t xml:space="preserve">NER, cl </w:t>
      </w:r>
      <w:r w:rsidRPr="00A14046">
        <w:t>6.12.1</w:t>
      </w:r>
      <w:r>
        <w:t>(11).</w:t>
      </w:r>
    </w:p>
  </w:footnote>
  <w:footnote w:id="4">
    <w:p w:rsidR="00084027" w:rsidRDefault="00084027" w:rsidP="00084027">
      <w:pPr>
        <w:pStyle w:val="FootnoteText"/>
      </w:pPr>
      <w:r>
        <w:rPr>
          <w:rStyle w:val="FootnoteReference"/>
        </w:rPr>
        <w:footnoteRef/>
      </w:r>
      <w:r>
        <w:t xml:space="preserve"> </w:t>
      </w:r>
      <w:r>
        <w:tab/>
        <w:t>NER, cl 6.12.1(19) and 6.12.1(20).</w:t>
      </w:r>
    </w:p>
  </w:footnote>
  <w:footnote w:id="5">
    <w:p w:rsidR="00084027" w:rsidRDefault="00084027" w:rsidP="00084027">
      <w:pPr>
        <w:pStyle w:val="FootnoteText"/>
      </w:pPr>
      <w:r>
        <w:rPr>
          <w:rStyle w:val="FootnoteReference"/>
        </w:rPr>
        <w:footnoteRef/>
      </w:r>
      <w:r>
        <w:t xml:space="preserve"> </w:t>
      </w:r>
      <w:r>
        <w:tab/>
        <w:t xml:space="preserve">NER, cl 6.12.1(17). </w:t>
      </w:r>
    </w:p>
  </w:footnote>
  <w:footnote w:id="6">
    <w:p w:rsidR="00084027" w:rsidRDefault="00084027" w:rsidP="00084027">
      <w:pPr>
        <w:pStyle w:val="FootnoteText"/>
      </w:pPr>
      <w:r>
        <w:rPr>
          <w:rStyle w:val="FootnoteReference"/>
        </w:rPr>
        <w:footnoteRef/>
      </w:r>
      <w:r>
        <w:t xml:space="preserve"> </w:t>
      </w:r>
      <w:r>
        <w:tab/>
      </w:r>
      <w:r w:rsidRPr="007A6A5D">
        <w:t xml:space="preserve">AER, </w:t>
      </w:r>
      <w:r w:rsidRPr="007A6A5D">
        <w:rPr>
          <w:rStyle w:val="AERtextitalic"/>
        </w:rPr>
        <w:t>Final framework and approach for Energex and Ergon Energy: Regulatory control period commencing 1 July 2015</w:t>
      </w:r>
      <w:r w:rsidRPr="007A6A5D">
        <w:t>, April 2014, p. 52;</w:t>
      </w:r>
      <w:r>
        <w:t xml:space="preserve"> Energex</w:t>
      </w:r>
      <w:r w:rsidRPr="009503B1">
        <w:t xml:space="preserve">, </w:t>
      </w:r>
      <w:r>
        <w:rPr>
          <w:rStyle w:val="AERtextitalic"/>
        </w:rPr>
        <w:t>R</w:t>
      </w:r>
      <w:r w:rsidRPr="00DA2343">
        <w:rPr>
          <w:rStyle w:val="AERtextitalic"/>
        </w:rPr>
        <w:t xml:space="preserve">egulatory proposal </w:t>
      </w:r>
      <w:r>
        <w:rPr>
          <w:rStyle w:val="AERtextitalic"/>
        </w:rPr>
        <w:t>July 2015 to June 2020</w:t>
      </w:r>
      <w:r w:rsidRPr="009503B1">
        <w:t>,</w:t>
      </w:r>
      <w:r>
        <w:t xml:space="preserve"> 31</w:t>
      </w:r>
      <w:r w:rsidRPr="009503B1">
        <w:t xml:space="preserve"> </w:t>
      </w:r>
      <w:r>
        <w:t>October</w:t>
      </w:r>
      <w:r w:rsidRPr="009503B1">
        <w:t xml:space="preserve"> 2014, p. </w:t>
      </w:r>
      <w:r>
        <w:t>73.</w:t>
      </w:r>
    </w:p>
  </w:footnote>
  <w:footnote w:id="7">
    <w:p w:rsidR="00084027" w:rsidRDefault="00084027" w:rsidP="00084027">
      <w:pPr>
        <w:pStyle w:val="FootnoteText"/>
      </w:pPr>
      <w:r>
        <w:rPr>
          <w:rStyle w:val="FootnoteReference"/>
        </w:rPr>
        <w:footnoteRef/>
      </w:r>
      <w:r>
        <w:t xml:space="preserve"> </w:t>
      </w:r>
      <w:r>
        <w:tab/>
      </w:r>
      <w:r w:rsidRPr="007A6A5D">
        <w:t>NER, cl 6.12.1(11).</w:t>
      </w:r>
    </w:p>
  </w:footnote>
  <w:footnote w:id="8">
    <w:p w:rsidR="00084027" w:rsidRDefault="00084027" w:rsidP="00084027">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084027" w:rsidRDefault="00084027" w:rsidP="00084027">
      <w:pPr>
        <w:pStyle w:val="FootnoteText"/>
      </w:pPr>
      <w:r>
        <w:rPr>
          <w:rStyle w:val="FootnoteReference"/>
        </w:rPr>
        <w:footnoteRef/>
      </w:r>
      <w:r>
        <w:t xml:space="preserve"> </w:t>
      </w:r>
      <w:r>
        <w:tab/>
        <w:t xml:space="preserve">Energex, </w:t>
      </w:r>
      <w:r w:rsidRPr="005B4158">
        <w:rPr>
          <w:rStyle w:val="AERtextitalic"/>
        </w:rPr>
        <w:t>Regulatory proposal</w:t>
      </w:r>
      <w:r>
        <w:t>, October 2014, p. 73.</w:t>
      </w:r>
    </w:p>
  </w:footnote>
  <w:footnote w:id="10">
    <w:p w:rsidR="00084027" w:rsidRDefault="00084027" w:rsidP="00084027">
      <w:pPr>
        <w:pStyle w:val="FootnoteText"/>
      </w:pPr>
      <w:r>
        <w:rPr>
          <w:rStyle w:val="FootnoteReference"/>
        </w:rPr>
        <w:footnoteRef/>
      </w:r>
      <w:r>
        <w:t xml:space="preserve"> </w:t>
      </w:r>
      <w:r>
        <w:tab/>
        <w:t xml:space="preserve">Energex, </w:t>
      </w:r>
      <w:r w:rsidRPr="005B4158">
        <w:rPr>
          <w:rStyle w:val="AERtextitalic"/>
        </w:rPr>
        <w:t>Regulatory proposal</w:t>
      </w:r>
      <w:r>
        <w:t>, October 2014, pp. 73–74.</w:t>
      </w:r>
    </w:p>
  </w:footnote>
  <w:footnote w:id="11">
    <w:p w:rsidR="00084027" w:rsidRDefault="00084027" w:rsidP="00084027">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13 and 54.</w:t>
      </w:r>
    </w:p>
  </w:footnote>
  <w:footnote w:id="12">
    <w:p w:rsidR="00084027" w:rsidRDefault="00084027" w:rsidP="00084027">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63—64.</w:t>
      </w:r>
    </w:p>
  </w:footnote>
  <w:footnote w:id="13">
    <w:p w:rsidR="00084027" w:rsidRDefault="00084027" w:rsidP="00084027">
      <w:pPr>
        <w:pStyle w:val="FootnoteText"/>
      </w:pPr>
      <w:r>
        <w:rPr>
          <w:rStyle w:val="FootnoteReference"/>
        </w:rPr>
        <w:footnoteRef/>
      </w:r>
      <w:r>
        <w:t xml:space="preserve"> </w:t>
      </w:r>
      <w:r>
        <w:tab/>
        <w:t xml:space="preserve">AER, </w:t>
      </w:r>
      <w:r>
        <w:rPr>
          <w:rStyle w:val="AERtextitalic"/>
        </w:rPr>
        <w:t>Framework and approach paper</w:t>
      </w:r>
      <w:r>
        <w:t>, April 2014, p. 63.</w:t>
      </w:r>
    </w:p>
  </w:footnote>
  <w:footnote w:id="14">
    <w:p w:rsidR="00084027" w:rsidRDefault="00084027" w:rsidP="00084027">
      <w:pPr>
        <w:pStyle w:val="FootnoteText"/>
      </w:pPr>
      <w:r>
        <w:rPr>
          <w:rStyle w:val="FootnoteReference"/>
        </w:rPr>
        <w:footnoteRef/>
      </w:r>
      <w:r>
        <w:t xml:space="preserve"> </w:t>
      </w:r>
      <w:r>
        <w:tab/>
        <w:t>NER, cl 6.8.1(b)(2)(ii).</w:t>
      </w:r>
    </w:p>
  </w:footnote>
  <w:footnote w:id="15">
    <w:p w:rsidR="00084027" w:rsidRDefault="00084027" w:rsidP="00084027">
      <w:pPr>
        <w:pStyle w:val="FootnoteText"/>
      </w:pPr>
      <w:r>
        <w:rPr>
          <w:rStyle w:val="FootnoteReference"/>
        </w:rPr>
        <w:footnoteRef/>
      </w:r>
      <w:r>
        <w:t xml:space="preserve"> </w:t>
      </w:r>
      <w:r>
        <w:tab/>
        <w:t>The final F&amp;A included the term 'total revenue' (TR) in the revenue cap formula. In the NER, the term 'total revenue' generally refers to revenue for an entire regulatory control period. To avoid confusion, this preliminary decision uses 'total annual revenue'.</w:t>
      </w:r>
    </w:p>
  </w:footnote>
  <w:footnote w:id="16">
    <w:p w:rsidR="00084027" w:rsidRDefault="00084027" w:rsidP="00084027">
      <w:pPr>
        <w:pStyle w:val="FootnoteText"/>
      </w:pPr>
      <w:r>
        <w:rPr>
          <w:rStyle w:val="FootnoteReference"/>
        </w:rPr>
        <w:footnoteRef/>
      </w:r>
      <w:r>
        <w:t xml:space="preserve"> </w:t>
      </w:r>
      <w:r>
        <w:tab/>
        <w:t>NER, cl 6.12.1(11).</w:t>
      </w:r>
    </w:p>
  </w:footnote>
  <w:footnote w:id="17">
    <w:p w:rsidR="00084027" w:rsidRDefault="00084027" w:rsidP="00084027">
      <w:pPr>
        <w:pStyle w:val="FootnoteText"/>
      </w:pPr>
      <w:r>
        <w:rPr>
          <w:rStyle w:val="FootnoteReference"/>
        </w:rPr>
        <w:footnoteRef/>
      </w:r>
      <w:r>
        <w:t xml:space="preserve"> </w:t>
      </w:r>
      <w:r>
        <w:tab/>
        <w:t xml:space="preserve">Energex, </w:t>
      </w:r>
      <w:r w:rsidRPr="005B4158">
        <w:rPr>
          <w:rStyle w:val="AERtextitalic"/>
        </w:rPr>
        <w:t>Regulatory proposal</w:t>
      </w:r>
      <w:r>
        <w:t>, October 2014, p. 215.</w:t>
      </w:r>
    </w:p>
  </w:footnote>
  <w:footnote w:id="18">
    <w:p w:rsidR="00084027" w:rsidRDefault="00084027" w:rsidP="00084027">
      <w:pPr>
        <w:pStyle w:val="FootnoteText"/>
      </w:pPr>
      <w:r>
        <w:rPr>
          <w:rStyle w:val="FootnoteReference"/>
        </w:rPr>
        <w:footnoteRef/>
      </w:r>
      <w:r>
        <w:t xml:space="preserve"> </w:t>
      </w:r>
      <w:r>
        <w:tab/>
        <w:t xml:space="preserve">AER, </w:t>
      </w:r>
      <w:r w:rsidRPr="00810BA7">
        <w:rPr>
          <w:rStyle w:val="AERtextitalic"/>
        </w:rPr>
        <w:t>Demand management incentive scheme: Energex, Ergon Energy and ETSA Utilities 2010–15</w:t>
      </w:r>
      <w:r>
        <w:t xml:space="preserve">, </w:t>
      </w:r>
      <w:r w:rsidRPr="00DD240F">
        <w:t>October 2008</w:t>
      </w:r>
      <w:r>
        <w:t>, p. 8.</w:t>
      </w:r>
    </w:p>
  </w:footnote>
  <w:footnote w:id="19">
    <w:p w:rsidR="00084027" w:rsidRDefault="00084027" w:rsidP="00084027">
      <w:pPr>
        <w:pStyle w:val="FootnoteText"/>
      </w:pPr>
      <w:r>
        <w:rPr>
          <w:rStyle w:val="FootnoteReference"/>
        </w:rPr>
        <w:footnoteRef/>
      </w:r>
      <w:r>
        <w:t xml:space="preserve"> </w:t>
      </w:r>
      <w:r>
        <w:tab/>
        <w:t xml:space="preserve">Energex, </w:t>
      </w:r>
      <w:r>
        <w:rPr>
          <w:rStyle w:val="AERtextitalic"/>
        </w:rPr>
        <w:t>R</w:t>
      </w:r>
      <w:r w:rsidRPr="00DA2343">
        <w:rPr>
          <w:rStyle w:val="AERtextitalic"/>
        </w:rPr>
        <w:t xml:space="preserve">egulatory proposal </w:t>
      </w:r>
      <w:r>
        <w:rPr>
          <w:rStyle w:val="AERtextitalic"/>
        </w:rPr>
        <w:t>July 2015 to June 2020</w:t>
      </w:r>
      <w:r w:rsidRPr="009503B1">
        <w:t>,</w:t>
      </w:r>
      <w:r>
        <w:t xml:space="preserve"> 31</w:t>
      </w:r>
      <w:r w:rsidRPr="009503B1">
        <w:t xml:space="preserve"> </w:t>
      </w:r>
      <w:r>
        <w:t>October</w:t>
      </w:r>
      <w:r w:rsidRPr="009503B1">
        <w:t xml:space="preserve"> 2014</w:t>
      </w:r>
      <w:r>
        <w:t>, p. 215.</w:t>
      </w:r>
    </w:p>
  </w:footnote>
  <w:footnote w:id="20">
    <w:p w:rsidR="00084027" w:rsidRDefault="00084027" w:rsidP="00084027">
      <w:pPr>
        <w:pStyle w:val="FootnoteText"/>
      </w:pPr>
      <w:r>
        <w:rPr>
          <w:rStyle w:val="FootnoteReference"/>
        </w:rPr>
        <w:footnoteRef/>
      </w:r>
      <w:r>
        <w:t xml:space="preserve"> </w:t>
      </w:r>
      <w:r>
        <w:tab/>
        <w:t xml:space="preserve">Energex, </w:t>
      </w:r>
      <w:r w:rsidRPr="003B2120">
        <w:rPr>
          <w:rStyle w:val="AERtextitalic"/>
        </w:rPr>
        <w:t>Response: AER EGX 054 – Control mechanism</w:t>
      </w:r>
      <w:r>
        <w:t>, 26 March 2015, p. 2.</w:t>
      </w:r>
    </w:p>
  </w:footnote>
  <w:footnote w:id="21">
    <w:p w:rsidR="00084027" w:rsidRDefault="00084027" w:rsidP="00084027">
      <w:pPr>
        <w:pStyle w:val="FootnoteText"/>
      </w:pPr>
      <w:r>
        <w:rPr>
          <w:rStyle w:val="FootnoteReference"/>
        </w:rPr>
        <w:footnoteRef/>
      </w:r>
      <w:r>
        <w:t xml:space="preserve"> </w:t>
      </w:r>
      <w:r>
        <w:tab/>
        <w:t xml:space="preserve">Energex, </w:t>
      </w:r>
      <w:r w:rsidRPr="00D633F6">
        <w:rPr>
          <w:rStyle w:val="AERtextitalic"/>
        </w:rPr>
        <w:t>Response: AER EGX 054 – Control mechanism</w:t>
      </w:r>
      <w:r>
        <w:t>, 26 March 2015, p. 2.</w:t>
      </w:r>
    </w:p>
  </w:footnote>
  <w:footnote w:id="22">
    <w:p w:rsidR="00084027" w:rsidRDefault="00084027" w:rsidP="00084027">
      <w:pPr>
        <w:pStyle w:val="FootnoteText"/>
      </w:pPr>
      <w:r>
        <w:rPr>
          <w:rStyle w:val="FootnoteReference"/>
        </w:rPr>
        <w:footnoteRef/>
      </w:r>
      <w:r>
        <w:t xml:space="preserve"> </w:t>
      </w:r>
      <w:r>
        <w:tab/>
        <w:t>NER, cl 11.16.10 and 11.16.3.</w:t>
      </w:r>
    </w:p>
  </w:footnote>
  <w:footnote w:id="23">
    <w:p w:rsidR="00084027" w:rsidRDefault="00084027" w:rsidP="00084027">
      <w:pPr>
        <w:pStyle w:val="FootnoteText"/>
      </w:pPr>
      <w:r>
        <w:rPr>
          <w:rStyle w:val="FootnoteReference"/>
        </w:rPr>
        <w:footnoteRef/>
      </w:r>
      <w:r>
        <w:t xml:space="preserve"> </w:t>
      </w:r>
      <w:r>
        <w:tab/>
        <w:t xml:space="preserve">Energex, </w:t>
      </w:r>
      <w:r>
        <w:rPr>
          <w:rStyle w:val="AERtextitalic"/>
        </w:rPr>
        <w:t>R</w:t>
      </w:r>
      <w:r w:rsidRPr="00DA2343">
        <w:rPr>
          <w:rStyle w:val="AERtextitalic"/>
        </w:rPr>
        <w:t xml:space="preserve">egulatory proposal </w:t>
      </w:r>
      <w:r>
        <w:rPr>
          <w:rStyle w:val="AERtextitalic"/>
        </w:rPr>
        <w:t>July 2015 to June 2020</w:t>
      </w:r>
      <w:r w:rsidRPr="009503B1">
        <w:t>,</w:t>
      </w:r>
      <w:r>
        <w:t xml:space="preserve"> 31</w:t>
      </w:r>
      <w:r w:rsidRPr="009503B1">
        <w:t xml:space="preserve"> </w:t>
      </w:r>
      <w:r>
        <w:t>October</w:t>
      </w:r>
      <w:r w:rsidRPr="009503B1">
        <w:t xml:space="preserve"> 2014</w:t>
      </w:r>
      <w:r>
        <w:t>, p. 74.</w:t>
      </w:r>
    </w:p>
  </w:footnote>
  <w:footnote w:id="24">
    <w:p w:rsidR="00084027" w:rsidRDefault="00084027" w:rsidP="00084027">
      <w:pPr>
        <w:pStyle w:val="FootnoteText"/>
      </w:pPr>
      <w:r>
        <w:rPr>
          <w:rStyle w:val="FootnoteReference"/>
        </w:rPr>
        <w:footnoteRef/>
      </w:r>
      <w:r>
        <w:t xml:space="preserve"> </w:t>
      </w:r>
      <w:r>
        <w:tab/>
        <w:t xml:space="preserve">Energex, </w:t>
      </w:r>
      <w:r>
        <w:rPr>
          <w:rStyle w:val="AERtextitalic"/>
        </w:rPr>
        <w:t>R</w:t>
      </w:r>
      <w:r w:rsidRPr="00DA2343">
        <w:rPr>
          <w:rStyle w:val="AERtextitalic"/>
        </w:rPr>
        <w:t xml:space="preserve">egulatory proposal </w:t>
      </w:r>
      <w:r>
        <w:rPr>
          <w:rStyle w:val="AERtextitalic"/>
        </w:rPr>
        <w:t>July 2015 to June 2020</w:t>
      </w:r>
      <w:r w:rsidRPr="009503B1">
        <w:t>,</w:t>
      </w:r>
      <w:r>
        <w:t xml:space="preserve"> 31</w:t>
      </w:r>
      <w:r w:rsidRPr="009503B1">
        <w:t xml:space="preserve"> </w:t>
      </w:r>
      <w:r>
        <w:t>October</w:t>
      </w:r>
      <w:r w:rsidRPr="009503B1">
        <w:t xml:space="preserve"> 2014</w:t>
      </w:r>
      <w:r>
        <w:t>, p. 211.</w:t>
      </w:r>
    </w:p>
  </w:footnote>
  <w:footnote w:id="25">
    <w:p w:rsidR="00084027" w:rsidRDefault="00084027" w:rsidP="00084027">
      <w:pPr>
        <w:pStyle w:val="FootnoteText"/>
      </w:pPr>
      <w:r>
        <w:rPr>
          <w:rStyle w:val="FootnoteReference"/>
        </w:rPr>
        <w:footnoteRef/>
      </w:r>
      <w:r>
        <w:t xml:space="preserve"> </w:t>
      </w:r>
      <w:r>
        <w:tab/>
        <w:t xml:space="preserve">AER, </w:t>
      </w:r>
      <w:r>
        <w:rPr>
          <w:rStyle w:val="AERtextitalic"/>
        </w:rPr>
        <w:t>Framework and approach paper</w:t>
      </w:r>
      <w:r>
        <w:t>, April 2014, p. 64.</w:t>
      </w:r>
    </w:p>
  </w:footnote>
  <w:footnote w:id="26">
    <w:p w:rsidR="00084027" w:rsidRDefault="00084027" w:rsidP="00084027">
      <w:pPr>
        <w:pStyle w:val="FootnoteText"/>
      </w:pPr>
      <w:r>
        <w:rPr>
          <w:rStyle w:val="FootnoteReference"/>
        </w:rPr>
        <w:footnoteRef/>
      </w:r>
      <w:r>
        <w:t xml:space="preserve"> </w:t>
      </w:r>
      <w:r>
        <w:tab/>
        <w:t xml:space="preserve">Energex, </w:t>
      </w:r>
      <w:r w:rsidRPr="005B4158">
        <w:rPr>
          <w:rStyle w:val="AERtextitalic"/>
        </w:rPr>
        <w:t>Regulatory proposal</w:t>
      </w:r>
      <w:r>
        <w:t>, October 2014, p. 219.</w:t>
      </w:r>
    </w:p>
  </w:footnote>
  <w:footnote w:id="27">
    <w:p w:rsidR="00084027" w:rsidRDefault="00084027" w:rsidP="00084027">
      <w:pPr>
        <w:pStyle w:val="FootnoteText"/>
      </w:pPr>
      <w:r>
        <w:rPr>
          <w:rStyle w:val="FootnoteReference"/>
        </w:rPr>
        <w:footnoteRef/>
      </w:r>
      <w:r>
        <w:t xml:space="preserve"> </w:t>
      </w:r>
      <w:r>
        <w:tab/>
        <w:t xml:space="preserve">Energex, </w:t>
      </w:r>
      <w:r w:rsidRPr="00D60A38">
        <w:rPr>
          <w:rStyle w:val="AERtextitalic"/>
        </w:rPr>
        <w:t>Regulatory proposal: June 2015 to June 2020</w:t>
      </w:r>
      <w:r>
        <w:t>, 31 October 2014, pp. 215–216.</w:t>
      </w:r>
    </w:p>
  </w:footnote>
  <w:footnote w:id="28">
    <w:p w:rsidR="00084027" w:rsidRDefault="00084027" w:rsidP="00084027">
      <w:pPr>
        <w:pStyle w:val="FootnoteText"/>
      </w:pPr>
      <w:r>
        <w:rPr>
          <w:rStyle w:val="FootnoteReference"/>
        </w:rPr>
        <w:footnoteRef/>
      </w:r>
      <w:r>
        <w:t xml:space="preserve"> </w:t>
      </w:r>
      <w:r>
        <w:tab/>
        <w:t>NER, cl 6.18.5(a).</w:t>
      </w:r>
    </w:p>
  </w:footnote>
  <w:footnote w:id="29">
    <w:p w:rsidR="00084027" w:rsidRDefault="00084027" w:rsidP="00084027">
      <w:pPr>
        <w:pStyle w:val="FootnoteText"/>
      </w:pPr>
      <w:r>
        <w:rPr>
          <w:rStyle w:val="FootnoteReference"/>
        </w:rPr>
        <w:footnoteRef/>
      </w:r>
      <w:r>
        <w:t xml:space="preserve"> </w:t>
      </w:r>
      <w:r>
        <w:tab/>
        <w:t>NER, cl 6.18.5(g)(3).</w:t>
      </w:r>
    </w:p>
  </w:footnote>
  <w:footnote w:id="30">
    <w:p w:rsidR="00084027" w:rsidRDefault="00084027" w:rsidP="00084027">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18, 150–151.</w:t>
      </w:r>
    </w:p>
  </w:footnote>
  <w:footnote w:id="31">
    <w:p w:rsidR="00084027" w:rsidRDefault="00084027" w:rsidP="00084027">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110, 149–150.</w:t>
      </w:r>
    </w:p>
  </w:footnote>
  <w:footnote w:id="32">
    <w:p w:rsidR="00084027" w:rsidRDefault="00084027" w:rsidP="00084027">
      <w:pPr>
        <w:pStyle w:val="FootnoteText"/>
      </w:pPr>
      <w:r>
        <w:rPr>
          <w:rStyle w:val="FootnoteReference"/>
        </w:rPr>
        <w:footnoteRef/>
      </w:r>
      <w:r>
        <w:t xml:space="preserve"> </w:t>
      </w:r>
      <w:r>
        <w:tab/>
        <w:t xml:space="preserve">ACCC, </w:t>
      </w:r>
      <w:r w:rsidRPr="007B6FB6">
        <w:rPr>
          <w:rStyle w:val="AERtextitalic"/>
        </w:rPr>
        <w:t>Final decision on State Water pricing application: 2014–15 — 2016–17</w:t>
      </w:r>
      <w:r>
        <w:t>, June 2014, pp. 11–13.</w:t>
      </w:r>
    </w:p>
  </w:footnote>
  <w:footnote w:id="33">
    <w:p w:rsidR="00084027" w:rsidRDefault="00084027" w:rsidP="00084027">
      <w:pPr>
        <w:pStyle w:val="FootnoteText"/>
      </w:pPr>
      <w:r>
        <w:rPr>
          <w:rStyle w:val="FootnoteReference"/>
        </w:rPr>
        <w:footnoteRef/>
      </w:r>
      <w:r>
        <w:t xml:space="preserve"> </w:t>
      </w:r>
      <w:r>
        <w:tab/>
      </w:r>
      <w:r w:rsidRPr="007316D4">
        <w:t>Water Charge (Infrastructure) Rules 2010, rule 37(2)</w:t>
      </w:r>
    </w:p>
  </w:footnote>
  <w:footnote w:id="34">
    <w:p w:rsidR="00084027" w:rsidRDefault="00084027" w:rsidP="00084027">
      <w:pPr>
        <w:pStyle w:val="FootnoteText"/>
      </w:pPr>
      <w:r>
        <w:rPr>
          <w:rStyle w:val="FootnoteReference"/>
        </w:rPr>
        <w:footnoteRef/>
      </w:r>
      <w:r>
        <w:t xml:space="preserve"> </w:t>
      </w:r>
      <w:r>
        <w:tab/>
        <w:t>NER, cl 6.18.5(e) to 6.18.5(g).</w:t>
      </w:r>
    </w:p>
  </w:footnote>
  <w:footnote w:id="35">
    <w:p w:rsidR="00084027" w:rsidRDefault="00084027" w:rsidP="00084027">
      <w:pPr>
        <w:pStyle w:val="FootnoteText"/>
      </w:pPr>
      <w:r>
        <w:rPr>
          <w:rStyle w:val="FootnoteReference"/>
        </w:rPr>
        <w:footnoteRef/>
      </w:r>
      <w:r>
        <w:t xml:space="preserve"> </w:t>
      </w:r>
      <w:r>
        <w:tab/>
        <w:t xml:space="preserve">See: </w:t>
      </w:r>
      <w:hyperlink r:id="rId1" w:history="1">
        <w:r w:rsidRPr="00155A3B">
          <w:rPr>
            <w:rStyle w:val="Hyperlink"/>
            <w:sz w:val="16"/>
          </w:rPr>
          <w:t>http://www.aemc.gov.au/Rule-Changes/Distribution-Network-Pricing-Arrangements</w:t>
        </w:r>
      </w:hyperlink>
      <w:r>
        <w:t xml:space="preserve"> (accessed 18 February 2015).</w:t>
      </w:r>
    </w:p>
  </w:footnote>
  <w:footnote w:id="36">
    <w:p w:rsidR="00084027" w:rsidRDefault="00084027" w:rsidP="00084027">
      <w:pPr>
        <w:pStyle w:val="FootnoteText"/>
      </w:pPr>
      <w:r>
        <w:rPr>
          <w:rStyle w:val="FootnoteReference"/>
        </w:rPr>
        <w:footnoteRef/>
      </w:r>
      <w:r>
        <w:t xml:space="preserve"> </w:t>
      </w:r>
      <w:r>
        <w:tab/>
        <w:t xml:space="preserve">Energex proposed that it </w:t>
      </w:r>
      <w:r w:rsidRPr="00194082">
        <w:t>may pre-emptively identify to the AER any potential significant under or over recovery before the end of the relevant financial year (without the accounts being audited) as part of the annual pricing proposal.</w:t>
      </w:r>
      <w:r>
        <w:t xml:space="preserve"> For more details, see Energex</w:t>
      </w:r>
      <w:r w:rsidRPr="00CE2B57">
        <w:t xml:space="preserve">, </w:t>
      </w:r>
      <w:r w:rsidRPr="005B4158">
        <w:rPr>
          <w:rStyle w:val="AERtextitalic"/>
        </w:rPr>
        <w:t>Regulatory proposal</w:t>
      </w:r>
      <w:r>
        <w:t>, October 2014, p. 220.</w:t>
      </w:r>
    </w:p>
  </w:footnote>
  <w:footnote w:id="37">
    <w:p w:rsidR="00084027" w:rsidRDefault="00084027" w:rsidP="00084027">
      <w:pPr>
        <w:pStyle w:val="FootnoteText"/>
      </w:pPr>
      <w:r>
        <w:rPr>
          <w:rStyle w:val="FootnoteReference"/>
        </w:rPr>
        <w:footnoteRef/>
      </w:r>
      <w:r>
        <w:t xml:space="preserve"> </w:t>
      </w:r>
      <w:r>
        <w:tab/>
        <w:t>NER, cl 6.12.1(19) and 6.18.7.</w:t>
      </w:r>
    </w:p>
  </w:footnote>
  <w:footnote w:id="38">
    <w:p w:rsidR="00084027" w:rsidRDefault="00084027" w:rsidP="00084027">
      <w:pPr>
        <w:pStyle w:val="FootnoteText"/>
      </w:pPr>
      <w:r>
        <w:rPr>
          <w:rStyle w:val="FootnoteReference"/>
        </w:rPr>
        <w:footnoteRef/>
      </w:r>
      <w:r>
        <w:t xml:space="preserve"> </w:t>
      </w:r>
      <w:r>
        <w:tab/>
        <w:t xml:space="preserve">NER, cl 6.18.7A(e)(1)(iii); Energex, </w:t>
      </w:r>
      <w:r w:rsidRPr="005B4158">
        <w:rPr>
          <w:rStyle w:val="AERtextitalic"/>
        </w:rPr>
        <w:t>Regulatory proposal</w:t>
      </w:r>
      <w:r>
        <w:t>, October 2014, p. 242.</w:t>
      </w:r>
    </w:p>
  </w:footnote>
  <w:footnote w:id="39">
    <w:p w:rsidR="00084027" w:rsidRDefault="00084027" w:rsidP="00084027">
      <w:pPr>
        <w:pStyle w:val="FootnoteText"/>
      </w:pPr>
      <w:r>
        <w:rPr>
          <w:rStyle w:val="FootnoteReference"/>
        </w:rPr>
        <w:footnoteRef/>
      </w:r>
      <w:r>
        <w:t xml:space="preserve"> </w:t>
      </w:r>
      <w:r>
        <w:tab/>
        <w:t>NER, cl 6.18.6(d).</w:t>
      </w:r>
    </w:p>
  </w:footnote>
  <w:footnote w:id="40">
    <w:p w:rsidR="00084027" w:rsidRDefault="00084027" w:rsidP="00084027">
      <w:pPr>
        <w:pStyle w:val="FootnoteText"/>
      </w:pPr>
      <w:r>
        <w:rPr>
          <w:rStyle w:val="FootnoteReference"/>
        </w:rPr>
        <w:footnoteRef/>
      </w:r>
      <w:r>
        <w:t xml:space="preserve"> </w:t>
      </w:r>
      <w:r>
        <w:tab/>
        <w:t>NER, cl 6.18.6(d).</w:t>
      </w:r>
    </w:p>
  </w:footnote>
  <w:footnote w:id="41">
    <w:p w:rsidR="00084027" w:rsidRDefault="00084027" w:rsidP="00084027">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  </w:t>
      </w:r>
    </w:p>
  </w:footnote>
  <w:footnote w:id="42">
    <w:p w:rsidR="00084027" w:rsidRDefault="00084027" w:rsidP="00084027">
      <w:pPr>
        <w:pStyle w:val="FootnoteText"/>
      </w:pPr>
      <w:r>
        <w:rPr>
          <w:rStyle w:val="FootnoteReference"/>
        </w:rPr>
        <w:footnoteRef/>
      </w:r>
      <w:r>
        <w:t xml:space="preserve"> </w:t>
      </w:r>
      <w:r>
        <w:tab/>
        <w:t>NER, cl 6.18.6.</w:t>
      </w:r>
    </w:p>
  </w:footnote>
  <w:footnote w:id="43">
    <w:p w:rsidR="00084027" w:rsidRDefault="00084027" w:rsidP="00084027">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44">
    <w:p w:rsidR="00084027" w:rsidRDefault="00084027" w:rsidP="00084027">
      <w:pPr>
        <w:pStyle w:val="FootnoteText"/>
      </w:pPr>
      <w:r>
        <w:rPr>
          <w:rStyle w:val="FootnoteReference"/>
        </w:rPr>
        <w:footnoteRef/>
      </w:r>
      <w:r>
        <w:t xml:space="preserve"> </w:t>
      </w:r>
      <w:r>
        <w:tab/>
        <w:t>NER, cl 6.12.1(17).</w:t>
      </w:r>
    </w:p>
  </w:footnote>
  <w:footnote w:id="45">
    <w:p w:rsidR="00084027" w:rsidRDefault="00084027" w:rsidP="00084027">
      <w:pPr>
        <w:pStyle w:val="FootnoteText"/>
      </w:pPr>
      <w:r>
        <w:rPr>
          <w:rStyle w:val="FootnoteReference"/>
        </w:rPr>
        <w:footnoteRef/>
      </w:r>
      <w:r>
        <w:t xml:space="preserve"> </w:t>
      </w:r>
      <w:r>
        <w:tab/>
        <w:t>NER, cl 6.18.4(a)(4)</w:t>
      </w:r>
    </w:p>
  </w:footnote>
  <w:footnote w:id="46">
    <w:p w:rsidR="00084027" w:rsidRDefault="00084027" w:rsidP="00084027">
      <w:pPr>
        <w:pStyle w:val="FootnoteText"/>
      </w:pPr>
      <w:r>
        <w:rPr>
          <w:rStyle w:val="FootnoteReference"/>
        </w:rPr>
        <w:footnoteRef/>
      </w:r>
      <w:r>
        <w:t xml:space="preserve"> </w:t>
      </w:r>
      <w:r>
        <w:tab/>
        <w:t xml:space="preserve">In accordance with NER, clause 6.18.4(a)(4) </w:t>
      </w:r>
    </w:p>
  </w:footnote>
  <w:footnote w:id="47">
    <w:p w:rsidR="00084027" w:rsidRDefault="00084027" w:rsidP="00084027">
      <w:pPr>
        <w:pStyle w:val="FootnoteText"/>
      </w:pPr>
      <w:r>
        <w:rPr>
          <w:rStyle w:val="FootnoteReference"/>
        </w:rPr>
        <w:footnoteRef/>
      </w:r>
      <w:r>
        <w:t xml:space="preserve"> </w:t>
      </w:r>
      <w:r>
        <w:tab/>
        <w:t xml:space="preserve">Energex, </w:t>
      </w:r>
      <w:r w:rsidRPr="00810BA7">
        <w:rPr>
          <w:rStyle w:val="AERtextitalic"/>
        </w:rPr>
        <w:t>Energex regulatory proposal: Appendix 52</w:t>
      </w:r>
      <w:r>
        <w:rPr>
          <w:rStyle w:val="AERtextitalic"/>
        </w:rPr>
        <w:t>:</w:t>
      </w:r>
      <w:r w:rsidRPr="00810BA7">
        <w:rPr>
          <w:rStyle w:val="AERtextitalic"/>
        </w:rPr>
        <w:t xml:space="preserve"> Tariff classes for 2015</w:t>
      </w:r>
      <w:r>
        <w:rPr>
          <w:rStyle w:val="AERtextitalic"/>
        </w:rPr>
        <w:t>–</w:t>
      </w:r>
      <w:r w:rsidRPr="00810BA7">
        <w:rPr>
          <w:rStyle w:val="AERtextitalic"/>
        </w:rPr>
        <w:t>20</w:t>
      </w:r>
      <w:r>
        <w:t>,</w:t>
      </w:r>
      <w:r w:rsidRPr="00C40790">
        <w:t xml:space="preserve"> October 2014</w:t>
      </w:r>
      <w:r>
        <w:t xml:space="preserve">; </w:t>
      </w:r>
      <w:r w:rsidRPr="00C40790">
        <w:t xml:space="preserve">Energex, </w:t>
      </w:r>
      <w:r w:rsidRPr="00810BA7">
        <w:rPr>
          <w:rStyle w:val="AERtextitalic"/>
        </w:rPr>
        <w:t>Energex regulatory proposal: Appendix 53: Tariff class assignment</w:t>
      </w:r>
      <w:r w:rsidRPr="00C40790">
        <w:t>, October 2014</w:t>
      </w:r>
      <w:r>
        <w:t>.</w:t>
      </w:r>
    </w:p>
  </w:footnote>
  <w:footnote w:id="48">
    <w:p w:rsidR="00084027" w:rsidRDefault="00084027" w:rsidP="00084027">
      <w:pPr>
        <w:pStyle w:val="FootnoteText"/>
      </w:pPr>
      <w:r>
        <w:rPr>
          <w:rStyle w:val="FootnoteReference"/>
        </w:rPr>
        <w:footnoteRef/>
      </w:r>
      <w:r>
        <w:t xml:space="preserve"> </w:t>
      </w:r>
      <w:r>
        <w:tab/>
        <w:t xml:space="preserve">AER, </w:t>
      </w:r>
      <w:r w:rsidRPr="00810BA7">
        <w:rPr>
          <w:rStyle w:val="AERtextitalic"/>
        </w:rPr>
        <w:t>Final decision: Queensland distribution determination 2010–11 to 2014–15</w:t>
      </w:r>
      <w:r>
        <w:t>, May 2010, p. 389.</w:t>
      </w:r>
    </w:p>
  </w:footnote>
  <w:footnote w:id="49">
    <w:p w:rsidR="00084027" w:rsidRDefault="00084027" w:rsidP="00084027">
      <w:pPr>
        <w:pStyle w:val="FootnoteText"/>
      </w:pPr>
      <w:r>
        <w:rPr>
          <w:rStyle w:val="FootnoteReference"/>
        </w:rPr>
        <w:footnoteRef/>
      </w:r>
      <w:r>
        <w:t xml:space="preserve"> </w:t>
      </w:r>
      <w:r>
        <w:tab/>
      </w:r>
      <w:r w:rsidRPr="00720711">
        <w:t>Under Part 10 of the NEL, the AER has the function of resolving an access dispute between a network service user or prospective network user and a network service provider. An access dispute is a dispute about an aspect of access to an electricity network service that is specified under the NER to be an aspect about which the dispute resolution provisions in Part 10 of the NEL apply. Clause 6.22.1 in the NER relevantly provides that an access dispute for the purposes of Part 10 of the NEL includes a dispute between a DNSP and a Service Applicant about the terms and conditions of access to a direct control service.</w:t>
      </w:r>
    </w:p>
  </w:footnote>
  <w:footnote w:id="50">
    <w:p w:rsidR="00084027" w:rsidRDefault="00084027" w:rsidP="00084027">
      <w:pPr>
        <w:pStyle w:val="FootnoteText"/>
      </w:pPr>
      <w:r>
        <w:rPr>
          <w:rStyle w:val="FootnoteReference"/>
        </w:rPr>
        <w:footnoteRef/>
      </w:r>
      <w:r>
        <w:t xml:space="preserve"> </w:t>
      </w:r>
      <w:r>
        <w:tab/>
      </w:r>
      <w:r w:rsidRPr="00AC02A0">
        <w:t xml:space="preserve">Energex, </w:t>
      </w:r>
      <w:r w:rsidRPr="00810BA7">
        <w:rPr>
          <w:rStyle w:val="AERtextitalic"/>
        </w:rPr>
        <w:t>Energex regulatory proposal: Appendix 53: Tariff class assignment</w:t>
      </w:r>
      <w:r w:rsidRPr="00AC02A0">
        <w:t>, October 2014.</w:t>
      </w:r>
    </w:p>
  </w:footnote>
  <w:footnote w:id="51">
    <w:p w:rsidR="00084027" w:rsidRDefault="00084027" w:rsidP="00084027">
      <w:pPr>
        <w:pStyle w:val="FootnoteText"/>
      </w:pPr>
      <w:r>
        <w:rPr>
          <w:rStyle w:val="FootnoteReference"/>
        </w:rPr>
        <w:footnoteRef/>
      </w:r>
      <w:r>
        <w:t xml:space="preserve"> </w:t>
      </w:r>
      <w:r>
        <w:tab/>
        <w:t xml:space="preserve">NER, cl 6.18.4(a)(i). </w:t>
      </w:r>
    </w:p>
  </w:footnote>
  <w:footnote w:id="52">
    <w:p w:rsidR="00084027" w:rsidRDefault="00084027" w:rsidP="00084027">
      <w:pPr>
        <w:pStyle w:val="FootnoteText"/>
      </w:pPr>
      <w:r>
        <w:rPr>
          <w:rStyle w:val="FootnoteReference"/>
        </w:rPr>
        <w:footnoteRef/>
      </w:r>
      <w:r>
        <w:t xml:space="preserve"> </w:t>
      </w:r>
      <w:r>
        <w:tab/>
        <w:t>The AER interprets 'nature' to include the installation of any technology capable of supporting time based tariffs.</w:t>
      </w:r>
    </w:p>
  </w:footnote>
  <w:footnote w:id="53">
    <w:p w:rsidR="00084027" w:rsidRDefault="00084027" w:rsidP="00084027">
      <w:pPr>
        <w:pStyle w:val="FootnoteText"/>
      </w:pPr>
      <w:r>
        <w:rPr>
          <w:rStyle w:val="FootnoteReference"/>
        </w:rPr>
        <w:footnoteRef/>
      </w:r>
      <w:r>
        <w:t xml:space="preserve"> </w:t>
      </w:r>
      <w:r>
        <w:tab/>
        <w:t>NER, cl 6.18.4(2).</w:t>
      </w:r>
    </w:p>
  </w:footnote>
  <w:footnote w:id="54">
    <w:p w:rsidR="00084027" w:rsidRDefault="00084027" w:rsidP="00084027">
      <w:pPr>
        <w:pStyle w:val="FootnoteText"/>
      </w:pPr>
      <w:r>
        <w:rPr>
          <w:rStyle w:val="FootnoteReference"/>
        </w:rPr>
        <w:footnoteRef/>
      </w:r>
      <w:r>
        <w:t xml:space="preserve"> </w:t>
      </w:r>
      <w:r>
        <w:tab/>
        <w:t>NER, cl 6.18.4(3).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8BD4EE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75B797A"/>
    <w:multiLevelType w:val="multilevel"/>
    <w:tmpl w:val="950A1C52"/>
    <w:numStyleLink w:val="AERHeadings"/>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DA600D8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8164FF6"/>
    <w:multiLevelType w:val="multilevel"/>
    <w:tmpl w:val="950A1C52"/>
    <w:numStyleLink w:val="AERHeadings"/>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AC6DD7"/>
    <w:multiLevelType w:val="multilevel"/>
    <w:tmpl w:val="950A1C52"/>
    <w:lvl w:ilvl="0">
      <w:start w:val="1"/>
      <w:numFmt w:val="none"/>
      <w:lvlText w:val="%1"/>
      <w:lvlJc w:val="left"/>
      <w:pPr>
        <w:tabs>
          <w:tab w:val="num" w:pos="0"/>
        </w:tabs>
        <w:ind w:left="0" w:firstLine="0"/>
      </w:pPr>
    </w:lvl>
    <w:lvl w:ilvl="1">
      <w:start w:val="1"/>
      <w:numFmt w:val="decimal"/>
      <w:lvlText w:val="%1%2"/>
      <w:lvlJc w:val="left"/>
      <w:pPr>
        <w:tabs>
          <w:tab w:val="num" w:pos="0"/>
        </w:tabs>
        <w:ind w:left="0" w:hanging="851"/>
      </w:pPr>
    </w:lvl>
    <w:lvl w:ilvl="2">
      <w:start w:val="1"/>
      <w:numFmt w:val="decimal"/>
      <w:lvlText w:val="%1%2.%3"/>
      <w:lvlJc w:val="left"/>
      <w:pPr>
        <w:tabs>
          <w:tab w:val="num" w:pos="0"/>
        </w:tabs>
        <w:ind w:left="0" w:hanging="851"/>
      </w:pPr>
    </w:lvl>
    <w:lvl w:ilvl="3">
      <w:start w:val="1"/>
      <w:numFmt w:val="decimal"/>
      <w:lvlText w:val="%2.%3.%4"/>
      <w:lvlJc w:val="left"/>
      <w:pPr>
        <w:tabs>
          <w:tab w:val="num" w:pos="0"/>
        </w:tabs>
        <w:ind w:left="0" w:hanging="851"/>
      </w:pPr>
    </w:lvl>
    <w:lvl w:ilvl="4">
      <w:start w:val="1"/>
      <w:numFmt w:val="upperLetter"/>
      <w:lvlRestart w:val="1"/>
      <w:lvlText w:val="%5"/>
      <w:lvlJc w:val="left"/>
      <w:pPr>
        <w:tabs>
          <w:tab w:val="num" w:pos="0"/>
        </w:tabs>
        <w:ind w:left="0" w:hanging="851"/>
      </w:pPr>
    </w:lvl>
    <w:lvl w:ilvl="5">
      <w:start w:val="1"/>
      <w:numFmt w:val="decimal"/>
      <w:lvlText w:val="%5.%6"/>
      <w:lvlJc w:val="left"/>
      <w:pPr>
        <w:tabs>
          <w:tab w:val="num" w:pos="0"/>
        </w:tabs>
        <w:ind w:left="0" w:hanging="851"/>
      </w:pPr>
    </w:lvl>
    <w:lvl w:ilvl="6">
      <w:start w:val="1"/>
      <w:numFmt w:val="decimal"/>
      <w:lvlText w:val="%5.%6.%7"/>
      <w:lvlJc w:val="left"/>
      <w:pPr>
        <w:tabs>
          <w:tab w:val="num" w:pos="0"/>
        </w:tabs>
        <w:ind w:left="0" w:hanging="851"/>
      </w:pPr>
    </w:lvl>
    <w:lvl w:ilvl="7">
      <w:start w:val="1"/>
      <w:numFmt w:val="none"/>
      <w:lvlRestart w:val="0"/>
      <w:lvlText w:val=""/>
      <w:lvlJc w:val="left"/>
      <w:pPr>
        <w:tabs>
          <w:tab w:val="num" w:pos="0"/>
        </w:tabs>
        <w:ind w:left="0" w:firstLine="0"/>
      </w:pPr>
    </w:lvl>
    <w:lvl w:ilvl="8">
      <w:start w:val="1"/>
      <w:numFmt w:val="none"/>
      <w:lvlRestart w:val="0"/>
      <w:lvlText w:val=""/>
      <w:lvlJc w:val="left"/>
      <w:pPr>
        <w:ind w:left="0" w:firstLine="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3"/>
  </w:num>
  <w:num w:numId="21">
    <w:abstractNumId w:val="13"/>
  </w:num>
  <w:num w:numId="22">
    <w:abstractNumId w:val="28"/>
  </w:num>
  <w:num w:numId="23">
    <w:abstractNumId w:val="25"/>
  </w:num>
  <w:num w:numId="24">
    <w:abstractNumId w:val="18"/>
  </w:num>
  <w:num w:numId="25">
    <w:abstractNumId w:val="26"/>
  </w:num>
  <w:num w:numId="26">
    <w:abstractNumId w:val="29"/>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7"/>
  </w:num>
  <w:num w:numId="38">
    <w:abstractNumId w:val="18"/>
    <w:lvlOverride w:ilvl="2">
      <w:lvl w:ilvl="2">
        <w:start w:val="1"/>
        <w:numFmt w:val="decimal"/>
        <w:lvlText w:val="%1%2.%3"/>
        <w:lvlJc w:val="left"/>
        <w:pPr>
          <w:tabs>
            <w:tab w:val="num" w:pos="0"/>
          </w:tabs>
          <w:ind w:left="0" w:hanging="851"/>
        </w:pPr>
        <w:rPr>
          <w:rFonts w:hint="default"/>
        </w:rPr>
      </w:lvl>
    </w:lvlOverride>
  </w:num>
  <w:num w:numId="39">
    <w:abstractNumId w:val="31"/>
  </w:num>
  <w:num w:numId="40">
    <w:abstractNumId w:val="18"/>
    <w:lvlOverride w:ilvl="3">
      <w:lvl w:ilvl="3">
        <w:start w:val="1"/>
        <w:numFmt w:val="decimal"/>
        <w:lvlText w:val="%2.%3.%4"/>
        <w:lvlJc w:val="left"/>
        <w:pPr>
          <w:tabs>
            <w:tab w:val="num" w:pos="0"/>
          </w:tabs>
          <w:ind w:left="0" w:hanging="851"/>
        </w:pPr>
        <w:rPr>
          <w:rFonts w:hint="default"/>
        </w:rPr>
      </w:lvl>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5LgpwHoe9l2/sXJOFRUR6Xo1zTas0xsXyRi10NdII=" w:saltValue="tFlWGNWv/5TwU3fgj6wLVQ==" w:algorithmName="SHA-256"/>
  <w:defaultTabStop w:val="3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772\AER15 180  NEW - Energex - prelim decision - Attach 18 - Connection policy.DOCX"/>
  </w:docVars>
  <w:rsids>
    <w:rsidRoot w:val="00961A4A"/>
    <w:rsid w:val="00021202"/>
    <w:rsid w:val="0002517F"/>
    <w:rsid w:val="0003578C"/>
    <w:rsid w:val="00063247"/>
    <w:rsid w:val="00070F9F"/>
    <w:rsid w:val="0007137B"/>
    <w:rsid w:val="00084027"/>
    <w:rsid w:val="00085663"/>
    <w:rsid w:val="00085EBF"/>
    <w:rsid w:val="000A3020"/>
    <w:rsid w:val="000A6C7B"/>
    <w:rsid w:val="000D122C"/>
    <w:rsid w:val="000E1819"/>
    <w:rsid w:val="000E4821"/>
    <w:rsid w:val="000E6C72"/>
    <w:rsid w:val="000F4FC9"/>
    <w:rsid w:val="00116EB2"/>
    <w:rsid w:val="001201F1"/>
    <w:rsid w:val="00124609"/>
    <w:rsid w:val="00126A4C"/>
    <w:rsid w:val="0014573B"/>
    <w:rsid w:val="001573E4"/>
    <w:rsid w:val="00160756"/>
    <w:rsid w:val="0017232E"/>
    <w:rsid w:val="00174102"/>
    <w:rsid w:val="00180157"/>
    <w:rsid w:val="00185CB9"/>
    <w:rsid w:val="00186F77"/>
    <w:rsid w:val="001926A4"/>
    <w:rsid w:val="00192AD5"/>
    <w:rsid w:val="001959A5"/>
    <w:rsid w:val="001B45A0"/>
    <w:rsid w:val="001D055E"/>
    <w:rsid w:val="001E348D"/>
    <w:rsid w:val="001F32BC"/>
    <w:rsid w:val="001F492E"/>
    <w:rsid w:val="001F6DA3"/>
    <w:rsid w:val="002010BC"/>
    <w:rsid w:val="00202E03"/>
    <w:rsid w:val="0020492C"/>
    <w:rsid w:val="00224DB9"/>
    <w:rsid w:val="00233775"/>
    <w:rsid w:val="002353DD"/>
    <w:rsid w:val="002371DE"/>
    <w:rsid w:val="00251745"/>
    <w:rsid w:val="00261276"/>
    <w:rsid w:val="00263AC0"/>
    <w:rsid w:val="00264264"/>
    <w:rsid w:val="0026772D"/>
    <w:rsid w:val="00286874"/>
    <w:rsid w:val="00290C63"/>
    <w:rsid w:val="00296B65"/>
    <w:rsid w:val="002A7DEF"/>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2120"/>
    <w:rsid w:val="003B484F"/>
    <w:rsid w:val="003F174D"/>
    <w:rsid w:val="00435273"/>
    <w:rsid w:val="0045777E"/>
    <w:rsid w:val="00480B4B"/>
    <w:rsid w:val="00485DC4"/>
    <w:rsid w:val="004A43D1"/>
    <w:rsid w:val="004B4412"/>
    <w:rsid w:val="004C348C"/>
    <w:rsid w:val="004D55BA"/>
    <w:rsid w:val="004E22EC"/>
    <w:rsid w:val="00530128"/>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258C8"/>
    <w:rsid w:val="007303C3"/>
    <w:rsid w:val="007429BE"/>
    <w:rsid w:val="00743223"/>
    <w:rsid w:val="00746E01"/>
    <w:rsid w:val="00757BDF"/>
    <w:rsid w:val="0076026C"/>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51209"/>
    <w:rsid w:val="008837AC"/>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31F95"/>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AA4"/>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559"/>
    <w:rsid w:val="00F63FDA"/>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77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Distribution-Network-Pricing-Arrangement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836EAED0</Template>
  <TotalTime>0</TotalTime>
  <Pages>26</Pages>
  <Words>6274</Words>
  <Characters>35763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2015-04-27T03:28:00Z</dcterms:created>
  <dcterms:modified xsi:type="dcterms:W3CDTF">2015-04-27T03:28:00Z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8355359</vt:lpwstr>
  </property>
  <property fmtid="{D5CDD505-2E9C-101B-9397-08002B2CF9AE}" pid="3" name="_MarkAsFinal">
    <vt:bool>true</vt:bool>
  </property>
</Properties>
</file>