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C030B5C" wp14:editId="7BD7AD1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44495" w:rsidP="008F07A3">
          <w:pPr>
            <w:pStyle w:val="ReportSubtitle"/>
          </w:pPr>
          <w:r>
            <w:t>Attachment 16</w:t>
          </w:r>
          <w:r w:rsidR="00DA4752">
            <w:t xml:space="preserve"> </w:t>
          </w:r>
          <w:r w:rsidR="00DA4752">
            <w:rPr>
              <w:rFonts w:cs="Arial"/>
            </w:rPr>
            <w:t>−</w:t>
          </w:r>
          <w:r w:rsidR="00DA4752">
            <w:t xml:space="preserve"> </w:t>
          </w:r>
          <w:r>
            <w:t>Alternative control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996113"/>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9C1B5E">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2B0550">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99611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F2924" w:rsidRDefault="009C1B5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 </w:instrText>
          </w:r>
          <w:r>
            <w:rPr>
              <w:color w:val="auto"/>
              <w:sz w:val="22"/>
            </w:rPr>
            <w:fldChar w:fldCharType="separate"/>
          </w:r>
          <w:hyperlink w:anchor="_Toc417996113" w:history="1">
            <w:r w:rsidR="00BF2924" w:rsidRPr="00931626">
              <w:rPr>
                <w:rStyle w:val="Hyperlink"/>
              </w:rPr>
              <w:t>Note</w:t>
            </w:r>
            <w:r w:rsidR="00BF2924">
              <w:rPr>
                <w:webHidden/>
              </w:rPr>
              <w:tab/>
              <w:t>16-</w:t>
            </w:r>
            <w:r w:rsidR="00BF2924">
              <w:rPr>
                <w:webHidden/>
              </w:rPr>
              <w:fldChar w:fldCharType="begin"/>
            </w:r>
            <w:r w:rsidR="00BF2924">
              <w:rPr>
                <w:webHidden/>
              </w:rPr>
              <w:instrText xml:space="preserve"> PAGEREF _Toc417996113 \h </w:instrText>
            </w:r>
            <w:r w:rsidR="00BF2924">
              <w:rPr>
                <w:webHidden/>
              </w:rPr>
            </w:r>
            <w:r w:rsidR="00BF2924">
              <w:rPr>
                <w:webHidden/>
              </w:rPr>
              <w:fldChar w:fldCharType="separate"/>
            </w:r>
            <w:r w:rsidR="00BF2924">
              <w:rPr>
                <w:webHidden/>
              </w:rPr>
              <w:t>2</w:t>
            </w:r>
            <w:r w:rsidR="00BF2924">
              <w:rPr>
                <w:webHidden/>
              </w:rPr>
              <w:fldChar w:fldCharType="end"/>
            </w:r>
          </w:hyperlink>
        </w:p>
        <w:p w:rsidR="00BF2924" w:rsidRDefault="009D19E9">
          <w:pPr>
            <w:pStyle w:val="TOC1"/>
            <w:rPr>
              <w:rFonts w:asciiTheme="minorHAnsi" w:eastAsiaTheme="minorEastAsia" w:hAnsiTheme="minorHAnsi"/>
              <w:b w:val="0"/>
              <w:color w:val="auto"/>
              <w:sz w:val="22"/>
              <w:lang w:val="en-AU" w:eastAsia="en-AU"/>
            </w:rPr>
          </w:pPr>
          <w:hyperlink w:anchor="_Toc417996114" w:history="1">
            <w:r w:rsidR="00BF2924" w:rsidRPr="00931626">
              <w:rPr>
                <w:rStyle w:val="Hyperlink"/>
              </w:rPr>
              <w:t>Contents</w:t>
            </w:r>
            <w:r w:rsidR="00BF2924">
              <w:rPr>
                <w:webHidden/>
              </w:rPr>
              <w:tab/>
              <w:t>16-</w:t>
            </w:r>
            <w:r w:rsidR="00BF2924">
              <w:rPr>
                <w:webHidden/>
              </w:rPr>
              <w:fldChar w:fldCharType="begin"/>
            </w:r>
            <w:r w:rsidR="00BF2924">
              <w:rPr>
                <w:webHidden/>
              </w:rPr>
              <w:instrText xml:space="preserve"> PAGEREF _Toc417996114 \h </w:instrText>
            </w:r>
            <w:r w:rsidR="00BF2924">
              <w:rPr>
                <w:webHidden/>
              </w:rPr>
            </w:r>
            <w:r w:rsidR="00BF2924">
              <w:rPr>
                <w:webHidden/>
              </w:rPr>
              <w:fldChar w:fldCharType="separate"/>
            </w:r>
            <w:r w:rsidR="00BF2924">
              <w:rPr>
                <w:webHidden/>
              </w:rPr>
              <w:t>3</w:t>
            </w:r>
            <w:r w:rsidR="00BF2924">
              <w:rPr>
                <w:webHidden/>
              </w:rPr>
              <w:fldChar w:fldCharType="end"/>
            </w:r>
          </w:hyperlink>
        </w:p>
        <w:p w:rsidR="00BF2924" w:rsidRDefault="009D19E9">
          <w:pPr>
            <w:pStyle w:val="TOC1"/>
            <w:rPr>
              <w:rFonts w:asciiTheme="minorHAnsi" w:eastAsiaTheme="minorEastAsia" w:hAnsiTheme="minorHAnsi"/>
              <w:b w:val="0"/>
              <w:color w:val="auto"/>
              <w:sz w:val="22"/>
              <w:lang w:val="en-AU" w:eastAsia="en-AU"/>
            </w:rPr>
          </w:pPr>
          <w:hyperlink w:anchor="_Toc417996115" w:history="1">
            <w:r w:rsidR="00BF2924" w:rsidRPr="00931626">
              <w:rPr>
                <w:rStyle w:val="Hyperlink"/>
              </w:rPr>
              <w:t>Shortened forms</w:t>
            </w:r>
            <w:r w:rsidR="00BF2924">
              <w:rPr>
                <w:webHidden/>
              </w:rPr>
              <w:tab/>
              <w:t>16-</w:t>
            </w:r>
            <w:r w:rsidR="00BF2924">
              <w:rPr>
                <w:webHidden/>
              </w:rPr>
              <w:fldChar w:fldCharType="begin"/>
            </w:r>
            <w:r w:rsidR="00BF2924">
              <w:rPr>
                <w:webHidden/>
              </w:rPr>
              <w:instrText xml:space="preserve"> PAGEREF _Toc417996115 \h </w:instrText>
            </w:r>
            <w:r w:rsidR="00BF2924">
              <w:rPr>
                <w:webHidden/>
              </w:rPr>
            </w:r>
            <w:r w:rsidR="00BF2924">
              <w:rPr>
                <w:webHidden/>
              </w:rPr>
              <w:fldChar w:fldCharType="separate"/>
            </w:r>
            <w:r w:rsidR="00BF2924">
              <w:rPr>
                <w:webHidden/>
              </w:rPr>
              <w:t>5</w:t>
            </w:r>
            <w:r w:rsidR="00BF2924">
              <w:rPr>
                <w:webHidden/>
              </w:rPr>
              <w:fldChar w:fldCharType="end"/>
            </w:r>
          </w:hyperlink>
        </w:p>
        <w:p w:rsidR="00BF2924" w:rsidRDefault="009D19E9">
          <w:pPr>
            <w:pStyle w:val="TOC1"/>
            <w:rPr>
              <w:rFonts w:asciiTheme="minorHAnsi" w:eastAsiaTheme="minorEastAsia" w:hAnsiTheme="minorHAnsi"/>
              <w:b w:val="0"/>
              <w:color w:val="auto"/>
              <w:sz w:val="22"/>
              <w:lang w:val="en-AU" w:eastAsia="en-AU"/>
            </w:rPr>
          </w:pPr>
          <w:hyperlink w:anchor="_Toc417996116" w:history="1">
            <w:r w:rsidR="00BF2924" w:rsidRPr="00931626">
              <w:rPr>
                <w:rStyle w:val="Hyperlink"/>
              </w:rPr>
              <w:t>16</w:t>
            </w:r>
            <w:r w:rsidR="00BF2924">
              <w:rPr>
                <w:rFonts w:asciiTheme="minorHAnsi" w:eastAsiaTheme="minorEastAsia" w:hAnsiTheme="minorHAnsi"/>
                <w:b w:val="0"/>
                <w:color w:val="auto"/>
                <w:sz w:val="22"/>
                <w:lang w:val="en-AU" w:eastAsia="en-AU"/>
              </w:rPr>
              <w:tab/>
            </w:r>
            <w:r w:rsidR="00BF2924" w:rsidRPr="00931626">
              <w:rPr>
                <w:rStyle w:val="Hyperlink"/>
              </w:rPr>
              <w:t>Alternative control services</w:t>
            </w:r>
            <w:r w:rsidR="00BF2924">
              <w:rPr>
                <w:webHidden/>
              </w:rPr>
              <w:tab/>
              <w:t>16-</w:t>
            </w:r>
            <w:r w:rsidR="00BF2924">
              <w:rPr>
                <w:webHidden/>
              </w:rPr>
              <w:fldChar w:fldCharType="begin"/>
            </w:r>
            <w:r w:rsidR="00BF2924">
              <w:rPr>
                <w:webHidden/>
              </w:rPr>
              <w:instrText xml:space="preserve"> PAGEREF _Toc417996116 \h </w:instrText>
            </w:r>
            <w:r w:rsidR="00BF2924">
              <w:rPr>
                <w:webHidden/>
              </w:rPr>
            </w:r>
            <w:r w:rsidR="00BF2924">
              <w:rPr>
                <w:webHidden/>
              </w:rPr>
              <w:fldChar w:fldCharType="separate"/>
            </w:r>
            <w:r w:rsidR="00BF2924">
              <w:rPr>
                <w:webHidden/>
              </w:rPr>
              <w:t>7</w:t>
            </w:r>
            <w:r w:rsidR="00BF2924">
              <w:rPr>
                <w:webHidden/>
              </w:rPr>
              <w:fldChar w:fldCharType="end"/>
            </w:r>
          </w:hyperlink>
        </w:p>
        <w:p w:rsidR="00BF2924" w:rsidRDefault="009D19E9">
          <w:pPr>
            <w:pStyle w:val="TOC2"/>
            <w:tabs>
              <w:tab w:val="left" w:pos="1276"/>
            </w:tabs>
            <w:rPr>
              <w:rFonts w:asciiTheme="minorHAnsi" w:eastAsiaTheme="minorEastAsia" w:hAnsiTheme="minorHAnsi"/>
              <w:b w:val="0"/>
              <w:color w:val="auto"/>
              <w:sz w:val="22"/>
              <w:lang w:eastAsia="en-AU"/>
            </w:rPr>
          </w:pPr>
          <w:hyperlink w:anchor="_Toc417996117" w:history="1">
            <w:r w:rsidR="00BF2924" w:rsidRPr="00931626">
              <w:rPr>
                <w:rStyle w:val="Hyperlink"/>
              </w:rPr>
              <w:t>16.1</w:t>
            </w:r>
            <w:r w:rsidR="00BF2924">
              <w:rPr>
                <w:rFonts w:asciiTheme="minorHAnsi" w:eastAsiaTheme="minorEastAsia" w:hAnsiTheme="minorHAnsi"/>
                <w:b w:val="0"/>
                <w:color w:val="auto"/>
                <w:sz w:val="22"/>
                <w:lang w:eastAsia="en-AU"/>
              </w:rPr>
              <w:tab/>
            </w:r>
            <w:r w:rsidR="00BF2924" w:rsidRPr="00931626">
              <w:rPr>
                <w:rStyle w:val="Hyperlink"/>
              </w:rPr>
              <w:t>Ancillary network services</w:t>
            </w:r>
            <w:r w:rsidR="00BF2924">
              <w:rPr>
                <w:webHidden/>
              </w:rPr>
              <w:tab/>
              <w:t>16-</w:t>
            </w:r>
            <w:r w:rsidR="00BF2924">
              <w:rPr>
                <w:webHidden/>
              </w:rPr>
              <w:fldChar w:fldCharType="begin"/>
            </w:r>
            <w:r w:rsidR="00BF2924">
              <w:rPr>
                <w:webHidden/>
              </w:rPr>
              <w:instrText xml:space="preserve"> PAGEREF _Toc417996117 \h </w:instrText>
            </w:r>
            <w:r w:rsidR="00BF2924">
              <w:rPr>
                <w:webHidden/>
              </w:rPr>
            </w:r>
            <w:r w:rsidR="00BF2924">
              <w:rPr>
                <w:webHidden/>
              </w:rPr>
              <w:fldChar w:fldCharType="separate"/>
            </w:r>
            <w:r w:rsidR="00BF2924">
              <w:rPr>
                <w:webHidden/>
              </w:rPr>
              <w:t>7</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18" w:history="1">
            <w:r w:rsidR="00BF2924" w:rsidRPr="00931626">
              <w:rPr>
                <w:rStyle w:val="Hyperlink"/>
              </w:rPr>
              <w:t>16.1.1</w:t>
            </w:r>
            <w:r w:rsidR="00BF2924">
              <w:rPr>
                <w:rFonts w:asciiTheme="minorHAnsi" w:eastAsiaTheme="minorEastAsia" w:hAnsiTheme="minorHAnsi"/>
                <w:lang w:eastAsia="en-AU"/>
              </w:rPr>
              <w:tab/>
            </w:r>
            <w:r w:rsidR="00BF2924" w:rsidRPr="00931626">
              <w:rPr>
                <w:rStyle w:val="Hyperlink"/>
              </w:rPr>
              <w:t>Preliminary Decision</w:t>
            </w:r>
            <w:r w:rsidR="00BF2924">
              <w:rPr>
                <w:webHidden/>
              </w:rPr>
              <w:tab/>
              <w:t>16-</w:t>
            </w:r>
            <w:r w:rsidR="00BF2924">
              <w:rPr>
                <w:webHidden/>
              </w:rPr>
              <w:fldChar w:fldCharType="begin"/>
            </w:r>
            <w:r w:rsidR="00BF2924">
              <w:rPr>
                <w:webHidden/>
              </w:rPr>
              <w:instrText xml:space="preserve"> PAGEREF _Toc417996118 \h </w:instrText>
            </w:r>
            <w:r w:rsidR="00BF2924">
              <w:rPr>
                <w:webHidden/>
              </w:rPr>
            </w:r>
            <w:r w:rsidR="00BF2924">
              <w:rPr>
                <w:webHidden/>
              </w:rPr>
              <w:fldChar w:fldCharType="separate"/>
            </w:r>
            <w:r w:rsidR="00BF2924">
              <w:rPr>
                <w:webHidden/>
              </w:rPr>
              <w:t>7</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22" w:history="1">
            <w:r w:rsidR="00BF2924" w:rsidRPr="00931626">
              <w:rPr>
                <w:rStyle w:val="Hyperlink"/>
              </w:rPr>
              <w:t>16.1.2</w:t>
            </w:r>
            <w:r w:rsidR="00BF2924">
              <w:rPr>
                <w:rFonts w:asciiTheme="minorHAnsi" w:eastAsiaTheme="minorEastAsia" w:hAnsiTheme="minorHAnsi"/>
                <w:lang w:eastAsia="en-AU"/>
              </w:rPr>
              <w:tab/>
            </w:r>
            <w:r w:rsidR="00BF2924" w:rsidRPr="00931626">
              <w:rPr>
                <w:rStyle w:val="Hyperlink"/>
              </w:rPr>
              <w:t>Energex's proposal</w:t>
            </w:r>
            <w:r w:rsidR="00BF2924">
              <w:rPr>
                <w:webHidden/>
              </w:rPr>
              <w:tab/>
              <w:t>16-</w:t>
            </w:r>
            <w:r w:rsidR="00BF2924">
              <w:rPr>
                <w:webHidden/>
              </w:rPr>
              <w:fldChar w:fldCharType="begin"/>
            </w:r>
            <w:r w:rsidR="00BF2924">
              <w:rPr>
                <w:webHidden/>
              </w:rPr>
              <w:instrText xml:space="preserve"> PAGEREF _Toc417996122 \h </w:instrText>
            </w:r>
            <w:r w:rsidR="00BF2924">
              <w:rPr>
                <w:webHidden/>
              </w:rPr>
            </w:r>
            <w:r w:rsidR="00BF2924">
              <w:rPr>
                <w:webHidden/>
              </w:rPr>
              <w:fldChar w:fldCharType="separate"/>
            </w:r>
            <w:r w:rsidR="00BF2924">
              <w:rPr>
                <w:webHidden/>
              </w:rPr>
              <w:t>9</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23" w:history="1">
            <w:r w:rsidR="00BF2924" w:rsidRPr="00931626">
              <w:rPr>
                <w:rStyle w:val="Hyperlink"/>
              </w:rPr>
              <w:t>16.1.3</w:t>
            </w:r>
            <w:r w:rsidR="00BF2924">
              <w:rPr>
                <w:rFonts w:asciiTheme="minorHAnsi" w:eastAsiaTheme="minorEastAsia" w:hAnsiTheme="minorHAnsi"/>
                <w:lang w:eastAsia="en-AU"/>
              </w:rPr>
              <w:tab/>
            </w:r>
            <w:r w:rsidR="00BF2924" w:rsidRPr="00931626">
              <w:rPr>
                <w:rStyle w:val="Hyperlink"/>
              </w:rPr>
              <w:t>Assessment approach</w:t>
            </w:r>
            <w:r w:rsidR="00BF2924">
              <w:rPr>
                <w:webHidden/>
              </w:rPr>
              <w:tab/>
              <w:t>16-</w:t>
            </w:r>
            <w:r w:rsidR="00BF2924">
              <w:rPr>
                <w:webHidden/>
              </w:rPr>
              <w:fldChar w:fldCharType="begin"/>
            </w:r>
            <w:r w:rsidR="00BF2924">
              <w:rPr>
                <w:webHidden/>
              </w:rPr>
              <w:instrText xml:space="preserve"> PAGEREF _Toc417996123 \h </w:instrText>
            </w:r>
            <w:r w:rsidR="00BF2924">
              <w:rPr>
                <w:webHidden/>
              </w:rPr>
            </w:r>
            <w:r w:rsidR="00BF2924">
              <w:rPr>
                <w:webHidden/>
              </w:rPr>
              <w:fldChar w:fldCharType="separate"/>
            </w:r>
            <w:r w:rsidR="00BF2924">
              <w:rPr>
                <w:webHidden/>
              </w:rPr>
              <w:t>10</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24" w:history="1">
            <w:r w:rsidR="00BF2924" w:rsidRPr="00931626">
              <w:rPr>
                <w:rStyle w:val="Hyperlink"/>
              </w:rPr>
              <w:t>16.1.4</w:t>
            </w:r>
            <w:r w:rsidR="00BF2924">
              <w:rPr>
                <w:rFonts w:asciiTheme="minorHAnsi" w:eastAsiaTheme="minorEastAsia" w:hAnsiTheme="minorHAnsi"/>
                <w:lang w:eastAsia="en-AU"/>
              </w:rPr>
              <w:tab/>
            </w:r>
            <w:r w:rsidR="00BF2924" w:rsidRPr="00931626">
              <w:rPr>
                <w:rStyle w:val="Hyperlink"/>
              </w:rPr>
              <w:t>Reasons for preliminary decision</w:t>
            </w:r>
            <w:r w:rsidR="00BF2924">
              <w:rPr>
                <w:webHidden/>
              </w:rPr>
              <w:tab/>
              <w:t>16-</w:t>
            </w:r>
            <w:r w:rsidR="00BF2924">
              <w:rPr>
                <w:webHidden/>
              </w:rPr>
              <w:fldChar w:fldCharType="begin"/>
            </w:r>
            <w:r w:rsidR="00BF2924">
              <w:rPr>
                <w:webHidden/>
              </w:rPr>
              <w:instrText xml:space="preserve"> PAGEREF _Toc417996124 \h </w:instrText>
            </w:r>
            <w:r w:rsidR="00BF2924">
              <w:rPr>
                <w:webHidden/>
              </w:rPr>
            </w:r>
            <w:r w:rsidR="00BF2924">
              <w:rPr>
                <w:webHidden/>
              </w:rPr>
              <w:fldChar w:fldCharType="separate"/>
            </w:r>
            <w:r w:rsidR="00BF2924">
              <w:rPr>
                <w:webHidden/>
              </w:rPr>
              <w:t>11</w:t>
            </w:r>
            <w:r w:rsidR="00BF2924">
              <w:rPr>
                <w:webHidden/>
              </w:rPr>
              <w:fldChar w:fldCharType="end"/>
            </w:r>
          </w:hyperlink>
        </w:p>
        <w:p w:rsidR="00BF2924" w:rsidRDefault="009D19E9">
          <w:pPr>
            <w:pStyle w:val="TOC2"/>
            <w:tabs>
              <w:tab w:val="left" w:pos="1276"/>
            </w:tabs>
            <w:rPr>
              <w:rFonts w:asciiTheme="minorHAnsi" w:eastAsiaTheme="minorEastAsia" w:hAnsiTheme="minorHAnsi"/>
              <w:b w:val="0"/>
              <w:color w:val="auto"/>
              <w:sz w:val="22"/>
              <w:lang w:eastAsia="en-AU"/>
            </w:rPr>
          </w:pPr>
          <w:hyperlink w:anchor="_Toc417996125" w:history="1">
            <w:r w:rsidR="00BF2924" w:rsidRPr="00931626">
              <w:rPr>
                <w:rStyle w:val="Hyperlink"/>
              </w:rPr>
              <w:t>16.2</w:t>
            </w:r>
            <w:r w:rsidR="00BF2924">
              <w:rPr>
                <w:rFonts w:asciiTheme="minorHAnsi" w:eastAsiaTheme="minorEastAsia" w:hAnsiTheme="minorHAnsi"/>
                <w:b w:val="0"/>
                <w:color w:val="auto"/>
                <w:sz w:val="22"/>
                <w:lang w:eastAsia="en-AU"/>
              </w:rPr>
              <w:tab/>
            </w:r>
            <w:r w:rsidR="00BF2924" w:rsidRPr="00931626">
              <w:rPr>
                <w:rStyle w:val="Hyperlink"/>
              </w:rPr>
              <w:t>Metering</w:t>
            </w:r>
            <w:r w:rsidR="00BF2924">
              <w:rPr>
                <w:webHidden/>
              </w:rPr>
              <w:tab/>
              <w:t>16-</w:t>
            </w:r>
            <w:r w:rsidR="00BF2924">
              <w:rPr>
                <w:webHidden/>
              </w:rPr>
              <w:fldChar w:fldCharType="begin"/>
            </w:r>
            <w:r w:rsidR="00BF2924">
              <w:rPr>
                <w:webHidden/>
              </w:rPr>
              <w:instrText xml:space="preserve"> PAGEREF _Toc417996125 \h </w:instrText>
            </w:r>
            <w:r w:rsidR="00BF2924">
              <w:rPr>
                <w:webHidden/>
              </w:rPr>
            </w:r>
            <w:r w:rsidR="00BF2924">
              <w:rPr>
                <w:webHidden/>
              </w:rPr>
              <w:fldChar w:fldCharType="separate"/>
            </w:r>
            <w:r w:rsidR="00BF2924">
              <w:rPr>
                <w:webHidden/>
              </w:rPr>
              <w:t>19</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26" w:history="1">
            <w:r w:rsidR="00BF2924" w:rsidRPr="00931626">
              <w:rPr>
                <w:rStyle w:val="Hyperlink"/>
              </w:rPr>
              <w:t>16.2.1</w:t>
            </w:r>
            <w:r w:rsidR="00BF2924">
              <w:rPr>
                <w:rFonts w:asciiTheme="minorHAnsi" w:eastAsiaTheme="minorEastAsia" w:hAnsiTheme="minorHAnsi"/>
                <w:lang w:eastAsia="en-AU"/>
              </w:rPr>
              <w:tab/>
            </w:r>
            <w:r w:rsidR="00BF2924" w:rsidRPr="00931626">
              <w:rPr>
                <w:rStyle w:val="Hyperlink"/>
              </w:rPr>
              <w:t>Preliminary decision</w:t>
            </w:r>
            <w:r w:rsidR="00BF2924">
              <w:rPr>
                <w:webHidden/>
              </w:rPr>
              <w:tab/>
              <w:t>16-</w:t>
            </w:r>
            <w:r w:rsidR="00BF2924">
              <w:rPr>
                <w:webHidden/>
              </w:rPr>
              <w:fldChar w:fldCharType="begin"/>
            </w:r>
            <w:r w:rsidR="00BF2924">
              <w:rPr>
                <w:webHidden/>
              </w:rPr>
              <w:instrText xml:space="preserve"> PAGEREF _Toc417996126 \h </w:instrText>
            </w:r>
            <w:r w:rsidR="00BF2924">
              <w:rPr>
                <w:webHidden/>
              </w:rPr>
            </w:r>
            <w:r w:rsidR="00BF2924">
              <w:rPr>
                <w:webHidden/>
              </w:rPr>
              <w:fldChar w:fldCharType="separate"/>
            </w:r>
            <w:r w:rsidR="00BF2924">
              <w:rPr>
                <w:webHidden/>
              </w:rPr>
              <w:t>20</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27" w:history="1">
            <w:r w:rsidR="00BF2924" w:rsidRPr="00931626">
              <w:rPr>
                <w:rStyle w:val="Hyperlink"/>
              </w:rPr>
              <w:t>16.2.2</w:t>
            </w:r>
            <w:r w:rsidR="00BF2924">
              <w:rPr>
                <w:rFonts w:asciiTheme="minorHAnsi" w:eastAsiaTheme="minorEastAsia" w:hAnsiTheme="minorHAnsi"/>
                <w:lang w:eastAsia="en-AU"/>
              </w:rPr>
              <w:tab/>
            </w:r>
            <w:r w:rsidR="00BF2924" w:rsidRPr="00931626">
              <w:rPr>
                <w:rStyle w:val="Hyperlink"/>
              </w:rPr>
              <w:t>Energex's proposal</w:t>
            </w:r>
            <w:r w:rsidR="00BF2924">
              <w:rPr>
                <w:webHidden/>
              </w:rPr>
              <w:tab/>
              <w:t>16-</w:t>
            </w:r>
            <w:r w:rsidR="00BF2924">
              <w:rPr>
                <w:webHidden/>
              </w:rPr>
              <w:fldChar w:fldCharType="begin"/>
            </w:r>
            <w:r w:rsidR="00BF2924">
              <w:rPr>
                <w:webHidden/>
              </w:rPr>
              <w:instrText xml:space="preserve"> PAGEREF _Toc417996127 \h </w:instrText>
            </w:r>
            <w:r w:rsidR="00BF2924">
              <w:rPr>
                <w:webHidden/>
              </w:rPr>
            </w:r>
            <w:r w:rsidR="00BF2924">
              <w:rPr>
                <w:webHidden/>
              </w:rPr>
              <w:fldChar w:fldCharType="separate"/>
            </w:r>
            <w:r w:rsidR="00BF2924">
              <w:rPr>
                <w:webHidden/>
              </w:rPr>
              <w:t>25</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28" w:history="1">
            <w:r w:rsidR="00BF2924" w:rsidRPr="00931626">
              <w:rPr>
                <w:rStyle w:val="Hyperlink"/>
              </w:rPr>
              <w:t>16.2.3</w:t>
            </w:r>
            <w:r w:rsidR="00BF2924">
              <w:rPr>
                <w:rFonts w:asciiTheme="minorHAnsi" w:eastAsiaTheme="minorEastAsia" w:hAnsiTheme="minorHAnsi"/>
                <w:lang w:eastAsia="en-AU"/>
              </w:rPr>
              <w:tab/>
            </w:r>
            <w:r w:rsidR="00BF2924" w:rsidRPr="00931626">
              <w:rPr>
                <w:rStyle w:val="Hyperlink"/>
              </w:rPr>
              <w:t>AER's assessment approach</w:t>
            </w:r>
            <w:r w:rsidR="00BF2924">
              <w:rPr>
                <w:webHidden/>
              </w:rPr>
              <w:tab/>
              <w:t>16-</w:t>
            </w:r>
            <w:r w:rsidR="00BF2924">
              <w:rPr>
                <w:webHidden/>
              </w:rPr>
              <w:fldChar w:fldCharType="begin"/>
            </w:r>
            <w:r w:rsidR="00BF2924">
              <w:rPr>
                <w:webHidden/>
              </w:rPr>
              <w:instrText xml:space="preserve"> PAGEREF _Toc417996128 \h </w:instrText>
            </w:r>
            <w:r w:rsidR="00BF2924">
              <w:rPr>
                <w:webHidden/>
              </w:rPr>
            </w:r>
            <w:r w:rsidR="00BF2924">
              <w:rPr>
                <w:webHidden/>
              </w:rPr>
              <w:fldChar w:fldCharType="separate"/>
            </w:r>
            <w:r w:rsidR="00BF2924">
              <w:rPr>
                <w:webHidden/>
              </w:rPr>
              <w:t>28</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29" w:history="1">
            <w:r w:rsidR="00BF2924" w:rsidRPr="00931626">
              <w:rPr>
                <w:rStyle w:val="Hyperlink"/>
              </w:rPr>
              <w:t>16.2.4</w:t>
            </w:r>
            <w:r w:rsidR="00BF2924">
              <w:rPr>
                <w:rFonts w:asciiTheme="minorHAnsi" w:eastAsiaTheme="minorEastAsia" w:hAnsiTheme="minorHAnsi"/>
                <w:lang w:eastAsia="en-AU"/>
              </w:rPr>
              <w:tab/>
            </w:r>
            <w:r w:rsidR="00BF2924" w:rsidRPr="00931626">
              <w:rPr>
                <w:rStyle w:val="Hyperlink"/>
              </w:rPr>
              <w:t>Interrelationships</w:t>
            </w:r>
            <w:r w:rsidR="00BF2924">
              <w:rPr>
                <w:webHidden/>
              </w:rPr>
              <w:tab/>
              <w:t>16-</w:t>
            </w:r>
            <w:r w:rsidR="00BF2924">
              <w:rPr>
                <w:webHidden/>
              </w:rPr>
              <w:fldChar w:fldCharType="begin"/>
            </w:r>
            <w:r w:rsidR="00BF2924">
              <w:rPr>
                <w:webHidden/>
              </w:rPr>
              <w:instrText xml:space="preserve"> PAGEREF _Toc417996129 \h </w:instrText>
            </w:r>
            <w:r w:rsidR="00BF2924">
              <w:rPr>
                <w:webHidden/>
              </w:rPr>
            </w:r>
            <w:r w:rsidR="00BF2924">
              <w:rPr>
                <w:webHidden/>
              </w:rPr>
              <w:fldChar w:fldCharType="separate"/>
            </w:r>
            <w:r w:rsidR="00BF2924">
              <w:rPr>
                <w:webHidden/>
              </w:rPr>
              <w:t>33</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30" w:history="1">
            <w:r w:rsidR="00BF2924" w:rsidRPr="00931626">
              <w:rPr>
                <w:rStyle w:val="Hyperlink"/>
              </w:rPr>
              <w:t>16.2.5</w:t>
            </w:r>
            <w:r w:rsidR="00BF2924">
              <w:rPr>
                <w:rFonts w:asciiTheme="minorHAnsi" w:eastAsiaTheme="minorEastAsia" w:hAnsiTheme="minorHAnsi"/>
                <w:lang w:eastAsia="en-AU"/>
              </w:rPr>
              <w:tab/>
            </w:r>
            <w:r w:rsidR="00BF2924" w:rsidRPr="00931626">
              <w:rPr>
                <w:rStyle w:val="Hyperlink"/>
              </w:rPr>
              <w:t>Reasons for preliminary decision</w:t>
            </w:r>
            <w:r w:rsidR="00BF2924">
              <w:rPr>
                <w:webHidden/>
              </w:rPr>
              <w:tab/>
              <w:t>16-</w:t>
            </w:r>
            <w:r w:rsidR="00BF2924">
              <w:rPr>
                <w:webHidden/>
              </w:rPr>
              <w:fldChar w:fldCharType="begin"/>
            </w:r>
            <w:r w:rsidR="00BF2924">
              <w:rPr>
                <w:webHidden/>
              </w:rPr>
              <w:instrText xml:space="preserve"> PAGEREF _Toc417996130 \h </w:instrText>
            </w:r>
            <w:r w:rsidR="00BF2924">
              <w:rPr>
                <w:webHidden/>
              </w:rPr>
            </w:r>
            <w:r w:rsidR="00BF2924">
              <w:rPr>
                <w:webHidden/>
              </w:rPr>
              <w:fldChar w:fldCharType="separate"/>
            </w:r>
            <w:r w:rsidR="00BF2924">
              <w:rPr>
                <w:webHidden/>
              </w:rPr>
              <w:t>34</w:t>
            </w:r>
            <w:r w:rsidR="00BF2924">
              <w:rPr>
                <w:webHidden/>
              </w:rPr>
              <w:fldChar w:fldCharType="end"/>
            </w:r>
          </w:hyperlink>
        </w:p>
        <w:p w:rsidR="00BF2924" w:rsidRDefault="009D19E9">
          <w:pPr>
            <w:pStyle w:val="TOC2"/>
            <w:tabs>
              <w:tab w:val="left" w:pos="1276"/>
            </w:tabs>
            <w:rPr>
              <w:rFonts w:asciiTheme="minorHAnsi" w:eastAsiaTheme="minorEastAsia" w:hAnsiTheme="minorHAnsi"/>
              <w:b w:val="0"/>
              <w:color w:val="auto"/>
              <w:sz w:val="22"/>
              <w:lang w:eastAsia="en-AU"/>
            </w:rPr>
          </w:pPr>
          <w:hyperlink w:anchor="_Toc417996131" w:history="1">
            <w:r w:rsidR="00BF2924" w:rsidRPr="00931626">
              <w:rPr>
                <w:rStyle w:val="Hyperlink"/>
              </w:rPr>
              <w:t>16.3</w:t>
            </w:r>
            <w:r w:rsidR="00BF2924">
              <w:rPr>
                <w:rFonts w:asciiTheme="minorHAnsi" w:eastAsiaTheme="minorEastAsia" w:hAnsiTheme="minorHAnsi"/>
                <w:b w:val="0"/>
                <w:color w:val="auto"/>
                <w:sz w:val="22"/>
                <w:lang w:eastAsia="en-AU"/>
              </w:rPr>
              <w:tab/>
            </w:r>
            <w:r w:rsidR="00BF2924" w:rsidRPr="00931626">
              <w:rPr>
                <w:rStyle w:val="Hyperlink"/>
              </w:rPr>
              <w:t>Public lighting</w:t>
            </w:r>
            <w:r w:rsidR="00BF2924">
              <w:rPr>
                <w:webHidden/>
              </w:rPr>
              <w:tab/>
              <w:t>16-</w:t>
            </w:r>
            <w:r w:rsidR="00BF2924">
              <w:rPr>
                <w:webHidden/>
              </w:rPr>
              <w:fldChar w:fldCharType="begin"/>
            </w:r>
            <w:r w:rsidR="00BF2924">
              <w:rPr>
                <w:webHidden/>
              </w:rPr>
              <w:instrText xml:space="preserve"> PAGEREF _Toc417996131 \h </w:instrText>
            </w:r>
            <w:r w:rsidR="00BF2924">
              <w:rPr>
                <w:webHidden/>
              </w:rPr>
            </w:r>
            <w:r w:rsidR="00BF2924">
              <w:rPr>
                <w:webHidden/>
              </w:rPr>
              <w:fldChar w:fldCharType="separate"/>
            </w:r>
            <w:r w:rsidR="00BF2924">
              <w:rPr>
                <w:webHidden/>
              </w:rPr>
              <w:t>58</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32" w:history="1">
            <w:r w:rsidR="00BF2924" w:rsidRPr="00931626">
              <w:rPr>
                <w:rStyle w:val="Hyperlink"/>
              </w:rPr>
              <w:t>16.3.1</w:t>
            </w:r>
            <w:r w:rsidR="00BF2924">
              <w:rPr>
                <w:rFonts w:asciiTheme="minorHAnsi" w:eastAsiaTheme="minorEastAsia" w:hAnsiTheme="minorHAnsi"/>
                <w:lang w:eastAsia="en-AU"/>
              </w:rPr>
              <w:tab/>
            </w:r>
            <w:r w:rsidR="00BF2924" w:rsidRPr="00931626">
              <w:rPr>
                <w:rStyle w:val="Hyperlink"/>
              </w:rPr>
              <w:t>Preliminary decision</w:t>
            </w:r>
            <w:r w:rsidR="00BF2924">
              <w:rPr>
                <w:webHidden/>
              </w:rPr>
              <w:tab/>
              <w:t>16-</w:t>
            </w:r>
            <w:r w:rsidR="00BF2924">
              <w:rPr>
                <w:webHidden/>
              </w:rPr>
              <w:fldChar w:fldCharType="begin"/>
            </w:r>
            <w:r w:rsidR="00BF2924">
              <w:rPr>
                <w:webHidden/>
              </w:rPr>
              <w:instrText xml:space="preserve"> PAGEREF _Toc417996132 \h </w:instrText>
            </w:r>
            <w:r w:rsidR="00BF2924">
              <w:rPr>
                <w:webHidden/>
              </w:rPr>
            </w:r>
            <w:r w:rsidR="00BF2924">
              <w:rPr>
                <w:webHidden/>
              </w:rPr>
              <w:fldChar w:fldCharType="separate"/>
            </w:r>
            <w:r w:rsidR="00BF2924">
              <w:rPr>
                <w:webHidden/>
              </w:rPr>
              <w:t>58</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34" w:history="1">
            <w:r w:rsidR="00BF2924" w:rsidRPr="00931626">
              <w:rPr>
                <w:rStyle w:val="Hyperlink"/>
              </w:rPr>
              <w:t>16.3.2</w:t>
            </w:r>
            <w:r w:rsidR="00BF2924">
              <w:rPr>
                <w:rFonts w:asciiTheme="minorHAnsi" w:eastAsiaTheme="minorEastAsia" w:hAnsiTheme="minorHAnsi"/>
                <w:lang w:eastAsia="en-AU"/>
              </w:rPr>
              <w:tab/>
            </w:r>
            <w:r w:rsidR="00BF2924" w:rsidRPr="00931626">
              <w:rPr>
                <w:rStyle w:val="Hyperlink"/>
              </w:rPr>
              <w:t>Energex’s proposal</w:t>
            </w:r>
            <w:r w:rsidR="00BF2924">
              <w:rPr>
                <w:webHidden/>
              </w:rPr>
              <w:tab/>
              <w:t>16-</w:t>
            </w:r>
            <w:r w:rsidR="00BF2924">
              <w:rPr>
                <w:webHidden/>
              </w:rPr>
              <w:fldChar w:fldCharType="begin"/>
            </w:r>
            <w:r w:rsidR="00BF2924">
              <w:rPr>
                <w:webHidden/>
              </w:rPr>
              <w:instrText xml:space="preserve"> PAGEREF _Toc417996134 \h </w:instrText>
            </w:r>
            <w:r w:rsidR="00BF2924">
              <w:rPr>
                <w:webHidden/>
              </w:rPr>
            </w:r>
            <w:r w:rsidR="00BF2924">
              <w:rPr>
                <w:webHidden/>
              </w:rPr>
              <w:fldChar w:fldCharType="separate"/>
            </w:r>
            <w:r w:rsidR="00BF2924">
              <w:rPr>
                <w:webHidden/>
              </w:rPr>
              <w:t>59</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35" w:history="1">
            <w:r w:rsidR="00BF2924" w:rsidRPr="00931626">
              <w:rPr>
                <w:rStyle w:val="Hyperlink"/>
              </w:rPr>
              <w:t>16.3.3</w:t>
            </w:r>
            <w:r w:rsidR="00BF2924">
              <w:rPr>
                <w:rFonts w:asciiTheme="minorHAnsi" w:eastAsiaTheme="minorEastAsia" w:hAnsiTheme="minorHAnsi"/>
                <w:lang w:eastAsia="en-AU"/>
              </w:rPr>
              <w:tab/>
            </w:r>
            <w:r w:rsidR="00BF2924" w:rsidRPr="00931626">
              <w:rPr>
                <w:rStyle w:val="Hyperlink"/>
              </w:rPr>
              <w:t>Assessment approach</w:t>
            </w:r>
            <w:r w:rsidR="00BF2924">
              <w:rPr>
                <w:webHidden/>
              </w:rPr>
              <w:tab/>
              <w:t>16-</w:t>
            </w:r>
            <w:r w:rsidR="00BF2924">
              <w:rPr>
                <w:webHidden/>
              </w:rPr>
              <w:fldChar w:fldCharType="begin"/>
            </w:r>
            <w:r w:rsidR="00BF2924">
              <w:rPr>
                <w:webHidden/>
              </w:rPr>
              <w:instrText xml:space="preserve"> PAGEREF _Toc417996135 \h </w:instrText>
            </w:r>
            <w:r w:rsidR="00BF2924">
              <w:rPr>
                <w:webHidden/>
              </w:rPr>
            </w:r>
            <w:r w:rsidR="00BF2924">
              <w:rPr>
                <w:webHidden/>
              </w:rPr>
              <w:fldChar w:fldCharType="separate"/>
            </w:r>
            <w:r w:rsidR="00BF2924">
              <w:rPr>
                <w:webHidden/>
              </w:rPr>
              <w:t>59</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36" w:history="1">
            <w:r w:rsidR="00BF2924" w:rsidRPr="00931626">
              <w:rPr>
                <w:rStyle w:val="Hyperlink"/>
              </w:rPr>
              <w:t>16.3.4</w:t>
            </w:r>
            <w:r w:rsidR="00BF2924">
              <w:rPr>
                <w:rFonts w:asciiTheme="minorHAnsi" w:eastAsiaTheme="minorEastAsia" w:hAnsiTheme="minorHAnsi"/>
                <w:lang w:eastAsia="en-AU"/>
              </w:rPr>
              <w:tab/>
            </w:r>
            <w:r w:rsidR="00BF2924" w:rsidRPr="00931626">
              <w:rPr>
                <w:rStyle w:val="Hyperlink"/>
              </w:rPr>
              <w:t>Submissions</w:t>
            </w:r>
            <w:r w:rsidR="00BF2924">
              <w:rPr>
                <w:webHidden/>
              </w:rPr>
              <w:tab/>
              <w:t>16-</w:t>
            </w:r>
            <w:r w:rsidR="00BF2924">
              <w:rPr>
                <w:webHidden/>
              </w:rPr>
              <w:fldChar w:fldCharType="begin"/>
            </w:r>
            <w:r w:rsidR="00BF2924">
              <w:rPr>
                <w:webHidden/>
              </w:rPr>
              <w:instrText xml:space="preserve"> PAGEREF _Toc417996136 \h </w:instrText>
            </w:r>
            <w:r w:rsidR="00BF2924">
              <w:rPr>
                <w:webHidden/>
              </w:rPr>
            </w:r>
            <w:r w:rsidR="00BF2924">
              <w:rPr>
                <w:webHidden/>
              </w:rPr>
              <w:fldChar w:fldCharType="separate"/>
            </w:r>
            <w:r w:rsidR="00BF2924">
              <w:rPr>
                <w:webHidden/>
              </w:rPr>
              <w:t>59</w:t>
            </w:r>
            <w:r w:rsidR="00BF2924">
              <w:rPr>
                <w:webHidden/>
              </w:rPr>
              <w:fldChar w:fldCharType="end"/>
            </w:r>
          </w:hyperlink>
        </w:p>
        <w:p w:rsidR="00BF2924" w:rsidRDefault="009D19E9">
          <w:pPr>
            <w:pStyle w:val="TOC3"/>
            <w:rPr>
              <w:rFonts w:asciiTheme="minorHAnsi" w:eastAsiaTheme="minorEastAsia" w:hAnsiTheme="minorHAnsi"/>
              <w:lang w:eastAsia="en-AU"/>
            </w:rPr>
          </w:pPr>
          <w:hyperlink w:anchor="_Toc417996137" w:history="1">
            <w:r w:rsidR="00BF2924" w:rsidRPr="00931626">
              <w:rPr>
                <w:rStyle w:val="Hyperlink"/>
              </w:rPr>
              <w:t>16.3.5</w:t>
            </w:r>
            <w:r w:rsidR="00BF2924">
              <w:rPr>
                <w:rFonts w:asciiTheme="minorHAnsi" w:eastAsiaTheme="minorEastAsia" w:hAnsiTheme="minorHAnsi"/>
                <w:lang w:eastAsia="en-AU"/>
              </w:rPr>
              <w:tab/>
            </w:r>
            <w:r w:rsidR="00BF2924" w:rsidRPr="00931626">
              <w:rPr>
                <w:rStyle w:val="Hyperlink"/>
              </w:rPr>
              <w:t>Reasons for preliminary decision</w:t>
            </w:r>
            <w:r w:rsidR="00BF2924">
              <w:rPr>
                <w:webHidden/>
              </w:rPr>
              <w:tab/>
              <w:t>16-</w:t>
            </w:r>
            <w:r w:rsidR="00BF2924">
              <w:rPr>
                <w:webHidden/>
              </w:rPr>
              <w:fldChar w:fldCharType="begin"/>
            </w:r>
            <w:r w:rsidR="00BF2924">
              <w:rPr>
                <w:webHidden/>
              </w:rPr>
              <w:instrText xml:space="preserve"> PAGEREF _Toc417996137 \h </w:instrText>
            </w:r>
            <w:r w:rsidR="00BF2924">
              <w:rPr>
                <w:webHidden/>
              </w:rPr>
            </w:r>
            <w:r w:rsidR="00BF2924">
              <w:rPr>
                <w:webHidden/>
              </w:rPr>
              <w:fldChar w:fldCharType="separate"/>
            </w:r>
            <w:r w:rsidR="00BF2924">
              <w:rPr>
                <w:webHidden/>
              </w:rPr>
              <w:t>60</w:t>
            </w:r>
            <w:r w:rsidR="00BF2924">
              <w:rPr>
                <w:webHidden/>
              </w:rPr>
              <w:fldChar w:fldCharType="end"/>
            </w:r>
          </w:hyperlink>
        </w:p>
        <w:p w:rsidR="00BF2924" w:rsidRDefault="009D19E9">
          <w:pPr>
            <w:pStyle w:val="TOC1"/>
            <w:rPr>
              <w:rFonts w:asciiTheme="minorHAnsi" w:eastAsiaTheme="minorEastAsia" w:hAnsiTheme="minorHAnsi"/>
              <w:b w:val="0"/>
              <w:color w:val="auto"/>
              <w:sz w:val="22"/>
              <w:lang w:val="en-AU" w:eastAsia="en-AU"/>
            </w:rPr>
          </w:pPr>
          <w:hyperlink w:anchor="_Toc417996138" w:history="1">
            <w:r w:rsidR="00BF2924" w:rsidRPr="00931626">
              <w:rPr>
                <w:rStyle w:val="Hyperlink"/>
              </w:rPr>
              <w:t>A</w:t>
            </w:r>
            <w:r w:rsidR="00BF2924">
              <w:rPr>
                <w:rFonts w:asciiTheme="minorHAnsi" w:eastAsiaTheme="minorEastAsia" w:hAnsiTheme="minorHAnsi"/>
                <w:b w:val="0"/>
                <w:color w:val="auto"/>
                <w:sz w:val="22"/>
                <w:lang w:val="en-AU" w:eastAsia="en-AU"/>
              </w:rPr>
              <w:tab/>
            </w:r>
            <w:r w:rsidR="00BF2924" w:rsidRPr="00931626">
              <w:rPr>
                <w:rStyle w:val="Hyperlink"/>
              </w:rPr>
              <w:t>Approved charges</w:t>
            </w:r>
            <w:r w:rsidR="00BF2924">
              <w:rPr>
                <w:webHidden/>
              </w:rPr>
              <w:tab/>
              <w:t>16-</w:t>
            </w:r>
            <w:r w:rsidR="00BF2924">
              <w:rPr>
                <w:webHidden/>
              </w:rPr>
              <w:fldChar w:fldCharType="begin"/>
            </w:r>
            <w:r w:rsidR="00BF2924">
              <w:rPr>
                <w:webHidden/>
              </w:rPr>
              <w:instrText xml:space="preserve"> PAGEREF _Toc417996138 \h </w:instrText>
            </w:r>
            <w:r w:rsidR="00BF2924">
              <w:rPr>
                <w:webHidden/>
              </w:rPr>
            </w:r>
            <w:r w:rsidR="00BF2924">
              <w:rPr>
                <w:webHidden/>
              </w:rPr>
              <w:fldChar w:fldCharType="separate"/>
            </w:r>
            <w:r w:rsidR="00BF2924">
              <w:rPr>
                <w:webHidden/>
              </w:rPr>
              <w:t>61</w:t>
            </w:r>
            <w:r w:rsidR="00BF2924">
              <w:rPr>
                <w:webHidden/>
              </w:rPr>
              <w:fldChar w:fldCharType="end"/>
            </w:r>
          </w:hyperlink>
        </w:p>
        <w:p w:rsidR="00DE563D" w:rsidRDefault="009C1B5E" w:rsidP="009C1B5E">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996115"/>
      <w:r>
        <w:lastRenderedPageBreak/>
        <w:t>Shortened forms</w:t>
      </w:r>
      <w:bookmarkEnd w:id="8"/>
      <w:bookmarkEnd w:id="9"/>
    </w:p>
    <w:tbl>
      <w:tblPr>
        <w:tblStyle w:val="AERtable-numbers"/>
        <w:tblW w:w="0" w:type="auto"/>
        <w:tblLook w:val="04A0" w:firstRow="1" w:lastRow="0" w:firstColumn="1" w:lastColumn="0" w:noHBand="0" w:noVBand="1"/>
      </w:tblPr>
      <w:tblGrid>
        <w:gridCol w:w="4341"/>
        <w:gridCol w:w="4352"/>
      </w:tblGrid>
      <w:tr w:rsidR="00DE563D" w:rsidTr="008E00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augex</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DUoS</w:t>
            </w:r>
            <w:proofErr w:type="spellEnd"/>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FC06A6"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9C1B5E" w:rsidP="00FC06A6">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FC06A6">
              <w:t>G</w:t>
            </w:r>
            <w:r w:rsidR="00DE563D">
              <w:t>uideline for electricity distribution</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opex</w:t>
            </w:r>
            <w:proofErr w:type="spellEnd"/>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proofErr w:type="spellStart"/>
            <w:r>
              <w:t>repex</w:t>
            </w:r>
            <w:proofErr w:type="spellEnd"/>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FC06A6">
              <w:t xml:space="preserve">and </w:t>
            </w:r>
            <w:r>
              <w:t>pricing principles</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D44495" w:rsidP="002B0550">
      <w:pPr>
        <w:pStyle w:val="Heading1"/>
      </w:pPr>
      <w:bookmarkStart w:id="10" w:name="_Toc417996116"/>
      <w:r w:rsidRPr="002B0550">
        <w:lastRenderedPageBreak/>
        <w:t>Alternative control services</w:t>
      </w:r>
      <w:bookmarkEnd w:id="10"/>
    </w:p>
    <w:p w:rsidR="007E6A04" w:rsidRDefault="007E6A04" w:rsidP="007E6A04">
      <w:bookmarkStart w:id="11" w:name="_Toc403144136"/>
      <w:bookmarkStart w:id="12" w:name="_Toc417927185"/>
      <w:r>
        <w:t>Alternative control services are those that are provided by distributors to specific customers. They do not form part of the distribution use of system revenue allowance provide by us to each distributor. Rather, distributors recover the costs of providing alternative control services through a selection of fees, most of which are charged on a ‘user pays’ basis.</w:t>
      </w:r>
    </w:p>
    <w:p w:rsidR="007E6A04" w:rsidRDefault="007E6A04" w:rsidP="007E6A04">
      <w:r>
        <w:t>This section describes the AER’s determination on the charges that distributors can levy customers for the provision of ancillary network services, public lighting and metering.</w:t>
      </w:r>
    </w:p>
    <w:p w:rsidR="008C0D0C" w:rsidRPr="008C0D0C" w:rsidRDefault="008C0D0C" w:rsidP="008C0D0C">
      <w:pPr>
        <w:pStyle w:val="Heading2"/>
      </w:pPr>
      <w:bookmarkStart w:id="13" w:name="_Toc416346877"/>
      <w:bookmarkStart w:id="14" w:name="_Toc417996117"/>
      <w:bookmarkEnd w:id="11"/>
      <w:bookmarkEnd w:id="12"/>
      <w:r w:rsidRPr="008C0D0C">
        <w:t>Ancillary network services</w:t>
      </w:r>
      <w:bookmarkEnd w:id="13"/>
      <w:bookmarkEnd w:id="14"/>
    </w:p>
    <w:p w:rsidR="00A54CC2" w:rsidRPr="00C31DC4" w:rsidRDefault="00A54CC2" w:rsidP="00A54CC2">
      <w:r w:rsidRPr="00C31DC4">
        <w:t xml:space="preserve">For </w:t>
      </w:r>
      <w:r>
        <w:t xml:space="preserve">the </w:t>
      </w:r>
      <w:r w:rsidRPr="00C31DC4">
        <w:t>purposes</w:t>
      </w:r>
      <w:r>
        <w:t xml:space="preserve"> of this preliminary decision</w:t>
      </w:r>
      <w:r w:rsidRPr="00C31DC4">
        <w:t xml:space="preserve">, we </w:t>
      </w:r>
      <w:r>
        <w:t xml:space="preserve">have referred to </w:t>
      </w:r>
      <w:r w:rsidRPr="00C31DC4">
        <w:t xml:space="preserve">the service groups </w:t>
      </w:r>
      <w:r>
        <w:t xml:space="preserve">previously identified as </w:t>
      </w:r>
      <w:r w:rsidRPr="00C31DC4">
        <w:t xml:space="preserve">'fee based services' and 'quoted services' </w:t>
      </w:r>
      <w:r>
        <w:t>collectively as a single group called</w:t>
      </w:r>
      <w:r w:rsidRPr="00C31DC4">
        <w:t xml:space="preserve"> 'ancillary network services'.</w:t>
      </w:r>
    </w:p>
    <w:p w:rsidR="008C0D0C" w:rsidRPr="008C0D0C" w:rsidRDefault="00A54CC2" w:rsidP="00A54CC2">
      <w:r w:rsidRPr="00C31DC4">
        <w:t>The existing 'fee based services' and 'quoted services' groupings describe the basis on which service prices are determined. Ancillary network services share the common characteristic of being non-routine services provided to individual customers on an as requested basis.</w:t>
      </w:r>
      <w:r w:rsidRPr="00C31DC4">
        <w:rPr>
          <w:rStyle w:val="FootnoteReference"/>
        </w:rPr>
        <w:footnoteReference w:id="1"/>
      </w:r>
    </w:p>
    <w:p w:rsidR="008C0D0C" w:rsidRPr="008C0D0C" w:rsidRDefault="008C0D0C" w:rsidP="008C0D0C">
      <w:r w:rsidRPr="008C0D0C">
        <w:t>We classify ancillary network services as direct control services. Having decided to apply a direct control classification, we must further classify ancillary network services as either standard control or alternative control. We have classified them as alternative control services because they are attributable to individual customers.</w:t>
      </w:r>
      <w:r w:rsidRPr="008C0D0C">
        <w:rPr>
          <w:rStyle w:val="FootnoteReference"/>
        </w:rPr>
        <w:footnoteReference w:id="2"/>
      </w:r>
    </w:p>
    <w:p w:rsidR="008C0D0C" w:rsidRPr="008C0D0C" w:rsidRDefault="008C0D0C" w:rsidP="008C0D0C">
      <w:pPr>
        <w:pStyle w:val="Heading3"/>
      </w:pPr>
      <w:bookmarkStart w:id="15" w:name="_Toc416346879"/>
      <w:bookmarkStart w:id="16" w:name="_Toc417996118"/>
      <w:r w:rsidRPr="008C0D0C">
        <w:t>Preliminary Decision</w:t>
      </w:r>
      <w:bookmarkEnd w:id="15"/>
      <w:bookmarkEnd w:id="16"/>
    </w:p>
    <w:p w:rsidR="008C0D0C" w:rsidRPr="008C0D0C" w:rsidRDefault="008C0D0C" w:rsidP="008C0D0C">
      <w:r w:rsidRPr="008C0D0C">
        <w:t>We do not approve</w:t>
      </w:r>
      <w:r w:rsidR="00A54CC2">
        <w:t xml:space="preserve"> a number of</w:t>
      </w:r>
      <w:r w:rsidRPr="008C0D0C">
        <w:t xml:space="preserve"> Energex's proposed fees for ancillary network services. </w:t>
      </w:r>
      <w:r w:rsidR="00A54CC2">
        <w:t xml:space="preserve">For these services, </w:t>
      </w:r>
      <w:r w:rsidRPr="008C0D0C">
        <w:t xml:space="preserve">Energex's proposed fees are higher than fees based on maximum labour rates (for the distributor's labour types) which we consider efficient for providing these services. More detail on our reasoning is in section </w:t>
      </w:r>
      <w:r w:rsidRPr="008C0D0C">
        <w:fldChar w:fldCharType="begin"/>
      </w:r>
      <w:r w:rsidRPr="008C0D0C">
        <w:instrText xml:space="preserve"> REF _Ref415485945 \r \h </w:instrText>
      </w:r>
      <w:r w:rsidRPr="008C0D0C">
        <w:fldChar w:fldCharType="separate"/>
      </w:r>
      <w:r w:rsidR="005E73B8">
        <w:t>16.1.4</w:t>
      </w:r>
      <w:r w:rsidRPr="008C0D0C">
        <w:fldChar w:fldCharType="end"/>
      </w:r>
      <w:r w:rsidR="00AF0CB8">
        <w:t>.</w:t>
      </w:r>
    </w:p>
    <w:p w:rsidR="008C0D0C" w:rsidRPr="008C0D0C" w:rsidRDefault="008C0D0C" w:rsidP="008C0D0C">
      <w:r w:rsidRPr="008C0D0C">
        <w:t>Appendix</w:t>
      </w:r>
      <w:r w:rsidR="000755F5">
        <w:t xml:space="preserve"> </w:t>
      </w:r>
      <w:r w:rsidR="00A95207">
        <w:fldChar w:fldCharType="begin"/>
      </w:r>
      <w:r w:rsidR="00A95207">
        <w:instrText xml:space="preserve"> REF _Ref417556441 \n \h </w:instrText>
      </w:r>
      <w:r w:rsidR="00A95207">
        <w:fldChar w:fldCharType="separate"/>
      </w:r>
      <w:r w:rsidR="005E73B8">
        <w:t>A.1</w:t>
      </w:r>
      <w:r w:rsidR="00A95207">
        <w:fldChar w:fldCharType="end"/>
      </w:r>
      <w:r w:rsidR="00CC3582">
        <w:t xml:space="preserve"> </w:t>
      </w:r>
      <w:r w:rsidRPr="008C0D0C">
        <w:t>contains our preliminary decision on the fees Energex can charge for ancillary network services for the first year of the 2015</w:t>
      </w:r>
      <w:r w:rsidR="008422F4">
        <w:t>–</w:t>
      </w:r>
      <w:r w:rsidRPr="008C0D0C">
        <w:t>20 regulatory control period.</w:t>
      </w:r>
    </w:p>
    <w:p w:rsidR="008C0D0C" w:rsidRPr="008C0D0C" w:rsidRDefault="00A95207" w:rsidP="008C0D0C">
      <w:r>
        <w:fldChar w:fldCharType="begin"/>
      </w:r>
      <w:r>
        <w:instrText xml:space="preserve"> REF _Ref417555351 \h </w:instrText>
      </w:r>
      <w:r>
        <w:fldChar w:fldCharType="separate"/>
      </w:r>
      <w:r w:rsidR="005E73B8">
        <w:t xml:space="preserve">Table </w:t>
      </w:r>
      <w:r w:rsidR="005E73B8">
        <w:rPr>
          <w:noProof/>
        </w:rPr>
        <w:t>16</w:t>
      </w:r>
      <w:r w:rsidR="005E73B8">
        <w:t>.</w:t>
      </w:r>
      <w:r w:rsidR="005E73B8">
        <w:rPr>
          <w:noProof/>
        </w:rPr>
        <w:t>23</w:t>
      </w:r>
      <w:r>
        <w:fldChar w:fldCharType="end"/>
      </w:r>
      <w:r>
        <w:t xml:space="preserve"> </w:t>
      </w:r>
      <w:r w:rsidR="008C0D0C" w:rsidRPr="008C0D0C">
        <w:t xml:space="preserve">sets out charges for fee based </w:t>
      </w:r>
      <w:r w:rsidR="00AF0CB8">
        <w:t>and</w:t>
      </w:r>
      <w:r w:rsidR="008C0D0C" w:rsidRPr="008C0D0C">
        <w:t xml:space="preserve"> quoted services.</w:t>
      </w:r>
    </w:p>
    <w:p w:rsidR="00A15F7D" w:rsidRDefault="00A15F7D" w:rsidP="008C0D0C">
      <w:pPr>
        <w:pStyle w:val="HeadingBoldBlue"/>
        <w:numPr>
          <w:ilvl w:val="0"/>
          <w:numId w:val="25"/>
        </w:numPr>
      </w:pPr>
      <w:bookmarkStart w:id="17" w:name="_Toc416346880"/>
      <w:bookmarkStart w:id="18" w:name="_Toc417927680"/>
      <w:bookmarkStart w:id="19" w:name="_Toc417989967"/>
      <w:bookmarkStart w:id="20" w:name="_Toc417996119"/>
    </w:p>
    <w:p w:rsidR="008C0D0C" w:rsidRPr="008C0D0C" w:rsidRDefault="008C0D0C" w:rsidP="008C0D0C">
      <w:pPr>
        <w:pStyle w:val="HeadingBoldBlue"/>
        <w:numPr>
          <w:ilvl w:val="0"/>
          <w:numId w:val="25"/>
        </w:numPr>
      </w:pPr>
      <w:r w:rsidRPr="008C0D0C">
        <w:lastRenderedPageBreak/>
        <w:t>Form of control</w:t>
      </w:r>
      <w:bookmarkEnd w:id="17"/>
      <w:bookmarkEnd w:id="18"/>
      <w:bookmarkEnd w:id="19"/>
      <w:bookmarkEnd w:id="20"/>
    </w:p>
    <w:p w:rsidR="008C0D0C" w:rsidRPr="008C0D0C" w:rsidRDefault="008C0D0C" w:rsidP="008C0D0C">
      <w:pPr>
        <w:pStyle w:val="ListParagraph"/>
        <w:numPr>
          <w:ilvl w:val="0"/>
          <w:numId w:val="25"/>
        </w:numPr>
      </w:pPr>
      <w:r w:rsidRPr="008C0D0C">
        <w:t>Our preliminary decision is to apply a price cap for the form of control to ancillary network services.</w:t>
      </w:r>
      <w:r w:rsidR="005E73B8">
        <w:t xml:space="preserve"> </w:t>
      </w:r>
      <w:r w:rsidR="005E73B8">
        <w:fldChar w:fldCharType="begin"/>
      </w:r>
      <w:r w:rsidR="005E73B8">
        <w:instrText xml:space="preserve"> REF _Ref417046140 \h </w:instrText>
      </w:r>
      <w:r w:rsidR="005E73B8">
        <w:fldChar w:fldCharType="separate"/>
      </w:r>
      <w:r w:rsidR="005E73B8" w:rsidRPr="008C0D0C">
        <w:t xml:space="preserve">Figure </w:t>
      </w:r>
      <w:r w:rsidR="005E73B8">
        <w:rPr>
          <w:noProof/>
        </w:rPr>
        <w:t>16</w:t>
      </w:r>
      <w:r w:rsidR="005E73B8" w:rsidRPr="008C0D0C">
        <w:t>.</w:t>
      </w:r>
      <w:r w:rsidR="005E73B8">
        <w:rPr>
          <w:noProof/>
        </w:rPr>
        <w:t>1</w:t>
      </w:r>
      <w:r w:rsidR="005E73B8">
        <w:fldChar w:fldCharType="end"/>
      </w:r>
      <w:r w:rsidR="005E73B8">
        <w:t xml:space="preserve"> </w:t>
      </w:r>
      <w:r w:rsidRPr="008C0D0C">
        <w:t xml:space="preserve">and </w:t>
      </w:r>
      <w:r w:rsidR="005E73B8">
        <w:fldChar w:fldCharType="begin"/>
      </w:r>
      <w:r w:rsidR="005E73B8">
        <w:instrText xml:space="preserve"> REF _Ref416342083 \h </w:instrText>
      </w:r>
      <w:r w:rsidR="005E73B8">
        <w:fldChar w:fldCharType="separate"/>
      </w:r>
      <w:r w:rsidR="005E73B8" w:rsidRPr="008C0D0C">
        <w:t xml:space="preserve">Figure </w:t>
      </w:r>
      <w:r w:rsidR="005E73B8">
        <w:rPr>
          <w:noProof/>
        </w:rPr>
        <w:t>16</w:t>
      </w:r>
      <w:r w:rsidR="005E73B8" w:rsidRPr="008C0D0C">
        <w:t>.</w:t>
      </w:r>
      <w:r w:rsidR="005E73B8">
        <w:rPr>
          <w:noProof/>
        </w:rPr>
        <w:t>2</w:t>
      </w:r>
      <w:r w:rsidR="005E73B8">
        <w:fldChar w:fldCharType="end"/>
      </w:r>
      <w:r w:rsidR="005E73B8">
        <w:t xml:space="preserve"> </w:t>
      </w:r>
      <w:r w:rsidRPr="008C0D0C">
        <w:t>set out the control mechanism formulas for fee based services and quoted services, respectively. They are consistent with the formulas which Ergon Energy agreed on in its regulatory proposal.</w:t>
      </w:r>
      <w:r w:rsidRPr="008C0D0C">
        <w:rPr>
          <w:rStyle w:val="FootnoteReference"/>
        </w:rPr>
        <w:footnoteReference w:id="3"/>
      </w:r>
    </w:p>
    <w:p w:rsidR="008C0D0C" w:rsidRPr="008C0D0C" w:rsidRDefault="008C0D0C" w:rsidP="008C0D0C">
      <w:pPr>
        <w:pStyle w:val="HeadingBoldBlue"/>
        <w:numPr>
          <w:ilvl w:val="0"/>
          <w:numId w:val="25"/>
        </w:numPr>
      </w:pPr>
      <w:bookmarkStart w:id="21" w:name="_Toc417927681"/>
      <w:bookmarkStart w:id="22" w:name="_Toc417989968"/>
      <w:bookmarkStart w:id="23" w:name="_Toc417996120"/>
      <w:r w:rsidRPr="008C0D0C">
        <w:t>Form of control—fee based services</w:t>
      </w:r>
      <w:bookmarkEnd w:id="21"/>
      <w:bookmarkEnd w:id="22"/>
      <w:bookmarkEnd w:id="23"/>
    </w:p>
    <w:p w:rsidR="008C0D0C" w:rsidRPr="008C0D0C" w:rsidRDefault="008C0D0C" w:rsidP="008C0D0C">
      <w:pPr>
        <w:pStyle w:val="ListParagraph"/>
        <w:numPr>
          <w:ilvl w:val="0"/>
          <w:numId w:val="25"/>
        </w:numPr>
      </w:pPr>
      <w:bookmarkStart w:id="24" w:name="_Ref416342072"/>
      <w:r w:rsidRPr="008C0D0C">
        <w:t>Our preliminary decision is to apply a price cap for the form of control to fee based services.</w:t>
      </w:r>
      <w:r w:rsidRPr="008C0D0C">
        <w:rPr>
          <w:rStyle w:val="FootnoteReference"/>
        </w:rPr>
        <w:footnoteReference w:id="4"/>
      </w:r>
      <w:r w:rsidRPr="008C0D0C">
        <w:t xml:space="preserve"> This is consistent with the form of control applied in the </w:t>
      </w:r>
      <w:r w:rsidR="008422F4">
        <w:t>2010–15</w:t>
      </w:r>
      <w:r w:rsidRPr="008C0D0C">
        <w:t xml:space="preserve"> regulatory period. Under this form of control, a schedule of prices is set for the first year. For each of the following years, the previous year’s prices are adjusted by CPI and an X factor. The formula to give effect to the price cap is set out below:</w:t>
      </w:r>
    </w:p>
    <w:p w:rsidR="008C0D0C" w:rsidRPr="008C0D0C" w:rsidRDefault="008C0D0C" w:rsidP="008C0D0C">
      <w:pPr>
        <w:pStyle w:val="Caption"/>
      </w:pPr>
      <w:bookmarkStart w:id="25" w:name="_Ref417046140"/>
      <w:r w:rsidRPr="008C0D0C">
        <w:t xml:space="preserve">Figure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Pr="008C0D0C">
        <w:t>.</w:t>
      </w:r>
      <w:fldSimple w:instr=" SEQ Figure \* ARABIC \s 1 ">
        <w:r w:rsidR="005E73B8">
          <w:rPr>
            <w:noProof/>
          </w:rPr>
          <w:t>1</w:t>
        </w:r>
      </w:fldSimple>
      <w:bookmarkEnd w:id="24"/>
      <w:bookmarkEnd w:id="25"/>
      <w:r w:rsidRPr="008C0D0C">
        <w:tab/>
        <w:t>Fee based ancillary network services formula</w:t>
      </w:r>
    </w:p>
    <w:p w:rsidR="008C0D0C" w:rsidRPr="008C0D0C" w:rsidRDefault="009D19E9" w:rsidP="008C0D0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p>
    <w:p w:rsidR="008C0D0C" w:rsidRPr="008C0D0C" w:rsidRDefault="008C0D0C" w:rsidP="008C0D0C">
      <w:pPr>
        <w:numPr>
          <w:ilvl w:val="0"/>
          <w:numId w:val="25"/>
        </w:numPr>
      </w:pPr>
      <w:r w:rsidRPr="008C0D0C">
        <w:t>Where:</w:t>
      </w:r>
    </w:p>
    <w:p w:rsidR="008C0D0C" w:rsidRPr="008C0D0C" w:rsidRDefault="009D19E9" w:rsidP="008C0D0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8C0D0C" w:rsidRPr="008C0D0C">
        <w:t xml:space="preserve"> </w:t>
      </w:r>
      <w:r w:rsidR="008C0D0C" w:rsidRPr="008C0D0C">
        <w:tab/>
        <w:t>is the cap on the price of service I in year t-1</w:t>
      </w:r>
    </w:p>
    <w:p w:rsidR="008C0D0C" w:rsidRPr="008C0D0C" w:rsidRDefault="009D19E9" w:rsidP="008C0D0C">
      <w:pPr>
        <w:pStyle w:val="ListParagraph"/>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8C0D0C" w:rsidRPr="008C0D0C">
        <w:t xml:space="preserve"> </w:t>
      </w:r>
      <w:r w:rsidR="008C0D0C" w:rsidRPr="008C0D0C">
        <w:tab/>
      </w:r>
      <w:r w:rsidR="008C0D0C" w:rsidRPr="008C0D0C">
        <w:tab/>
        <w:t>is the</w:t>
      </w:r>
      <w:r w:rsidR="00777ECD">
        <w:t xml:space="preserve"> cap on the</w:t>
      </w:r>
      <w:r w:rsidR="008C0D0C" w:rsidRPr="008C0D0C">
        <w:t xml:space="preserve"> price of service </w:t>
      </w:r>
      <w:proofErr w:type="spellStart"/>
      <w:r w:rsidR="00004F19">
        <w:t>i</w:t>
      </w:r>
      <w:proofErr w:type="spellEnd"/>
      <w:r w:rsidR="008C0D0C" w:rsidRPr="008C0D0C">
        <w:t xml:space="preserve"> in year t</w:t>
      </w:r>
      <w:r w:rsidR="00004F19">
        <w:t>.</w:t>
      </w:r>
      <w:r w:rsidR="00004F19" w:rsidRPr="00004F19">
        <w:t xml:space="preserve"> </w:t>
      </w:r>
      <w:r w:rsidR="00004F19" w:rsidRPr="00C63D58">
        <w:t>However, for 2015–16 this is the price as determined in</w:t>
      </w:r>
      <w:r w:rsidR="00004F19">
        <w:t xml:space="preserve"> </w:t>
      </w:r>
      <w:r w:rsidR="00004F19">
        <w:fldChar w:fldCharType="begin"/>
      </w:r>
      <w:r w:rsidR="00004F19">
        <w:instrText xml:space="preserve"> REF  _Ref417555351 \* Lower \h </w:instrText>
      </w:r>
      <w:r w:rsidR="00004F19">
        <w:fldChar w:fldCharType="separate"/>
      </w:r>
      <w:r w:rsidR="005E73B8">
        <w:t xml:space="preserve">table </w:t>
      </w:r>
      <w:r w:rsidR="005E73B8">
        <w:rPr>
          <w:noProof/>
        </w:rPr>
        <w:t>16</w:t>
      </w:r>
      <w:r w:rsidR="005E73B8">
        <w:t>.</w:t>
      </w:r>
      <w:r w:rsidR="005E73B8">
        <w:rPr>
          <w:noProof/>
        </w:rPr>
        <w:t>23</w:t>
      </w:r>
      <w:r w:rsidR="00004F19">
        <w:fldChar w:fldCharType="end"/>
      </w:r>
      <w:r w:rsidR="00004F19">
        <w:t>.</w:t>
      </w:r>
    </w:p>
    <w:p w:rsidR="00AA6584" w:rsidRPr="00AA6584" w:rsidRDefault="00AA6584" w:rsidP="00AA6584">
      <w:pPr>
        <w:pStyle w:val="ListParagraph"/>
        <w:numPr>
          <w:ilvl w:val="0"/>
          <w:numId w:val="25"/>
        </w:numPr>
      </w:pPr>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AA6584">
        <w:t xml:space="preserve"> </w:t>
      </w:r>
      <w:r w:rsidRPr="00AA6584">
        <w:tab/>
        <w:t>is the annual percentage change in the ABS CPI All Groups, Weighted Average of Eight Capital Cities from December in year t-2 to December in year t-1. For example, for the 2015–16 year, t–2 is December 2013 and t–1 is December 2014 and in the 2016–17 year, t–2 is December 2014 and t–1 is December 2015 and so on.</w:t>
      </w:r>
      <w:r w:rsidRPr="00AA6584">
        <w:tab/>
      </w:r>
    </w:p>
    <w:p w:rsidR="00531653" w:rsidRPr="00531653" w:rsidRDefault="009D19E9" w:rsidP="00531653">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oMath>
      <w:r w:rsidR="008C0D0C" w:rsidRPr="008C0D0C">
        <w:t xml:space="preserve"> </w:t>
      </w:r>
      <w:r w:rsidR="008C0D0C" w:rsidRPr="008C0D0C">
        <w:tab/>
      </w:r>
      <w:r w:rsidR="008C0D0C" w:rsidRPr="008C0D0C">
        <w:tab/>
        <w:t>is the X-factor for service i in year t</w:t>
      </w:r>
      <w:r w:rsidR="00531653">
        <w:t xml:space="preserve"> </w:t>
      </w:r>
      <w:r w:rsidR="00531653" w:rsidRPr="00531653">
        <w:t xml:space="preserve">as </w:t>
      </w:r>
      <w:r w:rsidR="00531653" w:rsidRPr="00531653">
        <w:fldChar w:fldCharType="begin"/>
      </w:r>
      <w:r w:rsidR="00531653" w:rsidRPr="00531653">
        <w:instrText xml:space="preserve"> REF  _Ref410636364 \* Lower \h </w:instrText>
      </w:r>
      <w:r w:rsidR="00531653" w:rsidRPr="00531653">
        <w:fldChar w:fldCharType="separate"/>
      </w:r>
      <w:r w:rsidR="005E73B8" w:rsidRPr="00531653">
        <w:t xml:space="preserve">table </w:t>
      </w:r>
      <w:r w:rsidR="005E73B8">
        <w:rPr>
          <w:noProof/>
        </w:rPr>
        <w:t>16</w:t>
      </w:r>
      <w:r w:rsidR="005E73B8">
        <w:t>.</w:t>
      </w:r>
      <w:r w:rsidR="005E73B8">
        <w:rPr>
          <w:noProof/>
        </w:rPr>
        <w:t>1</w:t>
      </w:r>
      <w:r w:rsidR="00531653" w:rsidRPr="00531653">
        <w:fldChar w:fldCharType="end"/>
      </w:r>
      <w:r w:rsidR="00531653" w:rsidRPr="00531653">
        <w:t xml:space="preserve"> sets out.</w:t>
      </w:r>
      <w:r w:rsidR="00705F0B">
        <w:t xml:space="preserve"> </w:t>
      </w:r>
    </w:p>
    <w:p w:rsidR="00531653" w:rsidRPr="00531653" w:rsidRDefault="00531653" w:rsidP="00531653">
      <w:pPr>
        <w:pStyle w:val="Caption"/>
      </w:pPr>
      <w:bookmarkStart w:id="26" w:name="_Ref410636364"/>
      <w:r w:rsidRPr="00531653">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w:t>
        </w:r>
      </w:fldSimple>
      <w:bookmarkEnd w:id="26"/>
      <w:r w:rsidRPr="00531653">
        <w:tab/>
        <w:t xml:space="preserve">AER </w:t>
      </w:r>
      <w:r w:rsidR="00705F0B">
        <w:t>preliminary</w:t>
      </w:r>
      <w:r w:rsidR="00705F0B" w:rsidRPr="00531653">
        <w:t xml:space="preserve"> </w:t>
      </w:r>
      <w:r w:rsidRPr="00531653">
        <w:t>decision on X fact</w:t>
      </w:r>
      <w:r w:rsidR="00B5694C">
        <w:t>ors for each year of the 2015–20</w:t>
      </w:r>
      <w:r w:rsidRPr="00531653">
        <w:t xml:space="preserve">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531653" w:rsidRPr="00683966" w:rsidTr="00705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531653" w:rsidRPr="00531653" w:rsidRDefault="00531653" w:rsidP="00531653"/>
        </w:tc>
        <w:tc>
          <w:tcPr>
            <w:tcW w:w="1738" w:type="dxa"/>
          </w:tcPr>
          <w:p w:rsidR="00531653" w:rsidRPr="00531653" w:rsidRDefault="00531653" w:rsidP="00531653">
            <w:pPr>
              <w:cnfStyle w:val="100000000000" w:firstRow="1" w:lastRow="0" w:firstColumn="0" w:lastColumn="0" w:oddVBand="0" w:evenVBand="0" w:oddHBand="0" w:evenHBand="0" w:firstRowFirstColumn="0" w:firstRowLastColumn="0" w:lastRowFirstColumn="0" w:lastRowLastColumn="0"/>
            </w:pPr>
            <w:r w:rsidRPr="00531653">
              <w:t>2016–17</w:t>
            </w:r>
          </w:p>
        </w:tc>
        <w:tc>
          <w:tcPr>
            <w:tcW w:w="1739" w:type="dxa"/>
          </w:tcPr>
          <w:p w:rsidR="00531653" w:rsidRPr="00531653" w:rsidRDefault="00531653" w:rsidP="00531653">
            <w:pPr>
              <w:cnfStyle w:val="100000000000" w:firstRow="1" w:lastRow="0" w:firstColumn="0" w:lastColumn="0" w:oddVBand="0" w:evenVBand="0" w:oddHBand="0" w:evenHBand="0" w:firstRowFirstColumn="0" w:firstRowLastColumn="0" w:lastRowFirstColumn="0" w:lastRowLastColumn="0"/>
            </w:pPr>
            <w:r w:rsidRPr="00531653">
              <w:t>2017–18</w:t>
            </w:r>
          </w:p>
        </w:tc>
        <w:tc>
          <w:tcPr>
            <w:tcW w:w="1739" w:type="dxa"/>
          </w:tcPr>
          <w:p w:rsidR="00531653" w:rsidRPr="00531653" w:rsidRDefault="00531653" w:rsidP="00531653">
            <w:pPr>
              <w:cnfStyle w:val="100000000000" w:firstRow="1" w:lastRow="0" w:firstColumn="0" w:lastColumn="0" w:oddVBand="0" w:evenVBand="0" w:oddHBand="0" w:evenHBand="0" w:firstRowFirstColumn="0" w:firstRowLastColumn="0" w:lastRowFirstColumn="0" w:lastRowLastColumn="0"/>
            </w:pPr>
            <w:r w:rsidRPr="00531653">
              <w:t>2018–19</w:t>
            </w:r>
          </w:p>
        </w:tc>
        <w:tc>
          <w:tcPr>
            <w:tcW w:w="1739" w:type="dxa"/>
          </w:tcPr>
          <w:p w:rsidR="00531653" w:rsidRPr="00531653" w:rsidRDefault="00531653" w:rsidP="00531653">
            <w:pPr>
              <w:cnfStyle w:val="100000000000" w:firstRow="1" w:lastRow="0" w:firstColumn="0" w:lastColumn="0" w:oddVBand="0" w:evenVBand="0" w:oddHBand="0" w:evenHBand="0" w:firstRowFirstColumn="0" w:firstRowLastColumn="0" w:lastRowFirstColumn="0" w:lastRowLastColumn="0"/>
            </w:pPr>
            <w:r w:rsidRPr="00531653">
              <w:t>2019–20</w:t>
            </w:r>
          </w:p>
        </w:tc>
      </w:tr>
      <w:tr w:rsidR="00531653" w:rsidRPr="00683966" w:rsidTr="00705F0B">
        <w:tc>
          <w:tcPr>
            <w:cnfStyle w:val="001000000000" w:firstRow="0" w:lastRow="0" w:firstColumn="1" w:lastColumn="0" w:oddVBand="0" w:evenVBand="0" w:oddHBand="0" w:evenHBand="0" w:firstRowFirstColumn="0" w:firstRowLastColumn="0" w:lastRowFirstColumn="0" w:lastRowLastColumn="0"/>
            <w:tcW w:w="1738" w:type="dxa"/>
          </w:tcPr>
          <w:p w:rsidR="00531653" w:rsidRPr="00531653" w:rsidRDefault="00531653" w:rsidP="00531653">
            <w:r w:rsidRPr="00531653">
              <w:t>X factor</w:t>
            </w:r>
          </w:p>
        </w:tc>
        <w:tc>
          <w:tcPr>
            <w:tcW w:w="1738" w:type="dxa"/>
            <w:vAlign w:val="bottom"/>
          </w:tcPr>
          <w:p w:rsidR="00531653" w:rsidRPr="00531653" w:rsidRDefault="00531653" w:rsidP="00531653">
            <w:pPr>
              <w:cnfStyle w:val="000000000000" w:firstRow="0" w:lastRow="0" w:firstColumn="0" w:lastColumn="0" w:oddVBand="0" w:evenVBand="0" w:oddHBand="0" w:evenHBand="0" w:firstRowFirstColumn="0" w:firstRowLastColumn="0" w:lastRowFirstColumn="0" w:lastRowLastColumn="0"/>
            </w:pPr>
            <w:r w:rsidRPr="00531653">
              <w:t>–0.74</w:t>
            </w:r>
          </w:p>
        </w:tc>
        <w:tc>
          <w:tcPr>
            <w:tcW w:w="1739" w:type="dxa"/>
            <w:vAlign w:val="bottom"/>
          </w:tcPr>
          <w:p w:rsidR="00531653" w:rsidRPr="00531653" w:rsidRDefault="00531653" w:rsidP="00531653">
            <w:pPr>
              <w:cnfStyle w:val="000000000000" w:firstRow="0" w:lastRow="0" w:firstColumn="0" w:lastColumn="0" w:oddVBand="0" w:evenVBand="0" w:oddHBand="0" w:evenHBand="0" w:firstRowFirstColumn="0" w:firstRowLastColumn="0" w:lastRowFirstColumn="0" w:lastRowLastColumn="0"/>
            </w:pPr>
            <w:r w:rsidRPr="00531653">
              <w:t>–0.72</w:t>
            </w:r>
          </w:p>
        </w:tc>
        <w:tc>
          <w:tcPr>
            <w:tcW w:w="1739" w:type="dxa"/>
            <w:vAlign w:val="bottom"/>
          </w:tcPr>
          <w:p w:rsidR="00531653" w:rsidRPr="00531653" w:rsidRDefault="00531653" w:rsidP="00531653">
            <w:pPr>
              <w:cnfStyle w:val="000000000000" w:firstRow="0" w:lastRow="0" w:firstColumn="0" w:lastColumn="0" w:oddVBand="0" w:evenVBand="0" w:oddHBand="0" w:evenHBand="0" w:firstRowFirstColumn="0" w:firstRowLastColumn="0" w:lastRowFirstColumn="0" w:lastRowLastColumn="0"/>
            </w:pPr>
            <w:r w:rsidRPr="00531653">
              <w:t>–0.74</w:t>
            </w:r>
          </w:p>
        </w:tc>
        <w:tc>
          <w:tcPr>
            <w:tcW w:w="1739" w:type="dxa"/>
            <w:vAlign w:val="bottom"/>
          </w:tcPr>
          <w:p w:rsidR="00531653" w:rsidRPr="00531653" w:rsidRDefault="00531653" w:rsidP="00531653">
            <w:pPr>
              <w:cnfStyle w:val="000000000000" w:firstRow="0" w:lastRow="0" w:firstColumn="0" w:lastColumn="0" w:oddVBand="0" w:evenVBand="0" w:oddHBand="0" w:evenHBand="0" w:firstRowFirstColumn="0" w:firstRowLastColumn="0" w:lastRowFirstColumn="0" w:lastRowLastColumn="0"/>
            </w:pPr>
            <w:r w:rsidRPr="00531653">
              <w:t>–0.77</w:t>
            </w:r>
          </w:p>
        </w:tc>
      </w:tr>
    </w:tbl>
    <w:p w:rsidR="00076BF6" w:rsidRDefault="00076BF6" w:rsidP="00076BF6">
      <w:pPr>
        <w:pStyle w:val="AERtablesource"/>
        <w:rPr>
          <w:rStyle w:val="CommentReference"/>
        </w:rPr>
      </w:pPr>
      <w:r>
        <w:rPr>
          <w:rStyle w:val="CommentReference"/>
        </w:rPr>
        <w:t xml:space="preserve">Source: </w:t>
      </w:r>
      <w:r>
        <w:rPr>
          <w:rStyle w:val="CommentReference"/>
        </w:rPr>
        <w:tab/>
        <w:t>AER analysis.</w:t>
      </w:r>
    </w:p>
    <w:p w:rsidR="00B701C4" w:rsidRPr="00B701C4" w:rsidRDefault="00076BF6" w:rsidP="00076BF6">
      <w:pPr>
        <w:pStyle w:val="AERtablesource"/>
        <w:rPr>
          <w:rStyle w:val="CommentReference"/>
        </w:rPr>
      </w:pPr>
      <w:r>
        <w:rPr>
          <w:rStyle w:val="CommentReference"/>
        </w:rPr>
        <w:t>Note:</w:t>
      </w:r>
      <w:r>
        <w:rPr>
          <w:rStyle w:val="CommentReference"/>
        </w:rPr>
        <w:tab/>
      </w:r>
      <w:r w:rsidR="00F24A32" w:rsidRPr="00B701C4">
        <w:rPr>
          <w:rStyle w:val="CommentReference"/>
        </w:rPr>
        <w:t xml:space="preserve">To be clear, labour escalators themselves are positive for each year of the regulatory control period. However, the labour escalators in this table are operating as </w:t>
      </w:r>
      <w:proofErr w:type="spellStart"/>
      <w:r w:rsidR="00F24A32" w:rsidRPr="00B701C4">
        <w:rPr>
          <w:rStyle w:val="CommentReference"/>
        </w:rPr>
        <w:t>defacto</w:t>
      </w:r>
      <w:proofErr w:type="spellEnd"/>
      <w:r w:rsidR="00F24A32" w:rsidRPr="00B701C4">
        <w:rPr>
          <w:rStyle w:val="CommentReference"/>
        </w:rPr>
        <w:t xml:space="preserve"> X factors. Therefore, they are negative</w:t>
      </w:r>
      <w:r>
        <w:rPr>
          <w:rStyle w:val="CommentReference"/>
        </w:rPr>
        <w:t>.</w:t>
      </w:r>
    </w:p>
    <w:p w:rsidR="008C0D0C" w:rsidRPr="008C0D0C" w:rsidRDefault="009D19E9" w:rsidP="008C0D0C">
      <w:pPr>
        <w:pStyle w:val="ListParagraph"/>
        <w:numPr>
          <w:ilvl w:val="0"/>
          <w:numId w:val="25"/>
        </w:numPr>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8C0D0C" w:rsidRPr="008C0D0C">
        <w:t xml:space="preserve"> </w:t>
      </w:r>
      <w:r w:rsidR="008C0D0C" w:rsidRPr="008C0D0C">
        <w:tab/>
      </w:r>
      <w:r w:rsidR="008C0D0C" w:rsidRPr="008C0D0C">
        <w:tab/>
        <w:t>is an adjustment factor for residual charges when customers choose to replace assets before the end of their economic life. For ancillary network services we consider the value for A is zero.</w:t>
      </w:r>
    </w:p>
    <w:p w:rsidR="008C0D0C" w:rsidRPr="008C0D0C" w:rsidRDefault="008C0D0C" w:rsidP="008C0D0C">
      <w:pPr>
        <w:pStyle w:val="HeadingBoldBlue"/>
      </w:pPr>
      <w:bookmarkStart w:id="27" w:name="_Toc416346882"/>
      <w:bookmarkStart w:id="28" w:name="_Toc417927682"/>
      <w:bookmarkStart w:id="29" w:name="_Toc417989969"/>
      <w:bookmarkStart w:id="30" w:name="_Toc417996121"/>
      <w:r w:rsidRPr="008C0D0C">
        <w:t>Form of control— quoted services</w:t>
      </w:r>
      <w:bookmarkEnd w:id="27"/>
      <w:bookmarkEnd w:id="28"/>
      <w:bookmarkEnd w:id="29"/>
      <w:bookmarkEnd w:id="30"/>
    </w:p>
    <w:p w:rsidR="008C0D0C" w:rsidRPr="008C0D0C" w:rsidRDefault="008C0D0C" w:rsidP="008C0D0C">
      <w:pPr>
        <w:pStyle w:val="ListContinue3"/>
        <w:ind w:left="0"/>
      </w:pPr>
      <w:r w:rsidRPr="008C0D0C">
        <w:t>The AER's preliminary decision is to apply a formula to determine the cost build-up of services that are priced on a ‘quoted’ basis.</w:t>
      </w:r>
      <w:r w:rsidRPr="008C0D0C">
        <w:rPr>
          <w:rStyle w:val="FootnoteReference"/>
        </w:rPr>
        <w:footnoteReference w:id="5"/>
      </w:r>
      <w:r w:rsidRPr="008C0D0C">
        <w:t xml:space="preserve"> </w:t>
      </w:r>
    </w:p>
    <w:p w:rsidR="008C0D0C" w:rsidRPr="008C0D0C" w:rsidRDefault="008C0D0C" w:rsidP="008C0D0C">
      <w:pPr>
        <w:pStyle w:val="Caption"/>
      </w:pPr>
      <w:bookmarkStart w:id="31" w:name="_Ref416342083"/>
      <w:r w:rsidRPr="008C0D0C">
        <w:t xml:space="preserve">Figure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Pr="008C0D0C">
        <w:t>.</w:t>
      </w:r>
      <w:fldSimple w:instr=" SEQ Figure \* ARABIC \s 1 ">
        <w:r w:rsidR="005E73B8">
          <w:rPr>
            <w:noProof/>
          </w:rPr>
          <w:t>2</w:t>
        </w:r>
      </w:fldSimple>
      <w:bookmarkEnd w:id="31"/>
      <w:r w:rsidRPr="008C0D0C">
        <w:t xml:space="preserve"> Quoted services formula</w:t>
      </w:r>
    </w:p>
    <w:p w:rsidR="008C0D0C" w:rsidRPr="008C0D0C" w:rsidRDefault="008C0D0C" w:rsidP="008C0D0C">
      <m:oMathPara>
        <m:oMathParaPr>
          <m:jc m:val="left"/>
        </m:oMathParaPr>
        <m:oMath>
          <m:r>
            <w:rPr>
              <w:rFonts w:ascii="Cambria Math" w:hAnsi="Cambria Math"/>
            </w:rPr>
            <m:t>Price=Labour+Contractor Services+Materials+Capital Allowance</m:t>
          </m:r>
        </m:oMath>
      </m:oMathPara>
    </w:p>
    <w:p w:rsidR="008C0D0C" w:rsidRPr="008C0D0C" w:rsidRDefault="008C0D0C" w:rsidP="008C0D0C">
      <w:r w:rsidRPr="008C0D0C">
        <w:t>Where:</w:t>
      </w:r>
    </w:p>
    <w:p w:rsidR="008C0D0C" w:rsidRPr="008C0D0C" w:rsidRDefault="008C0D0C" w:rsidP="008C0D0C">
      <m:oMath>
        <m:r>
          <w:rPr>
            <w:rFonts w:ascii="Cambria Math" w:hAnsi="Cambria Math"/>
          </w:rPr>
          <m:t>Labour</m:t>
        </m:r>
      </m:oMath>
      <w:r w:rsidRPr="008C0D0C">
        <w:t xml:space="preserve"> consists of all labour costs directly incurred in the provision of the service which may include labour on costs, fleet on-costs and overheads.</w:t>
      </w:r>
      <w:r w:rsidRPr="008C0D0C">
        <w:tab/>
      </w:r>
      <w:r w:rsidR="00A54CC2" w:rsidRPr="003C65E0">
        <w:t>Labour is escalated annually by (1-X</w:t>
      </w:r>
      <w:r w:rsidR="00A54CC2" w:rsidRPr="003C65E0">
        <w:rPr>
          <w:rStyle w:val="AERsubscript"/>
        </w:rPr>
        <w:t>t</w:t>
      </w:r>
      <w:r w:rsidR="00A54CC2" w:rsidRPr="003C65E0">
        <w:t>)(1+</w:t>
      </w:r>
      <w:r w:rsidR="00DA1D13">
        <w:t xml:space="preserve"> </w:t>
      </w:r>
      <w:r w:rsidR="00DA1D13">
        <w:rPr>
          <w:rFonts w:cs="Arial"/>
        </w:rPr>
        <w:t>∆</w:t>
      </w:r>
      <w:proofErr w:type="spellStart"/>
      <w:r w:rsidR="00A54CC2" w:rsidRPr="003C65E0">
        <w:t>CPI</w:t>
      </w:r>
      <w:r w:rsidR="00A54CC2" w:rsidRPr="003C65E0">
        <w:rPr>
          <w:rStyle w:val="AERsubscript"/>
        </w:rPr>
        <w:t>t</w:t>
      </w:r>
      <w:proofErr w:type="spellEnd"/>
      <w:r w:rsidR="00A54CC2">
        <w:t>).</w:t>
      </w:r>
      <w:r w:rsidR="00A54CC2">
        <w:rPr>
          <w:rStyle w:val="FootnoteReference"/>
        </w:rPr>
        <w:footnoteReference w:id="6"/>
      </w:r>
    </w:p>
    <w:p w:rsidR="008C0D0C" w:rsidRPr="008C0D0C" w:rsidRDefault="008C0D0C" w:rsidP="008C0D0C">
      <m:oMath>
        <m:r>
          <w:rPr>
            <w:rFonts w:ascii="Cambria Math" w:hAnsi="Cambria Math"/>
          </w:rPr>
          <m:t xml:space="preserve">Contractor Services </m:t>
        </m:r>
      </m:oMath>
      <w:r w:rsidRPr="008C0D0C">
        <w:tab/>
        <w:t>reflect all costs associated with the use of external labour including overheads and any direct costs incurred. The contracted services charge applies the rates under existing contractual arrangements. Direct costs incurred are passed on to the customer.</w:t>
      </w:r>
      <w:r w:rsidR="00A54CC2">
        <w:t xml:space="preserve"> </w:t>
      </w:r>
      <w:r w:rsidR="00A54CC2" w:rsidRPr="003C65E0">
        <w:t xml:space="preserve">Contractor services are escalated annually by </w:t>
      </w:r>
      <w:r w:rsidR="00DA1D13" w:rsidRPr="00DA1D13">
        <w:t>∆</w:t>
      </w:r>
      <w:r w:rsidR="00DA1D13" w:rsidRPr="003C65E0">
        <w:t>CPI</w:t>
      </w:r>
      <w:r w:rsidR="00A54CC2" w:rsidRPr="003C65E0">
        <w:t>.</w:t>
      </w:r>
    </w:p>
    <w:p w:rsidR="008C0D0C" w:rsidRPr="008C0D0C" w:rsidRDefault="008C0D0C" w:rsidP="008C0D0C">
      <m:oMath>
        <m:r>
          <w:rPr>
            <w:rFonts w:ascii="Cambria Math" w:hAnsi="Cambria Math"/>
          </w:rPr>
          <m:t>Materials</m:t>
        </m:r>
      </m:oMath>
      <w:r w:rsidRPr="008C0D0C">
        <w:tab/>
        <w:t>reflect the cost of materials directly incurred in the provision of the service, material storage and logistics on costs and overheads.</w:t>
      </w:r>
      <w:r w:rsidR="00A54CC2">
        <w:t xml:space="preserve"> </w:t>
      </w:r>
      <w:r w:rsidR="00A54CC2" w:rsidRPr="003C65E0">
        <w:t xml:space="preserve">Materials are escalated annually by </w:t>
      </w:r>
      <w:r w:rsidR="00DA1D13" w:rsidRPr="00DA1D13">
        <w:t>∆</w:t>
      </w:r>
      <w:r w:rsidR="00DA1D13" w:rsidRPr="003C65E0">
        <w:t>CPI</w:t>
      </w:r>
      <w:r w:rsidR="00A54CC2" w:rsidRPr="003C65E0">
        <w:t>.</w:t>
      </w:r>
    </w:p>
    <w:p w:rsidR="008C0D0C" w:rsidRPr="008C0D0C" w:rsidRDefault="008C0D0C" w:rsidP="008C0D0C">
      <m:oMath>
        <m:r>
          <w:rPr>
            <w:rFonts w:ascii="Cambria Math" w:hAnsi="Cambria Math"/>
          </w:rPr>
          <m:t>Capital Allowance</m:t>
        </m:r>
      </m:oMath>
      <w:r w:rsidRPr="008C0D0C">
        <w:t xml:space="preserve"> represents a return on and return of capital for non-system assets</w:t>
      </w:r>
      <w:r w:rsidR="0009032A">
        <w:t>.</w:t>
      </w:r>
    </w:p>
    <w:p w:rsidR="008C0D0C" w:rsidRPr="008C0D0C" w:rsidRDefault="008C0D0C" w:rsidP="008C0D0C">
      <w:pPr>
        <w:pStyle w:val="Heading3"/>
      </w:pPr>
      <w:bookmarkStart w:id="32" w:name="_Toc416346883"/>
      <w:bookmarkStart w:id="33" w:name="_Toc417996122"/>
      <w:r w:rsidRPr="008C0D0C">
        <w:t>Energex's proposal</w:t>
      </w:r>
      <w:bookmarkEnd w:id="32"/>
      <w:bookmarkEnd w:id="33"/>
    </w:p>
    <w:p w:rsidR="008C0D0C" w:rsidRPr="008C0D0C" w:rsidRDefault="008C0D0C" w:rsidP="008C0D0C">
      <w:r w:rsidRPr="008C0D0C">
        <w:t>Energex accepted our proposed classification of ancillary network services as alternative control services and developed price caps and quoted prices in accordance with our F&amp;A paper.</w:t>
      </w:r>
      <w:r w:rsidRPr="008C0D0C">
        <w:rPr>
          <w:rStyle w:val="FootnoteReference"/>
        </w:rPr>
        <w:footnoteReference w:id="7"/>
      </w:r>
      <w:r w:rsidRPr="008C0D0C">
        <w:t xml:space="preserve"> </w:t>
      </w:r>
    </w:p>
    <w:p w:rsidR="008C0D0C" w:rsidRPr="008C0D0C" w:rsidRDefault="008C0D0C" w:rsidP="008C0D0C">
      <w:r w:rsidRPr="008C0D0C">
        <w:t>Energex proposed that the basis of the control mechanism for fee based services is a cost build-up method to establish an efficient price for the first year. Prices for the subsequent years will follow a price path determined by the control mechanism formula. The cost build-up formula, as shown above, is:</w:t>
      </w:r>
    </w:p>
    <w:p w:rsidR="008C0D0C" w:rsidRPr="008C0D0C" w:rsidRDefault="008C0D0C" w:rsidP="008C0D0C">
      <m:oMathPara>
        <m:oMathParaPr>
          <m:jc m:val="left"/>
        </m:oMathParaPr>
        <m:oMath>
          <m:r>
            <w:rPr>
              <w:rFonts w:ascii="Cambria Math" w:hAnsi="Cambria Math"/>
            </w:rPr>
            <m:t>Price=Labour+Contractor Services+Materials+Capital Allowance</m:t>
          </m:r>
        </m:oMath>
      </m:oMathPara>
    </w:p>
    <w:p w:rsidR="008C0D0C" w:rsidRPr="008C0D0C" w:rsidRDefault="008C0D0C" w:rsidP="008C0D0C">
      <w:r w:rsidRPr="008C0D0C">
        <w:lastRenderedPageBreak/>
        <w:t>This formula provides for the recovery of labour, contractor and materials costs, noting that labour is the primary cost driver. It also provides for the recovery of a share of rate of return on non-system assets.</w:t>
      </w:r>
    </w:p>
    <w:p w:rsidR="008C0D0C" w:rsidRPr="008C0D0C" w:rsidRDefault="008C0D0C" w:rsidP="008C0D0C">
      <w:r w:rsidRPr="008C0D0C">
        <w:t>Energex proposed to employ this formula to develop first-year prices for both fee-based and quoted services. The price cap for fee based services will be determined by applying service assumptions which reflect efficient business costs and practices. The price for quoted services will reflect the approved labour and material cost escalators, and the contemporary rate of return at the time the work is requested.</w:t>
      </w:r>
      <w:r w:rsidRPr="008C0D0C">
        <w:rPr>
          <w:rStyle w:val="FootnoteReference"/>
        </w:rPr>
        <w:footnoteReference w:id="8"/>
      </w:r>
    </w:p>
    <w:p w:rsidR="008C0D0C" w:rsidRPr="008C0D0C" w:rsidRDefault="008C0D0C" w:rsidP="008C0D0C">
      <w:pPr>
        <w:pStyle w:val="Heading3"/>
      </w:pPr>
      <w:bookmarkStart w:id="34" w:name="_Toc416346884"/>
      <w:bookmarkStart w:id="35" w:name="_Toc416346889"/>
      <w:bookmarkStart w:id="36" w:name="_Toc416346890"/>
      <w:bookmarkStart w:id="37" w:name="_Ref417046275"/>
      <w:bookmarkStart w:id="38" w:name="_Toc417996123"/>
      <w:bookmarkEnd w:id="34"/>
      <w:bookmarkEnd w:id="35"/>
      <w:r w:rsidRPr="008C0D0C">
        <w:t>Assessment approach</w:t>
      </w:r>
      <w:bookmarkEnd w:id="36"/>
      <w:bookmarkEnd w:id="37"/>
      <w:bookmarkEnd w:id="38"/>
    </w:p>
    <w:p w:rsidR="008C0D0C" w:rsidRPr="008C0D0C" w:rsidRDefault="008C0D0C" w:rsidP="008C0D0C">
      <w:r w:rsidRPr="008C0D0C">
        <w:t>We focused on the key inputs in determining prices for ancillary network services. We considered:</w:t>
      </w:r>
    </w:p>
    <w:p w:rsidR="008C0D0C" w:rsidRPr="008C0D0C" w:rsidRDefault="008C0D0C" w:rsidP="008C0D0C">
      <w:pPr>
        <w:pStyle w:val="AERbulletlistfirststyle"/>
      </w:pPr>
      <w:r w:rsidRPr="008C0D0C">
        <w:t>Energex's regulatory proposal.</w:t>
      </w:r>
      <w:r w:rsidRPr="008C0D0C">
        <w:rPr>
          <w:rStyle w:val="FootnoteReference"/>
        </w:rPr>
        <w:footnoteReference w:id="9"/>
      </w:r>
      <w:r w:rsidRPr="008C0D0C">
        <w:t xml:space="preserve"> </w:t>
      </w:r>
    </w:p>
    <w:p w:rsidR="008C0D0C" w:rsidRPr="008C0D0C" w:rsidRDefault="008C0D0C" w:rsidP="008C0D0C">
      <w:pPr>
        <w:pStyle w:val="AERbulletlistfirststyle"/>
      </w:pPr>
      <w:r w:rsidRPr="008C0D0C">
        <w:t>Maximum total labour rates we developed</w:t>
      </w:r>
      <w:r w:rsidR="009B1D33">
        <w:t xml:space="preserve"> for Queensland</w:t>
      </w:r>
      <w:r w:rsidRPr="008C0D0C">
        <w:t>. We based our findings on our consultant, Marsden Jacob's, analysis for our NSW draft decision.</w:t>
      </w:r>
      <w:r w:rsidRPr="008C0D0C">
        <w:rPr>
          <w:rStyle w:val="FootnoteReference"/>
        </w:rPr>
        <w:footnoteReference w:id="10"/>
      </w:r>
    </w:p>
    <w:p w:rsidR="008C0D0C" w:rsidRPr="008C0D0C" w:rsidRDefault="008C0D0C" w:rsidP="008C0D0C">
      <w:pPr>
        <w:pStyle w:val="AERbulletlistfirststyle"/>
      </w:pPr>
      <w:r w:rsidRPr="008C0D0C">
        <w:t xml:space="preserve">We consider labour is the key input in determining an efficient level of fees for ancillary network services. We focused on comparing Energex's proposed total labour rates against maximum total labour rates that we developed. In this preliminary decision 'total labour rates' comprise raw labour rates, on-costs and overheads. </w:t>
      </w:r>
    </w:p>
    <w:p w:rsidR="008C0D0C" w:rsidRPr="008C0D0C" w:rsidRDefault="008C0D0C" w:rsidP="008C0D0C">
      <w:r w:rsidRPr="008C0D0C">
        <w:t xml:space="preserve">Our preliminary decision maximum total labour rates apply the following labour components to arrive at a maximum total labour rate (for particular labour types). </w:t>
      </w:r>
    </w:p>
    <w:p w:rsidR="008C0D0C" w:rsidRPr="008C0D0C" w:rsidRDefault="008C0D0C" w:rsidP="008C0D0C">
      <w:pPr>
        <w:pStyle w:val="AERbulletlistfirststyle"/>
      </w:pPr>
      <w:r w:rsidRPr="008C0D0C">
        <w:t>a maximum raw labour rate</w:t>
      </w:r>
    </w:p>
    <w:p w:rsidR="008C0D0C" w:rsidRPr="008C0D0C" w:rsidRDefault="008C0D0C" w:rsidP="008C0D0C">
      <w:pPr>
        <w:pStyle w:val="AERbulletlistfirststyle"/>
      </w:pPr>
      <w:r w:rsidRPr="008C0D0C">
        <w:t>a maximum on-cost rate</w:t>
      </w:r>
    </w:p>
    <w:p w:rsidR="008C0D0C" w:rsidRPr="008C0D0C" w:rsidRDefault="008C0D0C" w:rsidP="008C0D0C">
      <w:pPr>
        <w:pStyle w:val="AERbulletlistfirststyle"/>
      </w:pPr>
      <w:r w:rsidRPr="008C0D0C">
        <w:t>a maximum overhead rate.</w:t>
      </w:r>
    </w:p>
    <w:p w:rsidR="009B1D33" w:rsidRDefault="008C0D0C" w:rsidP="008C0D0C">
      <w:r w:rsidRPr="008C0D0C">
        <w:t xml:space="preserve">As we explain in more detail in section </w:t>
      </w:r>
      <w:r w:rsidRPr="008C0D0C">
        <w:fldChar w:fldCharType="begin"/>
      </w:r>
      <w:r w:rsidRPr="008C0D0C">
        <w:instrText xml:space="preserve"> REF _Ref415485945 \r \h </w:instrText>
      </w:r>
      <w:r w:rsidRPr="008C0D0C">
        <w:fldChar w:fldCharType="separate"/>
      </w:r>
      <w:r w:rsidR="005E73B8">
        <w:t>16.1.4</w:t>
      </w:r>
      <w:r w:rsidRPr="008C0D0C">
        <w:fldChar w:fldCharType="end"/>
      </w:r>
      <w:r w:rsidRPr="008C0D0C">
        <w:t xml:space="preserve">, we obtained maximum rates for each of these components. We applied these maximum (component) rates to derive maximum total labour rates. </w:t>
      </w:r>
      <w:r w:rsidR="009B1D33">
        <w:t xml:space="preserve">We consider that using our maximum labour rates to determine appropriate fees for services will provide Energex with a reasonable opportunity to recover at least the efficient costs it incurs in providing these services. It will promote </w:t>
      </w:r>
      <w:r w:rsidR="009B1D33">
        <w:lastRenderedPageBreak/>
        <w:t>the efficient provision of electricity services and allow a return commensurate with the regulatory and commercial risks involved for the provision of those services.</w:t>
      </w:r>
      <w:r w:rsidR="009B1D33">
        <w:rPr>
          <w:rStyle w:val="FootnoteReference"/>
        </w:rPr>
        <w:footnoteReference w:id="11"/>
      </w:r>
    </w:p>
    <w:p w:rsidR="008C0D0C" w:rsidRPr="008C0D0C" w:rsidRDefault="008C0D0C" w:rsidP="008C0D0C">
      <w:r w:rsidRPr="008C0D0C">
        <w:t xml:space="preserve">Where Energex's proposed total labour rates exceeded our maximum total labour rates—which we consider represents a prudent approach—we applied our maximum total labour rates to determine ancillary network service charges. Equally, we applied Energex's proposed total labour rates where they sat below our maximum total labour rates. </w:t>
      </w:r>
    </w:p>
    <w:p w:rsidR="008C0D0C" w:rsidRPr="008C0D0C" w:rsidRDefault="008C0D0C" w:rsidP="008C0D0C">
      <w:r w:rsidRPr="008C0D0C">
        <w:t>As a further check of our analysis, we also compared components of Energex's proposed labour costs with those of the Victorian distributors. The latter's costs have generally been considered closer to efficient levels than their interstate counterparts.</w:t>
      </w:r>
      <w:r w:rsidRPr="008C0D0C">
        <w:rPr>
          <w:rStyle w:val="FootnoteReference"/>
        </w:rPr>
        <w:footnoteReference w:id="12"/>
      </w:r>
    </w:p>
    <w:p w:rsidR="008C0D0C" w:rsidRPr="008C0D0C" w:rsidRDefault="008C0D0C" w:rsidP="008C0D0C">
      <w:pPr>
        <w:pStyle w:val="Heading3"/>
      </w:pPr>
      <w:bookmarkStart w:id="39" w:name="_Toc416346891"/>
      <w:bookmarkStart w:id="40" w:name="_Ref415485945"/>
      <w:bookmarkStart w:id="41" w:name="_Toc416346892"/>
      <w:bookmarkStart w:id="42" w:name="_Toc417996124"/>
      <w:bookmarkEnd w:id="39"/>
      <w:r w:rsidRPr="008C0D0C">
        <w:t>Reasons for preliminary decision</w:t>
      </w:r>
      <w:bookmarkEnd w:id="40"/>
      <w:bookmarkEnd w:id="41"/>
      <w:bookmarkEnd w:id="42"/>
    </w:p>
    <w:p w:rsidR="008C0D0C" w:rsidRPr="008C0D0C" w:rsidRDefault="008C0D0C" w:rsidP="008C0D0C">
      <w:r w:rsidRPr="008C0D0C">
        <w:t xml:space="preserve">We do not approve Energex's proposed fees for ancillary network services. Proposed fees exceed those based on maximum total labour rates (which we consider efficient) for Energex's labour types for providing these services. </w:t>
      </w:r>
      <w:r w:rsidR="009B1D33">
        <w:t xml:space="preserve">As we set out in section </w:t>
      </w:r>
      <w:r w:rsidR="009B1D33">
        <w:fldChar w:fldCharType="begin"/>
      </w:r>
      <w:r w:rsidR="009B1D33">
        <w:instrText xml:space="preserve"> REF _Ref417046275 \n \h </w:instrText>
      </w:r>
      <w:r w:rsidR="009B1D33">
        <w:fldChar w:fldCharType="separate"/>
      </w:r>
      <w:r w:rsidR="005E73B8">
        <w:t>16.1.3</w:t>
      </w:r>
      <w:r w:rsidR="009B1D33">
        <w:fldChar w:fldCharType="end"/>
      </w:r>
      <w:r w:rsidR="009B1D33">
        <w:t xml:space="preserve">, we compared Energex's total labour rates against maximum (rather than, for example, average) total labour rates. </w:t>
      </w:r>
      <w:r w:rsidR="009B1D33" w:rsidRPr="00FC47DE">
        <w:t xml:space="preserve">We note ancillary network services comprise a relatively small portion of </w:t>
      </w:r>
      <w:r w:rsidR="009B1D33">
        <w:t>Energex</w:t>
      </w:r>
      <w:r w:rsidR="009B1D33" w:rsidRPr="00FC47DE">
        <w:t xml:space="preserve">'s revenue. This is because a relatively small number of </w:t>
      </w:r>
      <w:r w:rsidR="009B1D33">
        <w:t>Energex</w:t>
      </w:r>
      <w:r w:rsidR="009B1D33" w:rsidRPr="00FC47DE">
        <w:t xml:space="preserve">'s customers request ancillary network services in any given regulatory year. Hence we consider it prudent to use maximum total labour rates as an input to derive prices for ancillary network services. Maximum total labour rates act as 'ceilings' on the rates we consider </w:t>
      </w:r>
      <w:r w:rsidR="009B1D33">
        <w:t>Energex</w:t>
      </w:r>
      <w:r w:rsidR="009B1D33" w:rsidRPr="00FC47DE">
        <w:t xml:space="preserve"> should pay for the various labour types. Where </w:t>
      </w:r>
      <w:r w:rsidR="009B1D33">
        <w:t>Energex</w:t>
      </w:r>
      <w:r w:rsidR="009B1D33" w:rsidRPr="00FC47DE">
        <w:t xml:space="preserve"> reveals rates lower than the maximum total labour rates, we consider those lower rates should be the inputs for deriving ancillary network services prices.</w:t>
      </w:r>
      <w:r w:rsidR="009B1D33">
        <w:t xml:space="preserve"> We consider this ensures</w:t>
      </w:r>
      <w:r w:rsidR="009B1D33" w:rsidRPr="003933A3">
        <w:t xml:space="preserve"> the distribution business </w:t>
      </w:r>
      <w:r w:rsidR="009B1D33">
        <w:t xml:space="preserve">has </w:t>
      </w:r>
      <w:r w:rsidR="009B1D33" w:rsidRPr="003933A3">
        <w:t>a reasonable opportunity to recover at least its efficient costs</w:t>
      </w:r>
      <w:r w:rsidR="009B1D33">
        <w:t>, while also allowing a return commensurate with the regulatory and commercial risks in providing the services.</w:t>
      </w:r>
      <w:r w:rsidRPr="008C0D0C">
        <w:t xml:space="preserve"> </w:t>
      </w:r>
    </w:p>
    <w:p w:rsidR="008C0D0C" w:rsidRPr="008C0D0C" w:rsidRDefault="008C0D0C" w:rsidP="008C0D0C">
      <w:r w:rsidRPr="008C0D0C">
        <w:t>AGL submitted that we should carefully review and analyse all proposed ancillary network services fees. Of particular concern to them is the removal of Schedule 8 to the Electricity Regulations 2006 which allowed the State Government to cap prices for certain services.</w:t>
      </w:r>
      <w:r w:rsidRPr="008C0D0C">
        <w:rPr>
          <w:rStyle w:val="FootnoteReference"/>
        </w:rPr>
        <w:footnoteReference w:id="13"/>
      </w:r>
    </w:p>
    <w:p w:rsidR="008C0D0C" w:rsidRPr="008C0D0C" w:rsidRDefault="008C0D0C" w:rsidP="008C0D0C">
      <w:r w:rsidRPr="008C0D0C">
        <w:t xml:space="preserve">We carefully assessed Energex's proposed fees for Ancillary Services to ensure they are prudent. Our assessment focused on the inputs to the methods Energex used to derive its fees for ancillary network services. In particular, labour is the major input to Energex's proposed ancillary network service charges. Where there are inefficiencies in actual costs, however, these will be carried through in the derivation of proposed fees. We found proposed labour rates were inefficient. Hence, we adjusted Energex's </w:t>
      </w:r>
      <w:r w:rsidRPr="008C0D0C">
        <w:lastRenderedPageBreak/>
        <w:t xml:space="preserve">total labour rates where they exceeded the maximum total labour rates that we developed (see section </w:t>
      </w:r>
      <w:r w:rsidRPr="008C0D0C">
        <w:fldChar w:fldCharType="begin"/>
      </w:r>
      <w:r w:rsidRPr="008C0D0C">
        <w:instrText xml:space="preserve"> REF _Ref415485945 \n \h </w:instrText>
      </w:r>
      <w:r w:rsidRPr="008C0D0C">
        <w:fldChar w:fldCharType="separate"/>
      </w:r>
      <w:r w:rsidR="005E73B8">
        <w:t>16.1.4</w:t>
      </w:r>
      <w:r w:rsidRPr="008C0D0C">
        <w:fldChar w:fldCharType="end"/>
      </w:r>
      <w:r w:rsidRPr="008C0D0C">
        <w:t>).</w:t>
      </w:r>
      <w:r w:rsidR="009B1D33">
        <w:t xml:space="preserve"> Specifically, we adjusted the labour rate Energex used for administrative employees. We did this because it was higher than the maximum labour rate which we consider efficient (for this labour type). This translated into price changes for those services which require administrative staff. The downward adjustment of the administrative labour rate reduces the allocated labour cost for such services and therefore decreases the fees that Energex can charge.</w:t>
      </w:r>
    </w:p>
    <w:p w:rsidR="008C0D0C" w:rsidRPr="008C0D0C" w:rsidRDefault="008C0D0C" w:rsidP="008C0D0C">
      <w:r w:rsidRPr="008C0D0C">
        <w:t xml:space="preserve">The Queensland distributors used different names and descriptions for different labour categories. However, we found that the types of labour used to deliver ancillary network services broadly fell into one of five categories: </w:t>
      </w:r>
    </w:p>
    <w:p w:rsidR="008C0D0C" w:rsidRPr="008C0D0C" w:rsidRDefault="008C0D0C" w:rsidP="008C0D0C">
      <w:pPr>
        <w:pStyle w:val="AERbulletlistfirststyle"/>
      </w:pPr>
      <w:r w:rsidRPr="008C0D0C">
        <w:t>Administration</w:t>
      </w:r>
    </w:p>
    <w:p w:rsidR="008C0D0C" w:rsidRPr="008C0D0C" w:rsidRDefault="008C0D0C" w:rsidP="008C0D0C">
      <w:pPr>
        <w:pStyle w:val="AERbulletlistfirststyle"/>
      </w:pPr>
      <w:r w:rsidRPr="008C0D0C">
        <w:t>Technical services</w:t>
      </w:r>
    </w:p>
    <w:p w:rsidR="008C0D0C" w:rsidRPr="008C0D0C" w:rsidRDefault="008C0D0C" w:rsidP="008C0D0C">
      <w:pPr>
        <w:pStyle w:val="AERbulletlistfirststyle"/>
      </w:pPr>
      <w:r w:rsidRPr="008C0D0C">
        <w:t>Engineers</w:t>
      </w:r>
    </w:p>
    <w:p w:rsidR="008C0D0C" w:rsidRPr="008C0D0C" w:rsidRDefault="008C0D0C" w:rsidP="008C0D0C">
      <w:pPr>
        <w:pStyle w:val="AERbulletlistfirststyle"/>
      </w:pPr>
      <w:r w:rsidRPr="008C0D0C">
        <w:t>Field workers, and</w:t>
      </w:r>
    </w:p>
    <w:p w:rsidR="008C0D0C" w:rsidRPr="008C0D0C" w:rsidRDefault="008C0D0C" w:rsidP="008C0D0C">
      <w:pPr>
        <w:pStyle w:val="AERbulletlistfirststyle"/>
      </w:pPr>
      <w:r w:rsidRPr="008C0D0C">
        <w:t>Senior engineers.</w:t>
      </w:r>
      <w:r w:rsidRPr="008C0D0C">
        <w:rPr>
          <w:rStyle w:val="FootnoteReference"/>
        </w:rPr>
        <w:footnoteReference w:id="14"/>
      </w:r>
    </w:p>
    <w:p w:rsidR="008C0D0C" w:rsidRPr="008C0D0C" w:rsidRDefault="008C0D0C" w:rsidP="008C0D0C">
      <w:pPr>
        <w:rPr>
          <w:rStyle w:val="AERbody"/>
        </w:rPr>
      </w:pPr>
      <w:r w:rsidRPr="008C0D0C">
        <w:rPr>
          <w:rStyle w:val="AERtexthighlight"/>
        </w:rPr>
        <w:fldChar w:fldCharType="begin"/>
      </w:r>
      <w:r w:rsidRPr="008C0D0C">
        <w:rPr>
          <w:rStyle w:val="AERbody"/>
        </w:rPr>
        <w:instrText xml:space="preserve"> REF _Ref416018824 \h </w:instrText>
      </w:r>
      <w:r w:rsidRPr="008C0D0C">
        <w:rPr>
          <w:rStyle w:val="AERtexthighlight"/>
        </w:rPr>
      </w:r>
      <w:r w:rsidRPr="008C0D0C">
        <w:rPr>
          <w:rStyle w:val="AERtexthighlight"/>
        </w:rPr>
        <w:fldChar w:fldCharType="separate"/>
      </w:r>
      <w:r w:rsidR="005E73B8" w:rsidRPr="008C0D0C">
        <w:t xml:space="preserve">Table </w:t>
      </w:r>
      <w:r w:rsidR="005E73B8">
        <w:rPr>
          <w:noProof/>
        </w:rPr>
        <w:t>16</w:t>
      </w:r>
      <w:r w:rsidR="005E73B8">
        <w:t>.</w:t>
      </w:r>
      <w:r w:rsidR="005E73B8">
        <w:rPr>
          <w:noProof/>
        </w:rPr>
        <w:t>2</w:t>
      </w:r>
      <w:r w:rsidRPr="008C0D0C">
        <w:rPr>
          <w:rStyle w:val="AERtexthighlight"/>
        </w:rPr>
        <w:fldChar w:fldCharType="end"/>
      </w:r>
      <w:r w:rsidRPr="008C0D0C">
        <w:rPr>
          <w:rStyle w:val="AERbody"/>
        </w:rPr>
        <w:t xml:space="preserve"> shows the maximum total labour rates we developed for each of Energex's labour types. We consider these maximum total labour rates should be used to assess Energex's proposed charges for ancillary network services.</w:t>
      </w:r>
    </w:p>
    <w:p w:rsidR="008C0D0C" w:rsidRPr="008C0D0C" w:rsidRDefault="008C0D0C" w:rsidP="008C0D0C">
      <w:pPr>
        <w:rPr>
          <w:rStyle w:val="AERbody"/>
        </w:rPr>
      </w:pPr>
      <w:r w:rsidRPr="008C0D0C">
        <w:rPr>
          <w:rStyle w:val="AERbody"/>
        </w:rPr>
        <w:t xml:space="preserve">We assessed raw labour rates (see </w:t>
      </w:r>
      <w:r w:rsidRPr="008C0D0C">
        <w:rPr>
          <w:rStyle w:val="AERbody"/>
        </w:rPr>
        <w:fldChar w:fldCharType="begin"/>
      </w:r>
      <w:r w:rsidRPr="008C0D0C">
        <w:rPr>
          <w:rStyle w:val="AERbody"/>
        </w:rPr>
        <w:instrText xml:space="preserve"> REF _Ref416345519 \n \h </w:instrText>
      </w:r>
      <w:r w:rsidRPr="008C0D0C">
        <w:rPr>
          <w:rStyle w:val="AERbody"/>
        </w:rPr>
      </w:r>
      <w:r w:rsidRPr="008C0D0C">
        <w:rPr>
          <w:rStyle w:val="AERbody"/>
        </w:rPr>
        <w:fldChar w:fldCharType="separate"/>
      </w:r>
      <w:r w:rsidR="005E73B8">
        <w:rPr>
          <w:rStyle w:val="AERbody"/>
        </w:rPr>
        <w:t>16.1.4.1</w:t>
      </w:r>
      <w:r w:rsidRPr="008C0D0C">
        <w:rPr>
          <w:rStyle w:val="AERbody"/>
        </w:rPr>
        <w:fldChar w:fldCharType="end"/>
      </w:r>
      <w:r w:rsidRPr="008C0D0C">
        <w:rPr>
          <w:rStyle w:val="AERbody"/>
        </w:rPr>
        <w:t xml:space="preserve">), on-costs (see </w:t>
      </w:r>
      <w:r w:rsidRPr="008C0D0C">
        <w:rPr>
          <w:rStyle w:val="AERbody"/>
        </w:rPr>
        <w:fldChar w:fldCharType="begin"/>
      </w:r>
      <w:r w:rsidRPr="008C0D0C">
        <w:rPr>
          <w:rStyle w:val="AERbody"/>
        </w:rPr>
        <w:instrText xml:space="preserve"> REF _Ref416345529 \n \h </w:instrText>
      </w:r>
      <w:r w:rsidRPr="008C0D0C">
        <w:rPr>
          <w:rStyle w:val="AERbody"/>
        </w:rPr>
      </w:r>
      <w:r w:rsidRPr="008C0D0C">
        <w:rPr>
          <w:rStyle w:val="AERbody"/>
        </w:rPr>
        <w:fldChar w:fldCharType="separate"/>
      </w:r>
      <w:r w:rsidR="005E73B8">
        <w:rPr>
          <w:rStyle w:val="AERbody"/>
        </w:rPr>
        <w:t>0</w:t>
      </w:r>
      <w:r w:rsidRPr="008C0D0C">
        <w:rPr>
          <w:rStyle w:val="AERbody"/>
        </w:rPr>
        <w:fldChar w:fldCharType="end"/>
      </w:r>
      <w:r w:rsidRPr="008C0D0C">
        <w:rPr>
          <w:rStyle w:val="AERbody"/>
        </w:rPr>
        <w:t xml:space="preserve">) and overheads (see </w:t>
      </w:r>
      <w:r w:rsidRPr="008C0D0C">
        <w:rPr>
          <w:rStyle w:val="AERbody"/>
        </w:rPr>
        <w:fldChar w:fldCharType="begin"/>
      </w:r>
      <w:r w:rsidRPr="008C0D0C">
        <w:rPr>
          <w:rStyle w:val="AERbody"/>
        </w:rPr>
        <w:instrText xml:space="preserve"> REF _Ref416345538 \n \h </w:instrText>
      </w:r>
      <w:r w:rsidRPr="008C0D0C">
        <w:rPr>
          <w:rStyle w:val="AERbody"/>
        </w:rPr>
      </w:r>
      <w:r w:rsidRPr="008C0D0C">
        <w:rPr>
          <w:rStyle w:val="AERbody"/>
        </w:rPr>
        <w:fldChar w:fldCharType="separate"/>
      </w:r>
      <w:r w:rsidR="005E73B8">
        <w:rPr>
          <w:rStyle w:val="AERbody"/>
        </w:rPr>
        <w:t>0</w:t>
      </w:r>
      <w:r w:rsidRPr="008C0D0C">
        <w:rPr>
          <w:rStyle w:val="AERbody"/>
        </w:rPr>
        <w:fldChar w:fldCharType="end"/>
      </w:r>
      <w:r w:rsidRPr="008C0D0C">
        <w:rPr>
          <w:rStyle w:val="AERbody"/>
        </w:rPr>
        <w:t xml:space="preserve">) separately and </w:t>
      </w:r>
      <w:r w:rsidRPr="008C0D0C">
        <w:t>derived maximum rates for each component. We then applied these maximum rates to produce the maximum total labour rates.</w:t>
      </w:r>
      <w:r w:rsidRPr="008C0D0C">
        <w:rPr>
          <w:rStyle w:val="AERbody"/>
        </w:rPr>
        <w:t xml:space="preserve"> It was this maximum rate that was important in our deliberations. The components that make up that maximum were of significantly less relevance.</w:t>
      </w:r>
    </w:p>
    <w:p w:rsidR="008C0D0C" w:rsidRDefault="008C0D0C" w:rsidP="008C0D0C">
      <w:r w:rsidRPr="008C0D0C">
        <w:t>We used these maximum total labour rates to determine whether Energex's proposed fees for ancillary network services reflect the underlying cost of an efficient labour rate. We consider this to be a prudent approach. It provides the distribution business with a reasonable opportunity to recover at least its efficient costs. We consider fees based on labour rates higher than the maximum total labour rates would be inefficient. The exact make up of those individual rates (raw labour rates, on-cost and overheads) did not form the basis of our reasoning.</w:t>
      </w:r>
    </w:p>
    <w:p w:rsidR="009C1B5E" w:rsidRDefault="009C1B5E" w:rsidP="008C0D0C"/>
    <w:p w:rsidR="009C1B5E" w:rsidRDefault="009C1B5E" w:rsidP="008C0D0C"/>
    <w:p w:rsidR="009C1B5E" w:rsidRDefault="009C1B5E" w:rsidP="008C0D0C"/>
    <w:p w:rsidR="009C1B5E" w:rsidRPr="008C0D0C" w:rsidRDefault="009C1B5E" w:rsidP="008C0D0C"/>
    <w:p w:rsidR="008C0D0C" w:rsidRPr="008C0D0C" w:rsidRDefault="008C0D0C" w:rsidP="008C0D0C">
      <w:pPr>
        <w:pStyle w:val="Caption"/>
      </w:pPr>
      <w:bookmarkStart w:id="43" w:name="_Ref416018824"/>
      <w:r w:rsidRPr="008C0D0C">
        <w:lastRenderedPageBreak/>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2</w:t>
        </w:r>
      </w:fldSimple>
      <w:bookmarkEnd w:id="43"/>
      <w:r w:rsidRPr="008C0D0C">
        <w:t xml:space="preserve">: </w:t>
      </w:r>
      <w:r w:rsidR="009F0CD6">
        <w:t>M</w:t>
      </w:r>
      <w:r w:rsidRPr="008C0D0C">
        <w:t>aximum</w:t>
      </w:r>
      <w:r w:rsidR="009F0CD6">
        <w:t xml:space="preserve"> allowed</w:t>
      </w:r>
      <w:r w:rsidRPr="008C0D0C">
        <w:t xml:space="preserve"> total labour rates</w:t>
      </w:r>
      <w:r w:rsidRPr="008C0D0C">
        <w:tab/>
      </w:r>
    </w:p>
    <w:tbl>
      <w:tblPr>
        <w:tblStyle w:val="AERtable-numbers"/>
        <w:tblW w:w="0" w:type="auto"/>
        <w:tblLook w:val="04A0" w:firstRow="1" w:lastRow="0" w:firstColumn="1" w:lastColumn="0" w:noHBand="0" w:noVBand="1"/>
      </w:tblPr>
      <w:tblGrid>
        <w:gridCol w:w="2897"/>
        <w:gridCol w:w="2898"/>
        <w:gridCol w:w="2898"/>
      </w:tblGrid>
      <w:tr w:rsidR="008C0D0C" w:rsidTr="00090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8C0D0C" w:rsidRPr="008C0D0C" w:rsidRDefault="008C0D0C" w:rsidP="009B1D33">
            <w:pPr>
              <w:pStyle w:val="AERtabletextleft"/>
              <w:rPr>
                <w:rStyle w:val="AERbody"/>
              </w:rPr>
            </w:pPr>
            <w:r w:rsidRPr="008C0D0C">
              <w:t>Labour Category</w:t>
            </w:r>
          </w:p>
        </w:tc>
        <w:tc>
          <w:tcPr>
            <w:tcW w:w="2898" w:type="dxa"/>
          </w:tcPr>
          <w:p w:rsidR="008C0D0C" w:rsidRPr="008C0D0C" w:rsidRDefault="008C0D0C" w:rsidP="008C0D0C">
            <w:pPr>
              <w:pStyle w:val="Tabletext-centred"/>
              <w:cnfStyle w:val="100000000000" w:firstRow="1" w:lastRow="0" w:firstColumn="0" w:lastColumn="0" w:oddVBand="0" w:evenVBand="0" w:oddHBand="0" w:evenHBand="0" w:firstRowFirstColumn="0" w:firstRowLastColumn="0" w:lastRowFirstColumn="0" w:lastRowLastColumn="0"/>
              <w:rPr>
                <w:rStyle w:val="AERbody"/>
              </w:rPr>
            </w:pPr>
          </w:p>
        </w:tc>
        <w:tc>
          <w:tcPr>
            <w:tcW w:w="2898" w:type="dxa"/>
          </w:tcPr>
          <w:p w:rsidR="008C0D0C" w:rsidRPr="008C0D0C" w:rsidRDefault="008C0D0C" w:rsidP="009B1D33">
            <w:pPr>
              <w:pStyle w:val="AERtabletextright"/>
              <w:cnfStyle w:val="100000000000" w:firstRow="1" w:lastRow="0" w:firstColumn="0" w:lastColumn="0" w:oddVBand="0" w:evenVBand="0" w:oddHBand="0" w:evenHBand="0" w:firstRowFirstColumn="0" w:firstRowLastColumn="0" w:lastRowFirstColumn="0" w:lastRowLastColumn="0"/>
              <w:rPr>
                <w:rStyle w:val="AERbody"/>
              </w:rPr>
            </w:pPr>
            <w:r w:rsidRPr="008C0D0C">
              <w:t>AER maximum total labour rates (</w:t>
            </w:r>
            <w:r w:rsidR="00C038D0">
              <w:t xml:space="preserve">$ per hour, </w:t>
            </w:r>
            <w:r w:rsidRPr="008C0D0C">
              <w:t>$2014–15)</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Apprentices</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00000" w:firstRow="0" w:lastRow="0" w:firstColumn="0" w:lastColumn="0" w:oddVBand="0" w:evenVBand="0" w:oddHBand="0" w:evenHBand="0" w:firstRowFirstColumn="0" w:firstRowLastColumn="0" w:lastRowFirstColumn="0" w:lastRowLastColumn="0"/>
            </w:pPr>
            <w:r w:rsidRPr="008C0D0C">
              <w:t>N/A</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Power Workers</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10000" w:firstRow="0" w:lastRow="0" w:firstColumn="0" w:lastColumn="0" w:oddVBand="0" w:evenVBand="0" w:oddHBand="0" w:evenHBand="1" w:firstRowFirstColumn="0" w:firstRowLastColumn="0" w:lastRowFirstColumn="0" w:lastRowLastColumn="0"/>
            </w:pPr>
            <w:r w:rsidRPr="008C0D0C">
              <w:t>125.07</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Administration/ Clerical</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00000" w:firstRow="0" w:lastRow="0" w:firstColumn="0" w:lastColumn="0" w:oddVBand="0" w:evenVBand="0" w:oddHBand="0" w:evenHBand="0" w:firstRowFirstColumn="0" w:firstRowLastColumn="0" w:lastRowFirstColumn="0" w:lastRowLastColumn="0"/>
            </w:pPr>
            <w:r w:rsidRPr="008C0D0C">
              <w:t>73.90</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Customer Connections Labour Rate</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10000" w:firstRow="0" w:lastRow="0" w:firstColumn="0" w:lastColumn="0" w:oddVBand="0" w:evenVBand="0" w:oddHBand="0" w:evenHBand="1" w:firstRowFirstColumn="0" w:firstRowLastColumn="0" w:lastRowFirstColumn="0" w:lastRowLastColumn="0"/>
            </w:pPr>
            <w:r w:rsidRPr="008C0D0C">
              <w:t>N/A</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Electrical System Design Advisors</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00000" w:firstRow="0" w:lastRow="0" w:firstColumn="0" w:lastColumn="0" w:oddVBand="0" w:evenVBand="0" w:oddHBand="0" w:evenHBand="0" w:firstRowFirstColumn="0" w:firstRowLastColumn="0" w:lastRowFirstColumn="0" w:lastRowLastColumn="0"/>
            </w:pPr>
            <w:r w:rsidRPr="008C0D0C">
              <w:t>170.55</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Technical/ Service Persons</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10000" w:firstRow="0" w:lastRow="0" w:firstColumn="0" w:lastColumn="0" w:oddVBand="0" w:evenVBand="0" w:oddHBand="0" w:evenHBand="1" w:firstRowFirstColumn="0" w:firstRowLastColumn="0" w:lastRowFirstColumn="0" w:lastRowLastColumn="0"/>
            </w:pPr>
            <w:r w:rsidRPr="008C0D0C">
              <w:t>181.92</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Para professional</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00000" w:firstRow="0" w:lastRow="0" w:firstColumn="0" w:lastColumn="0" w:oddVBand="0" w:evenVBand="0" w:oddHBand="0" w:evenHBand="0" w:firstRowFirstColumn="0" w:firstRowLastColumn="0" w:lastRowFirstColumn="0" w:lastRowLastColumn="0"/>
            </w:pPr>
            <w:r w:rsidRPr="008C0D0C">
              <w:t>181.92</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Supervisors</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10000" w:firstRow="0" w:lastRow="0" w:firstColumn="0" w:lastColumn="0" w:oddVBand="0" w:evenVBand="0" w:oddHBand="0" w:evenHBand="1" w:firstRowFirstColumn="0" w:firstRowLastColumn="0" w:lastRowFirstColumn="0" w:lastRowLastColumn="0"/>
            </w:pPr>
            <w:r w:rsidRPr="008C0D0C">
              <w:t>181.92</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Professional Managerial</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00000" w:firstRow="0" w:lastRow="0" w:firstColumn="0" w:lastColumn="0" w:oddVBand="0" w:evenVBand="0" w:oddHBand="0" w:evenHBand="0" w:firstRowFirstColumn="0" w:firstRowLastColumn="0" w:lastRowFirstColumn="0" w:lastRowLastColumn="0"/>
            </w:pPr>
            <w:r w:rsidRPr="008C0D0C">
              <w:t>170.55</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System Operators</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10000" w:firstRow="0" w:lastRow="0" w:firstColumn="0" w:lastColumn="0" w:oddVBand="0" w:evenVBand="0" w:oddHBand="0" w:evenHBand="1" w:firstRowFirstColumn="0" w:firstRowLastColumn="0" w:lastRowFirstColumn="0" w:lastRowLastColumn="0"/>
            </w:pPr>
            <w:r w:rsidRPr="008C0D0C">
              <w:t>N/A</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9B1D33">
            <w:pPr>
              <w:pStyle w:val="AERtabletextleft"/>
            </w:pPr>
            <w:r w:rsidRPr="008C0D0C">
              <w:t>Senior Professional</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9B1D33">
            <w:pPr>
              <w:pStyle w:val="AERtabletextright"/>
              <w:cnfStyle w:val="000000000000" w:firstRow="0" w:lastRow="0" w:firstColumn="0" w:lastColumn="0" w:oddVBand="0" w:evenVBand="0" w:oddHBand="0" w:evenHBand="0" w:firstRowFirstColumn="0" w:firstRowLastColumn="0" w:lastRowFirstColumn="0" w:lastRowLastColumn="0"/>
            </w:pPr>
            <w:r w:rsidRPr="008C0D0C">
              <w:t>N/A</w:t>
            </w:r>
          </w:p>
        </w:tc>
      </w:tr>
    </w:tbl>
    <w:p w:rsidR="008C0D0C" w:rsidRPr="008C0D0C" w:rsidRDefault="008C0D0C" w:rsidP="008C0D0C">
      <w:pPr>
        <w:pStyle w:val="AERtablesource"/>
      </w:pPr>
      <w:r w:rsidRPr="008C0D0C">
        <w:t>Source:</w:t>
      </w:r>
      <w:r w:rsidRPr="008C0D0C">
        <w:tab/>
        <w:t>AER analysis.</w:t>
      </w:r>
    </w:p>
    <w:p w:rsidR="008C0D0C" w:rsidRPr="008C0D0C" w:rsidRDefault="008C0D0C" w:rsidP="008C0D0C">
      <w:pPr>
        <w:pStyle w:val="AERtablesource"/>
      </w:pPr>
      <w:r w:rsidRPr="008C0D0C">
        <w:t>Note:</w:t>
      </w:r>
      <w:r w:rsidRPr="008C0D0C">
        <w:tab/>
        <w:t>Energex claimed confidentiality on its total labour rates.</w:t>
      </w:r>
    </w:p>
    <w:p w:rsidR="008C0D0C" w:rsidRPr="008C0D0C" w:rsidRDefault="008C0D0C" w:rsidP="008C0D0C">
      <w:pPr>
        <w:pStyle w:val="Heading4"/>
      </w:pPr>
      <w:bookmarkStart w:id="44" w:name="_Ref416345519"/>
      <w:bookmarkStart w:id="45" w:name="_Toc416346893"/>
      <w:bookmarkStart w:id="46" w:name="_Toc417927686"/>
      <w:r w:rsidRPr="008C0D0C">
        <w:t>Raw labour rates</w:t>
      </w:r>
      <w:bookmarkEnd w:id="44"/>
      <w:bookmarkEnd w:id="45"/>
      <w:bookmarkEnd w:id="46"/>
    </w:p>
    <w:p w:rsidR="008C0D0C" w:rsidRPr="008C0D0C" w:rsidRDefault="008C0D0C" w:rsidP="008C0D0C">
      <w:r w:rsidRPr="008C0D0C">
        <w:t xml:space="preserve">In developing maximum raw labour rates (that is, excluding on-costs and overheads), we examined Hays 2014 salary data. The Hays 2014 salary reports draw on information from 2,500 companies across Australia and New Zealand. Relevant distributors in the Hays data who gave permission to be named were </w:t>
      </w:r>
      <w:proofErr w:type="spellStart"/>
      <w:r w:rsidRPr="008C0D0C">
        <w:t>ActewAGL</w:t>
      </w:r>
      <w:proofErr w:type="spellEnd"/>
      <w:r w:rsidRPr="008C0D0C">
        <w:t xml:space="preserve">, </w:t>
      </w:r>
      <w:proofErr w:type="spellStart"/>
      <w:r w:rsidRPr="008C0D0C">
        <w:t>Jemena</w:t>
      </w:r>
      <w:proofErr w:type="spellEnd"/>
      <w:r w:rsidRPr="008C0D0C">
        <w:t xml:space="preserve">, and </w:t>
      </w:r>
      <w:proofErr w:type="spellStart"/>
      <w:r w:rsidRPr="008C0D0C">
        <w:t>CitiPower</w:t>
      </w:r>
      <w:proofErr w:type="spellEnd"/>
      <w:r w:rsidRPr="008C0D0C">
        <w:t>.</w:t>
      </w:r>
      <w:r w:rsidRPr="008C0D0C">
        <w:rPr>
          <w:rStyle w:val="FootnoteReference"/>
        </w:rPr>
        <w:footnoteReference w:id="15"/>
      </w:r>
      <w:r w:rsidRPr="008C0D0C">
        <w:t xml:space="preserve"> The Hays rates draw from a wide pool of labour which the Queensland distributors would likely have access to. We </w:t>
      </w:r>
      <w:r w:rsidR="009B1D33">
        <w:t xml:space="preserve">therefore </w:t>
      </w:r>
      <w:r w:rsidRPr="008C0D0C">
        <w:t>consider these rates provide a good representation of the competitive market rate</w:t>
      </w:r>
      <w:r w:rsidR="009B1D33">
        <w:t xml:space="preserve"> for appropriate categories of labour</w:t>
      </w:r>
      <w:r w:rsidRPr="008C0D0C">
        <w:t xml:space="preserve">. </w:t>
      </w:r>
    </w:p>
    <w:p w:rsidR="008C0D0C" w:rsidRPr="008C0D0C" w:rsidRDefault="008C0D0C" w:rsidP="008C0D0C">
      <w:r w:rsidRPr="008C0D0C">
        <w:t>We reviewed salary information from all Australian cities. However, we only used Brisbane salary data to develop our maximum raw labour rates.</w:t>
      </w:r>
      <w:r w:rsidRPr="008C0D0C">
        <w:rPr>
          <w:rStyle w:val="FootnoteReference"/>
        </w:rPr>
        <w:footnoteReference w:id="16"/>
      </w:r>
      <w:r w:rsidRPr="008C0D0C">
        <w:t xml:space="preserve"> We compared the </w:t>
      </w:r>
      <w:r w:rsidRPr="008C0D0C">
        <w:lastRenderedPageBreak/>
        <w:t xml:space="preserve">maximums we developed using the Hays Brisbane data against the Hays Melbourne data. We did this as a cross-check to test the reasonableness of our maximum raw labour rates. We found that our maximum raw labour rates did not differ significantly from the Hays Melbourne data. </w:t>
      </w:r>
    </w:p>
    <w:p w:rsidR="008C0D0C" w:rsidRPr="008C0D0C" w:rsidRDefault="008C0D0C" w:rsidP="008C0D0C">
      <w:r w:rsidRPr="008C0D0C">
        <w:t>For illustrative purposes, we also looked at raw labour rates (across the five benchmark labour categories) for Sydney and Auckland. Labour rates in each category did not vary significantly across these locations. The differences observed probably captured differences between locations (including economic conditions, labour laws, and population). For these reasons, we consider that the Brisbane rates alone were acceptable to develop maximum labour rates for ancillary network service charges for the Queensland distributors.</w:t>
      </w:r>
    </w:p>
    <w:p w:rsidR="008C0D0C" w:rsidRPr="008C0D0C" w:rsidRDefault="008C0D0C" w:rsidP="008C0D0C">
      <w:r w:rsidRPr="008C0D0C">
        <w:t>To calculate the maximum raw labour rates, we used job titles from Hays’ energy specific salary guide.</w:t>
      </w:r>
      <w:r w:rsidRPr="008C0D0C">
        <w:rPr>
          <w:rStyle w:val="FootnoteReference"/>
        </w:rPr>
        <w:footnoteReference w:id="17"/>
      </w:r>
      <w:r w:rsidRPr="008C0D0C">
        <w:t xml:space="preserve"> We supplemented this with data from the Hays office support salary guide.</w:t>
      </w:r>
      <w:r w:rsidRPr="008C0D0C">
        <w:rPr>
          <w:rStyle w:val="FootnoteReference"/>
        </w:rPr>
        <w:footnoteReference w:id="18"/>
      </w:r>
      <w:r w:rsidRPr="008C0D0C">
        <w:t xml:space="preserve"> This ensured that the ‘administration’ category was sufficiently covered. </w:t>
      </w:r>
    </w:p>
    <w:p w:rsidR="008C0D0C" w:rsidRPr="008C0D0C" w:rsidRDefault="008C0D0C" w:rsidP="008C0D0C">
      <w:r w:rsidRPr="008C0D0C">
        <w:t xml:space="preserve">We analysed 66 different job titles and used 36 of these to develop maximum raw labour rates for the five labour categories. </w:t>
      </w:r>
    </w:p>
    <w:p w:rsidR="008C0D0C" w:rsidRPr="008C0D0C" w:rsidRDefault="008C0D0C" w:rsidP="008C0D0C">
      <w:r w:rsidRPr="008C0D0C">
        <w:fldChar w:fldCharType="begin"/>
      </w:r>
      <w:r w:rsidRPr="008C0D0C">
        <w:instrText xml:space="preserve"> REF _Ref416346952 \h </w:instrText>
      </w:r>
      <w:r w:rsidRPr="008C0D0C">
        <w:fldChar w:fldCharType="separate"/>
      </w:r>
      <w:r w:rsidR="005E73B8" w:rsidRPr="008C0D0C">
        <w:t xml:space="preserve">Table </w:t>
      </w:r>
      <w:r w:rsidR="005E73B8">
        <w:rPr>
          <w:noProof/>
        </w:rPr>
        <w:t>16</w:t>
      </w:r>
      <w:r w:rsidR="005E73B8">
        <w:t>.</w:t>
      </w:r>
      <w:r w:rsidR="005E73B8">
        <w:rPr>
          <w:noProof/>
        </w:rPr>
        <w:t>3</w:t>
      </w:r>
      <w:r w:rsidRPr="008C0D0C">
        <w:fldChar w:fldCharType="end"/>
      </w:r>
      <w:r w:rsidRPr="008C0D0C">
        <w:t xml:space="preserve"> shows the job titles we used to develop maximum labour rates for each of the five labour categories. These 36 labour job titles involved tasks which clearly fell into either the 'administration', 'technical specialist', 'engineer', 'field worker', or 'senior engineer' labour categories. We excluded job titles that were not relevant to electricity distributors such as 'wind farm engineer'. </w:t>
      </w:r>
      <w:r w:rsidRPr="008C0D0C">
        <w:fldChar w:fldCharType="begin"/>
      </w:r>
      <w:r w:rsidRPr="008C0D0C">
        <w:instrText xml:space="preserve"> REF _Ref416346952 \h </w:instrText>
      </w:r>
      <w:r w:rsidRPr="008C0D0C">
        <w:fldChar w:fldCharType="separate"/>
      </w:r>
      <w:r w:rsidR="005E73B8" w:rsidRPr="008C0D0C">
        <w:t xml:space="preserve">Table </w:t>
      </w:r>
      <w:r w:rsidR="005E73B8">
        <w:rPr>
          <w:noProof/>
        </w:rPr>
        <w:t>16</w:t>
      </w:r>
      <w:r w:rsidR="005E73B8">
        <w:t>.</w:t>
      </w:r>
      <w:r w:rsidR="005E73B8">
        <w:rPr>
          <w:noProof/>
        </w:rPr>
        <w:t>3</w:t>
      </w:r>
      <w:r w:rsidRPr="008C0D0C">
        <w:fldChar w:fldCharType="end"/>
      </w:r>
      <w:r w:rsidRPr="008C0D0C">
        <w:t xml:space="preserve"> shows the 36 job titles we used to develop recommended maximum labour rates for each of the five labour categories. We consider these 36 job titles provide Marsden Jacob with a sample of labour rates available in a competitive labour market.  </w:t>
      </w:r>
    </w:p>
    <w:p w:rsidR="008C0D0C" w:rsidRPr="008C0D0C" w:rsidRDefault="008C0D0C" w:rsidP="008C0D0C">
      <w:pPr>
        <w:pStyle w:val="Caption"/>
      </w:pPr>
      <w:bookmarkStart w:id="47" w:name="_Ref416346952"/>
      <w:r w:rsidRPr="008C0D0C">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3</w:t>
        </w:r>
      </w:fldSimple>
      <w:bookmarkEnd w:id="47"/>
      <w:r w:rsidRPr="008C0D0C">
        <w:t>: Job titles we used to develop maximum labour rates</w:t>
      </w:r>
    </w:p>
    <w:tbl>
      <w:tblPr>
        <w:tblStyle w:val="AERtable-text0"/>
        <w:tblW w:w="0" w:type="auto"/>
        <w:tblLook w:val="04A0" w:firstRow="1" w:lastRow="0" w:firstColumn="1" w:lastColumn="0" w:noHBand="0" w:noVBand="1"/>
      </w:tblPr>
      <w:tblGrid>
        <w:gridCol w:w="4346"/>
        <w:gridCol w:w="4347"/>
      </w:tblGrid>
      <w:tr w:rsidR="008C0D0C" w:rsidTr="009C1B5E">
        <w:trPr>
          <w:cnfStyle w:val="100000000000" w:firstRow="1" w:lastRow="0" w:firstColumn="0" w:lastColumn="0" w:oddVBand="0" w:evenVBand="0" w:oddHBand="0" w:evenHBand="0" w:firstRowFirstColumn="0" w:firstRowLastColumn="0" w:lastRowFirstColumn="0" w:lastRowLastColumn="0"/>
          <w:tblHeader/>
        </w:trPr>
        <w:tc>
          <w:tcPr>
            <w:tcW w:w="4346" w:type="dxa"/>
          </w:tcPr>
          <w:p w:rsidR="008C0D0C" w:rsidRPr="008C0D0C" w:rsidRDefault="008C0D0C" w:rsidP="008C0D0C">
            <w:r w:rsidRPr="008C0D0C">
              <w:t>Labour category</w:t>
            </w:r>
          </w:p>
        </w:tc>
        <w:tc>
          <w:tcPr>
            <w:tcW w:w="4347" w:type="dxa"/>
          </w:tcPr>
          <w:p w:rsidR="008C0D0C" w:rsidRPr="008C0D0C" w:rsidRDefault="008C0D0C" w:rsidP="008C0D0C">
            <w:r w:rsidRPr="008C0D0C">
              <w:t>Job title</w:t>
            </w:r>
          </w:p>
        </w:tc>
      </w:tr>
      <w:tr w:rsidR="008C0D0C" w:rsidTr="0009032A">
        <w:tc>
          <w:tcPr>
            <w:tcW w:w="4346" w:type="dxa"/>
          </w:tcPr>
          <w:p w:rsidR="008C0D0C" w:rsidRPr="008C0D0C" w:rsidRDefault="008C0D0C" w:rsidP="008C0D0C">
            <w:r w:rsidRPr="008C0D0C">
              <w:t>Admin</w:t>
            </w:r>
          </w:p>
        </w:tc>
        <w:tc>
          <w:tcPr>
            <w:tcW w:w="4347" w:type="dxa"/>
          </w:tcPr>
          <w:p w:rsidR="008C0D0C" w:rsidRPr="008C0D0C" w:rsidRDefault="008C0D0C" w:rsidP="008C0D0C">
            <w:r w:rsidRPr="008C0D0C">
              <w:t>Project secretary / Administrator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Client liaison (residential)</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Data entry operator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Records officer</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Administration assistant (12+ months experience)</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 xml:space="preserve">Project administration assistant (3+ </w:t>
            </w:r>
            <w:proofErr w:type="spellStart"/>
            <w:r w:rsidRPr="008C0D0C">
              <w:t>years experience</w:t>
            </w:r>
            <w:proofErr w:type="spellEnd"/>
            <w:r w:rsidRPr="008C0D0C">
              <w:t>)</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Project coordinator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r w:rsidRPr="008C0D0C">
              <w:t>Technical specialist</w:t>
            </w:r>
          </w:p>
        </w:tc>
        <w:tc>
          <w:tcPr>
            <w:tcW w:w="4347" w:type="dxa"/>
          </w:tcPr>
          <w:p w:rsidR="008C0D0C" w:rsidRPr="008C0D0C" w:rsidRDefault="008C0D0C" w:rsidP="008C0D0C">
            <w:r w:rsidRPr="008C0D0C">
              <w:t>Technician</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Control room operator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Control room manager</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E&amp;I technician</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Protection technician</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Generator technician</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Operator / manager</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Site engineer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Planner / scheduler</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OHS supervisor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OHS manager</w:t>
            </w:r>
          </w:p>
        </w:tc>
      </w:tr>
      <w:tr w:rsidR="008C0D0C" w:rsidTr="0009032A">
        <w:tc>
          <w:tcPr>
            <w:tcW w:w="4346" w:type="dxa"/>
          </w:tcPr>
          <w:p w:rsidR="008C0D0C" w:rsidRPr="008C0D0C" w:rsidRDefault="008C0D0C" w:rsidP="008C0D0C">
            <w:r w:rsidRPr="008C0D0C">
              <w:t>Engineer</w:t>
            </w:r>
          </w:p>
        </w:tc>
        <w:tc>
          <w:tcPr>
            <w:tcW w:w="4347" w:type="dxa"/>
          </w:tcPr>
          <w:p w:rsidR="008C0D0C" w:rsidRPr="008C0D0C" w:rsidRDefault="008C0D0C" w:rsidP="008C0D0C">
            <w:r w:rsidRPr="008C0D0C">
              <w:t>Design engineer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Project engineer (EPCM)</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Power systems engineer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Protection engineer</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Transmission line design engineer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Asset engineer (3 to 7 years)</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Project engineer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r w:rsidRPr="008C0D0C">
              <w:t>Field worker</w:t>
            </w:r>
          </w:p>
        </w:tc>
        <w:tc>
          <w:tcPr>
            <w:tcW w:w="4347" w:type="dxa"/>
          </w:tcPr>
          <w:p w:rsidR="008C0D0C" w:rsidRPr="008C0D0C" w:rsidRDefault="008C0D0C" w:rsidP="008C0D0C">
            <w:r w:rsidRPr="008C0D0C">
              <w:t>Leading hand</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Electrician</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Mechanical fitter</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Line worker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 xml:space="preserve">G&amp;B </w:t>
            </w:r>
            <w:proofErr w:type="spellStart"/>
            <w:r w:rsidRPr="008C0D0C">
              <w:t>linesworker</w:t>
            </w:r>
            <w:proofErr w:type="spellEnd"/>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Cable jointer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Cable layer</w:t>
            </w:r>
          </w:p>
        </w:tc>
      </w:tr>
      <w:tr w:rsidR="008C0D0C" w:rsidTr="0009032A">
        <w:tc>
          <w:tcPr>
            <w:tcW w:w="4346" w:type="dxa"/>
          </w:tcPr>
          <w:p w:rsidR="008C0D0C" w:rsidRPr="008C0D0C" w:rsidRDefault="008C0D0C" w:rsidP="008C0D0C">
            <w:r w:rsidRPr="008C0D0C">
              <w:t>Senior engineer</w:t>
            </w:r>
          </w:p>
        </w:tc>
        <w:tc>
          <w:tcPr>
            <w:tcW w:w="4347" w:type="dxa"/>
          </w:tcPr>
          <w:p w:rsidR="008C0D0C" w:rsidRPr="008C0D0C" w:rsidRDefault="008C0D0C" w:rsidP="008C0D0C">
            <w:r w:rsidRPr="008C0D0C">
              <w:t>Senior design engineer</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Principal design engineer</w:t>
            </w:r>
          </w:p>
        </w:tc>
      </w:tr>
      <w:tr w:rsidR="008C0D0C" w:rsidTr="0009032A">
        <w:tc>
          <w:tcPr>
            <w:tcW w:w="4346" w:type="dxa"/>
          </w:tcPr>
          <w:p w:rsidR="008C0D0C" w:rsidRPr="008C0D0C" w:rsidRDefault="008C0D0C" w:rsidP="008C0D0C"/>
        </w:tc>
        <w:tc>
          <w:tcPr>
            <w:tcW w:w="4347" w:type="dxa"/>
          </w:tcPr>
          <w:p w:rsidR="008C0D0C" w:rsidRPr="008C0D0C" w:rsidRDefault="008C0D0C" w:rsidP="008C0D0C">
            <w:r w:rsidRPr="008C0D0C">
              <w:t>Senior project engineer (EPCM)</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tcW w:w="4346" w:type="dxa"/>
          </w:tcPr>
          <w:p w:rsidR="008C0D0C" w:rsidRPr="008C0D0C" w:rsidRDefault="008C0D0C" w:rsidP="008C0D0C"/>
        </w:tc>
        <w:tc>
          <w:tcPr>
            <w:tcW w:w="4347" w:type="dxa"/>
          </w:tcPr>
          <w:p w:rsidR="008C0D0C" w:rsidRPr="008C0D0C" w:rsidRDefault="008C0D0C" w:rsidP="008C0D0C">
            <w:r w:rsidRPr="008C0D0C">
              <w:t>Commissioning Engineer</w:t>
            </w:r>
          </w:p>
        </w:tc>
      </w:tr>
    </w:tbl>
    <w:p w:rsidR="008E00AC" w:rsidRDefault="00943404" w:rsidP="008E00AC">
      <w:pPr>
        <w:pStyle w:val="AERtablesource"/>
      </w:pPr>
      <w:r>
        <w:t>Source: Marsden Jacob a</w:t>
      </w:r>
      <w:r w:rsidR="008E00AC">
        <w:t>nalysis</w:t>
      </w:r>
    </w:p>
    <w:p w:rsidR="008C0D0C" w:rsidRPr="008C0D0C" w:rsidRDefault="008C0D0C" w:rsidP="008C0D0C">
      <w:r w:rsidRPr="008C0D0C">
        <w:t>We considered the range of data provided for each labour category across the various job titles. In doing this, we derived salary ranges for each labour category by:</w:t>
      </w:r>
    </w:p>
    <w:p w:rsidR="008C0D0C" w:rsidRPr="008C0D0C" w:rsidRDefault="008C0D0C" w:rsidP="008C0D0C">
      <w:pPr>
        <w:pStyle w:val="AERbulletlistfirststyle"/>
      </w:pPr>
      <w:r w:rsidRPr="008C0D0C">
        <w:t>identifying the lowest salary from all job titles in the labour category</w:t>
      </w:r>
    </w:p>
    <w:p w:rsidR="008C0D0C" w:rsidRPr="008C0D0C" w:rsidRDefault="008C0D0C" w:rsidP="008C0D0C">
      <w:pPr>
        <w:pStyle w:val="AERbulletlistfirststyle"/>
      </w:pPr>
      <w:r w:rsidRPr="008C0D0C">
        <w:lastRenderedPageBreak/>
        <w:t>identifying the highest salary from all job titles in the labour category</w:t>
      </w:r>
      <w:r w:rsidR="0009032A">
        <w:t>.</w:t>
      </w:r>
    </w:p>
    <w:p w:rsidR="008C0D0C" w:rsidRPr="008C0D0C" w:rsidRDefault="008C0D0C" w:rsidP="008C0D0C">
      <w:r w:rsidRPr="008C0D0C">
        <w:t>We consider this range represents the full pool of labour (and raw labour rates) that Energex would have access to in a competitive market. We consider that the maximum raw labour rate for each labour category should be used to develop its maximum total labour rate. We consider this to be a prudent approach. It provides the distribution business with a reasonable opportunity to recover at least its efficient costs</w:t>
      </w:r>
      <w:r w:rsidR="009B1D33">
        <w:t>, while promoting the efficient provision of services</w:t>
      </w:r>
      <w:r w:rsidRPr="008C0D0C">
        <w:t xml:space="preserve">.  </w:t>
      </w:r>
    </w:p>
    <w:p w:rsidR="008C0D0C" w:rsidRPr="008C0D0C" w:rsidRDefault="008C0D0C" w:rsidP="008C0D0C">
      <w:pPr>
        <w:pStyle w:val="Caption"/>
      </w:pPr>
      <w:r w:rsidRPr="008C0D0C">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4</w:t>
        </w:r>
      </w:fldSimple>
      <w:r w:rsidRPr="008C0D0C">
        <w:t>: AER maximum raw labour rates</w:t>
      </w:r>
    </w:p>
    <w:tbl>
      <w:tblPr>
        <w:tblStyle w:val="AERtable-numbers"/>
        <w:tblW w:w="0" w:type="auto"/>
        <w:tblLook w:val="04A0" w:firstRow="1" w:lastRow="0" w:firstColumn="1" w:lastColumn="0" w:noHBand="0" w:noVBand="1"/>
      </w:tblPr>
      <w:tblGrid>
        <w:gridCol w:w="2897"/>
        <w:gridCol w:w="2898"/>
        <w:gridCol w:w="2898"/>
      </w:tblGrid>
      <w:tr w:rsidR="008C0D0C" w:rsidTr="00090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8C0D0C" w:rsidRPr="008C0D0C" w:rsidRDefault="008C0D0C" w:rsidP="008A6FA5">
            <w:pPr>
              <w:pStyle w:val="AERtabletextleft"/>
              <w:rPr>
                <w:rStyle w:val="AERbody"/>
              </w:rPr>
            </w:pPr>
            <w:r w:rsidRPr="008C0D0C">
              <w:t>Labour Category</w:t>
            </w:r>
          </w:p>
        </w:tc>
        <w:tc>
          <w:tcPr>
            <w:tcW w:w="2898" w:type="dxa"/>
          </w:tcPr>
          <w:p w:rsidR="008C0D0C" w:rsidRPr="008C0D0C" w:rsidRDefault="008C0D0C" w:rsidP="008C0D0C">
            <w:pPr>
              <w:pStyle w:val="Tabletext-centred"/>
              <w:cnfStyle w:val="100000000000" w:firstRow="1" w:lastRow="0" w:firstColumn="0" w:lastColumn="0" w:oddVBand="0" w:evenVBand="0" w:oddHBand="0" w:evenHBand="0" w:firstRowFirstColumn="0" w:firstRowLastColumn="0" w:lastRowFirstColumn="0" w:lastRowLastColumn="0"/>
              <w:rPr>
                <w:rStyle w:val="AERbody"/>
              </w:rPr>
            </w:pPr>
          </w:p>
        </w:tc>
        <w:tc>
          <w:tcPr>
            <w:tcW w:w="2898" w:type="dxa"/>
          </w:tcPr>
          <w:p w:rsidR="008C0D0C" w:rsidRPr="008C0D0C" w:rsidRDefault="008C0D0C" w:rsidP="008A6FA5">
            <w:pPr>
              <w:pStyle w:val="AERtabletextright"/>
              <w:cnfStyle w:val="100000000000" w:firstRow="1" w:lastRow="0" w:firstColumn="0" w:lastColumn="0" w:oddVBand="0" w:evenVBand="0" w:oddHBand="0" w:evenHBand="0" w:firstRowFirstColumn="0" w:firstRowLastColumn="0" w:lastRowFirstColumn="0" w:lastRowLastColumn="0"/>
              <w:rPr>
                <w:rStyle w:val="AERbody"/>
              </w:rPr>
            </w:pPr>
            <w:r w:rsidRPr="008C0D0C">
              <w:t>AER maximum raw labour rates</w:t>
            </w:r>
            <w:r w:rsidR="00C038D0">
              <w:t xml:space="preserve"> ($ per hour, $2014–15)</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Apprentices</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00000" w:firstRow="0" w:lastRow="0" w:firstColumn="0" w:lastColumn="0" w:oddVBand="0" w:evenVBand="0" w:oddHBand="0" w:evenHBand="0" w:firstRowFirstColumn="0" w:firstRowLastColumn="0" w:lastRowFirstColumn="0" w:lastRowLastColumn="0"/>
            </w:pPr>
            <w:r w:rsidRPr="008C0D0C">
              <w:t>N/A</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Power Workers</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10000" w:firstRow="0" w:lastRow="0" w:firstColumn="0" w:lastColumn="0" w:oddVBand="0" w:evenVBand="0" w:oddHBand="0" w:evenHBand="1" w:firstRowFirstColumn="0" w:firstRowLastColumn="0" w:lastRowFirstColumn="0" w:lastRowLastColumn="0"/>
            </w:pPr>
            <w:r w:rsidRPr="008C0D0C">
              <w:t>52.88</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Administration/ Clerical</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00000" w:firstRow="0" w:lastRow="0" w:firstColumn="0" w:lastColumn="0" w:oddVBand="0" w:evenVBand="0" w:oddHBand="0" w:evenHBand="0" w:firstRowFirstColumn="0" w:firstRowLastColumn="0" w:lastRowFirstColumn="0" w:lastRowLastColumn="0"/>
            </w:pPr>
            <w:r w:rsidRPr="008C0D0C">
              <w:t>31.25</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Customer Connections Labour Rate</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10000" w:firstRow="0" w:lastRow="0" w:firstColumn="0" w:lastColumn="0" w:oddVBand="0" w:evenVBand="0" w:oddHBand="0" w:evenHBand="1" w:firstRowFirstColumn="0" w:firstRowLastColumn="0" w:lastRowFirstColumn="0" w:lastRowLastColumn="0"/>
            </w:pPr>
            <w:r w:rsidRPr="008C0D0C">
              <w:t>N/A</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Electrical System Design Advisors</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00000" w:firstRow="0" w:lastRow="0" w:firstColumn="0" w:lastColumn="0" w:oddVBand="0" w:evenVBand="0" w:oddHBand="0" w:evenHBand="0" w:firstRowFirstColumn="0" w:firstRowLastColumn="0" w:lastRowFirstColumn="0" w:lastRowLastColumn="0"/>
            </w:pPr>
            <w:r w:rsidRPr="008C0D0C">
              <w:t>72.12</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Technical/ Service Persons</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10000" w:firstRow="0" w:lastRow="0" w:firstColumn="0" w:lastColumn="0" w:oddVBand="0" w:evenVBand="0" w:oddHBand="0" w:evenHBand="1" w:firstRowFirstColumn="0" w:firstRowLastColumn="0" w:lastRowFirstColumn="0" w:lastRowLastColumn="0"/>
            </w:pPr>
            <w:r w:rsidRPr="008C0D0C">
              <w:t>76.92</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Para professional</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00000" w:firstRow="0" w:lastRow="0" w:firstColumn="0" w:lastColumn="0" w:oddVBand="0" w:evenVBand="0" w:oddHBand="0" w:evenHBand="0" w:firstRowFirstColumn="0" w:firstRowLastColumn="0" w:lastRowFirstColumn="0" w:lastRowLastColumn="0"/>
            </w:pPr>
            <w:r w:rsidRPr="008C0D0C">
              <w:t>76.92</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Supervisors</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10000" w:firstRow="0" w:lastRow="0" w:firstColumn="0" w:lastColumn="0" w:oddVBand="0" w:evenVBand="0" w:oddHBand="0" w:evenHBand="1" w:firstRowFirstColumn="0" w:firstRowLastColumn="0" w:lastRowFirstColumn="0" w:lastRowLastColumn="0"/>
            </w:pPr>
            <w:r w:rsidRPr="008C0D0C">
              <w:t>76.92</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Professional Managerial</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00000" w:firstRow="0" w:lastRow="0" w:firstColumn="0" w:lastColumn="0" w:oddVBand="0" w:evenVBand="0" w:oddHBand="0" w:evenHBand="0" w:firstRowFirstColumn="0" w:firstRowLastColumn="0" w:lastRowFirstColumn="0" w:lastRowLastColumn="0"/>
            </w:pPr>
            <w:r w:rsidRPr="008C0D0C">
              <w:t>72.12</w:t>
            </w:r>
          </w:p>
        </w:tc>
      </w:tr>
      <w:tr w:rsidR="008C0D0C" w:rsidTr="00090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System Operators</w:t>
            </w:r>
          </w:p>
        </w:tc>
        <w:tc>
          <w:tcPr>
            <w:tcW w:w="2898" w:type="dxa"/>
            <w:vAlign w:val="bottom"/>
          </w:tcPr>
          <w:p w:rsidR="008C0D0C" w:rsidRPr="008C0D0C" w:rsidRDefault="008C0D0C" w:rsidP="008C0D0C">
            <w:pPr>
              <w:pStyle w:val="Tabletext-centred"/>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10000" w:firstRow="0" w:lastRow="0" w:firstColumn="0" w:lastColumn="0" w:oddVBand="0" w:evenVBand="0" w:oddHBand="0" w:evenHBand="1" w:firstRowFirstColumn="0" w:firstRowLastColumn="0" w:lastRowFirstColumn="0" w:lastRowLastColumn="0"/>
            </w:pPr>
            <w:r w:rsidRPr="008C0D0C">
              <w:t>N/A</w:t>
            </w:r>
          </w:p>
        </w:tc>
      </w:tr>
      <w:tr w:rsidR="008C0D0C" w:rsidTr="0009032A">
        <w:tc>
          <w:tcPr>
            <w:cnfStyle w:val="001000000000" w:firstRow="0" w:lastRow="0" w:firstColumn="1" w:lastColumn="0" w:oddVBand="0" w:evenVBand="0" w:oddHBand="0" w:evenHBand="0" w:firstRowFirstColumn="0" w:firstRowLastColumn="0" w:lastRowFirstColumn="0" w:lastRowLastColumn="0"/>
            <w:tcW w:w="2897" w:type="dxa"/>
            <w:vAlign w:val="bottom"/>
          </w:tcPr>
          <w:p w:rsidR="008C0D0C" w:rsidRPr="008C0D0C" w:rsidRDefault="008C0D0C" w:rsidP="008A6FA5">
            <w:pPr>
              <w:pStyle w:val="AERtabletextleft"/>
            </w:pPr>
            <w:r w:rsidRPr="008C0D0C">
              <w:t>Senior Professional</w:t>
            </w:r>
          </w:p>
        </w:tc>
        <w:tc>
          <w:tcPr>
            <w:tcW w:w="2898" w:type="dxa"/>
            <w:vAlign w:val="bottom"/>
          </w:tcPr>
          <w:p w:rsidR="008C0D0C" w:rsidRPr="008C0D0C" w:rsidRDefault="008C0D0C" w:rsidP="008C0D0C">
            <w:pPr>
              <w:pStyle w:val="Tabletext-centred"/>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8C0D0C" w:rsidRPr="008C0D0C" w:rsidRDefault="008C0D0C" w:rsidP="008A6FA5">
            <w:pPr>
              <w:pStyle w:val="AERtabletextright"/>
              <w:cnfStyle w:val="000000000000" w:firstRow="0" w:lastRow="0" w:firstColumn="0" w:lastColumn="0" w:oddVBand="0" w:evenVBand="0" w:oddHBand="0" w:evenHBand="0" w:firstRowFirstColumn="0" w:firstRowLastColumn="0" w:lastRowFirstColumn="0" w:lastRowLastColumn="0"/>
            </w:pPr>
            <w:r w:rsidRPr="008C0D0C">
              <w:t>N/A</w:t>
            </w:r>
          </w:p>
        </w:tc>
      </w:tr>
    </w:tbl>
    <w:p w:rsidR="00765F70" w:rsidRDefault="00765F70" w:rsidP="00765F70">
      <w:pPr>
        <w:pStyle w:val="AERtablesource"/>
      </w:pPr>
      <w:bookmarkStart w:id="48" w:name="_Ref416345529"/>
      <w:bookmarkStart w:id="49" w:name="_Toc416346894"/>
      <w:r>
        <w:t>Source: AER analysis.</w:t>
      </w:r>
    </w:p>
    <w:p w:rsidR="008C0D0C" w:rsidRPr="008C0D0C" w:rsidRDefault="008C0D0C" w:rsidP="008C0D0C">
      <w:pPr>
        <w:pStyle w:val="Heading4"/>
      </w:pPr>
      <w:bookmarkStart w:id="50" w:name="_Toc417927687"/>
      <w:r w:rsidRPr="008C0D0C">
        <w:t>On-costs</w:t>
      </w:r>
      <w:bookmarkEnd w:id="48"/>
      <w:bookmarkEnd w:id="49"/>
      <w:bookmarkEnd w:id="50"/>
    </w:p>
    <w:p w:rsidR="008C0D0C" w:rsidRPr="008C0D0C" w:rsidRDefault="008C0D0C" w:rsidP="008C0D0C">
      <w:r w:rsidRPr="008C0D0C">
        <w:t>We consider that a maximum on-cost rate of 43.5 per cent should apply to the Queensland distributors. We calculated this maximum on cost rate by developing a 'bottom up' estimate of on costs for the Queensland distributors, with reference to the following factors:</w:t>
      </w:r>
    </w:p>
    <w:p w:rsidR="008C0D0C" w:rsidRPr="008C0D0C" w:rsidRDefault="008C0D0C" w:rsidP="008C0D0C">
      <w:pPr>
        <w:pStyle w:val="AERbulletlistfirststyle"/>
      </w:pPr>
      <w:r w:rsidRPr="008C0D0C">
        <w:t>the superannuation levels included in each distributor's enterprise bargaining agreement</w:t>
      </w:r>
    </w:p>
    <w:p w:rsidR="008C0D0C" w:rsidRPr="008C0D0C" w:rsidRDefault="008C0D0C" w:rsidP="008C0D0C">
      <w:pPr>
        <w:pStyle w:val="AERbulletlistfirststyle"/>
      </w:pPr>
      <w:r w:rsidRPr="008C0D0C">
        <w:t>a conservative estimate of workers compensation premium</w:t>
      </w:r>
    </w:p>
    <w:p w:rsidR="008C0D0C" w:rsidRPr="008C0D0C" w:rsidRDefault="008C0D0C" w:rsidP="008C0D0C">
      <w:pPr>
        <w:pStyle w:val="AERbulletlistfirststyle"/>
      </w:pPr>
      <w:r w:rsidRPr="008C0D0C">
        <w:t>st</w:t>
      </w:r>
      <w:r w:rsidR="0009032A">
        <w:t>andard payroll tax rates in Qld</w:t>
      </w:r>
    </w:p>
    <w:p w:rsidR="008C0D0C" w:rsidRPr="008C0D0C" w:rsidRDefault="008C0D0C" w:rsidP="008C0D0C">
      <w:pPr>
        <w:pStyle w:val="AERbulletlistfirststyle"/>
      </w:pPr>
      <w:r w:rsidRPr="008C0D0C">
        <w:lastRenderedPageBreak/>
        <w:t>annual leave loading of 17.5 per cent loading on four weeks annual leave, which equates to 1.35 per cent of total salary</w:t>
      </w:r>
      <w:r w:rsidR="0009032A">
        <w:t>.</w:t>
      </w:r>
    </w:p>
    <w:p w:rsidR="008C0D0C" w:rsidRPr="008C0D0C" w:rsidRDefault="008C0D0C" w:rsidP="008C0D0C">
      <w:pPr>
        <w:pStyle w:val="AERbulletlistfirststyle"/>
      </w:pPr>
      <w:r w:rsidRPr="008C0D0C">
        <w:t>a conservative long service leave allowance based on three months leave for every ten years of service, equating to 2.5 per cent per year</w:t>
      </w:r>
      <w:r w:rsidR="0009032A">
        <w:t>.</w:t>
      </w:r>
    </w:p>
    <w:p w:rsidR="008C0D0C" w:rsidRPr="008C0D0C" w:rsidRDefault="008C0D0C" w:rsidP="008C0D0C">
      <w:pPr>
        <w:pStyle w:val="AERbulletlistfirststyle"/>
      </w:pPr>
      <w:r w:rsidRPr="008C0D0C">
        <w:t>an assumed rate of 18.18 per cent standard leave (including annual leave, sick leave, and public holidays) for all businesses.</w:t>
      </w:r>
    </w:p>
    <w:p w:rsidR="008C0D0C" w:rsidRPr="008C0D0C" w:rsidRDefault="008C0D0C" w:rsidP="008C0D0C">
      <w:pPr>
        <w:pStyle w:val="AERbulletlistfirststyle"/>
      </w:pPr>
      <w:r w:rsidRPr="008C0D0C">
        <w:t>We developed our numbers for each of these factors based on Energex's Enterprise Agreement and the Queensland State Payroll Tax.</w:t>
      </w:r>
      <w:r w:rsidRPr="008C0D0C">
        <w:rPr>
          <w:rStyle w:val="FootnoteReference"/>
        </w:rPr>
        <w:footnoteReference w:id="19"/>
      </w:r>
      <w:r w:rsidRPr="008C0D0C">
        <w:t xml:space="preserve"> We used this maximum on-cost rate of 43.5 per cent in deriving our maximum total labour rates. It provides the distribution business with a reasonable opportunity to recover at least its efficient costs. </w:t>
      </w:r>
    </w:p>
    <w:p w:rsidR="008C0D0C" w:rsidRPr="008C0D0C" w:rsidRDefault="008C0D0C" w:rsidP="008C0D0C">
      <w:r w:rsidRPr="008C0D0C">
        <w:fldChar w:fldCharType="begin"/>
      </w:r>
      <w:r w:rsidRPr="008C0D0C">
        <w:instrText xml:space="preserve"> REF _Ref416347429 \h </w:instrText>
      </w:r>
      <w:r w:rsidRPr="008C0D0C">
        <w:fldChar w:fldCharType="separate"/>
      </w:r>
      <w:r w:rsidR="005E73B8" w:rsidRPr="008C0D0C">
        <w:t xml:space="preserve">Table </w:t>
      </w:r>
      <w:r w:rsidR="005E73B8">
        <w:rPr>
          <w:noProof/>
        </w:rPr>
        <w:t>16</w:t>
      </w:r>
      <w:r w:rsidR="005E73B8">
        <w:t>.</w:t>
      </w:r>
      <w:r w:rsidR="005E73B8">
        <w:rPr>
          <w:noProof/>
        </w:rPr>
        <w:t>5</w:t>
      </w:r>
      <w:r w:rsidRPr="008C0D0C">
        <w:fldChar w:fldCharType="end"/>
      </w:r>
      <w:r w:rsidRPr="008C0D0C">
        <w:t xml:space="preserve"> shows our maximum on-cost rate and the breakdown of that on-cost rate. </w:t>
      </w:r>
    </w:p>
    <w:p w:rsidR="008C0D0C" w:rsidRPr="008C0D0C" w:rsidRDefault="008C0D0C" w:rsidP="008C0D0C">
      <w:pPr>
        <w:pStyle w:val="Caption"/>
      </w:pPr>
      <w:bookmarkStart w:id="51" w:name="_Ref416347429"/>
      <w:r w:rsidRPr="008C0D0C">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5</w:t>
        </w:r>
      </w:fldSimple>
      <w:bookmarkEnd w:id="51"/>
      <w:r w:rsidRPr="008C0D0C">
        <w:t>: On-cost rate breakdown and maximum, per cent</w:t>
      </w:r>
    </w:p>
    <w:tbl>
      <w:tblPr>
        <w:tblStyle w:val="AERtable-numbers"/>
        <w:tblW w:w="5000" w:type="pct"/>
        <w:tblLook w:val="04A0" w:firstRow="1" w:lastRow="0" w:firstColumn="1" w:lastColumn="0" w:noHBand="0" w:noVBand="1"/>
      </w:tblPr>
      <w:tblGrid>
        <w:gridCol w:w="3212"/>
        <w:gridCol w:w="3136"/>
        <w:gridCol w:w="2345"/>
      </w:tblGrid>
      <w:tr w:rsidR="008C0D0C" w:rsidTr="00C0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pct"/>
          </w:tcPr>
          <w:p w:rsidR="008C0D0C" w:rsidRPr="008C0D0C" w:rsidRDefault="008C0D0C" w:rsidP="008C0D0C">
            <w:pPr>
              <w:pStyle w:val="TableofFigures"/>
            </w:pPr>
            <w:r w:rsidRPr="008C0D0C">
              <w:t>On-Cost Rate Component</w:t>
            </w:r>
          </w:p>
        </w:tc>
        <w:tc>
          <w:tcPr>
            <w:tcW w:w="1804" w:type="pct"/>
          </w:tcPr>
          <w:p w:rsidR="008C0D0C" w:rsidRPr="008C0D0C" w:rsidRDefault="008C0D0C" w:rsidP="00C038D0">
            <w:pPr>
              <w:pStyle w:val="TableofFigures"/>
              <w:cnfStyle w:val="100000000000" w:firstRow="1" w:lastRow="0" w:firstColumn="0" w:lastColumn="0" w:oddVBand="0" w:evenVBand="0" w:oddHBand="0" w:evenHBand="0" w:firstRowFirstColumn="0" w:firstRowLastColumn="0" w:lastRowFirstColumn="0" w:lastRowLastColumn="0"/>
            </w:pPr>
            <w:r w:rsidRPr="008C0D0C">
              <w:t>Maximum Rates</w:t>
            </w:r>
            <w:r w:rsidR="00C038D0">
              <w:t xml:space="preserve"> </w:t>
            </w:r>
          </w:p>
        </w:tc>
        <w:tc>
          <w:tcPr>
            <w:tcW w:w="1350" w:type="pct"/>
          </w:tcPr>
          <w:p w:rsidR="008C0D0C" w:rsidRPr="008C0D0C" w:rsidRDefault="008C0D0C" w:rsidP="00C038D0">
            <w:pPr>
              <w:pStyle w:val="TableofFigures"/>
              <w:cnfStyle w:val="100000000000" w:firstRow="1" w:lastRow="0" w:firstColumn="0" w:lastColumn="0" w:oddVBand="0" w:evenVBand="0" w:oddHBand="0" w:evenHBand="0" w:firstRowFirstColumn="0" w:firstRowLastColumn="0" w:lastRowFirstColumn="0" w:lastRowLastColumn="0"/>
            </w:pPr>
            <w:r w:rsidRPr="008C0D0C">
              <w:t>Energex's Labour On-Cost Rate for the regulatory period</w:t>
            </w:r>
            <w:r w:rsidR="00C038D0">
              <w:t xml:space="preserve"> </w:t>
            </w:r>
          </w:p>
        </w:tc>
      </w:tr>
      <w:tr w:rsidR="008C0D0C" w:rsidTr="00C038D0">
        <w:tc>
          <w:tcPr>
            <w:cnfStyle w:val="001000000000" w:firstRow="0" w:lastRow="0" w:firstColumn="1" w:lastColumn="0" w:oddVBand="0" w:evenVBand="0" w:oddHBand="0" w:evenHBand="0" w:firstRowFirstColumn="0" w:firstRowLastColumn="0" w:lastRowFirstColumn="0" w:lastRowLastColumn="0"/>
            <w:tcW w:w="1847" w:type="pct"/>
          </w:tcPr>
          <w:p w:rsidR="008C0D0C" w:rsidRPr="008C0D0C" w:rsidRDefault="008C0D0C" w:rsidP="008C0D0C">
            <w:pPr>
              <w:pStyle w:val="TableofFigures"/>
            </w:pPr>
            <w:r w:rsidRPr="008C0D0C">
              <w:t>Standard Leave</w:t>
            </w:r>
          </w:p>
        </w:tc>
        <w:tc>
          <w:tcPr>
            <w:tcW w:w="1804" w:type="pct"/>
          </w:tcPr>
          <w:p w:rsidR="008C0D0C" w:rsidRPr="008C0D0C" w:rsidRDefault="008C0D0C" w:rsidP="008C0D0C">
            <w:pPr>
              <w:pStyle w:val="TableofFigures"/>
              <w:cnfStyle w:val="000000000000" w:firstRow="0" w:lastRow="0" w:firstColumn="0" w:lastColumn="0" w:oddVBand="0" w:evenVBand="0" w:oddHBand="0" w:evenHBand="0" w:firstRowFirstColumn="0" w:firstRowLastColumn="0" w:lastRowFirstColumn="0" w:lastRowLastColumn="0"/>
            </w:pPr>
            <w:r w:rsidRPr="008C0D0C">
              <w:t>18.18</w:t>
            </w:r>
          </w:p>
        </w:tc>
        <w:tc>
          <w:tcPr>
            <w:tcW w:w="1350" w:type="pct"/>
          </w:tcPr>
          <w:p w:rsidR="008C0D0C" w:rsidRPr="008C0D0C" w:rsidRDefault="008C0D0C" w:rsidP="008C0D0C">
            <w:pPr>
              <w:pStyle w:val="TableofFigures"/>
              <w:cnfStyle w:val="000000000000" w:firstRow="0" w:lastRow="0" w:firstColumn="0" w:lastColumn="0" w:oddVBand="0" w:evenVBand="0" w:oddHBand="0" w:evenHBand="0" w:firstRowFirstColumn="0" w:firstRowLastColumn="0" w:lastRowFirstColumn="0" w:lastRowLastColumn="0"/>
            </w:pPr>
          </w:p>
        </w:tc>
      </w:tr>
      <w:tr w:rsidR="008C0D0C" w:rsidTr="00C03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pct"/>
          </w:tcPr>
          <w:p w:rsidR="008C0D0C" w:rsidRPr="008C0D0C" w:rsidRDefault="008C0D0C" w:rsidP="008C0D0C">
            <w:pPr>
              <w:pStyle w:val="TableofFigures"/>
            </w:pPr>
            <w:r w:rsidRPr="008C0D0C">
              <w:t>Superannuation</w:t>
            </w:r>
          </w:p>
        </w:tc>
        <w:tc>
          <w:tcPr>
            <w:tcW w:w="1804" w:type="pct"/>
          </w:tcPr>
          <w:p w:rsidR="008C0D0C" w:rsidRPr="008C0D0C" w:rsidRDefault="008C0D0C" w:rsidP="008C0D0C">
            <w:pPr>
              <w:pStyle w:val="TableofFigures"/>
              <w:cnfStyle w:val="000000010000" w:firstRow="0" w:lastRow="0" w:firstColumn="0" w:lastColumn="0" w:oddVBand="0" w:evenVBand="0" w:oddHBand="0" w:evenHBand="1" w:firstRowFirstColumn="0" w:firstRowLastColumn="0" w:lastRowFirstColumn="0" w:lastRowLastColumn="0"/>
            </w:pPr>
            <w:r w:rsidRPr="008C0D0C">
              <w:t>9.00</w:t>
            </w:r>
          </w:p>
        </w:tc>
        <w:tc>
          <w:tcPr>
            <w:tcW w:w="1350" w:type="pct"/>
          </w:tcPr>
          <w:p w:rsidR="008C0D0C" w:rsidRPr="008C0D0C" w:rsidRDefault="008C0D0C" w:rsidP="008C0D0C">
            <w:pPr>
              <w:pStyle w:val="TableofFigures"/>
              <w:cnfStyle w:val="000000010000" w:firstRow="0" w:lastRow="0" w:firstColumn="0" w:lastColumn="0" w:oddVBand="0" w:evenVBand="0" w:oddHBand="0" w:evenHBand="1" w:firstRowFirstColumn="0" w:firstRowLastColumn="0" w:lastRowFirstColumn="0" w:lastRowLastColumn="0"/>
            </w:pPr>
          </w:p>
        </w:tc>
      </w:tr>
      <w:tr w:rsidR="008C0D0C" w:rsidTr="00C038D0">
        <w:tc>
          <w:tcPr>
            <w:cnfStyle w:val="001000000000" w:firstRow="0" w:lastRow="0" w:firstColumn="1" w:lastColumn="0" w:oddVBand="0" w:evenVBand="0" w:oddHBand="0" w:evenHBand="0" w:firstRowFirstColumn="0" w:firstRowLastColumn="0" w:lastRowFirstColumn="0" w:lastRowLastColumn="0"/>
            <w:tcW w:w="1847" w:type="pct"/>
          </w:tcPr>
          <w:p w:rsidR="008C0D0C" w:rsidRPr="008C0D0C" w:rsidRDefault="008C0D0C" w:rsidP="008C0D0C">
            <w:pPr>
              <w:pStyle w:val="TableofFigures"/>
            </w:pPr>
            <w:r w:rsidRPr="008C0D0C">
              <w:t>Workers Compensation</w:t>
            </w:r>
          </w:p>
        </w:tc>
        <w:tc>
          <w:tcPr>
            <w:tcW w:w="1804" w:type="pct"/>
          </w:tcPr>
          <w:p w:rsidR="008C0D0C" w:rsidRPr="008C0D0C" w:rsidRDefault="008C0D0C" w:rsidP="008C0D0C">
            <w:pPr>
              <w:pStyle w:val="TableofFigures"/>
              <w:cnfStyle w:val="000000000000" w:firstRow="0" w:lastRow="0" w:firstColumn="0" w:lastColumn="0" w:oddVBand="0" w:evenVBand="0" w:oddHBand="0" w:evenHBand="0" w:firstRowFirstColumn="0" w:firstRowLastColumn="0" w:lastRowFirstColumn="0" w:lastRowLastColumn="0"/>
            </w:pPr>
            <w:r w:rsidRPr="008C0D0C">
              <w:t>2.25</w:t>
            </w:r>
          </w:p>
        </w:tc>
        <w:tc>
          <w:tcPr>
            <w:tcW w:w="1350" w:type="pct"/>
          </w:tcPr>
          <w:p w:rsidR="008C0D0C" w:rsidRPr="008C0D0C" w:rsidRDefault="008C0D0C" w:rsidP="008C0D0C">
            <w:pPr>
              <w:pStyle w:val="TableofFigures"/>
              <w:cnfStyle w:val="000000000000" w:firstRow="0" w:lastRow="0" w:firstColumn="0" w:lastColumn="0" w:oddVBand="0" w:evenVBand="0" w:oddHBand="0" w:evenHBand="0" w:firstRowFirstColumn="0" w:firstRowLastColumn="0" w:lastRowFirstColumn="0" w:lastRowLastColumn="0"/>
            </w:pPr>
          </w:p>
        </w:tc>
      </w:tr>
      <w:tr w:rsidR="008C0D0C" w:rsidTr="00C03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pct"/>
          </w:tcPr>
          <w:p w:rsidR="008C0D0C" w:rsidRPr="008C0D0C" w:rsidRDefault="008C0D0C" w:rsidP="008C0D0C">
            <w:pPr>
              <w:pStyle w:val="TableofFigures"/>
            </w:pPr>
            <w:r w:rsidRPr="008C0D0C">
              <w:t>Payroll Tax</w:t>
            </w:r>
          </w:p>
        </w:tc>
        <w:tc>
          <w:tcPr>
            <w:tcW w:w="1804" w:type="pct"/>
          </w:tcPr>
          <w:p w:rsidR="008C0D0C" w:rsidRPr="008C0D0C" w:rsidRDefault="008C0D0C" w:rsidP="008C0D0C">
            <w:pPr>
              <w:pStyle w:val="TableofFigures"/>
              <w:cnfStyle w:val="000000010000" w:firstRow="0" w:lastRow="0" w:firstColumn="0" w:lastColumn="0" w:oddVBand="0" w:evenVBand="0" w:oddHBand="0" w:evenHBand="1" w:firstRowFirstColumn="0" w:firstRowLastColumn="0" w:lastRowFirstColumn="0" w:lastRowLastColumn="0"/>
            </w:pPr>
            <w:r w:rsidRPr="008C0D0C">
              <w:t>4.75</w:t>
            </w:r>
          </w:p>
        </w:tc>
        <w:tc>
          <w:tcPr>
            <w:tcW w:w="1350" w:type="pct"/>
          </w:tcPr>
          <w:p w:rsidR="008C0D0C" w:rsidRPr="008C0D0C" w:rsidRDefault="008C0D0C" w:rsidP="008C0D0C">
            <w:pPr>
              <w:pStyle w:val="TableofFigures"/>
              <w:cnfStyle w:val="000000010000" w:firstRow="0" w:lastRow="0" w:firstColumn="0" w:lastColumn="0" w:oddVBand="0" w:evenVBand="0" w:oddHBand="0" w:evenHBand="1" w:firstRowFirstColumn="0" w:firstRowLastColumn="0" w:lastRowFirstColumn="0" w:lastRowLastColumn="0"/>
            </w:pPr>
          </w:p>
        </w:tc>
      </w:tr>
      <w:tr w:rsidR="008C0D0C" w:rsidTr="00C038D0">
        <w:tc>
          <w:tcPr>
            <w:cnfStyle w:val="001000000000" w:firstRow="0" w:lastRow="0" w:firstColumn="1" w:lastColumn="0" w:oddVBand="0" w:evenVBand="0" w:oddHBand="0" w:evenHBand="0" w:firstRowFirstColumn="0" w:firstRowLastColumn="0" w:lastRowFirstColumn="0" w:lastRowLastColumn="0"/>
            <w:tcW w:w="1847" w:type="pct"/>
          </w:tcPr>
          <w:p w:rsidR="008C0D0C" w:rsidRPr="008C0D0C" w:rsidRDefault="008C0D0C" w:rsidP="008C0D0C">
            <w:pPr>
              <w:pStyle w:val="TableofFigures"/>
            </w:pPr>
            <w:r w:rsidRPr="008C0D0C">
              <w:t>Annual Leave Loading</w:t>
            </w:r>
          </w:p>
        </w:tc>
        <w:tc>
          <w:tcPr>
            <w:tcW w:w="1804" w:type="pct"/>
          </w:tcPr>
          <w:p w:rsidR="008C0D0C" w:rsidRPr="008C0D0C" w:rsidRDefault="008C0D0C" w:rsidP="008C0D0C">
            <w:pPr>
              <w:pStyle w:val="TableofFigures"/>
              <w:cnfStyle w:val="000000000000" w:firstRow="0" w:lastRow="0" w:firstColumn="0" w:lastColumn="0" w:oddVBand="0" w:evenVBand="0" w:oddHBand="0" w:evenHBand="0" w:firstRowFirstColumn="0" w:firstRowLastColumn="0" w:lastRowFirstColumn="0" w:lastRowLastColumn="0"/>
            </w:pPr>
            <w:r w:rsidRPr="008C0D0C">
              <w:t>1.35</w:t>
            </w:r>
          </w:p>
        </w:tc>
        <w:tc>
          <w:tcPr>
            <w:tcW w:w="1350" w:type="pct"/>
          </w:tcPr>
          <w:p w:rsidR="008C0D0C" w:rsidRPr="008C0D0C" w:rsidRDefault="008C0D0C" w:rsidP="008C0D0C">
            <w:pPr>
              <w:pStyle w:val="TableofFigures"/>
              <w:cnfStyle w:val="000000000000" w:firstRow="0" w:lastRow="0" w:firstColumn="0" w:lastColumn="0" w:oddVBand="0" w:evenVBand="0" w:oddHBand="0" w:evenHBand="0" w:firstRowFirstColumn="0" w:firstRowLastColumn="0" w:lastRowFirstColumn="0" w:lastRowLastColumn="0"/>
            </w:pPr>
          </w:p>
        </w:tc>
      </w:tr>
      <w:tr w:rsidR="008C0D0C" w:rsidTr="00C038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pct"/>
          </w:tcPr>
          <w:p w:rsidR="008C0D0C" w:rsidRPr="008C0D0C" w:rsidRDefault="008C0D0C" w:rsidP="008C0D0C">
            <w:pPr>
              <w:pStyle w:val="TableofFigures"/>
            </w:pPr>
            <w:r w:rsidRPr="008C0D0C">
              <w:t>Long Service Leave Allowance</w:t>
            </w:r>
          </w:p>
        </w:tc>
        <w:tc>
          <w:tcPr>
            <w:tcW w:w="1804" w:type="pct"/>
          </w:tcPr>
          <w:p w:rsidR="008C0D0C" w:rsidRPr="008C0D0C" w:rsidRDefault="008C0D0C" w:rsidP="008C0D0C">
            <w:pPr>
              <w:pStyle w:val="TableofFigures"/>
              <w:cnfStyle w:val="000000010000" w:firstRow="0" w:lastRow="0" w:firstColumn="0" w:lastColumn="0" w:oddVBand="0" w:evenVBand="0" w:oddHBand="0" w:evenHBand="1" w:firstRowFirstColumn="0" w:firstRowLastColumn="0" w:lastRowFirstColumn="0" w:lastRowLastColumn="0"/>
            </w:pPr>
            <w:r w:rsidRPr="008C0D0C">
              <w:t>2.5</w:t>
            </w:r>
          </w:p>
        </w:tc>
        <w:tc>
          <w:tcPr>
            <w:tcW w:w="1350" w:type="pct"/>
          </w:tcPr>
          <w:p w:rsidR="008C0D0C" w:rsidRPr="008C0D0C" w:rsidRDefault="008C0D0C" w:rsidP="008C0D0C">
            <w:pPr>
              <w:pStyle w:val="TableofFigures"/>
              <w:cnfStyle w:val="000000010000" w:firstRow="0" w:lastRow="0" w:firstColumn="0" w:lastColumn="0" w:oddVBand="0" w:evenVBand="0" w:oddHBand="0" w:evenHBand="1" w:firstRowFirstColumn="0" w:firstRowLastColumn="0" w:lastRowFirstColumn="0" w:lastRowLastColumn="0"/>
            </w:pPr>
          </w:p>
        </w:tc>
      </w:tr>
      <w:tr w:rsidR="008C0D0C" w:rsidRPr="00216DEC" w:rsidTr="00C038D0">
        <w:tc>
          <w:tcPr>
            <w:cnfStyle w:val="001000000000" w:firstRow="0" w:lastRow="0" w:firstColumn="1" w:lastColumn="0" w:oddVBand="0" w:evenVBand="0" w:oddHBand="0" w:evenHBand="0" w:firstRowFirstColumn="0" w:firstRowLastColumn="0" w:lastRowFirstColumn="0" w:lastRowLastColumn="0"/>
            <w:tcW w:w="1847" w:type="pct"/>
          </w:tcPr>
          <w:p w:rsidR="008C0D0C" w:rsidRPr="008C0D0C" w:rsidRDefault="008C0D0C" w:rsidP="008C0D0C">
            <w:pPr>
              <w:pStyle w:val="TableofFigures"/>
              <w:rPr>
                <w:rStyle w:val="Strong"/>
              </w:rPr>
            </w:pPr>
            <w:r w:rsidRPr="008C0D0C">
              <w:rPr>
                <w:rStyle w:val="Strong"/>
              </w:rPr>
              <w:t>Total on-cost rate</w:t>
            </w:r>
          </w:p>
        </w:tc>
        <w:tc>
          <w:tcPr>
            <w:tcW w:w="1804" w:type="pct"/>
          </w:tcPr>
          <w:p w:rsidR="008C0D0C" w:rsidRPr="008C0D0C" w:rsidRDefault="008C0D0C" w:rsidP="008C0D0C">
            <w:pPr>
              <w:pStyle w:val="TableofFigures"/>
              <w:cnfStyle w:val="000000000000" w:firstRow="0" w:lastRow="0" w:firstColumn="0" w:lastColumn="0" w:oddVBand="0" w:evenVBand="0" w:oddHBand="0" w:evenHBand="0" w:firstRowFirstColumn="0" w:firstRowLastColumn="0" w:lastRowFirstColumn="0" w:lastRowLastColumn="0"/>
              <w:rPr>
                <w:rStyle w:val="Strong"/>
              </w:rPr>
            </w:pPr>
            <w:r w:rsidRPr="008C0D0C">
              <w:rPr>
                <w:rStyle w:val="Strong"/>
              </w:rPr>
              <w:t>43.33</w:t>
            </w:r>
          </w:p>
        </w:tc>
        <w:tc>
          <w:tcPr>
            <w:tcW w:w="1350" w:type="pct"/>
          </w:tcPr>
          <w:p w:rsidR="008C0D0C" w:rsidRPr="008C0D0C" w:rsidRDefault="00F24A32" w:rsidP="008C0D0C">
            <w:pPr>
              <w:pStyle w:val="TableofFigures"/>
              <w:cnfStyle w:val="000000000000" w:firstRow="0" w:lastRow="0" w:firstColumn="0" w:lastColumn="0" w:oddVBand="0" w:evenVBand="0" w:oddHBand="0" w:evenHBand="0" w:firstRowFirstColumn="0" w:firstRowLastColumn="0" w:lastRowFirstColumn="0" w:lastRowLastColumn="0"/>
              <w:rPr>
                <w:rStyle w:val="Strong"/>
              </w:rPr>
            </w:pPr>
            <w:r>
              <w:rPr>
                <w:rStyle w:val="Strong"/>
              </w:rPr>
              <w:t>Confidential</w:t>
            </w:r>
          </w:p>
        </w:tc>
      </w:tr>
    </w:tbl>
    <w:p w:rsidR="00A6208B" w:rsidRDefault="00B744DB" w:rsidP="00B744DB">
      <w:pPr>
        <w:pStyle w:val="AERtablesource"/>
      </w:pPr>
      <w:bookmarkStart w:id="52" w:name="_Ref416345538"/>
      <w:bookmarkStart w:id="53" w:name="_Toc416346895"/>
      <w:r>
        <w:t>Source: AER analysis.</w:t>
      </w:r>
    </w:p>
    <w:p w:rsidR="008C0D0C" w:rsidRPr="008C0D0C" w:rsidRDefault="008C0D0C" w:rsidP="008C0D0C">
      <w:pPr>
        <w:pStyle w:val="Heading4"/>
      </w:pPr>
      <w:bookmarkStart w:id="54" w:name="_Toc417927688"/>
      <w:r w:rsidRPr="008C0D0C">
        <w:t>Overheads</w:t>
      </w:r>
      <w:bookmarkEnd w:id="52"/>
      <w:bookmarkEnd w:id="53"/>
      <w:bookmarkEnd w:id="54"/>
    </w:p>
    <w:p w:rsidR="008C0D0C" w:rsidRPr="008C0D0C" w:rsidRDefault="008C0D0C" w:rsidP="008C0D0C">
      <w:r w:rsidRPr="008C0D0C">
        <w:t>We determined the maximum overhead rate based on Marsden Jacob's report which assessed alternative control services for NSW and ACT distributors. Marsden Jacob recommended a 65 per cent overhead rate maximum in its report.</w:t>
      </w:r>
      <w:r w:rsidRPr="008C0D0C">
        <w:rPr>
          <w:rStyle w:val="FootnoteReference"/>
        </w:rPr>
        <w:footnoteReference w:id="20"/>
      </w:r>
      <w:r w:rsidRPr="008C0D0C">
        <w:t xml:space="preserve"> In recommending </w:t>
      </w:r>
      <w:r w:rsidRPr="008C0D0C">
        <w:lastRenderedPageBreak/>
        <w:t xml:space="preserve">this maximum overhead rate, Marsden Jacob compared the overhead rates the ACT and NSW distributors proposed (in their initial regulatory proposals). Marsden Jacob found that </w:t>
      </w:r>
      <w:proofErr w:type="spellStart"/>
      <w:r w:rsidRPr="008C0D0C">
        <w:t>Ausgrid</w:t>
      </w:r>
      <w:proofErr w:type="spellEnd"/>
      <w:r w:rsidRPr="008C0D0C">
        <w:t xml:space="preserve"> and Endeavour Energy’s overhead rates were significantly higher than those of Essential Energy and </w:t>
      </w:r>
      <w:proofErr w:type="spellStart"/>
      <w:r w:rsidRPr="008C0D0C">
        <w:t>ActewAGL</w:t>
      </w:r>
      <w:proofErr w:type="spellEnd"/>
      <w:r w:rsidRPr="008C0D0C">
        <w:t>, as well as the Victorian businesses' overhead rates.</w:t>
      </w:r>
      <w:r w:rsidRPr="008C0D0C">
        <w:rPr>
          <w:rStyle w:val="FootnoteReference"/>
        </w:rPr>
        <w:footnoteReference w:id="21"/>
      </w:r>
      <w:r w:rsidRPr="008C0D0C">
        <w:t xml:space="preserve"> Marsden Jacob therefore recommended an overhead rate maximum of 65 per cent, based on the maximum of only </w:t>
      </w:r>
      <w:proofErr w:type="spellStart"/>
      <w:r w:rsidRPr="008C0D0C">
        <w:t>ActewAGL</w:t>
      </w:r>
      <w:proofErr w:type="spellEnd"/>
      <w:r w:rsidRPr="008C0D0C">
        <w:t xml:space="preserve"> and Essential Energy’s proposed overhead rates. </w:t>
      </w:r>
      <w:r w:rsidR="009B1D33">
        <w:t>Marsden Jacob's maximum overhead rates are also higher than the rates proposed by the Queensland distributors.</w:t>
      </w:r>
      <w:r w:rsidR="009B1D33">
        <w:rPr>
          <w:rStyle w:val="FootnoteReference"/>
        </w:rPr>
        <w:footnoteReference w:id="22"/>
      </w:r>
      <w:r w:rsidR="009B1D33">
        <w:t xml:space="preserve"> This adds further support to using Marsden Jacobs' maximum overhead rates to calculate maximum total labour rates. </w:t>
      </w:r>
      <w:r w:rsidRPr="008C0D0C">
        <w:t>We consider that:</w:t>
      </w:r>
    </w:p>
    <w:p w:rsidR="008C0D0C" w:rsidRPr="008C0D0C" w:rsidRDefault="008C0D0C" w:rsidP="008C0D0C">
      <w:pPr>
        <w:pStyle w:val="AERbulletlistfirststyle"/>
      </w:pPr>
      <w:r w:rsidRPr="008C0D0C">
        <w:t>an overhead rate maximum of 65 per cent should apply to all Qld distributors and</w:t>
      </w:r>
    </w:p>
    <w:p w:rsidR="008C0D0C" w:rsidRPr="008C0D0C" w:rsidRDefault="008C0D0C" w:rsidP="008C0D0C">
      <w:pPr>
        <w:pStyle w:val="AERbulletlistfirststyle"/>
      </w:pPr>
      <w:r w:rsidRPr="008C0D0C">
        <w:t xml:space="preserve">maximum total labour rates (which use an overhead rate of 65 per cent), are prudent. </w:t>
      </w:r>
    </w:p>
    <w:p w:rsidR="008C0D0C" w:rsidRPr="008C0D0C" w:rsidRDefault="008C0D0C" w:rsidP="008C0D0C">
      <w:pPr>
        <w:pStyle w:val="AERbulletlistfirststyle"/>
      </w:pPr>
      <w:r w:rsidRPr="008C0D0C">
        <w:t>It provides the distribution business with a reasonable opportunity to recover at least its efficient costs.</w:t>
      </w:r>
    </w:p>
    <w:p w:rsidR="008C0D0C" w:rsidRPr="008C0D0C" w:rsidRDefault="008C0D0C" w:rsidP="008C0D0C">
      <w:r w:rsidRPr="008C0D0C">
        <w:t>In its discussion of maximum overhead rates, Marsden Jacob noted:</w:t>
      </w:r>
    </w:p>
    <w:p w:rsidR="008C0D0C" w:rsidRPr="008C0D0C" w:rsidRDefault="008C0D0C" w:rsidP="008C0D0C">
      <w:pPr>
        <w:pStyle w:val="AERbulletlistfirststyle"/>
      </w:pPr>
      <w:r w:rsidRPr="008C0D0C">
        <w:t>the nature of the differences in overhead rates may be due to cost allocation issues</w:t>
      </w:r>
    </w:p>
    <w:p w:rsidR="008C0D0C" w:rsidRPr="008C0D0C" w:rsidRDefault="008C0D0C" w:rsidP="008C0D0C">
      <w:pPr>
        <w:pStyle w:val="AERbulletlistfirststyle"/>
      </w:pPr>
      <w:r w:rsidRPr="008C0D0C">
        <w:t>capping the overhead rate may have unintended consequences for the broader cost allocation methodology</w:t>
      </w:r>
      <w:r w:rsidR="00F06B2D">
        <w:t>.</w:t>
      </w:r>
    </w:p>
    <w:p w:rsidR="008C0D0C" w:rsidRPr="008C0D0C" w:rsidRDefault="008C0D0C" w:rsidP="008C0D0C">
      <w:pPr>
        <w:pStyle w:val="AERbulletlistfirststyle"/>
      </w:pPr>
      <w:r w:rsidRPr="008C0D0C">
        <w:t>we should test the method of addressing overhead allocation vis a vis the cost allocation method.</w:t>
      </w:r>
      <w:r w:rsidRPr="008C0D0C">
        <w:rPr>
          <w:rStyle w:val="FootnoteReference"/>
        </w:rPr>
        <w:footnoteReference w:id="23"/>
      </w:r>
    </w:p>
    <w:p w:rsidR="00DE563D" w:rsidRDefault="009B1D33" w:rsidP="00DE563D">
      <w:r w:rsidRPr="00D64A08">
        <w:t xml:space="preserve">We </w:t>
      </w:r>
      <w:r>
        <w:t xml:space="preserve">reviewed </w:t>
      </w:r>
      <w:r w:rsidRPr="00D64A08">
        <w:t xml:space="preserve">the objectives of our </w:t>
      </w:r>
      <w:r>
        <w:t xml:space="preserve">cost allocation </w:t>
      </w:r>
      <w:r w:rsidRPr="00D64A08">
        <w:t xml:space="preserve">guideline. </w:t>
      </w:r>
      <w:r>
        <w:t xml:space="preserve">The cost allocation method sets out the </w:t>
      </w:r>
      <w:r w:rsidRPr="00AB6B59">
        <w:t>principles and policies for attributing costs to, or allocating costs between, the categories of distribution services a distributor provides.</w:t>
      </w:r>
      <w:r>
        <w:t xml:space="preserve"> Hence, </w:t>
      </w:r>
      <w:r w:rsidRPr="00D64A08">
        <w:t xml:space="preserve">in approving a distributor’s </w:t>
      </w:r>
      <w:r>
        <w:t>cost allocation method</w:t>
      </w:r>
      <w:r w:rsidRPr="00D64A08">
        <w:t>, we approve the methodology it uses to allocate costs. This does not equate to approving the costs.</w:t>
      </w:r>
      <w:r>
        <w:t xml:space="preserve"> The approval of actual costs is subject to applicable requirements set out in the National Electricity Rules and the National Electricity Law</w:t>
      </w:r>
      <w:r w:rsidRPr="00D64A08">
        <w:t>.</w:t>
      </w:r>
      <w:r w:rsidRPr="00D64A08">
        <w:rPr>
          <w:rStyle w:val="FootnoteReference"/>
        </w:rPr>
        <w:footnoteReference w:id="24"/>
      </w:r>
      <w:r w:rsidRPr="00D64A08">
        <w:t xml:space="preserve"> </w:t>
      </w:r>
      <w:r>
        <w:t xml:space="preserve">Proper application of the cost allocation method does not indicate whether the distributor's expenditure, including overheads, </w:t>
      </w:r>
      <w:r w:rsidRPr="00AB6B59">
        <w:t>is at efficient levels</w:t>
      </w:r>
      <w:r w:rsidRPr="00780F26">
        <w:t xml:space="preserve"> </w:t>
      </w:r>
      <w:r>
        <w:t>or otherwise reflects the requirements of the NER, having regard to the revenue and pricing principles and the national electricity objective</w:t>
      </w:r>
      <w:r w:rsidRPr="00AB6B59">
        <w:t>.</w:t>
      </w:r>
      <w:r w:rsidRPr="00D64A08">
        <w:rPr>
          <w:rStyle w:val="FootnoteReference"/>
        </w:rPr>
        <w:footnoteReference w:id="25"/>
      </w:r>
      <w:r w:rsidRPr="00D64A08">
        <w:t xml:space="preserve"> </w:t>
      </w:r>
      <w:r>
        <w:t xml:space="preserve">By extension, proper </w:t>
      </w:r>
      <w:r>
        <w:lastRenderedPageBreak/>
        <w:t>application of the cost allocation method does not indicate whether the resulting overhead rates represent efficient levels.</w:t>
      </w:r>
    </w:p>
    <w:p w:rsidR="00CF6223" w:rsidRDefault="00CF6223" w:rsidP="009C1B5E">
      <w:pPr>
        <w:pStyle w:val="Heading2"/>
      </w:pPr>
      <w:bookmarkStart w:id="55" w:name="_Toc417996125"/>
      <w:r>
        <w:t>Metering</w:t>
      </w:r>
      <w:bookmarkEnd w:id="55"/>
    </w:p>
    <w:p w:rsidR="00DE752C" w:rsidRPr="006C15B5" w:rsidRDefault="00DE752C" w:rsidP="00DE752C">
      <w:r>
        <w:t>Our preliminary</w:t>
      </w:r>
      <w:r w:rsidRPr="006C15B5">
        <w:t xml:space="preserve"> decision on </w:t>
      </w:r>
      <w:r>
        <w:t>Energex's</w:t>
      </w:r>
      <w:r w:rsidRPr="006C15B5">
        <w:t xml:space="preserve"> metering proposal is made in the context of ongoing policy reform. We based our assessment on the N</w:t>
      </w:r>
      <w:r>
        <w:t>ational Electricity Rules (N</w:t>
      </w:r>
      <w:r w:rsidRPr="006C15B5">
        <w:t>ER</w:t>
      </w:r>
      <w:r>
        <w:t>)</w:t>
      </w:r>
      <w:r w:rsidRPr="006C15B5">
        <w:t xml:space="preserve"> in</w:t>
      </w:r>
      <w:r>
        <w:t xml:space="preserve"> place at the time of this preliminary</w:t>
      </w:r>
      <w:r w:rsidRPr="006C15B5">
        <w:t xml:space="preserve"> decision, but have had regard to the likelihood of policy reform in the future</w:t>
      </w:r>
      <w:r>
        <w:t xml:space="preserve"> through rule changes that will apply during this regulatory period</w:t>
      </w:r>
      <w:r w:rsidRPr="006C15B5">
        <w:t>.</w:t>
      </w:r>
    </w:p>
    <w:p w:rsidR="00DE752C" w:rsidRPr="006C15B5" w:rsidRDefault="00DE752C" w:rsidP="00DE752C">
      <w:r w:rsidRPr="006C15B5">
        <w:t xml:space="preserve">Currently, competition in metering is limited to large customers in the national electricity market while regulated </w:t>
      </w:r>
      <w:r>
        <w:t>distributors</w:t>
      </w:r>
      <w:r w:rsidRPr="006C15B5">
        <w:t xml:space="preserve"> have the sole responsibility to provide small customers with metering services.</w:t>
      </w:r>
      <w:r>
        <w:rPr>
          <w:rStyle w:val="FootnoteReference"/>
        </w:rPr>
        <w:footnoteReference w:id="26"/>
      </w:r>
    </w:p>
    <w:p w:rsidR="00DE752C" w:rsidRDefault="00DE752C" w:rsidP="00DE752C">
      <w:r w:rsidRPr="006C15B5">
        <w:t xml:space="preserve">The Australian Energy Market Commission (AEMC) </w:t>
      </w:r>
      <w:r>
        <w:t xml:space="preserve">is undertaking a rule change process to </w:t>
      </w:r>
      <w:r w:rsidRPr="006C15B5">
        <w:t>expand competition in metering and related services to help facilitate a market led roll out of advanced metering technology</w:t>
      </w:r>
      <w:r>
        <w:t>, following proposals from the COAG Energy Council</w:t>
      </w:r>
      <w:r w:rsidRPr="006C15B5">
        <w:t xml:space="preserve">. </w:t>
      </w:r>
      <w:r>
        <w:t>The increased availability of advanced meters will enable the introduction of more cost reflective network prices and allow consumers to make more informed decisions about how they want to use energy services.</w:t>
      </w:r>
    </w:p>
    <w:p w:rsidR="00DE752C" w:rsidRDefault="00DE752C" w:rsidP="00DE752C">
      <w:r>
        <w:t xml:space="preserve">The </w:t>
      </w:r>
      <w:r w:rsidRPr="006C15B5">
        <w:t>AEMC published its draft rule</w:t>
      </w:r>
      <w:r>
        <w:t xml:space="preserve"> on 26 March 2015</w:t>
      </w:r>
      <w:r w:rsidRPr="006C15B5">
        <w:t>. It provides that</w:t>
      </w:r>
      <w:r>
        <w:t xml:space="preserve"> the AER should determine 'the arrangements for a DNSP to recover the residual costs of its regulated metering service in accordance with the existing regulatory framework</w:t>
      </w:r>
      <w:r w:rsidRPr="00D2369E">
        <w:t>'</w:t>
      </w:r>
      <w:r>
        <w:t>.</w:t>
      </w:r>
      <w:r w:rsidRPr="00D2369E">
        <w:rPr>
          <w:rStyle w:val="FootnoteReference"/>
        </w:rPr>
        <w:footnoteReference w:id="27"/>
      </w:r>
      <w:r>
        <w:t xml:space="preserve"> Other key features of the draft rule change include:</w:t>
      </w:r>
    </w:p>
    <w:p w:rsidR="00DE752C" w:rsidRDefault="00DE752C" w:rsidP="00DE752C">
      <w:pPr>
        <w:pStyle w:val="AERbulletlistfirststyle"/>
      </w:pPr>
      <w:r>
        <w:t>the transfer of the role and responsibilities of the existing 'Responsible Person' to a new type of Registered Participant called a Metering Coordinator</w:t>
      </w:r>
    </w:p>
    <w:p w:rsidR="00DE752C" w:rsidRDefault="00DE752C" w:rsidP="00DE752C">
      <w:pPr>
        <w:pStyle w:val="AERbulletlistfirststyle"/>
      </w:pPr>
      <w:r>
        <w:t>allowing any person to become a Metering Coordinator, subject to meeting the registration requirements</w:t>
      </w:r>
    </w:p>
    <w:p w:rsidR="00DE752C" w:rsidRDefault="00DE752C" w:rsidP="00DE752C">
      <w:pPr>
        <w:pStyle w:val="AERbulletlistfirststyle"/>
      </w:pPr>
      <w:r>
        <w:t>permitting a large customer to appoint its own Metering Coordinator</w:t>
      </w:r>
    </w:p>
    <w:p w:rsidR="00DE752C" w:rsidRDefault="00DE752C" w:rsidP="00DE752C">
      <w:pPr>
        <w:pStyle w:val="AERbulletlistfirststyle"/>
      </w:pPr>
      <w:r>
        <w:t>requiring a retailer to appoint the Metering Coordinator, except where a large customer has appointed its own Metering Coordinator.</w:t>
      </w:r>
      <w:r>
        <w:rPr>
          <w:rStyle w:val="FootnoteReference"/>
        </w:rPr>
        <w:footnoteReference w:id="28"/>
      </w:r>
      <w:r>
        <w:t xml:space="preserve">   </w:t>
      </w:r>
    </w:p>
    <w:p w:rsidR="00DE752C" w:rsidRDefault="00DE752C" w:rsidP="00DE752C">
      <w:r>
        <w:t>Our preliminary</w:t>
      </w:r>
      <w:r w:rsidRPr="006C15B5">
        <w:t xml:space="preserve"> decision takes the AEMC’s draft rule into account and establishes a r</w:t>
      </w:r>
      <w:r>
        <w:t>egulatory framework for the 2015–20</w:t>
      </w:r>
      <w:r w:rsidRPr="006C15B5">
        <w:t xml:space="preserve"> regulatory </w:t>
      </w:r>
      <w:r>
        <w:t xml:space="preserve">control </w:t>
      </w:r>
      <w:r w:rsidRPr="006C15B5">
        <w:t>period which will be robust enough to handle the transition to competition onc</w:t>
      </w:r>
      <w:r>
        <w:t>e the rule change takes effect from 1 July 2017.</w:t>
      </w:r>
      <w:r>
        <w:rPr>
          <w:rStyle w:val="FootnoteReference"/>
        </w:rPr>
        <w:footnoteReference w:id="29"/>
      </w:r>
      <w:r>
        <w:t xml:space="preserve"> </w:t>
      </w:r>
      <w:r w:rsidRPr="006C15B5">
        <w:t>This involves having transparen</w:t>
      </w:r>
      <w:r>
        <w:t xml:space="preserve">t standalone prices for all new or </w:t>
      </w:r>
      <w:r w:rsidRPr="006C15B5">
        <w:t>upgraded meter connections and annual charges.</w:t>
      </w:r>
    </w:p>
    <w:p w:rsidR="00DE752C" w:rsidRDefault="00DE752C" w:rsidP="00DE752C">
      <w:r>
        <w:lastRenderedPageBreak/>
        <w:t>The key issue in the lead up to competition is how to recover the residual metering capital costs that arises when metering customers begin to switch to competitive metering providers. Rather than an upfront exit fee which would create a regulatory barrier to competitive entry, our preliminary decision is that switching customers continue to pay the capital cost component of the regulated annual metering service charge.</w:t>
      </w:r>
    </w:p>
    <w:p w:rsidR="00DE752C" w:rsidRDefault="00DE752C" w:rsidP="00DE752C">
      <w:pPr>
        <w:pStyle w:val="Heading3"/>
      </w:pPr>
      <w:bookmarkStart w:id="56" w:name="_Toc417738229"/>
      <w:bookmarkStart w:id="57" w:name="_Toc417996126"/>
      <w:r>
        <w:t>Preliminary decision</w:t>
      </w:r>
      <w:bookmarkEnd w:id="56"/>
      <w:bookmarkEnd w:id="57"/>
    </w:p>
    <w:p w:rsidR="00DE752C" w:rsidRPr="007F39F1" w:rsidRDefault="00DE752C" w:rsidP="00DE752C">
      <w:pPr>
        <w:numPr>
          <w:ilvl w:val="0"/>
          <w:numId w:val="25"/>
        </w:numPr>
      </w:pPr>
      <w:r w:rsidRPr="007F39F1">
        <w:t>Our preliminary decision is to maintain the alternative control services classification for type 5 and 6 metering services set out in our framework and approach.</w:t>
      </w:r>
      <w:r w:rsidRPr="007F39F1">
        <w:rPr>
          <w:rStyle w:val="FootnoteReference"/>
        </w:rPr>
        <w:footnoteReference w:id="30"/>
      </w:r>
      <w:r w:rsidRPr="007F39F1">
        <w:t xml:space="preserve"> We further maintain that the control mechanism for alternative control services will be caps on the prices of individual services.</w:t>
      </w:r>
      <w:r w:rsidRPr="007F39F1">
        <w:rPr>
          <w:rStyle w:val="FootnoteReference"/>
        </w:rPr>
        <w:footnoteReference w:id="31"/>
      </w:r>
      <w:r w:rsidRPr="007F39F1">
        <w:t xml:space="preserve"> </w:t>
      </w:r>
    </w:p>
    <w:p w:rsidR="00DE752C" w:rsidRDefault="00DE752C" w:rsidP="00DE752C">
      <w:pPr>
        <w:pStyle w:val="Heading4"/>
      </w:pPr>
      <w:bookmarkStart w:id="58" w:name="_Toc417738230"/>
      <w:bookmarkStart w:id="59" w:name="_Toc417927691"/>
      <w:r>
        <w:t>Structure of metering charges</w:t>
      </w:r>
      <w:bookmarkEnd w:id="58"/>
      <w:bookmarkEnd w:id="59"/>
    </w:p>
    <w:p w:rsidR="00DE752C" w:rsidRPr="0023662E" w:rsidRDefault="00DE752C" w:rsidP="00DE752C">
      <w:pPr>
        <w:numPr>
          <w:ilvl w:val="0"/>
          <w:numId w:val="25"/>
        </w:numPr>
      </w:pPr>
      <w:r w:rsidRPr="0023662E">
        <w:t>We classify type 5 and 6 metering services as alternative control services. The control mechanism for alternative control metering services will be caps on the prices of individual services.</w:t>
      </w:r>
    </w:p>
    <w:p w:rsidR="00DE752C" w:rsidRPr="0023662E" w:rsidRDefault="00DE752C" w:rsidP="00DE752C">
      <w:pPr>
        <w:rPr>
          <w:rStyle w:val="AERbody"/>
        </w:rPr>
      </w:pPr>
      <w:r w:rsidRPr="0023662E">
        <w:rPr>
          <w:rStyle w:val="AERbody"/>
        </w:rPr>
        <w:t xml:space="preserve">Our </w:t>
      </w:r>
      <w:r>
        <w:rPr>
          <w:rStyle w:val="AERbody"/>
        </w:rPr>
        <w:t>preliminary</w:t>
      </w:r>
      <w:r w:rsidRPr="0023662E">
        <w:rPr>
          <w:rStyle w:val="AERbody"/>
        </w:rPr>
        <w:t xml:space="preserve"> decision approves two types of metering service charges:</w:t>
      </w:r>
    </w:p>
    <w:p w:rsidR="00DE752C" w:rsidRPr="0023662E" w:rsidRDefault="00DE752C" w:rsidP="00DE752C">
      <w:pPr>
        <w:pStyle w:val="AERbulletlistfirststyle"/>
        <w:rPr>
          <w:rStyle w:val="AERbody"/>
        </w:rPr>
      </w:pPr>
      <w:r w:rsidRPr="0023662E">
        <w:rPr>
          <w:rStyle w:val="AERbody"/>
        </w:rPr>
        <w:t>Upfront capital charge (for all new and upgraded meters installed from 1 July 2015)</w:t>
      </w:r>
    </w:p>
    <w:p w:rsidR="00DE752C" w:rsidRPr="0023662E" w:rsidRDefault="00DE752C" w:rsidP="00DE752C">
      <w:pPr>
        <w:pStyle w:val="AERbulletlistfirststyle"/>
        <w:rPr>
          <w:rStyle w:val="AERbody"/>
        </w:rPr>
      </w:pPr>
      <w:r w:rsidRPr="0023662E">
        <w:rPr>
          <w:rStyle w:val="AERbody"/>
        </w:rPr>
        <w:t>Annual charge comprising of two components:</w:t>
      </w:r>
    </w:p>
    <w:p w:rsidR="00DE752C" w:rsidRPr="0023662E" w:rsidRDefault="00DE752C" w:rsidP="00DE752C">
      <w:pPr>
        <w:pStyle w:val="AERbulletlistsecondstyle"/>
        <w:rPr>
          <w:rStyle w:val="AERbody"/>
        </w:rPr>
      </w:pPr>
      <w:r w:rsidRPr="0023662E">
        <w:rPr>
          <w:rStyle w:val="AERbody"/>
        </w:rPr>
        <w:t>capital —metering asset base (MAB) recovery</w:t>
      </w:r>
    </w:p>
    <w:p w:rsidR="00DE752C" w:rsidRPr="0023662E" w:rsidRDefault="00DE752C" w:rsidP="00DE752C">
      <w:pPr>
        <w:pStyle w:val="AERbulletlistsecondstyle"/>
        <w:rPr>
          <w:rStyle w:val="AERbody"/>
        </w:rPr>
      </w:pPr>
      <w:r w:rsidRPr="0023662E">
        <w:rPr>
          <w:rStyle w:val="AERbody"/>
        </w:rPr>
        <w:t>non-capital—operating expenditure and tax.</w:t>
      </w:r>
    </w:p>
    <w:p w:rsidR="00DE752C" w:rsidRPr="0023662E" w:rsidRDefault="00DE752C" w:rsidP="00DE752C">
      <w:pPr>
        <w:rPr>
          <w:rStyle w:val="AERbody"/>
        </w:rPr>
      </w:pPr>
      <w:r>
        <w:rPr>
          <w:rStyle w:val="AERbody"/>
        </w:rPr>
        <w:fldChar w:fldCharType="begin"/>
      </w:r>
      <w:r>
        <w:rPr>
          <w:rStyle w:val="AERbody"/>
        </w:rPr>
        <w:instrText xml:space="preserve"> REF _Ref417733834 \h </w:instrText>
      </w:r>
      <w:r>
        <w:rPr>
          <w:rStyle w:val="AERbody"/>
        </w:rPr>
      </w:r>
      <w:r>
        <w:rPr>
          <w:rStyle w:val="AERbody"/>
        </w:rPr>
        <w:fldChar w:fldCharType="separate"/>
      </w:r>
      <w:r w:rsidR="005E73B8">
        <w:t xml:space="preserve">Figure </w:t>
      </w:r>
      <w:r w:rsidR="005E73B8">
        <w:rPr>
          <w:noProof/>
        </w:rPr>
        <w:t>16</w:t>
      </w:r>
      <w:r w:rsidR="005E73B8" w:rsidRPr="00DE752C">
        <w:t>.</w:t>
      </w:r>
      <w:r w:rsidR="005E73B8">
        <w:rPr>
          <w:noProof/>
        </w:rPr>
        <w:t>3</w:t>
      </w:r>
      <w:r>
        <w:rPr>
          <w:rStyle w:val="AERbody"/>
        </w:rPr>
        <w:fldChar w:fldCharType="end"/>
      </w:r>
      <w:r>
        <w:rPr>
          <w:rStyle w:val="AERbody"/>
        </w:rPr>
        <w:t xml:space="preserve"> </w:t>
      </w:r>
      <w:r w:rsidRPr="0023662E">
        <w:rPr>
          <w:rStyle w:val="AERbody"/>
        </w:rPr>
        <w:t xml:space="preserve">depicts how the two regulated annual charge components relate to different metering customers. </w:t>
      </w:r>
    </w:p>
    <w:p w:rsidR="00DE752C" w:rsidRPr="00DE752C" w:rsidRDefault="00DE752C" w:rsidP="00DE752C">
      <w:pPr>
        <w:pStyle w:val="Caption"/>
      </w:pPr>
      <w:bookmarkStart w:id="60" w:name="_Ref417733834"/>
      <w:r>
        <w:lastRenderedPageBreak/>
        <w:t xml:space="preserve">Figure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Pr="00DE752C">
        <w:t>.</w:t>
      </w:r>
      <w:fldSimple w:instr=" SEQ Figure \* ARABIC \s 1 ">
        <w:r w:rsidR="005E73B8">
          <w:rPr>
            <w:noProof/>
          </w:rPr>
          <w:t>3</w:t>
        </w:r>
      </w:fldSimple>
      <w:bookmarkEnd w:id="60"/>
      <w:r w:rsidRPr="00DE752C">
        <w:t xml:space="preserve"> – Preliminary decision – applicable regulated annual charges</w:t>
      </w:r>
    </w:p>
    <w:p w:rsidR="00DE752C" w:rsidRDefault="00DE752C" w:rsidP="00DE752C">
      <w:pPr>
        <w:pStyle w:val="AERtablesource"/>
        <w:rPr>
          <w:rStyle w:val="AERbody"/>
        </w:rPr>
      </w:pPr>
      <w:r w:rsidRPr="00DE752C">
        <w:rPr>
          <w:noProof/>
          <w:lang w:eastAsia="en-AU"/>
        </w:rPr>
        <w:drawing>
          <wp:inline distT="0" distB="0" distL="0" distR="0" wp14:anchorId="20ECBB2F" wp14:editId="34D5C5D4">
            <wp:extent cx="5270935" cy="4176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p>
    <w:p w:rsidR="00DE752C" w:rsidRPr="00840D40" w:rsidRDefault="00DE752C" w:rsidP="00DE752C">
      <w:pPr>
        <w:pStyle w:val="AERtablesource"/>
      </w:pPr>
      <w:r w:rsidRPr="00840D40">
        <w:t xml:space="preserve">Source: </w:t>
      </w:r>
      <w:r>
        <w:tab/>
      </w:r>
      <w:r w:rsidRPr="00840D40">
        <w:t>AER analysis.</w:t>
      </w:r>
    </w:p>
    <w:p w:rsidR="00DE752C" w:rsidRPr="00840D40" w:rsidRDefault="00DE752C" w:rsidP="00DE752C">
      <w:pPr>
        <w:pStyle w:val="AERtablesource"/>
      </w:pPr>
      <w:r w:rsidRPr="00840D40">
        <w:t xml:space="preserve">Note: </w:t>
      </w:r>
      <w:r>
        <w:tab/>
      </w:r>
      <w:r w:rsidRPr="00840D40">
        <w:t xml:space="preserve">This diagram shows regulated annual charges only. In addition, customers who switch may incur charges for their competitive advanced metering service. Any such charges are not subject to AER oversight and are not shown in the diagram above. </w:t>
      </w:r>
    </w:p>
    <w:p w:rsidR="00DE752C" w:rsidRPr="0023662E" w:rsidRDefault="00DE752C" w:rsidP="00DE752C">
      <w:pPr>
        <w:rPr>
          <w:rStyle w:val="Strong"/>
        </w:rPr>
      </w:pPr>
      <w:r w:rsidRPr="0023662E">
        <w:rPr>
          <w:rStyle w:val="Strong"/>
        </w:rPr>
        <w:t xml:space="preserve">Existing connections (before 30 June 2015) </w:t>
      </w:r>
    </w:p>
    <w:p w:rsidR="00DE752C" w:rsidRPr="0023662E" w:rsidRDefault="00DE752C" w:rsidP="00DE752C">
      <w:pPr>
        <w:rPr>
          <w:rStyle w:val="AERbody"/>
        </w:rPr>
      </w:pPr>
      <w:r w:rsidRPr="0023662E">
        <w:rPr>
          <w:rStyle w:val="AERbody"/>
        </w:rPr>
        <w:t xml:space="preserve">For regulated meters installed before 30 June 2015, metering capital costs were amortised. That is, distributors paid upfront for the capital costs which were then added to the asset base and recovered gradually through annual charges. </w:t>
      </w:r>
    </w:p>
    <w:p w:rsidR="00DE752C" w:rsidRPr="0023662E" w:rsidRDefault="00DE752C" w:rsidP="00DE752C">
      <w:pPr>
        <w:rPr>
          <w:rStyle w:val="AERbody"/>
        </w:rPr>
      </w:pPr>
      <w:r w:rsidRPr="0023662E">
        <w:rPr>
          <w:rStyle w:val="AERbody"/>
        </w:rPr>
        <w:t>If a customer with an existing regulated metering connection on their premises receives a regulated type 5 or 6 metering service, they pay the following charges:</w:t>
      </w:r>
    </w:p>
    <w:p w:rsidR="00DE752C" w:rsidRPr="0023662E" w:rsidRDefault="00DE752C" w:rsidP="00DE752C">
      <w:pPr>
        <w:pStyle w:val="AERbulletlistfirststyle"/>
        <w:rPr>
          <w:rStyle w:val="AERbody"/>
        </w:rPr>
      </w:pPr>
      <w:r w:rsidRPr="0023662E">
        <w:rPr>
          <w:rStyle w:val="AERbody"/>
        </w:rPr>
        <w:t>Capital (MAB recovery</w:t>
      </w:r>
      <w:r w:rsidRPr="0023662E">
        <w:rPr>
          <w:rStyle w:val="FootnoteReference"/>
        </w:rPr>
        <w:footnoteReference w:id="32"/>
      </w:r>
      <w:r w:rsidRPr="0023662E">
        <w:rPr>
          <w:rStyle w:val="AERbody"/>
        </w:rPr>
        <w:t>) component of regulated annual metering charge</w:t>
      </w:r>
    </w:p>
    <w:p w:rsidR="00DE752C" w:rsidRPr="0023662E" w:rsidRDefault="00DE752C" w:rsidP="00DE752C">
      <w:pPr>
        <w:pStyle w:val="AERbulletlistfirststyle"/>
        <w:rPr>
          <w:rStyle w:val="AERbody"/>
        </w:rPr>
      </w:pPr>
      <w:r w:rsidRPr="0023662E">
        <w:rPr>
          <w:rStyle w:val="AERbody"/>
        </w:rPr>
        <w:t>Non-capital (</w:t>
      </w:r>
      <w:proofErr w:type="spellStart"/>
      <w:r w:rsidRPr="0023662E">
        <w:rPr>
          <w:rStyle w:val="AERbody"/>
        </w:rPr>
        <w:t>opex</w:t>
      </w:r>
      <w:proofErr w:type="spellEnd"/>
      <w:r w:rsidRPr="0023662E">
        <w:rPr>
          <w:rStyle w:val="AERbody"/>
        </w:rPr>
        <w:t xml:space="preserve"> and tax) component of the regulated annual metering charge</w:t>
      </w:r>
      <w:r w:rsidR="00D84113">
        <w:rPr>
          <w:rStyle w:val="AERbody"/>
        </w:rPr>
        <w:t>.</w:t>
      </w:r>
    </w:p>
    <w:p w:rsidR="00DE752C" w:rsidRPr="0023662E" w:rsidRDefault="00DE752C" w:rsidP="00DE752C">
      <w:pPr>
        <w:rPr>
          <w:rStyle w:val="AERbody"/>
        </w:rPr>
      </w:pPr>
      <w:r w:rsidRPr="0023662E">
        <w:rPr>
          <w:rStyle w:val="AERbody"/>
        </w:rPr>
        <w:lastRenderedPageBreak/>
        <w:t>If a customer with an existing regulated metering connection on their premises chooses to switch to a competitive advanced metering service (and no longer receives a regulated type 5 or 6 metering service) they stop paying the non-capital component of the regulated annual metering charge. They will pay the following charges:</w:t>
      </w:r>
    </w:p>
    <w:p w:rsidR="00DE752C" w:rsidRPr="0023662E" w:rsidRDefault="00DE752C" w:rsidP="00DE752C">
      <w:pPr>
        <w:pStyle w:val="AERbulletlistfirststyle"/>
        <w:rPr>
          <w:rStyle w:val="AERbody"/>
        </w:rPr>
      </w:pPr>
      <w:r w:rsidRPr="0023662E">
        <w:rPr>
          <w:rStyle w:val="AERbody"/>
        </w:rPr>
        <w:t>Capital component of the regulated annual metering charge.</w:t>
      </w:r>
    </w:p>
    <w:p w:rsidR="00DE752C" w:rsidRPr="0023662E" w:rsidRDefault="00DE752C" w:rsidP="00DE752C">
      <w:pPr>
        <w:pStyle w:val="ListContinue"/>
        <w:rPr>
          <w:rStyle w:val="AERbody"/>
        </w:rPr>
      </w:pPr>
      <w:r w:rsidRPr="0023662E">
        <w:rPr>
          <w:rStyle w:val="AERbody"/>
        </w:rPr>
        <w:t xml:space="preserve">This charge recovers the MAB from all customers with existing connections (from before 30 June 2015) on their premises, whether or not they subsequently switch from their existing regulated meter to an advanced meter. As a result, the diminishing number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DE752C" w:rsidRPr="0023662E" w:rsidRDefault="00DE752C" w:rsidP="00DE752C">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_Ref417733834 \h </w:instrText>
      </w:r>
      <w:r>
        <w:rPr>
          <w:rStyle w:val="AERbody"/>
        </w:rPr>
      </w:r>
      <w:r>
        <w:rPr>
          <w:rStyle w:val="AERbody"/>
        </w:rPr>
        <w:fldChar w:fldCharType="separate"/>
      </w:r>
      <w:r w:rsidR="005E73B8">
        <w:t xml:space="preserve">Figure </w:t>
      </w:r>
      <w:r w:rsidR="005E73B8">
        <w:rPr>
          <w:noProof/>
        </w:rPr>
        <w:t>16</w:t>
      </w:r>
      <w:r w:rsidR="005E73B8" w:rsidRPr="00DE752C">
        <w:t>.</w:t>
      </w:r>
      <w:r w:rsidR="005E73B8">
        <w:rPr>
          <w:noProof/>
        </w:rPr>
        <w:t>3</w:t>
      </w:r>
      <w:r>
        <w:rPr>
          <w:rStyle w:val="AERbody"/>
        </w:rPr>
        <w:fldChar w:fldCharType="end"/>
      </w:r>
      <w:r w:rsidRPr="0023662E">
        <w:rPr>
          <w:rStyle w:val="AERbody"/>
        </w:rPr>
        <w:t>.</w:t>
      </w:r>
    </w:p>
    <w:p w:rsidR="00DE752C" w:rsidRPr="0023662E" w:rsidRDefault="00DE752C" w:rsidP="00DE752C">
      <w:pPr>
        <w:rPr>
          <w:rStyle w:val="AERbody"/>
        </w:rPr>
      </w:pPr>
      <w:r w:rsidRPr="0023662E">
        <w:rPr>
          <w:rStyle w:val="AERbody"/>
        </w:rPr>
        <w:t>This structure applies even if a customer pays upfront for a meter upgrade to their existing regulated meter after 1 July 2015 (for example, wants to upgrade from a type 6 to a type 5 meter) and then switches to a competitive advanced metering provider. This is because the upfront capital charge recovers the costs of the meter upgrade, but not of the existing meter installed before 30 June 2015.</w:t>
      </w:r>
    </w:p>
    <w:p w:rsidR="00DE752C" w:rsidRPr="0023662E" w:rsidRDefault="00DE752C" w:rsidP="00DE752C">
      <w:pPr>
        <w:rPr>
          <w:rStyle w:val="Strong"/>
        </w:rPr>
      </w:pPr>
      <w:r w:rsidRPr="0023662E">
        <w:rPr>
          <w:rStyle w:val="Strong"/>
        </w:rPr>
        <w:t>New connections (after 1 July 2015)</w:t>
      </w:r>
    </w:p>
    <w:p w:rsidR="00DE752C" w:rsidRPr="0023662E" w:rsidRDefault="00DE752C" w:rsidP="00DE752C">
      <w:pPr>
        <w:rPr>
          <w:rStyle w:val="AERbody"/>
        </w:rPr>
      </w:pPr>
      <w:r w:rsidRPr="0023662E">
        <w:rPr>
          <w:rStyle w:val="AERbody"/>
        </w:rPr>
        <w:t xml:space="preserve">For regulated new meter connections installed after 1 July 2015, the capital costs will be paid upfront by the customer. As such, no capital expenditure related to new meter connections installed after this date will be added to the metering asset base. </w:t>
      </w:r>
    </w:p>
    <w:p w:rsidR="00DE752C" w:rsidRDefault="00DE752C" w:rsidP="00DE752C">
      <w:pPr>
        <w:rPr>
          <w:rStyle w:val="AERbody"/>
        </w:rPr>
      </w:pPr>
      <w:r w:rsidRPr="0023662E">
        <w:rPr>
          <w:rStyle w:val="AERbody"/>
        </w:rPr>
        <w:t>If a customer has a new regulated metering connection that was installed on their premises after 1 July 2015 and receives a regulated type 5 or 6 metering service, they pay the following charges:</w:t>
      </w:r>
    </w:p>
    <w:p w:rsidR="00DE752C" w:rsidRPr="0023662E" w:rsidRDefault="00DE752C" w:rsidP="00DE752C">
      <w:pPr>
        <w:pStyle w:val="AERbulletlistfirststyle"/>
        <w:rPr>
          <w:rStyle w:val="AERbody"/>
        </w:rPr>
      </w:pPr>
      <w:r w:rsidRPr="0023662E">
        <w:rPr>
          <w:rStyle w:val="AERbody"/>
        </w:rPr>
        <w:t>Non-capital component of the regulated annual metering charge</w:t>
      </w:r>
    </w:p>
    <w:p w:rsidR="00DE752C" w:rsidRPr="00DE752C" w:rsidRDefault="00DE752C" w:rsidP="00DE752C">
      <w:pPr>
        <w:pStyle w:val="AERbulletlistfirststyle"/>
        <w:rPr>
          <w:rStyle w:val="AERbody"/>
        </w:rPr>
      </w:pPr>
      <w:r w:rsidRPr="0023662E">
        <w:rPr>
          <w:rStyle w:val="AERbody"/>
        </w:rPr>
        <w:t xml:space="preserve">As they have already paid for their capital component upfront, the only costs relating to their regulated metering service left to be recovered through annual charges are the non-capital costs.  </w:t>
      </w:r>
    </w:p>
    <w:p w:rsidR="00DE752C" w:rsidRPr="0023662E" w:rsidRDefault="00DE752C" w:rsidP="00DE752C">
      <w:pPr>
        <w:rPr>
          <w:rStyle w:val="AERbody"/>
        </w:rPr>
      </w:pPr>
      <w:r w:rsidRPr="0023662E">
        <w:rPr>
          <w:rStyle w:val="AERbody"/>
        </w:rPr>
        <w:t>If a customer has a new regulated metering connection on their premises and wants to switch to a competitive advanced metering service (and no longer receives a regulated type 5 or 6 metering service), they stop paying all regulated annual metering charges. They will pay the following charges:</w:t>
      </w:r>
    </w:p>
    <w:p w:rsidR="00DE752C" w:rsidRPr="0023662E" w:rsidRDefault="00DE752C" w:rsidP="00DE752C">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_Ref417733834 \h </w:instrText>
      </w:r>
      <w:r>
        <w:rPr>
          <w:rStyle w:val="AERbody"/>
        </w:rPr>
      </w:r>
      <w:r>
        <w:rPr>
          <w:rStyle w:val="AERbody"/>
        </w:rPr>
        <w:fldChar w:fldCharType="separate"/>
      </w:r>
      <w:r w:rsidR="005E73B8">
        <w:t xml:space="preserve">Figure </w:t>
      </w:r>
      <w:r w:rsidR="005E73B8">
        <w:rPr>
          <w:noProof/>
        </w:rPr>
        <w:t>16</w:t>
      </w:r>
      <w:r w:rsidR="005E73B8" w:rsidRPr="00DE752C">
        <w:t>.</w:t>
      </w:r>
      <w:r w:rsidR="005E73B8">
        <w:rPr>
          <w:noProof/>
        </w:rPr>
        <w:t>3</w:t>
      </w:r>
      <w:r>
        <w:rPr>
          <w:rStyle w:val="AERbody"/>
        </w:rPr>
        <w:fldChar w:fldCharType="end"/>
      </w:r>
      <w:r w:rsidRPr="0023662E">
        <w:rPr>
          <w:rStyle w:val="AERbody"/>
        </w:rPr>
        <w:t>.</w:t>
      </w:r>
    </w:p>
    <w:p w:rsidR="00DE752C" w:rsidRDefault="00DE752C" w:rsidP="00DE752C">
      <w:pPr>
        <w:pStyle w:val="Heading4"/>
      </w:pPr>
      <w:bookmarkStart w:id="61" w:name="_Toc417738231"/>
      <w:bookmarkStart w:id="62" w:name="_Toc417927692"/>
      <w:r>
        <w:lastRenderedPageBreak/>
        <w:t>Annual metering services</w:t>
      </w:r>
      <w:bookmarkEnd w:id="61"/>
      <w:bookmarkEnd w:id="62"/>
    </w:p>
    <w:p w:rsidR="00DE752C" w:rsidRPr="004F62F1" w:rsidRDefault="00DE752C" w:rsidP="00DE752C">
      <w:r w:rsidRPr="004F62F1">
        <w:t xml:space="preserve">We generally accept </w:t>
      </w:r>
      <w:r>
        <w:t>Energex</w:t>
      </w:r>
      <w:r w:rsidRPr="004F62F1">
        <w:t>’s building block approach as the basis for establishing annual metering charges</w:t>
      </w:r>
      <w:r>
        <w:t>. This is a summary of our decisions on the individual components</w:t>
      </w:r>
      <w:r w:rsidRPr="004F62F1">
        <w:t>:</w:t>
      </w:r>
    </w:p>
    <w:p w:rsidR="00DE752C" w:rsidRDefault="00DE752C" w:rsidP="00DE752C">
      <w:pPr>
        <w:pStyle w:val="AERbulletlistfirststyle"/>
      </w:pPr>
      <w:r>
        <w:t xml:space="preserve">Opening metering asset base </w:t>
      </w:r>
    </w:p>
    <w:p w:rsidR="00DE752C" w:rsidRPr="00DE752C" w:rsidRDefault="00DE752C" w:rsidP="00DE752C">
      <w:pPr>
        <w:pStyle w:val="AERbulletlistfirststyle"/>
      </w:pPr>
      <w:r w:rsidRPr="003D498C">
        <w:t>Our preliminary decision is to approve an opening metering asset base (MAB) value</w:t>
      </w:r>
      <w:r w:rsidRPr="00DE752C">
        <w:t xml:space="preserve"> as at 1 July 2015 of $448.8 million and substitute it with Energex's proposed $435.9 million ($nominal). </w:t>
      </w:r>
    </w:p>
    <w:p w:rsidR="00DE752C" w:rsidRPr="00DE752C" w:rsidRDefault="00DE752C" w:rsidP="00DE752C">
      <w:pPr>
        <w:pStyle w:val="AERbulletlistfirststyle"/>
      </w:pPr>
      <w:r>
        <w:t xml:space="preserve">Our opening MAB value is higher than </w:t>
      </w:r>
      <w:r w:rsidRPr="00DE752C">
        <w:t>proposed because we determined that certain load control assets should be moved across from the regulatory asset base (RAB) for standard control services.</w:t>
      </w:r>
    </w:p>
    <w:p w:rsidR="00DE752C" w:rsidRDefault="00DE752C" w:rsidP="00DE752C">
      <w:pPr>
        <w:pStyle w:val="AERbulletlistfirststyle"/>
      </w:pPr>
      <w:r>
        <w:t>Depreciation</w:t>
      </w:r>
    </w:p>
    <w:p w:rsidR="00DE752C" w:rsidRPr="00DE752C" w:rsidRDefault="00DE752C" w:rsidP="00DE752C">
      <w:pPr>
        <w:pStyle w:val="AERbulletlistfirststyle"/>
      </w:pPr>
      <w:r>
        <w:t>We accept Energex</w:t>
      </w:r>
      <w:r w:rsidRPr="00DE752C">
        <w:t>'s proposed standard asset lives of 15 years. This economic lifetime reflects the expected technical usefulness of Energex's meters.</w:t>
      </w:r>
    </w:p>
    <w:p w:rsidR="00DE752C" w:rsidRPr="00DE752C" w:rsidRDefault="00DE752C" w:rsidP="00DE752C">
      <w:pPr>
        <w:pStyle w:val="AERbulletlistfirststyle"/>
      </w:pPr>
      <w:r>
        <w:t>Our preliminary decision does not accept the proposed remaining asset lives. We have made adjustments to the remaining asset lives as at 1 July 2010 and actual net capex in relation to the</w:t>
      </w:r>
      <w:r w:rsidRPr="00DE752C">
        <w:t xml:space="preserve"> standard control services RAB. This in turn impacts on the weighted average remaining lives of assets in the MAB at 1 July 2015 (see attachment 2 for more information).  </w:t>
      </w:r>
    </w:p>
    <w:p w:rsidR="00DE752C" w:rsidRPr="00DE752C" w:rsidRDefault="00DE752C" w:rsidP="00DE752C">
      <w:pPr>
        <w:pStyle w:val="AERbulletlistfirststyle"/>
      </w:pPr>
      <w:r>
        <w:t xml:space="preserve">We will apply forecast, not actual, depreciation. This is consistent with our approach for standard control services. </w:t>
      </w:r>
    </w:p>
    <w:p w:rsidR="00DE752C" w:rsidRDefault="00DE752C" w:rsidP="00DE752C">
      <w:pPr>
        <w:pStyle w:val="AERbulletlistfirststyle"/>
      </w:pPr>
      <w:r>
        <w:t>Forecast capex</w:t>
      </w:r>
    </w:p>
    <w:p w:rsidR="00DE752C" w:rsidRPr="00DE752C" w:rsidRDefault="00DE752C" w:rsidP="00DE752C">
      <w:pPr>
        <w:pStyle w:val="AERbulletlistfirststyle"/>
      </w:pPr>
      <w:r w:rsidRPr="004F62F1">
        <w:t xml:space="preserve">We do not accept </w:t>
      </w:r>
      <w:r w:rsidRPr="00DE752C">
        <w:t>Energex’s proposed capex building block. Our preliminary decision allows $29.4 million in capex for annual metering charges instead of Energex’s proposed $160.1 million ($2014-15). Of the capex we have not accepted, approximately 78 percent relates to our preliminary decision to move the cost recovery of new connections from the annual metering charge to upfront payments. That is, Energex should still recover this expenditure, but via a different capitalisation policy.</w:t>
      </w:r>
    </w:p>
    <w:p w:rsidR="00DE752C" w:rsidRDefault="00DE752C" w:rsidP="00DE752C">
      <w:pPr>
        <w:pStyle w:val="AERbulletlistfirststyle"/>
      </w:pPr>
      <w:r>
        <w:t xml:space="preserve">Forecast </w:t>
      </w:r>
      <w:proofErr w:type="spellStart"/>
      <w:r>
        <w:t>opex</w:t>
      </w:r>
      <w:proofErr w:type="spellEnd"/>
    </w:p>
    <w:p w:rsidR="00DE752C" w:rsidRPr="00DE752C" w:rsidRDefault="00DE752C" w:rsidP="00DE752C">
      <w:pPr>
        <w:pStyle w:val="AERbulletlistfirststyle"/>
      </w:pPr>
      <w:r w:rsidRPr="00770E98">
        <w:t xml:space="preserve">In assessing the metering </w:t>
      </w:r>
      <w:proofErr w:type="spellStart"/>
      <w:r w:rsidRPr="00770E98">
        <w:t>opex</w:t>
      </w:r>
      <w:proofErr w:type="spellEnd"/>
      <w:r w:rsidRPr="00770E98">
        <w:t xml:space="preserve"> building block, we used a base-s</w:t>
      </w:r>
      <w:r w:rsidRPr="00DE752C">
        <w:t xml:space="preserve">tep-trend approach to develop an alternative forecast. Our assessment led us to accept Energex's proposed $78.6 million in </w:t>
      </w:r>
      <w:proofErr w:type="spellStart"/>
      <w:r w:rsidRPr="00DE752C">
        <w:t>opex</w:t>
      </w:r>
      <w:proofErr w:type="spellEnd"/>
      <w:r w:rsidRPr="00DE752C">
        <w:t xml:space="preserve"> for annual metering charges ($2014-15). </w:t>
      </w:r>
    </w:p>
    <w:p w:rsidR="00DE752C" w:rsidRDefault="00DE752C" w:rsidP="00DE752C">
      <w:r w:rsidRPr="004F62F1">
        <w:t xml:space="preserve">Based on our cost assessment of the individual building blocks </w:t>
      </w:r>
      <w:r>
        <w:t xml:space="preserve">and the requirement that Energex establishes separate annual charges, </w:t>
      </w:r>
      <w:r w:rsidRPr="004F62F1">
        <w:t xml:space="preserve">we </w:t>
      </w:r>
      <w:r>
        <w:t>do not accept Energex's</w:t>
      </w:r>
      <w:r w:rsidRPr="004F62F1">
        <w:t xml:space="preserve"> proposed price caps for annual charges. Our substitute pric</w:t>
      </w:r>
      <w:r>
        <w:t>e caps are set out in Appendix A</w:t>
      </w:r>
      <w:r w:rsidRPr="004F62F1">
        <w:t>.</w:t>
      </w:r>
    </w:p>
    <w:p w:rsidR="009C1B5E" w:rsidRDefault="009C1B5E" w:rsidP="00DE752C"/>
    <w:p w:rsidR="009C1B5E" w:rsidRPr="004F62F1" w:rsidRDefault="009C1B5E" w:rsidP="00DE752C"/>
    <w:p w:rsidR="00DE752C" w:rsidRPr="003D498C" w:rsidRDefault="00DE752C" w:rsidP="00DE752C">
      <w:pPr>
        <w:pStyle w:val="Heading4"/>
      </w:pPr>
      <w:bookmarkStart w:id="63" w:name="_Toc417738232"/>
      <w:bookmarkStart w:id="64" w:name="_Toc417927693"/>
      <w:r>
        <w:lastRenderedPageBreak/>
        <w:t>Upfront capital charges</w:t>
      </w:r>
      <w:bookmarkEnd w:id="63"/>
      <w:bookmarkEnd w:id="64"/>
    </w:p>
    <w:p w:rsidR="00DE752C" w:rsidRDefault="00DE752C" w:rsidP="00DE752C">
      <w:r>
        <w:t>Energex did not propose any upfront capital charges. We, however, consider their introduction to be economically efficient, with respect to new or upgraded connections. Upgraded connections refer to customer-initiated</w:t>
      </w:r>
      <w:r w:rsidRPr="00CA79E8">
        <w:t xml:space="preserve"> upgrades </w:t>
      </w:r>
      <w:r>
        <w:t xml:space="preserve">for </w:t>
      </w:r>
      <w:r w:rsidRPr="00CA79E8">
        <w:t xml:space="preserve">alterations and additions (excluding solar PV) and upgrades of meter for solar PV. </w:t>
      </w:r>
      <w:r>
        <w:t>We have therefore included them in the structure of metering charges which we have accepted in this preliminary decision.</w:t>
      </w:r>
    </w:p>
    <w:p w:rsidR="00DE752C" w:rsidRDefault="00DE752C" w:rsidP="00DE752C">
      <w:pPr>
        <w:pStyle w:val="Heading4"/>
      </w:pPr>
      <w:bookmarkStart w:id="65" w:name="_Toc417738233"/>
      <w:bookmarkStart w:id="66" w:name="_Toc417927694"/>
      <w:r>
        <w:t>Meter exit fee</w:t>
      </w:r>
      <w:bookmarkEnd w:id="65"/>
      <w:bookmarkEnd w:id="66"/>
    </w:p>
    <w:p w:rsidR="00DE752C" w:rsidRDefault="00DE752C" w:rsidP="00DE752C">
      <w:pPr>
        <w:rPr>
          <w:rStyle w:val="AERbody"/>
        </w:rPr>
      </w:pPr>
      <w:r>
        <w:rPr>
          <w:rStyle w:val="AERbody"/>
        </w:rPr>
        <w:t xml:space="preserve">Our preliminary decision for switching customers to continue paying the capital component of the regulated annual metering charge removes the need for Energex to recover residual metering asset value through an upfront exit fee. </w:t>
      </w:r>
    </w:p>
    <w:p w:rsidR="00603EAF" w:rsidRDefault="00603EAF" w:rsidP="00603EAF">
      <w:bookmarkStart w:id="67" w:name="_Ref417314709"/>
      <w:bookmarkStart w:id="68" w:name="_Toc417738234"/>
      <w:r>
        <w:t xml:space="preserve">We do not approve Energex's proposal to recover administration costs relating to customers transferring to alternative metering providers through an exit fee. </w:t>
      </w:r>
      <w:r w:rsidRPr="004450FB">
        <w:t xml:space="preserve">We find that there are no additional tasks or functions </w:t>
      </w:r>
      <w:r>
        <w:t xml:space="preserve">these </w:t>
      </w:r>
      <w:r w:rsidRPr="004450FB">
        <w:t>distributors will have to assume when customers change meter provider. Thus</w:t>
      </w:r>
      <w:r>
        <w:t xml:space="preserve"> there are no incremental costs.</w:t>
      </w:r>
    </w:p>
    <w:p w:rsidR="00603EAF" w:rsidRDefault="00603EAF" w:rsidP="00603EAF">
      <w:r>
        <w:t>Therefore, no metering exit fee applies.</w:t>
      </w:r>
    </w:p>
    <w:p w:rsidR="00DE752C" w:rsidRDefault="00DE752C" w:rsidP="00DE752C">
      <w:pPr>
        <w:pStyle w:val="Heading4"/>
      </w:pPr>
      <w:bookmarkStart w:id="69" w:name="_Toc417927695"/>
      <w:r>
        <w:t>Control mechanism</w:t>
      </w:r>
      <w:bookmarkEnd w:id="67"/>
      <w:bookmarkEnd w:id="68"/>
      <w:bookmarkEnd w:id="69"/>
    </w:p>
    <w:p w:rsidR="00DE752C" w:rsidRPr="00B04E0C" w:rsidRDefault="00DE752C" w:rsidP="00DE752C">
      <w:r w:rsidRPr="00B04E0C">
        <w:t xml:space="preserve">Our </w:t>
      </w:r>
      <w:r>
        <w:t>preliminary</w:t>
      </w:r>
      <w:r w:rsidRPr="00B04E0C">
        <w:t xml:space="preserve"> decision is to apply price caps for individual type 5 and 6 metering services as the form of control. This means a schedule of prices is set for the first year. For the following year's the previous year’s prices are adjusted by CPI and an X factor. The control mechanism formula is set out below:</w:t>
      </w:r>
    </w:p>
    <w:p w:rsidR="00DE752C" w:rsidRPr="00B04E0C" w:rsidRDefault="009D19E9" w:rsidP="00DE752C">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p>
    <w:p w:rsidR="00DE752C" w:rsidRPr="00B04E0C" w:rsidRDefault="00DE752C" w:rsidP="00DE752C">
      <w:pPr>
        <w:numPr>
          <w:ilvl w:val="0"/>
          <w:numId w:val="25"/>
        </w:numPr>
      </w:pPr>
      <w:r w:rsidRPr="00B04E0C">
        <w:t>Where:</w:t>
      </w:r>
    </w:p>
    <w:p w:rsidR="00DE752C" w:rsidRPr="00B04E0C" w:rsidRDefault="009D19E9" w:rsidP="00DE752C">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DE752C" w:rsidRPr="00B04E0C">
        <w:t xml:space="preserve"> is the cap on the price of service i in year t-1</w:t>
      </w:r>
    </w:p>
    <w:p w:rsidR="00DE752C" w:rsidRPr="00B04E0C" w:rsidRDefault="009D19E9" w:rsidP="00DE752C">
      <w:pPr>
        <w:numPr>
          <w:ilvl w:val="0"/>
          <w:numId w:val="25"/>
        </w:numPr>
      </w:p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00DE752C" w:rsidRPr="00B04E0C">
        <w:t xml:space="preserve"> is the</w:t>
      </w:r>
      <w:r w:rsidR="00DE752C">
        <w:t xml:space="preserve"> cap on the</w:t>
      </w:r>
      <w:r w:rsidR="00DE752C" w:rsidRPr="00B04E0C">
        <w:t xml:space="preserve"> price of service </w:t>
      </w:r>
      <w:proofErr w:type="spellStart"/>
      <w:r w:rsidR="00DE752C" w:rsidRPr="00B04E0C">
        <w:t>i</w:t>
      </w:r>
      <w:proofErr w:type="spellEnd"/>
      <w:r w:rsidR="00DE752C" w:rsidRPr="00B04E0C">
        <w:t xml:space="preserve"> in year t</w:t>
      </w:r>
    </w:p>
    <w:p w:rsidR="00DE752C" w:rsidRPr="00B04E0C" w:rsidRDefault="009D19E9" w:rsidP="00DE752C">
      <w:pPr>
        <w:numPr>
          <w:ilvl w:val="0"/>
          <w:numId w:val="25"/>
        </w:numPr>
      </w:pPr>
      <m:oMath>
        <m:sSub>
          <m:sSubPr>
            <m:ctrlPr>
              <w:rPr>
                <w:rFonts w:ascii="Cambria Math" w:hAnsi="Cambria Math"/>
              </w:rPr>
            </m:ctrlPr>
          </m:sSubPr>
          <m:e>
            <m:r>
              <w:rPr>
                <w:rFonts w:ascii="Cambria Math" w:hAnsi="Cambria Math"/>
              </w:rPr>
              <m:t>∆CPI</m:t>
            </m:r>
          </m:e>
          <m:sub>
            <m:r>
              <w:rPr>
                <w:rFonts w:ascii="Cambria Math" w:hAnsi="Cambria Math"/>
              </w:rPr>
              <m:t>t</m:t>
            </m:r>
          </m:sub>
        </m:sSub>
      </m:oMath>
      <w:r w:rsidR="00DE752C" w:rsidRPr="00B04E0C">
        <w:t xml:space="preserve"> is the annual percentage change in the Australian Bureau of Statistics (ABS) Consumer Price Index All Groups, Weighted Average of Eight Capital Cities from December in year t–2 to December in year t–1. For example, for the 2015–16 year, t–2 is December 2013 and t–1 is December 2014 and in the 2016–17 year, t–2 is December 2014 and t–1 is December 2015 and so on.  </w:t>
      </w:r>
    </w:p>
    <w:p w:rsidR="00DE752C" w:rsidRPr="00B04E0C" w:rsidRDefault="009D19E9" w:rsidP="00DE752C">
      <w:pPr>
        <w:numPr>
          <w:ilvl w:val="0"/>
          <w:numId w:val="25"/>
        </w:numPr>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DE752C" w:rsidRPr="00B04E0C">
        <w:t xml:space="preserve"> is zero </w:t>
      </w:r>
    </w:p>
    <w:p w:rsidR="00DE752C" w:rsidRPr="00B04E0C" w:rsidRDefault="009D19E9" w:rsidP="00DE752C">
      <w:pPr>
        <w:numPr>
          <w:ilvl w:val="0"/>
          <w:numId w:val="25"/>
        </w:numPr>
      </w:pPr>
      <m:oMath>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oMath>
      <w:r w:rsidR="00DE752C" w:rsidRPr="00B04E0C">
        <w:t xml:space="preserve"> is: </w:t>
      </w:r>
    </w:p>
    <w:p w:rsidR="00DE752C" w:rsidRPr="00B04E0C" w:rsidRDefault="00DE752C" w:rsidP="00DE752C">
      <w:r w:rsidRPr="00B04E0C">
        <w:t xml:space="preserve">for the annual metering charges, the factors set out in </w:t>
      </w:r>
      <w:r w:rsidRPr="00B04E0C">
        <w:fldChar w:fldCharType="begin"/>
      </w:r>
      <w:r w:rsidRPr="00B04E0C">
        <w:instrText xml:space="preserve"> REF _Ref417593759 \h </w:instrText>
      </w:r>
      <w:r w:rsidRPr="00B04E0C">
        <w:fldChar w:fldCharType="separate"/>
      </w:r>
      <w:r w:rsidR="005E73B8" w:rsidRPr="00B04E0C">
        <w:t xml:space="preserve">Table </w:t>
      </w:r>
      <w:r w:rsidR="005E73B8">
        <w:rPr>
          <w:noProof/>
        </w:rPr>
        <w:t>16</w:t>
      </w:r>
      <w:r w:rsidR="005E73B8">
        <w:t>.</w:t>
      </w:r>
      <w:r w:rsidR="005E73B8">
        <w:rPr>
          <w:noProof/>
        </w:rPr>
        <w:t>6</w:t>
      </w:r>
      <w:r w:rsidRPr="00B04E0C">
        <w:fldChar w:fldCharType="end"/>
      </w:r>
    </w:p>
    <w:p w:rsidR="00DE752C" w:rsidRPr="00B04E0C" w:rsidRDefault="00DE752C" w:rsidP="00DE752C">
      <w:r w:rsidRPr="00B04E0C">
        <w:t xml:space="preserve">for the upfront charges, the factors set out in </w:t>
      </w:r>
      <w:r w:rsidRPr="00B04E0C">
        <w:fldChar w:fldCharType="begin"/>
      </w:r>
      <w:r w:rsidRPr="00B04E0C">
        <w:instrText xml:space="preserve"> REF _Ref417593766 \h </w:instrText>
      </w:r>
      <w:r w:rsidRPr="00B04E0C">
        <w:fldChar w:fldCharType="separate"/>
      </w:r>
      <w:r w:rsidR="005E73B8" w:rsidRPr="00B04E0C">
        <w:t xml:space="preserve">Table </w:t>
      </w:r>
      <w:r w:rsidR="005E73B8">
        <w:rPr>
          <w:noProof/>
        </w:rPr>
        <w:t>16</w:t>
      </w:r>
      <w:r w:rsidR="005E73B8">
        <w:t>.</w:t>
      </w:r>
      <w:r w:rsidR="005E73B8">
        <w:rPr>
          <w:noProof/>
        </w:rPr>
        <w:t>7</w:t>
      </w:r>
      <w:r w:rsidRPr="00B04E0C">
        <w:fldChar w:fldCharType="end"/>
      </w:r>
      <w:r w:rsidRPr="00B04E0C">
        <w:t>.</w:t>
      </w:r>
    </w:p>
    <w:p w:rsidR="00DE752C" w:rsidRPr="00B04E0C" w:rsidRDefault="00DE752C" w:rsidP="00DE752C">
      <w:pPr>
        <w:pStyle w:val="Caption"/>
      </w:pPr>
      <w:r w:rsidRPr="00B04E0C">
        <w:lastRenderedPageBreak/>
        <w:t xml:space="preserve"> </w:t>
      </w:r>
      <w:bookmarkStart w:id="70" w:name="_Ref417593759"/>
      <w:r w:rsidRPr="00B04E0C">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6</w:t>
        </w:r>
      </w:fldSimple>
      <w:bookmarkEnd w:id="70"/>
      <w:r w:rsidRPr="00B04E0C">
        <w:tab/>
        <w:t>X–Factors for annual metering charges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DE752C" w:rsidRPr="003A5DE5"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DE752C" w:rsidRPr="00B04E0C" w:rsidRDefault="00DE752C" w:rsidP="00DE752C"/>
        </w:tc>
        <w:tc>
          <w:tcPr>
            <w:tcW w:w="173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rsidRPr="00B04E0C">
              <w:t>2016–17</w:t>
            </w:r>
          </w:p>
        </w:tc>
        <w:tc>
          <w:tcPr>
            <w:tcW w:w="173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rsidRPr="00B04E0C">
              <w:t>2017–18</w:t>
            </w:r>
          </w:p>
        </w:tc>
        <w:tc>
          <w:tcPr>
            <w:tcW w:w="173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rsidRPr="00B04E0C">
              <w:t>2018–19</w:t>
            </w:r>
          </w:p>
        </w:tc>
        <w:tc>
          <w:tcPr>
            <w:tcW w:w="173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2019–20</w:t>
            </w:r>
          </w:p>
        </w:tc>
      </w:tr>
      <w:tr w:rsidR="00DE752C" w:rsidRPr="003A5DE5" w:rsidTr="00F10F02">
        <w:tc>
          <w:tcPr>
            <w:cnfStyle w:val="001000000000" w:firstRow="0" w:lastRow="0" w:firstColumn="1" w:lastColumn="0" w:oddVBand="0" w:evenVBand="0" w:oddHBand="0" w:evenHBand="0" w:firstRowFirstColumn="0" w:firstRowLastColumn="0" w:lastRowFirstColumn="0" w:lastRowLastColumn="0"/>
            <w:tcW w:w="1737" w:type="dxa"/>
          </w:tcPr>
          <w:p w:rsidR="00DE752C" w:rsidRPr="00DE752C" w:rsidRDefault="00DE752C" w:rsidP="00DE752C">
            <w:r w:rsidRPr="00B04E0C">
              <w:t>X factor</w:t>
            </w:r>
          </w:p>
        </w:tc>
        <w:tc>
          <w:tcPr>
            <w:tcW w:w="1739" w:type="dxa"/>
            <w:vAlign w:val="bottom"/>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3.94</w:t>
            </w:r>
          </w:p>
        </w:tc>
        <w:tc>
          <w:tcPr>
            <w:tcW w:w="1739" w:type="dxa"/>
            <w:vAlign w:val="bottom"/>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3.94</w:t>
            </w:r>
          </w:p>
        </w:tc>
        <w:tc>
          <w:tcPr>
            <w:tcW w:w="1739" w:type="dxa"/>
            <w:vAlign w:val="bottom"/>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3.94</w:t>
            </w:r>
          </w:p>
        </w:tc>
        <w:tc>
          <w:tcPr>
            <w:tcW w:w="1739"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3.94</w:t>
            </w:r>
          </w:p>
        </w:tc>
      </w:tr>
    </w:tbl>
    <w:p w:rsidR="00DE752C" w:rsidRPr="00B04E0C" w:rsidRDefault="00DE752C" w:rsidP="00DE752C">
      <w:pPr>
        <w:pStyle w:val="AERtablesource"/>
      </w:pPr>
      <w:r w:rsidRPr="00B04E0C">
        <w:t>Source:</w:t>
      </w:r>
      <w:r w:rsidRPr="00B04E0C">
        <w:tab/>
        <w:t>AER analysis</w:t>
      </w:r>
    </w:p>
    <w:p w:rsidR="00DE752C" w:rsidRPr="00B04E0C" w:rsidRDefault="00DE752C" w:rsidP="00DE752C">
      <w:pPr>
        <w:pStyle w:val="Caption"/>
      </w:pPr>
      <w:bookmarkStart w:id="71" w:name="_Ref417593766"/>
      <w:r w:rsidRPr="00B04E0C">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7</w:t>
        </w:r>
      </w:fldSimple>
      <w:bookmarkEnd w:id="71"/>
      <w:r w:rsidRPr="00B04E0C">
        <w:tab/>
        <w:t>X–Factors for upfront capital charges (per cent)</w:t>
      </w:r>
    </w:p>
    <w:tbl>
      <w:tblPr>
        <w:tblStyle w:val="AERtable-numbers"/>
        <w:tblW w:w="0" w:type="auto"/>
        <w:tblLook w:val="04A0" w:firstRow="1" w:lastRow="0" w:firstColumn="1" w:lastColumn="0" w:noHBand="0" w:noVBand="1"/>
      </w:tblPr>
      <w:tblGrid>
        <w:gridCol w:w="1458"/>
        <w:gridCol w:w="1469"/>
        <w:gridCol w:w="1469"/>
        <w:gridCol w:w="1469"/>
        <w:gridCol w:w="1469"/>
        <w:gridCol w:w="1359"/>
      </w:tblGrid>
      <w:tr w:rsidR="00DE752C" w:rsidRPr="003A5DE5"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E752C" w:rsidRPr="00B04E0C" w:rsidRDefault="00DE752C" w:rsidP="00DE752C"/>
        </w:tc>
        <w:tc>
          <w:tcPr>
            <w:tcW w:w="146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rsidRPr="00B04E0C">
              <w:t>2015–16</w:t>
            </w:r>
          </w:p>
        </w:tc>
        <w:tc>
          <w:tcPr>
            <w:tcW w:w="146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rsidRPr="00B04E0C">
              <w:t>2016–17</w:t>
            </w:r>
          </w:p>
        </w:tc>
        <w:tc>
          <w:tcPr>
            <w:tcW w:w="146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rsidRPr="00B04E0C">
              <w:t>2017–18</w:t>
            </w:r>
          </w:p>
        </w:tc>
        <w:tc>
          <w:tcPr>
            <w:tcW w:w="146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rsidRPr="00B04E0C">
              <w:t>2018–19</w:t>
            </w:r>
          </w:p>
        </w:tc>
        <w:tc>
          <w:tcPr>
            <w:tcW w:w="135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rsidRPr="00B04E0C">
              <w:t>2019–20</w:t>
            </w:r>
          </w:p>
        </w:tc>
      </w:tr>
      <w:tr w:rsidR="00DE752C" w:rsidTr="00F10F02">
        <w:tc>
          <w:tcPr>
            <w:cnfStyle w:val="001000000000" w:firstRow="0" w:lastRow="0" w:firstColumn="1" w:lastColumn="0" w:oddVBand="0" w:evenVBand="0" w:oddHBand="0" w:evenHBand="0" w:firstRowFirstColumn="0" w:firstRowLastColumn="0" w:lastRowFirstColumn="0" w:lastRowLastColumn="0"/>
            <w:tcW w:w="1458" w:type="dxa"/>
          </w:tcPr>
          <w:p w:rsidR="00DE752C" w:rsidRPr="00DE752C" w:rsidRDefault="00DE752C" w:rsidP="00DE752C">
            <w:r w:rsidRPr="00B04E0C">
              <w:t>X factor</w:t>
            </w:r>
          </w:p>
        </w:tc>
        <w:tc>
          <w:tcPr>
            <w:tcW w:w="1469" w:type="dxa"/>
            <w:vAlign w:val="bottom"/>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–0.22</w:t>
            </w:r>
          </w:p>
        </w:tc>
        <w:tc>
          <w:tcPr>
            <w:tcW w:w="1469" w:type="dxa"/>
            <w:vAlign w:val="bottom"/>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–0.44</w:t>
            </w:r>
          </w:p>
        </w:tc>
        <w:tc>
          <w:tcPr>
            <w:tcW w:w="1469" w:type="dxa"/>
            <w:vAlign w:val="bottom"/>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–0.43</w:t>
            </w:r>
          </w:p>
        </w:tc>
        <w:tc>
          <w:tcPr>
            <w:tcW w:w="1469"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–0.46</w:t>
            </w:r>
          </w:p>
        </w:tc>
        <w:tc>
          <w:tcPr>
            <w:tcW w:w="1359" w:type="dxa"/>
            <w:vAlign w:val="bottom"/>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rsidRPr="00B04E0C">
              <w:t>–0.22</w:t>
            </w:r>
          </w:p>
        </w:tc>
      </w:tr>
    </w:tbl>
    <w:p w:rsidR="00DE752C" w:rsidRPr="00B04E0C" w:rsidRDefault="00DE752C" w:rsidP="00DE752C">
      <w:pPr>
        <w:pStyle w:val="AERtablesource"/>
      </w:pPr>
      <w:r w:rsidRPr="00B04E0C">
        <w:t>Source:</w:t>
      </w:r>
      <w:r w:rsidRPr="00B04E0C">
        <w:tab/>
        <w:t>AER analysis</w:t>
      </w:r>
    </w:p>
    <w:p w:rsidR="00DE752C" w:rsidRPr="00B04E0C" w:rsidRDefault="00DE752C" w:rsidP="00DE752C">
      <w:pPr>
        <w:numPr>
          <w:ilvl w:val="0"/>
          <w:numId w:val="25"/>
        </w:numPr>
      </w:pPr>
      <w:r w:rsidRPr="00B04E0C">
        <w:t xml:space="preserve">For the avoidance of doubt, when setting the prices for 2015–16,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oMath>
      <w:r w:rsidRPr="00B04E0C">
        <w:t xml:space="preserve"> are prices being set for year 2015–16 and </w:t>
      </w: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Pr="00B04E0C">
        <w:t xml:space="preserve"> are prices from the year 2014–15. </w:t>
      </w:r>
    </w:p>
    <w:p w:rsidR="00DE752C" w:rsidRPr="00B04E0C" w:rsidRDefault="00DE752C" w:rsidP="00DE752C">
      <w:r w:rsidRPr="00B04E0C">
        <w:t xml:space="preserve">We will check for compliance with the control mechanism during the annual pricing process. To be compliant, </w:t>
      </w:r>
      <w:r>
        <w:t>Energex</w:t>
      </w:r>
      <w:r w:rsidRPr="00B04E0C">
        <w:t xml:space="preserve"> must annually adjust individual price caps in accordance with the control mechanism formula shown above. Further, </w:t>
      </w:r>
      <w:r>
        <w:t>Energex</w:t>
      </w:r>
      <w:r w:rsidRPr="00B04E0C">
        <w:t xml:space="preserve"> must show that individual prices are less than or equal to the approved price cap for that individual service through providing a copy of their published price list for that year</w:t>
      </w:r>
    </w:p>
    <w:p w:rsidR="00DE752C" w:rsidRDefault="00DE752C" w:rsidP="00DE752C">
      <w:pPr>
        <w:pStyle w:val="Heading3"/>
      </w:pPr>
      <w:bookmarkStart w:id="72" w:name="_Toc417738235"/>
      <w:bookmarkStart w:id="73" w:name="_Toc417996127"/>
      <w:r>
        <w:t>Energex's proposal</w:t>
      </w:r>
      <w:bookmarkEnd w:id="72"/>
      <w:bookmarkEnd w:id="73"/>
    </w:p>
    <w:p w:rsidR="00DE752C" w:rsidRDefault="00DE752C" w:rsidP="00DE752C">
      <w:pPr>
        <w:pStyle w:val="Heading4"/>
      </w:pPr>
      <w:bookmarkStart w:id="74" w:name="_Toc417927697"/>
      <w:r>
        <w:t>Structure of metering charges</w:t>
      </w:r>
      <w:bookmarkEnd w:id="74"/>
    </w:p>
    <w:p w:rsidR="00DE752C" w:rsidRDefault="00DE752C" w:rsidP="00DE752C">
      <w:pPr>
        <w:numPr>
          <w:ilvl w:val="0"/>
          <w:numId w:val="25"/>
        </w:numPr>
      </w:pPr>
      <w:r>
        <w:t>Energex accepted our decision to classify type 6 metering services as alternative control services and to apply price caps for individual services as the control mechanism.</w:t>
      </w:r>
      <w:r>
        <w:rPr>
          <w:rStyle w:val="FootnoteReference"/>
        </w:rPr>
        <w:footnoteReference w:id="33"/>
      </w:r>
      <w:r>
        <w:t xml:space="preserve"> </w:t>
      </w:r>
      <w:r>
        <w:fldChar w:fldCharType="begin"/>
      </w:r>
      <w:r>
        <w:instrText xml:space="preserve"> REF _Ref414366842 \h </w:instrText>
      </w:r>
      <w:r>
        <w:fldChar w:fldCharType="separate"/>
      </w:r>
      <w:r w:rsidR="005E73B8">
        <w:t xml:space="preserve">Figure </w:t>
      </w:r>
      <w:r w:rsidR="005E73B8">
        <w:rPr>
          <w:noProof/>
        </w:rPr>
        <w:t>16</w:t>
      </w:r>
      <w:r w:rsidR="005E73B8">
        <w:t>.</w:t>
      </w:r>
      <w:r w:rsidR="005E73B8">
        <w:rPr>
          <w:noProof/>
        </w:rPr>
        <w:t>4</w:t>
      </w:r>
      <w:r>
        <w:fldChar w:fldCharType="end"/>
      </w:r>
      <w:r>
        <w:t xml:space="preserve"> sets out the two types of metering services proposed by Energex. These are an annual metering service charge and an exit fee.</w:t>
      </w:r>
    </w:p>
    <w:p w:rsidR="00DE752C" w:rsidRDefault="00DE752C" w:rsidP="00DE752C">
      <w:pPr>
        <w:pStyle w:val="Caption"/>
      </w:pPr>
      <w:bookmarkStart w:id="75" w:name="_Ref414366842"/>
      <w:r>
        <w:lastRenderedPageBreak/>
        <w:t xml:space="preserve">Figure </w:t>
      </w:r>
      <w:r w:rsidRPr="00DE752C">
        <w:fldChar w:fldCharType="begin"/>
      </w:r>
      <w:r>
        <w:instrText xml:space="preserve"> STYLEREF 1 \s </w:instrText>
      </w:r>
      <w:r w:rsidRPr="00DE752C">
        <w:fldChar w:fldCharType="separate"/>
      </w:r>
      <w:r w:rsidR="005E73B8">
        <w:rPr>
          <w:noProof/>
        </w:rPr>
        <w:t>16</w:t>
      </w:r>
      <w:r w:rsidRPr="00DE752C">
        <w:fldChar w:fldCharType="end"/>
      </w:r>
      <w:r>
        <w:t>.</w:t>
      </w:r>
      <w:fldSimple w:instr=" SEQ Figure \* ARABIC \s 1 ">
        <w:r w:rsidR="005E73B8">
          <w:rPr>
            <w:noProof/>
          </w:rPr>
          <w:t>4</w:t>
        </w:r>
      </w:fldSimple>
      <w:bookmarkEnd w:id="75"/>
      <w:r>
        <w:t>- Proposed Metering Structure</w:t>
      </w:r>
    </w:p>
    <w:p w:rsidR="00DE752C" w:rsidRDefault="00DE752C" w:rsidP="00DE752C">
      <w:pPr>
        <w:pStyle w:val="AERtablesource"/>
        <w:rPr>
          <w:rStyle w:val="Strong"/>
        </w:rPr>
      </w:pPr>
      <w:r w:rsidRPr="00DE752C">
        <w:rPr>
          <w:noProof/>
          <w:lang w:eastAsia="en-AU"/>
        </w:rPr>
        <w:drawing>
          <wp:inline distT="0" distB="0" distL="0" distR="0" wp14:anchorId="4D52FAB4" wp14:editId="0368A695">
            <wp:extent cx="5736793" cy="19621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9751" cy="1963162"/>
                    </a:xfrm>
                    <a:prstGeom prst="rect">
                      <a:avLst/>
                    </a:prstGeom>
                    <a:noFill/>
                  </pic:spPr>
                </pic:pic>
              </a:graphicData>
            </a:graphic>
          </wp:inline>
        </w:drawing>
      </w:r>
    </w:p>
    <w:p w:rsidR="00DE752C" w:rsidRPr="00840D40" w:rsidRDefault="00DE752C" w:rsidP="00DE752C">
      <w:pPr>
        <w:pStyle w:val="AERtablesource"/>
      </w:pPr>
      <w:r w:rsidRPr="00840D40">
        <w:t xml:space="preserve"> Source: </w:t>
      </w:r>
      <w:r>
        <w:tab/>
      </w:r>
      <w:r w:rsidRPr="00840D40">
        <w:t>AER analysis</w:t>
      </w:r>
    </w:p>
    <w:p w:rsidR="00DE752C" w:rsidRPr="002B0550" w:rsidRDefault="00DE752C" w:rsidP="00DE752C">
      <w:pPr>
        <w:pStyle w:val="Heading4"/>
      </w:pPr>
      <w:bookmarkStart w:id="76" w:name="_Toc417738236"/>
      <w:bookmarkStart w:id="77" w:name="_Toc417927698"/>
      <w:r w:rsidRPr="002B0550">
        <w:t>Annual metering service</w:t>
      </w:r>
      <w:bookmarkEnd w:id="76"/>
      <w:r>
        <w:t>s</w:t>
      </w:r>
      <w:bookmarkEnd w:id="77"/>
    </w:p>
    <w:p w:rsidR="00DE752C" w:rsidRPr="0051318C" w:rsidRDefault="00DE752C" w:rsidP="00DE752C">
      <w:pPr>
        <w:numPr>
          <w:ilvl w:val="0"/>
          <w:numId w:val="25"/>
        </w:numPr>
        <w:rPr>
          <w:rStyle w:val="AERbody"/>
        </w:rPr>
      </w:pPr>
      <w:r>
        <w:rPr>
          <w:rStyle w:val="AERbody"/>
        </w:rPr>
        <w:t xml:space="preserve">Energex proposed three annual </w:t>
      </w:r>
      <w:r w:rsidRPr="00857F3D">
        <w:rPr>
          <w:rStyle w:val="AERbody"/>
        </w:rPr>
        <w:t xml:space="preserve">metering service </w:t>
      </w:r>
      <w:r>
        <w:rPr>
          <w:rStyle w:val="AERbody"/>
        </w:rPr>
        <w:t xml:space="preserve">charges, a primary metering tariff and two secondary metering tariffs for controlled load and solar PV customers. </w:t>
      </w:r>
      <w:r>
        <w:rPr>
          <w:rStyle w:val="AERbody"/>
        </w:rPr>
        <w:fldChar w:fldCharType="begin"/>
      </w:r>
      <w:r>
        <w:rPr>
          <w:rStyle w:val="AERbody"/>
        </w:rPr>
        <w:instrText xml:space="preserve"> REF _Ref414366942 \h </w:instrText>
      </w:r>
      <w:r>
        <w:rPr>
          <w:rStyle w:val="AERbody"/>
        </w:rPr>
      </w:r>
      <w:r>
        <w:rPr>
          <w:rStyle w:val="AERbody"/>
        </w:rPr>
        <w:fldChar w:fldCharType="separate"/>
      </w:r>
      <w:r w:rsidR="005E73B8">
        <w:t xml:space="preserve">Table </w:t>
      </w:r>
      <w:r w:rsidR="005E73B8">
        <w:rPr>
          <w:noProof/>
        </w:rPr>
        <w:t>16</w:t>
      </w:r>
      <w:r w:rsidR="005E73B8">
        <w:t>.</w:t>
      </w:r>
      <w:r w:rsidR="005E73B8">
        <w:rPr>
          <w:noProof/>
        </w:rPr>
        <w:t>8</w:t>
      </w:r>
      <w:r>
        <w:rPr>
          <w:rStyle w:val="AERbody"/>
        </w:rPr>
        <w:fldChar w:fldCharType="end"/>
      </w:r>
      <w:r>
        <w:rPr>
          <w:rStyle w:val="AERbody"/>
        </w:rPr>
        <w:t xml:space="preserve"> sets out Energex's proposed charges in each year of the 2015–20 regulatory period.</w:t>
      </w:r>
    </w:p>
    <w:p w:rsidR="00DE752C" w:rsidRDefault="00DE752C" w:rsidP="00DE752C">
      <w:pPr>
        <w:pStyle w:val="Caption"/>
      </w:pPr>
      <w:bookmarkStart w:id="78" w:name="_Ref414366942"/>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8</w:t>
        </w:r>
      </w:fldSimple>
      <w:bookmarkEnd w:id="78"/>
      <w:r>
        <w:t xml:space="preserve"> - Proposed annual metering service charges</w:t>
      </w:r>
    </w:p>
    <w:tbl>
      <w:tblPr>
        <w:tblStyle w:val="AERtable-numbers"/>
        <w:tblW w:w="0" w:type="auto"/>
        <w:tblLook w:val="04A0" w:firstRow="1" w:lastRow="0" w:firstColumn="1" w:lastColumn="0" w:noHBand="0" w:noVBand="1"/>
      </w:tblPr>
      <w:tblGrid>
        <w:gridCol w:w="1490"/>
        <w:gridCol w:w="1441"/>
        <w:gridCol w:w="1440"/>
        <w:gridCol w:w="1440"/>
        <w:gridCol w:w="1441"/>
        <w:gridCol w:w="1441"/>
      </w:tblGrid>
      <w:tr w:rsidR="00DE752C"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DE752C" w:rsidRPr="00DE752C" w:rsidRDefault="00DE752C" w:rsidP="00DE752C">
            <w:pPr>
              <w:pStyle w:val="AERtabletextleft"/>
            </w:pPr>
            <w:r w:rsidRPr="0086544B">
              <w:t xml:space="preserve"> $/year, nominal</w:t>
            </w:r>
          </w:p>
        </w:tc>
        <w:tc>
          <w:tcPr>
            <w:tcW w:w="1540" w:type="dxa"/>
          </w:tcPr>
          <w:p w:rsidR="00DE752C" w:rsidRPr="00DE752C" w:rsidRDefault="00DE752C" w:rsidP="00DE752C">
            <w:pPr>
              <w:pStyle w:val="AERtabletextright"/>
              <w:cnfStyle w:val="100000000000" w:firstRow="1" w:lastRow="0" w:firstColumn="0" w:lastColumn="0" w:oddVBand="0" w:evenVBand="0" w:oddHBand="0" w:evenHBand="0" w:firstRowFirstColumn="0" w:firstRowLastColumn="0" w:lastRowFirstColumn="0" w:lastRowLastColumn="0"/>
              <w:rPr>
                <w:rStyle w:val="AERbody"/>
              </w:rPr>
            </w:pPr>
            <w:r w:rsidRPr="00857F3D">
              <w:t>2015-16</w:t>
            </w:r>
          </w:p>
        </w:tc>
        <w:tc>
          <w:tcPr>
            <w:tcW w:w="1540" w:type="dxa"/>
          </w:tcPr>
          <w:p w:rsidR="00DE752C" w:rsidRPr="00DE752C" w:rsidRDefault="00DE752C" w:rsidP="00DE752C">
            <w:pPr>
              <w:pStyle w:val="AERtabletextright"/>
              <w:cnfStyle w:val="100000000000" w:firstRow="1" w:lastRow="0" w:firstColumn="0" w:lastColumn="0" w:oddVBand="0" w:evenVBand="0" w:oddHBand="0" w:evenHBand="0" w:firstRowFirstColumn="0" w:firstRowLastColumn="0" w:lastRowFirstColumn="0" w:lastRowLastColumn="0"/>
              <w:rPr>
                <w:rStyle w:val="AERbody"/>
              </w:rPr>
            </w:pPr>
            <w:r w:rsidRPr="00857F3D">
              <w:t>2016-17</w:t>
            </w:r>
          </w:p>
        </w:tc>
        <w:tc>
          <w:tcPr>
            <w:tcW w:w="1540" w:type="dxa"/>
          </w:tcPr>
          <w:p w:rsidR="00DE752C" w:rsidRPr="00DE752C" w:rsidRDefault="00DE752C" w:rsidP="00DE752C">
            <w:pPr>
              <w:pStyle w:val="AERtabletextright"/>
              <w:cnfStyle w:val="100000000000" w:firstRow="1" w:lastRow="0" w:firstColumn="0" w:lastColumn="0" w:oddVBand="0" w:evenVBand="0" w:oddHBand="0" w:evenHBand="0" w:firstRowFirstColumn="0" w:firstRowLastColumn="0" w:lastRowFirstColumn="0" w:lastRowLastColumn="0"/>
              <w:rPr>
                <w:rStyle w:val="AERbody"/>
              </w:rPr>
            </w:pPr>
            <w:r w:rsidRPr="00857F3D">
              <w:t>2017-18</w:t>
            </w:r>
          </w:p>
        </w:tc>
        <w:tc>
          <w:tcPr>
            <w:tcW w:w="1541" w:type="dxa"/>
          </w:tcPr>
          <w:p w:rsidR="00DE752C" w:rsidRPr="00DE752C" w:rsidRDefault="00DE752C" w:rsidP="00DE752C">
            <w:pPr>
              <w:pStyle w:val="AERtabletextright"/>
              <w:cnfStyle w:val="100000000000" w:firstRow="1" w:lastRow="0" w:firstColumn="0" w:lastColumn="0" w:oddVBand="0" w:evenVBand="0" w:oddHBand="0" w:evenHBand="0" w:firstRowFirstColumn="0" w:firstRowLastColumn="0" w:lastRowFirstColumn="0" w:lastRowLastColumn="0"/>
              <w:rPr>
                <w:rStyle w:val="AERbody"/>
              </w:rPr>
            </w:pPr>
            <w:r w:rsidRPr="00857F3D">
              <w:t>2018-19</w:t>
            </w:r>
          </w:p>
        </w:tc>
        <w:tc>
          <w:tcPr>
            <w:tcW w:w="1541" w:type="dxa"/>
          </w:tcPr>
          <w:p w:rsidR="00DE752C" w:rsidRPr="00DE752C" w:rsidRDefault="00DE752C" w:rsidP="00DE752C">
            <w:pPr>
              <w:pStyle w:val="AERtabletextright"/>
              <w:cnfStyle w:val="100000000000" w:firstRow="1" w:lastRow="0" w:firstColumn="0" w:lastColumn="0" w:oddVBand="0" w:evenVBand="0" w:oddHBand="0" w:evenHBand="0" w:firstRowFirstColumn="0" w:firstRowLastColumn="0" w:lastRowFirstColumn="0" w:lastRowLastColumn="0"/>
              <w:rPr>
                <w:rStyle w:val="AERbody"/>
              </w:rPr>
            </w:pPr>
            <w:r w:rsidRPr="00857F3D">
              <w:t>2019-20</w:t>
            </w:r>
          </w:p>
        </w:tc>
      </w:tr>
      <w:tr w:rsidR="00DE752C" w:rsidTr="00F10F02">
        <w:tc>
          <w:tcPr>
            <w:cnfStyle w:val="001000000000" w:firstRow="0" w:lastRow="0" w:firstColumn="1" w:lastColumn="0" w:oddVBand="0" w:evenVBand="0" w:oddHBand="0" w:evenHBand="0" w:firstRowFirstColumn="0" w:firstRowLastColumn="0" w:lastRowFirstColumn="0" w:lastRowLastColumn="0"/>
            <w:tcW w:w="1540" w:type="dxa"/>
          </w:tcPr>
          <w:p w:rsidR="00DE752C" w:rsidRPr="00DE752C" w:rsidRDefault="00DE752C" w:rsidP="00DE752C">
            <w:pPr>
              <w:pStyle w:val="AERtabletextleft"/>
            </w:pPr>
            <w:r w:rsidRPr="0086544B">
              <w:t xml:space="preserve">Primary tariff </w:t>
            </w:r>
          </w:p>
        </w:tc>
        <w:tc>
          <w:tcPr>
            <w:tcW w:w="1540"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 xml:space="preserve">39.17 </w:t>
            </w:r>
          </w:p>
        </w:tc>
        <w:tc>
          <w:tcPr>
            <w:tcW w:w="1540"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 xml:space="preserve">40.49 </w:t>
            </w:r>
          </w:p>
        </w:tc>
        <w:tc>
          <w:tcPr>
            <w:tcW w:w="1540"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 xml:space="preserve">41.86 </w:t>
            </w:r>
          </w:p>
        </w:tc>
        <w:tc>
          <w:tcPr>
            <w:tcW w:w="1541"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 xml:space="preserve">43.27 </w:t>
            </w:r>
          </w:p>
        </w:tc>
        <w:tc>
          <w:tcPr>
            <w:tcW w:w="1541"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44.73</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DE752C" w:rsidRPr="00DE752C" w:rsidRDefault="00DE752C" w:rsidP="00DE752C">
            <w:pPr>
              <w:pStyle w:val="AERtabletextleft"/>
            </w:pPr>
            <w:r w:rsidRPr="0086544B">
              <w:t xml:space="preserve">Controlled load </w:t>
            </w:r>
          </w:p>
        </w:tc>
        <w:tc>
          <w:tcPr>
            <w:tcW w:w="1540" w:type="dxa"/>
          </w:tcPr>
          <w:p w:rsidR="00DE752C" w:rsidRPr="00DE752C" w:rsidRDefault="00DE752C" w:rsidP="00DE752C">
            <w:pPr>
              <w:pStyle w:val="AERtabletextright"/>
              <w:cnfStyle w:val="000000010000" w:firstRow="0" w:lastRow="0" w:firstColumn="0" w:lastColumn="0" w:oddVBand="0" w:evenVBand="0" w:oddHBand="0" w:evenHBand="1" w:firstRowFirstColumn="0" w:firstRowLastColumn="0" w:lastRowFirstColumn="0" w:lastRowLastColumn="0"/>
              <w:rPr>
                <w:rStyle w:val="AERbody"/>
              </w:rPr>
            </w:pPr>
            <w:r w:rsidRPr="00857F3D">
              <w:t xml:space="preserve">11.75 </w:t>
            </w:r>
          </w:p>
        </w:tc>
        <w:tc>
          <w:tcPr>
            <w:tcW w:w="1540" w:type="dxa"/>
          </w:tcPr>
          <w:p w:rsidR="00DE752C" w:rsidRPr="00DE752C" w:rsidRDefault="00DE752C" w:rsidP="00DE752C">
            <w:pPr>
              <w:pStyle w:val="AERtabletextright"/>
              <w:cnfStyle w:val="000000010000" w:firstRow="0" w:lastRow="0" w:firstColumn="0" w:lastColumn="0" w:oddVBand="0" w:evenVBand="0" w:oddHBand="0" w:evenHBand="1" w:firstRowFirstColumn="0" w:firstRowLastColumn="0" w:lastRowFirstColumn="0" w:lastRowLastColumn="0"/>
              <w:rPr>
                <w:rStyle w:val="AERbody"/>
              </w:rPr>
            </w:pPr>
            <w:r w:rsidRPr="00857F3D">
              <w:t xml:space="preserve">12.15 </w:t>
            </w:r>
          </w:p>
        </w:tc>
        <w:tc>
          <w:tcPr>
            <w:tcW w:w="1540" w:type="dxa"/>
          </w:tcPr>
          <w:p w:rsidR="00DE752C" w:rsidRPr="00DE752C" w:rsidRDefault="00DE752C" w:rsidP="00DE752C">
            <w:pPr>
              <w:pStyle w:val="AERtabletextright"/>
              <w:cnfStyle w:val="000000010000" w:firstRow="0" w:lastRow="0" w:firstColumn="0" w:lastColumn="0" w:oddVBand="0" w:evenVBand="0" w:oddHBand="0" w:evenHBand="1" w:firstRowFirstColumn="0" w:firstRowLastColumn="0" w:lastRowFirstColumn="0" w:lastRowLastColumn="0"/>
              <w:rPr>
                <w:rStyle w:val="AERbody"/>
              </w:rPr>
            </w:pPr>
            <w:r w:rsidRPr="00857F3D">
              <w:t xml:space="preserve">12.56 </w:t>
            </w:r>
          </w:p>
        </w:tc>
        <w:tc>
          <w:tcPr>
            <w:tcW w:w="1541" w:type="dxa"/>
          </w:tcPr>
          <w:p w:rsidR="00DE752C" w:rsidRPr="00DE752C" w:rsidRDefault="00DE752C" w:rsidP="00DE752C">
            <w:pPr>
              <w:pStyle w:val="AERtabletextright"/>
              <w:cnfStyle w:val="000000010000" w:firstRow="0" w:lastRow="0" w:firstColumn="0" w:lastColumn="0" w:oddVBand="0" w:evenVBand="0" w:oddHBand="0" w:evenHBand="1" w:firstRowFirstColumn="0" w:firstRowLastColumn="0" w:lastRowFirstColumn="0" w:lastRowLastColumn="0"/>
              <w:rPr>
                <w:rStyle w:val="AERbody"/>
              </w:rPr>
            </w:pPr>
            <w:r w:rsidRPr="00857F3D">
              <w:t xml:space="preserve">12.98 </w:t>
            </w:r>
          </w:p>
        </w:tc>
        <w:tc>
          <w:tcPr>
            <w:tcW w:w="1541" w:type="dxa"/>
          </w:tcPr>
          <w:p w:rsidR="00DE752C" w:rsidRPr="00DE752C" w:rsidRDefault="00DE752C" w:rsidP="00DE752C">
            <w:pPr>
              <w:pStyle w:val="AERtabletextright"/>
              <w:cnfStyle w:val="000000010000" w:firstRow="0" w:lastRow="0" w:firstColumn="0" w:lastColumn="0" w:oddVBand="0" w:evenVBand="0" w:oddHBand="0" w:evenHBand="1" w:firstRowFirstColumn="0" w:firstRowLastColumn="0" w:lastRowFirstColumn="0" w:lastRowLastColumn="0"/>
              <w:rPr>
                <w:rStyle w:val="AERbody"/>
              </w:rPr>
            </w:pPr>
            <w:r w:rsidRPr="00857F3D">
              <w:t>13.42</w:t>
            </w:r>
          </w:p>
        </w:tc>
      </w:tr>
      <w:tr w:rsidR="00DE752C" w:rsidTr="00F10F02">
        <w:tc>
          <w:tcPr>
            <w:cnfStyle w:val="001000000000" w:firstRow="0" w:lastRow="0" w:firstColumn="1" w:lastColumn="0" w:oddVBand="0" w:evenVBand="0" w:oddHBand="0" w:evenHBand="0" w:firstRowFirstColumn="0" w:firstRowLastColumn="0" w:lastRowFirstColumn="0" w:lastRowLastColumn="0"/>
            <w:tcW w:w="1540" w:type="dxa"/>
          </w:tcPr>
          <w:p w:rsidR="00DE752C" w:rsidRPr="00DE752C" w:rsidRDefault="00DE752C" w:rsidP="00DE752C">
            <w:pPr>
              <w:pStyle w:val="AERtabletextleft"/>
            </w:pPr>
            <w:r w:rsidRPr="0086544B">
              <w:t xml:space="preserve">Solar PV </w:t>
            </w:r>
          </w:p>
        </w:tc>
        <w:tc>
          <w:tcPr>
            <w:tcW w:w="1540"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 xml:space="preserve">27.42 </w:t>
            </w:r>
          </w:p>
        </w:tc>
        <w:tc>
          <w:tcPr>
            <w:tcW w:w="1540"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 xml:space="preserve">28.34 </w:t>
            </w:r>
          </w:p>
        </w:tc>
        <w:tc>
          <w:tcPr>
            <w:tcW w:w="1540"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 xml:space="preserve">29.30 </w:t>
            </w:r>
          </w:p>
        </w:tc>
        <w:tc>
          <w:tcPr>
            <w:tcW w:w="1541"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 xml:space="preserve">30.29 </w:t>
            </w:r>
          </w:p>
        </w:tc>
        <w:tc>
          <w:tcPr>
            <w:tcW w:w="1541" w:type="dxa"/>
          </w:tcPr>
          <w:p w:rsidR="00DE752C" w:rsidRPr="00DE752C" w:rsidRDefault="00DE752C" w:rsidP="00DE752C">
            <w:pPr>
              <w:pStyle w:val="AERtabletextright"/>
              <w:cnfStyle w:val="000000000000" w:firstRow="0" w:lastRow="0" w:firstColumn="0" w:lastColumn="0" w:oddVBand="0" w:evenVBand="0" w:oddHBand="0" w:evenHBand="0" w:firstRowFirstColumn="0" w:firstRowLastColumn="0" w:lastRowFirstColumn="0" w:lastRowLastColumn="0"/>
              <w:rPr>
                <w:rStyle w:val="AERbody"/>
              </w:rPr>
            </w:pPr>
            <w:r w:rsidRPr="00857F3D">
              <w:t>31.31</w:t>
            </w:r>
          </w:p>
        </w:tc>
      </w:tr>
    </w:tbl>
    <w:p w:rsidR="00DE752C" w:rsidRPr="00840D40" w:rsidRDefault="00DE752C" w:rsidP="00DE752C">
      <w:pPr>
        <w:pStyle w:val="AERtablesource"/>
      </w:pPr>
      <w:r w:rsidRPr="00840D40">
        <w:t xml:space="preserve">Source: </w:t>
      </w:r>
      <w:r>
        <w:tab/>
      </w:r>
      <w:r w:rsidRPr="00840D40">
        <w:t xml:space="preserve">Energex, </w:t>
      </w:r>
      <w:r w:rsidRPr="00840D40">
        <w:rPr>
          <w:rStyle w:val="AERtextitalic"/>
        </w:rPr>
        <w:t>Regulatory Proposal for the 2015–20 regulatory control period</w:t>
      </w:r>
      <w:r w:rsidRPr="00840D40">
        <w:t>, October 2014, p 278, table 25.11</w:t>
      </w:r>
    </w:p>
    <w:p w:rsidR="00DE752C" w:rsidRPr="00CF21A7" w:rsidRDefault="00DE752C" w:rsidP="00DE752C">
      <w:r>
        <w:t xml:space="preserve">Energex used a limited building block approach to determine the revenue requirements that are the basis for the proposed price caps in </w:t>
      </w:r>
      <w:r>
        <w:fldChar w:fldCharType="begin"/>
      </w:r>
      <w:r>
        <w:instrText xml:space="preserve"> REF _Ref414366942 \h </w:instrText>
      </w:r>
      <w:r>
        <w:fldChar w:fldCharType="separate"/>
      </w:r>
      <w:r w:rsidR="005E73B8">
        <w:t xml:space="preserve">Table </w:t>
      </w:r>
      <w:r w:rsidR="005E73B8">
        <w:rPr>
          <w:noProof/>
        </w:rPr>
        <w:t>16</w:t>
      </w:r>
      <w:r w:rsidR="005E73B8">
        <w:t>.</w:t>
      </w:r>
      <w:r w:rsidR="005E73B8">
        <w:rPr>
          <w:noProof/>
        </w:rPr>
        <w:t>8</w:t>
      </w:r>
      <w:r>
        <w:fldChar w:fldCharType="end"/>
      </w:r>
      <w:r>
        <w:t xml:space="preserve">. The proposed building block components are shown in </w:t>
      </w:r>
      <w:r>
        <w:fldChar w:fldCharType="begin"/>
      </w:r>
      <w:r>
        <w:instrText xml:space="preserve"> REF _Ref409189063 \h </w:instrText>
      </w:r>
      <w:r>
        <w:fldChar w:fldCharType="separate"/>
      </w:r>
      <w:r w:rsidR="005E73B8">
        <w:t xml:space="preserve">Table </w:t>
      </w:r>
      <w:r w:rsidR="005E73B8">
        <w:rPr>
          <w:noProof/>
        </w:rPr>
        <w:t>16</w:t>
      </w:r>
      <w:r w:rsidR="005E73B8">
        <w:t>.</w:t>
      </w:r>
      <w:r w:rsidR="005E73B8">
        <w:rPr>
          <w:noProof/>
        </w:rPr>
        <w:t>9</w:t>
      </w:r>
      <w:r>
        <w:fldChar w:fldCharType="end"/>
      </w:r>
      <w:r>
        <w:t xml:space="preserve">. </w:t>
      </w:r>
    </w:p>
    <w:p w:rsidR="00DE752C" w:rsidRDefault="00DE752C" w:rsidP="00DE752C">
      <w:pPr>
        <w:pStyle w:val="Caption"/>
      </w:pPr>
      <w:bookmarkStart w:id="79" w:name="_Ref409189063"/>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9</w:t>
        </w:r>
      </w:fldSimple>
      <w:bookmarkEnd w:id="79"/>
      <w:r>
        <w:t xml:space="preserve"> - Building block components for annual metering service charges</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DE752C" w:rsidTr="009C1B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8" w:type="dxa"/>
          </w:tcPr>
          <w:p w:rsidR="00DE752C" w:rsidRPr="00DE752C" w:rsidRDefault="00DE752C" w:rsidP="00DE752C">
            <w:pPr>
              <w:pStyle w:val="Tabletext"/>
            </w:pPr>
            <w:r w:rsidRPr="0037396F">
              <w:t xml:space="preserve"> $</w:t>
            </w:r>
            <w:r w:rsidRPr="00DE752C">
              <w:t>m, nominal</w:t>
            </w:r>
          </w:p>
        </w:tc>
        <w:tc>
          <w:tcPr>
            <w:tcW w:w="1449" w:type="dxa"/>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2015-16</w:t>
            </w:r>
          </w:p>
        </w:tc>
        <w:tc>
          <w:tcPr>
            <w:tcW w:w="1449" w:type="dxa"/>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2016-17</w:t>
            </w:r>
          </w:p>
        </w:tc>
        <w:tc>
          <w:tcPr>
            <w:tcW w:w="1449" w:type="dxa"/>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2017-18</w:t>
            </w:r>
          </w:p>
        </w:tc>
        <w:tc>
          <w:tcPr>
            <w:tcW w:w="1449" w:type="dxa"/>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2018-19</w:t>
            </w:r>
          </w:p>
        </w:tc>
        <w:tc>
          <w:tcPr>
            <w:tcW w:w="1449" w:type="dxa"/>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2019-20</w:t>
            </w:r>
          </w:p>
        </w:tc>
      </w:tr>
      <w:tr w:rsidR="00DE752C" w:rsidTr="00F10F02">
        <w:tc>
          <w:tcPr>
            <w:cnfStyle w:val="001000000000" w:firstRow="0" w:lastRow="0" w:firstColumn="1" w:lastColumn="0" w:oddVBand="0" w:evenVBand="0" w:oddHBand="0" w:evenHBand="0" w:firstRowFirstColumn="0" w:firstRowLastColumn="0" w:lastRowFirstColumn="0" w:lastRowLastColumn="0"/>
            <w:tcW w:w="1448" w:type="dxa"/>
          </w:tcPr>
          <w:p w:rsidR="00DE752C" w:rsidRPr="00DE752C" w:rsidRDefault="00DE752C" w:rsidP="00DE752C">
            <w:pPr>
              <w:pStyle w:val="Tabletext"/>
            </w:pPr>
            <w:r w:rsidRPr="002E4A3B">
              <w:t>Return on capital</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rsidRPr="002E4A3B">
              <w:t>33.</w:t>
            </w:r>
            <w:r w:rsidRPr="00DE752C">
              <w:t>8</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rsidRPr="002E4A3B">
              <w:t>34.1</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rsidRPr="002E4A3B">
              <w:t>34.</w:t>
            </w:r>
            <w:r w:rsidRPr="00DE752C">
              <w:t>4</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rsidRPr="002E4A3B">
              <w:t>34.6</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rsidRPr="002E4A3B">
              <w:t>34.</w:t>
            </w:r>
            <w:r w:rsidRPr="00DE752C">
              <w:t>9</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E752C" w:rsidRPr="00DE752C" w:rsidRDefault="00DE752C" w:rsidP="00DE752C">
            <w:pPr>
              <w:pStyle w:val="Tabletext"/>
            </w:pPr>
            <w:r w:rsidRPr="002E4A3B">
              <w:t>Return of capital</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20.0</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22.7</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25.</w:t>
            </w:r>
            <w:r w:rsidRPr="00DE752C">
              <w:t>8</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28.9</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32.</w:t>
            </w:r>
            <w:r w:rsidRPr="00DE752C">
              <w:t>3</w:t>
            </w:r>
          </w:p>
        </w:tc>
      </w:tr>
      <w:tr w:rsidR="00DE752C" w:rsidTr="00F10F02">
        <w:tc>
          <w:tcPr>
            <w:cnfStyle w:val="001000000000" w:firstRow="0" w:lastRow="0" w:firstColumn="1" w:lastColumn="0" w:oddVBand="0" w:evenVBand="0" w:oddHBand="0" w:evenHBand="0" w:firstRowFirstColumn="0" w:firstRowLastColumn="0" w:lastRowFirstColumn="0" w:lastRowLastColumn="0"/>
            <w:tcW w:w="1448" w:type="dxa"/>
          </w:tcPr>
          <w:p w:rsidR="00DE752C" w:rsidRPr="00DE752C" w:rsidRDefault="00DE752C" w:rsidP="00DE752C">
            <w:pPr>
              <w:pStyle w:val="Tabletext"/>
            </w:pPr>
            <w:proofErr w:type="spellStart"/>
            <w:r w:rsidRPr="002E4A3B">
              <w:t>O</w:t>
            </w:r>
            <w:r w:rsidRPr="00DE752C">
              <w:t>pex</w:t>
            </w:r>
            <w:proofErr w:type="spellEnd"/>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rsidRPr="002E4A3B">
              <w:t>16.</w:t>
            </w:r>
            <w:r w:rsidRPr="00DE752C">
              <w:t>7</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16.7</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rsidRPr="002E4A3B">
              <w:t>17.0</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rsidRPr="002E4A3B">
              <w:t>17.7</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18</w:t>
            </w:r>
            <w:r w:rsidRPr="00DE752C">
              <w:t>.0</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DE752C" w:rsidRPr="00DE752C" w:rsidRDefault="00DE752C" w:rsidP="00DE752C">
            <w:pPr>
              <w:pStyle w:val="Tabletext"/>
            </w:pPr>
            <w:r>
              <w:lastRenderedPageBreak/>
              <w:t>Tax allowance</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1.</w:t>
            </w:r>
            <w:r w:rsidRPr="00DE752C">
              <w:t>7</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2.</w:t>
            </w:r>
            <w:r w:rsidRPr="00DE752C">
              <w:t>2</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2.7</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3.</w:t>
            </w:r>
            <w:r w:rsidRPr="00DE752C">
              <w:t>3</w:t>
            </w:r>
          </w:p>
        </w:tc>
        <w:tc>
          <w:tcPr>
            <w:tcW w:w="1449" w:type="dxa"/>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rsidRPr="002E4A3B">
              <w:t>3.9</w:t>
            </w:r>
          </w:p>
        </w:tc>
      </w:tr>
      <w:tr w:rsidR="00DE752C" w:rsidTr="00F10F02">
        <w:tc>
          <w:tcPr>
            <w:cnfStyle w:val="001000000000" w:firstRow="0" w:lastRow="0" w:firstColumn="1" w:lastColumn="0" w:oddVBand="0" w:evenVBand="0" w:oddHBand="0" w:evenHBand="0" w:firstRowFirstColumn="0" w:firstRowLastColumn="0" w:lastRowFirstColumn="0" w:lastRowLastColumn="0"/>
            <w:tcW w:w="1448" w:type="dxa"/>
          </w:tcPr>
          <w:p w:rsidR="00DE752C" w:rsidRPr="00DE752C" w:rsidRDefault="00DE752C" w:rsidP="00DE752C">
            <w:pPr>
              <w:pStyle w:val="Tabletext"/>
              <w:rPr>
                <w:rStyle w:val="Strong"/>
              </w:rPr>
            </w:pPr>
            <w:r>
              <w:rPr>
                <w:rStyle w:val="Strong"/>
              </w:rPr>
              <w:t>Unsmoothed revenue requirement</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CF21A7">
              <w:rPr>
                <w:rStyle w:val="Strong"/>
              </w:rPr>
              <w:t>72.1</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CF21A7">
              <w:rPr>
                <w:rStyle w:val="Strong"/>
              </w:rPr>
              <w:t>75.</w:t>
            </w:r>
            <w:r w:rsidRPr="00DE752C">
              <w:rPr>
                <w:rStyle w:val="Strong"/>
              </w:rPr>
              <w:t>7</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CF21A7">
              <w:rPr>
                <w:rStyle w:val="Strong"/>
              </w:rPr>
              <w:t>79.</w:t>
            </w:r>
            <w:r w:rsidRPr="00DE752C">
              <w:rPr>
                <w:rStyle w:val="Strong"/>
              </w:rPr>
              <w:t>9</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CF21A7">
              <w:rPr>
                <w:rStyle w:val="Strong"/>
              </w:rPr>
              <w:t>84.</w:t>
            </w:r>
            <w:r w:rsidRPr="00DE752C">
              <w:rPr>
                <w:rStyle w:val="Strong"/>
              </w:rPr>
              <w:t>5</w:t>
            </w:r>
          </w:p>
        </w:tc>
        <w:tc>
          <w:tcPr>
            <w:tcW w:w="1449" w:type="dxa"/>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rPr>
                <w:rStyle w:val="Strong"/>
              </w:rPr>
            </w:pPr>
            <w:r w:rsidRPr="00CF21A7">
              <w:rPr>
                <w:rStyle w:val="Strong"/>
              </w:rPr>
              <w:t>89.1</w:t>
            </w:r>
          </w:p>
        </w:tc>
      </w:tr>
    </w:tbl>
    <w:p w:rsidR="00DE752C" w:rsidRPr="0086544B" w:rsidRDefault="00DE752C" w:rsidP="00DE752C">
      <w:pPr>
        <w:pStyle w:val="AERtablesource"/>
      </w:pPr>
      <w:r w:rsidRPr="0086544B">
        <w:t xml:space="preserve">Source: </w:t>
      </w:r>
      <w:r>
        <w:tab/>
      </w:r>
      <w:r w:rsidRPr="0086544B">
        <w:t xml:space="preserve">Energex, </w:t>
      </w:r>
      <w:r w:rsidRPr="00840D40">
        <w:rPr>
          <w:rStyle w:val="AERtextitalic"/>
        </w:rPr>
        <w:t>Regulatory Proposal for the 2015–20 regulatory control period</w:t>
      </w:r>
      <w:r w:rsidRPr="0086544B">
        <w:t>, October 2014, p. 276, table 25.9</w:t>
      </w:r>
    </w:p>
    <w:p w:rsidR="00DE752C" w:rsidRDefault="00DE752C" w:rsidP="00DE752C">
      <w:r>
        <w:t>Previously, all Type 6 metering assets were included in the RAB for standard control services. From 1 July 2015, Type 6 metering assets and supporting assets will be separated out into a MAB. Energex proposed an opening MAB value of $435.9 million.</w:t>
      </w:r>
      <w:r>
        <w:rPr>
          <w:rStyle w:val="FootnoteReference"/>
        </w:rPr>
        <w:footnoteReference w:id="34"/>
      </w:r>
    </w:p>
    <w:p w:rsidR="00DE752C" w:rsidRDefault="00DE752C" w:rsidP="00DE752C">
      <w:r>
        <w:t>Energex have adopted straight line depreciation. Existing electronic (advanced) and electro-mechanical (accumulation) meter assets are assumed to have 15 year remaining lives.</w:t>
      </w:r>
      <w:r>
        <w:rPr>
          <w:rStyle w:val="FootnoteReference"/>
        </w:rPr>
        <w:footnoteReference w:id="35"/>
      </w:r>
      <w:r>
        <w:t xml:space="preserve"> Energex proposes to install only electronic meters in the forthcoming regulatory period and these new meters are assumed to have a 15 year standard life.</w:t>
      </w:r>
      <w:r>
        <w:rPr>
          <w:rStyle w:val="FootnoteReference"/>
        </w:rPr>
        <w:footnoteReference w:id="36"/>
      </w:r>
      <w:r>
        <w:t xml:space="preserve"> </w:t>
      </w:r>
    </w:p>
    <w:p w:rsidR="00DE752C" w:rsidRDefault="00DE752C" w:rsidP="00DE752C">
      <w:r>
        <w:t>The proposed forecast capex is all inclusive for the installation and hardware associated with new connections, alterations and additions (excluding solar PV), upgrades of meter for solar PV and replacement.</w:t>
      </w:r>
      <w:r>
        <w:rPr>
          <w:rStyle w:val="FootnoteReference"/>
        </w:rPr>
        <w:footnoteReference w:id="37"/>
      </w:r>
      <w:r>
        <w:t xml:space="preserve"> All meters installed by Energex will be 'advanced meters' i.e. meters capable of being upgraded to a Type 4 remotely read meter. </w:t>
      </w:r>
      <w:r w:rsidRPr="00F1564A">
        <w:rPr>
          <w:rStyle w:val="AERbody"/>
        </w:rPr>
        <w:t xml:space="preserve"> </w:t>
      </w:r>
      <w:r>
        <w:rPr>
          <w:rStyle w:val="AERbody"/>
        </w:rPr>
        <w:t>Energex have proposed replacing 200 000 meters that belong to meter populations that have unacceptable error proportions according to sampling it has undertaken.</w:t>
      </w:r>
      <w:r>
        <w:rPr>
          <w:rStyle w:val="FootnoteReference"/>
        </w:rPr>
        <w:footnoteReference w:id="38"/>
      </w:r>
      <w:r>
        <w:rPr>
          <w:rStyle w:val="AERbody"/>
        </w:rPr>
        <w:t xml:space="preserve"> </w:t>
      </w:r>
    </w:p>
    <w:p w:rsidR="00DE752C" w:rsidRDefault="00DE752C" w:rsidP="00DE752C">
      <w:r>
        <w:t xml:space="preserve">Forecast </w:t>
      </w:r>
      <w:proofErr w:type="spellStart"/>
      <w:r>
        <w:t>opex</w:t>
      </w:r>
      <w:proofErr w:type="spellEnd"/>
      <w:r>
        <w:t xml:space="preserve"> was developed using base-step-trend methodology.</w:t>
      </w:r>
      <w:r>
        <w:rPr>
          <w:rStyle w:val="FootnoteReference"/>
        </w:rPr>
        <w:footnoteReference w:id="39"/>
      </w:r>
      <w:r>
        <w:t xml:space="preserve"> Revealed costs from a single base year, 2012-13, were used to determine the base. No step changes were applied.</w:t>
      </w:r>
      <w:r>
        <w:rPr>
          <w:rStyle w:val="FootnoteReference"/>
        </w:rPr>
        <w:footnoteReference w:id="40"/>
      </w:r>
      <w:r>
        <w:t xml:space="preserve"> This was trended forward by a factor of 1.7 per cent to account for a scaled output driver, cost escalation driver and an efficiency factor.</w:t>
      </w:r>
      <w:r>
        <w:rPr>
          <w:rStyle w:val="FootnoteReference"/>
        </w:rPr>
        <w:footnoteReference w:id="41"/>
      </w:r>
      <w:r>
        <w:t xml:space="preserve"> </w:t>
      </w:r>
    </w:p>
    <w:p w:rsidR="00DE752C" w:rsidRPr="00DC1067" w:rsidRDefault="00DE752C" w:rsidP="00DE752C">
      <w:r>
        <w:t>Energex proposed limited demand growth of around 0.4 to 1.5 percent annually over the 2015–20 regulatory control period.</w:t>
      </w:r>
      <w:r>
        <w:rPr>
          <w:rStyle w:val="FootnoteReference"/>
        </w:rPr>
        <w:footnoteReference w:id="42"/>
      </w:r>
      <w:r>
        <w:t xml:space="preserve"> This is due to forecast growth in metering services for new connections, alterations and additions (excluding solar PV) and replacement but a reduction in upgrade of meters for solar PV.</w:t>
      </w:r>
      <w:r>
        <w:rPr>
          <w:rStyle w:val="FootnoteReference"/>
        </w:rPr>
        <w:footnoteReference w:id="43"/>
      </w:r>
      <w:r>
        <w:t xml:space="preserve"> Energex have not </w:t>
      </w:r>
      <w:r>
        <w:lastRenderedPageBreak/>
        <w:t>forecast meter churn due to the uncertainty surrounding the development of contestability in metering. Instead, it proposed to make annual adjustments based on actual churn through the annual pricing process.</w:t>
      </w:r>
      <w:r>
        <w:rPr>
          <w:rStyle w:val="FootnoteReference"/>
        </w:rPr>
        <w:footnoteReference w:id="44"/>
      </w:r>
      <w:r>
        <w:t xml:space="preserve">  </w:t>
      </w:r>
    </w:p>
    <w:p w:rsidR="00DE752C" w:rsidRPr="002B0550" w:rsidRDefault="00691C1E" w:rsidP="00DE752C">
      <w:pPr>
        <w:pStyle w:val="Heading4"/>
      </w:pPr>
      <w:bookmarkStart w:id="80" w:name="_Toc417738237"/>
      <w:bookmarkStart w:id="81" w:name="_Toc417927699"/>
      <w:r>
        <w:t>Metering e</w:t>
      </w:r>
      <w:r w:rsidR="00DE752C" w:rsidRPr="002B0550">
        <w:t>xit fee</w:t>
      </w:r>
      <w:bookmarkEnd w:id="80"/>
      <w:bookmarkEnd w:id="81"/>
      <w:r w:rsidR="00DE752C" w:rsidRPr="002B0550">
        <w:t xml:space="preserve"> </w:t>
      </w:r>
    </w:p>
    <w:p w:rsidR="00DE752C" w:rsidRDefault="00DE752C" w:rsidP="00DE752C">
      <w:pPr>
        <w:numPr>
          <w:ilvl w:val="0"/>
          <w:numId w:val="25"/>
        </w:numPr>
        <w:rPr>
          <w:rStyle w:val="Strong"/>
        </w:rPr>
      </w:pPr>
      <w:r>
        <w:rPr>
          <w:rStyle w:val="AERbody"/>
        </w:rPr>
        <w:t xml:space="preserve">Energex have proposed three exit fees that will apply if a customer wants to change metering providers. </w:t>
      </w:r>
    </w:p>
    <w:p w:rsidR="00DE752C" w:rsidRDefault="00DE752C" w:rsidP="00DE752C">
      <w:pPr>
        <w:pStyle w:val="Caption"/>
      </w:pPr>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10</w:t>
        </w:r>
      </w:fldSimple>
      <w:r>
        <w:t xml:space="preserve"> - Proposed exit fees ($2014–15)</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DE752C"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vAlign w:val="top"/>
          </w:tcPr>
          <w:p w:rsidR="00DE752C" w:rsidRPr="00DE752C" w:rsidRDefault="00DE752C" w:rsidP="00DE752C">
            <w:pPr>
              <w:pStyle w:val="Tabletext"/>
            </w:pPr>
            <w:r w:rsidRPr="0037396F">
              <w:t>$</w:t>
            </w:r>
            <w:r w:rsidRPr="00DE752C">
              <w:t xml:space="preserve"> nominal</w:t>
            </w:r>
          </w:p>
        </w:tc>
        <w:tc>
          <w:tcPr>
            <w:tcW w:w="1449" w:type="dxa"/>
            <w:vAlign w:val="top"/>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2015-16</w:t>
            </w:r>
          </w:p>
        </w:tc>
        <w:tc>
          <w:tcPr>
            <w:tcW w:w="1449" w:type="dxa"/>
            <w:vAlign w:val="top"/>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2016-17</w:t>
            </w:r>
          </w:p>
        </w:tc>
        <w:tc>
          <w:tcPr>
            <w:tcW w:w="1449" w:type="dxa"/>
            <w:vAlign w:val="top"/>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2017-18</w:t>
            </w:r>
          </w:p>
        </w:tc>
        <w:tc>
          <w:tcPr>
            <w:tcW w:w="1449" w:type="dxa"/>
            <w:vAlign w:val="top"/>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2018-19</w:t>
            </w:r>
          </w:p>
        </w:tc>
        <w:tc>
          <w:tcPr>
            <w:tcW w:w="1449" w:type="dxa"/>
            <w:vAlign w:val="top"/>
          </w:tcPr>
          <w:p w:rsidR="00DE752C" w:rsidRPr="00DE752C" w:rsidRDefault="00DE752C" w:rsidP="00DE752C">
            <w:pPr>
              <w:pStyle w:val="Tabletext"/>
              <w:cnfStyle w:val="100000000000" w:firstRow="1" w:lastRow="0" w:firstColumn="0" w:lastColumn="0" w:oddVBand="0" w:evenVBand="0" w:oddHBand="0" w:evenHBand="0" w:firstRowFirstColumn="0" w:firstRowLastColumn="0" w:lastRowFirstColumn="0" w:lastRowLastColumn="0"/>
            </w:pPr>
            <w:r w:rsidRPr="0037396F">
              <w:t>2019-20</w:t>
            </w:r>
          </w:p>
        </w:tc>
      </w:tr>
      <w:tr w:rsidR="00DE752C" w:rsidTr="00F10F02">
        <w:tc>
          <w:tcPr>
            <w:cnfStyle w:val="001000000000" w:firstRow="0" w:lastRow="0" w:firstColumn="1" w:lastColumn="0" w:oddVBand="0" w:evenVBand="0" w:oddHBand="0" w:evenHBand="0" w:firstRowFirstColumn="0" w:firstRowLastColumn="0" w:lastRowFirstColumn="0" w:lastRowLastColumn="0"/>
            <w:tcW w:w="1448" w:type="dxa"/>
            <w:vAlign w:val="top"/>
          </w:tcPr>
          <w:p w:rsidR="00DE752C" w:rsidRPr="00DE752C" w:rsidRDefault="00DE752C" w:rsidP="00DE752C">
            <w:pPr>
              <w:pStyle w:val="Tabletext"/>
            </w:pPr>
            <w:r>
              <w:t>Primary tariff</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290</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297</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306</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315</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324</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vAlign w:val="top"/>
          </w:tcPr>
          <w:p w:rsidR="00DE752C" w:rsidRPr="00DE752C" w:rsidRDefault="00DE752C" w:rsidP="00DE752C">
            <w:pPr>
              <w:pStyle w:val="Tabletext"/>
            </w:pPr>
            <w:r>
              <w:t>Controlled load</w:t>
            </w:r>
          </w:p>
        </w:tc>
        <w:tc>
          <w:tcPr>
            <w:tcW w:w="1449" w:type="dxa"/>
            <w:vAlign w:val="bottom"/>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t>109</w:t>
            </w:r>
          </w:p>
        </w:tc>
        <w:tc>
          <w:tcPr>
            <w:tcW w:w="1449" w:type="dxa"/>
            <w:vAlign w:val="bottom"/>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t>112</w:t>
            </w:r>
          </w:p>
        </w:tc>
        <w:tc>
          <w:tcPr>
            <w:tcW w:w="1449" w:type="dxa"/>
            <w:vAlign w:val="bottom"/>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t>116</w:t>
            </w:r>
          </w:p>
        </w:tc>
        <w:tc>
          <w:tcPr>
            <w:tcW w:w="1449" w:type="dxa"/>
            <w:vAlign w:val="bottom"/>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t>120</w:t>
            </w:r>
          </w:p>
        </w:tc>
        <w:tc>
          <w:tcPr>
            <w:tcW w:w="1449" w:type="dxa"/>
            <w:vAlign w:val="bottom"/>
          </w:tcPr>
          <w:p w:rsidR="00DE752C" w:rsidRPr="00DE752C" w:rsidRDefault="00DE752C" w:rsidP="00DE752C">
            <w:pPr>
              <w:pStyle w:val="Tabletext"/>
              <w:cnfStyle w:val="000000010000" w:firstRow="0" w:lastRow="0" w:firstColumn="0" w:lastColumn="0" w:oddVBand="0" w:evenVBand="0" w:oddHBand="0" w:evenHBand="1" w:firstRowFirstColumn="0" w:firstRowLastColumn="0" w:lastRowFirstColumn="0" w:lastRowLastColumn="0"/>
            </w:pPr>
            <w:r>
              <w:t>124</w:t>
            </w:r>
          </w:p>
        </w:tc>
      </w:tr>
      <w:tr w:rsidR="00DE752C" w:rsidTr="00F10F02">
        <w:tc>
          <w:tcPr>
            <w:cnfStyle w:val="001000000000" w:firstRow="0" w:lastRow="0" w:firstColumn="1" w:lastColumn="0" w:oddVBand="0" w:evenVBand="0" w:oddHBand="0" w:evenHBand="0" w:firstRowFirstColumn="0" w:firstRowLastColumn="0" w:lastRowFirstColumn="0" w:lastRowLastColumn="0"/>
            <w:tcW w:w="1448" w:type="dxa"/>
            <w:vAlign w:val="top"/>
          </w:tcPr>
          <w:p w:rsidR="00DE752C" w:rsidRPr="00DE752C" w:rsidRDefault="00DE752C" w:rsidP="00DE752C">
            <w:pPr>
              <w:pStyle w:val="Tabletext"/>
            </w:pPr>
            <w:r>
              <w:t>Solar PV</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31</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32</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34</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36</w:t>
            </w:r>
          </w:p>
        </w:tc>
        <w:tc>
          <w:tcPr>
            <w:tcW w:w="1449" w:type="dxa"/>
            <w:vAlign w:val="bottom"/>
          </w:tcPr>
          <w:p w:rsidR="00DE752C" w:rsidRPr="00DE752C" w:rsidRDefault="00DE752C" w:rsidP="00DE752C">
            <w:pPr>
              <w:pStyle w:val="Tabletext"/>
              <w:cnfStyle w:val="000000000000" w:firstRow="0" w:lastRow="0" w:firstColumn="0" w:lastColumn="0" w:oddVBand="0" w:evenVBand="0" w:oddHBand="0" w:evenHBand="0" w:firstRowFirstColumn="0" w:firstRowLastColumn="0" w:lastRowFirstColumn="0" w:lastRowLastColumn="0"/>
            </w:pPr>
            <w:r>
              <w:t>38</w:t>
            </w:r>
          </w:p>
        </w:tc>
      </w:tr>
    </w:tbl>
    <w:p w:rsidR="00DE752C" w:rsidRPr="0086544B" w:rsidRDefault="00DE752C" w:rsidP="00DE752C">
      <w:pPr>
        <w:pStyle w:val="AERtablesource"/>
      </w:pPr>
      <w:r w:rsidRPr="0086544B">
        <w:t xml:space="preserve">Source: </w:t>
      </w:r>
      <w:r w:rsidRPr="0086544B">
        <w:tab/>
        <w:t xml:space="preserve">Energex, </w:t>
      </w:r>
      <w:r w:rsidRPr="00840D40">
        <w:rPr>
          <w:rStyle w:val="AERtextitalic"/>
        </w:rPr>
        <w:t>Regulatory proposal</w:t>
      </w:r>
      <w:r>
        <w:rPr>
          <w:rStyle w:val="AERtextitalic"/>
        </w:rPr>
        <w:t>: July 2015 to June 2020</w:t>
      </w:r>
      <w:r w:rsidRPr="0086544B">
        <w:t>, Appendix 60 Meter Pricing,</w:t>
      </w:r>
      <w:r>
        <w:t xml:space="preserve"> October 2014, p 7, table </w:t>
      </w:r>
      <w:r w:rsidRPr="0086544B">
        <w:t>6</w:t>
      </w:r>
      <w:r>
        <w:t>.</w:t>
      </w:r>
    </w:p>
    <w:p w:rsidR="00DE752C" w:rsidRDefault="00DE752C" w:rsidP="00DE752C">
      <w:r>
        <w:t xml:space="preserve">The primary tariff and controlled load exit fee is comprised of the residual metering asset value and an administration cost. Energex proposed recovering the average depreciated value of removed metering assets through the exit fee. The rest of the MAB (such as shared and non-system assets) will be recovered through annual charges from remaining regulated metering customers. The administration component is the labour cost (inclusive of </w:t>
      </w:r>
      <w:proofErr w:type="spellStart"/>
      <w:r>
        <w:t>oncosts</w:t>
      </w:r>
      <w:proofErr w:type="spellEnd"/>
      <w:r>
        <w:t xml:space="preserve"> and overheads) for an administrative person's time (15 minutes) to process the customer transfer. </w:t>
      </w:r>
    </w:p>
    <w:p w:rsidR="00DE752C" w:rsidRPr="00AC185C" w:rsidRDefault="00DE752C" w:rsidP="00DE752C">
      <w:r>
        <w:t>The solar PV exit fee is administration cost only. There is no recovery of metering asset value because there is no separate meter required for solar PV; the metering asset value will be recovered through the primary tariff exit fee.</w:t>
      </w:r>
    </w:p>
    <w:p w:rsidR="00DE752C" w:rsidRDefault="00DE752C" w:rsidP="00DE752C">
      <w:pPr>
        <w:pStyle w:val="Heading3"/>
      </w:pPr>
      <w:bookmarkStart w:id="82" w:name="_Toc417738238"/>
      <w:bookmarkStart w:id="83" w:name="_Toc417996128"/>
      <w:r>
        <w:t>AER's assessment approach</w:t>
      </w:r>
      <w:bookmarkEnd w:id="82"/>
      <w:bookmarkEnd w:id="83"/>
    </w:p>
    <w:p w:rsidR="00DE752C" w:rsidRDefault="00DE752C" w:rsidP="00DE752C">
      <w:r>
        <w:t>Our assessment approach first considered Energex's proposed structure of metering services. We then considered Energex's proposed costs, tailoring our assessment approach according to each type of charge.</w:t>
      </w:r>
    </w:p>
    <w:p w:rsidR="00DE752C" w:rsidRDefault="00DE752C" w:rsidP="00DE752C">
      <w:pPr>
        <w:pStyle w:val="Heading4"/>
      </w:pPr>
      <w:bookmarkStart w:id="84" w:name="_Ref415219630"/>
      <w:bookmarkStart w:id="85" w:name="_Toc417738239"/>
      <w:bookmarkStart w:id="86" w:name="_Toc417927701"/>
      <w:r>
        <w:t xml:space="preserve">Structure of metering </w:t>
      </w:r>
      <w:bookmarkEnd w:id="84"/>
      <w:bookmarkEnd w:id="85"/>
      <w:r>
        <w:t>charges</w:t>
      </w:r>
      <w:bookmarkEnd w:id="86"/>
    </w:p>
    <w:p w:rsidR="00DE752C" w:rsidRPr="00322A3E" w:rsidRDefault="00DE752C" w:rsidP="00DE752C">
      <w:pPr>
        <w:numPr>
          <w:ilvl w:val="0"/>
          <w:numId w:val="25"/>
        </w:numPr>
      </w:pPr>
      <w:r w:rsidRPr="00322A3E">
        <w:t xml:space="preserve">We considered </w:t>
      </w:r>
      <w:r>
        <w:t>Energex's</w:t>
      </w:r>
      <w:r w:rsidRPr="00322A3E">
        <w:t xml:space="preserve"> proposed structure of metering services and whether it complies with our Framework and Approach. </w:t>
      </w:r>
    </w:p>
    <w:p w:rsidR="00DE752C" w:rsidRPr="00322A3E" w:rsidRDefault="00DE752C" w:rsidP="00DE752C">
      <w:pPr>
        <w:numPr>
          <w:ilvl w:val="0"/>
          <w:numId w:val="25"/>
        </w:numPr>
      </w:pPr>
      <w:r w:rsidRPr="00322A3E">
        <w:lastRenderedPageBreak/>
        <w:t xml:space="preserve">Our Framework and Approach, published in April 2014, sets out our proposed service classification and control mechanism for </w:t>
      </w:r>
      <w:r>
        <w:t>Energex's</w:t>
      </w:r>
      <w:r w:rsidRPr="00322A3E">
        <w:t xml:space="preserve"> distribution services in the 2015–20 regulatory control period. In that way, it establishes a structure of metering services for which </w:t>
      </w:r>
      <w:r>
        <w:t>Energex's</w:t>
      </w:r>
      <w:r w:rsidRPr="00322A3E">
        <w:t xml:space="preserve"> regulatory proposal should comply. </w:t>
      </w:r>
    </w:p>
    <w:p w:rsidR="00DE752C" w:rsidRDefault="00DE752C" w:rsidP="00DE752C">
      <w:pPr>
        <w:numPr>
          <w:ilvl w:val="0"/>
          <w:numId w:val="25"/>
        </w:numPr>
      </w:pPr>
      <w:r w:rsidRPr="00322A3E">
        <w:t>For type 5 and 6 metering services, our Framework and Approach specified an alternative control service classification.</w:t>
      </w:r>
      <w:r w:rsidRPr="00322A3E">
        <w:rPr>
          <w:rStyle w:val="FootnoteReference"/>
        </w:rPr>
        <w:footnoteReference w:id="45"/>
      </w:r>
      <w:r w:rsidRPr="00322A3E">
        <w:t xml:space="preserve"> It also stated that the control mechanism would be a cap on the price of individual services.</w:t>
      </w:r>
      <w:r w:rsidRPr="00322A3E">
        <w:rPr>
          <w:rStyle w:val="FootnoteReference"/>
        </w:rPr>
        <w:footnoteReference w:id="46"/>
      </w:r>
      <w:r w:rsidRPr="00322A3E">
        <w:t xml:space="preserve"> In making our assessment </w:t>
      </w:r>
      <w:r>
        <w:t>Energex's</w:t>
      </w:r>
      <w:r w:rsidRPr="00322A3E">
        <w:t xml:space="preserve"> proposed structure of metering services, we considered these aspects of our Framework and Approach.  </w:t>
      </w:r>
    </w:p>
    <w:p w:rsidR="00DE752C" w:rsidRPr="009B3B0B" w:rsidRDefault="00DE752C" w:rsidP="00DE752C">
      <w:pPr>
        <w:numPr>
          <w:ilvl w:val="0"/>
          <w:numId w:val="25"/>
        </w:numPr>
      </w:pPr>
      <w:r w:rsidRPr="009B3B0B">
        <w:rPr>
          <w:rStyle w:val="AERbody"/>
        </w:rPr>
        <w:t>AEMC's draft rule change does not specify a method, but considered that the AER should determine how distributors recover residual capital costs of its regulated metering service</w:t>
      </w:r>
      <w:r w:rsidRPr="009B3B0B">
        <w:t xml:space="preserve"> in accordance with the existing regulatory framework.</w:t>
      </w:r>
      <w:r w:rsidRPr="009B3B0B">
        <w:rPr>
          <w:rStyle w:val="FootnoteReference"/>
        </w:rPr>
        <w:footnoteReference w:id="47"/>
      </w:r>
      <w:r w:rsidRPr="009B3B0B">
        <w:t xml:space="preserve"> </w:t>
      </w:r>
    </w:p>
    <w:p w:rsidR="00DE752C" w:rsidRPr="00322A3E" w:rsidRDefault="00DE752C" w:rsidP="00DE752C">
      <w:pPr>
        <w:numPr>
          <w:ilvl w:val="0"/>
          <w:numId w:val="25"/>
        </w:numPr>
      </w:pPr>
      <w:r w:rsidRPr="00322A3E">
        <w:t>We also considered requirements in the NER. In particular, the service classification and control mechanism factors.</w:t>
      </w:r>
      <w:r w:rsidRPr="00322A3E">
        <w:rPr>
          <w:rStyle w:val="FootnoteReference"/>
        </w:rPr>
        <w:footnoteReference w:id="48"/>
      </w:r>
      <w:r w:rsidRPr="00322A3E">
        <w:t xml:space="preserve"> They require us to consider whether it is more appropriate to allocate metering services costs through annual charges, upfront fees or network charges recovered from all customers. </w:t>
      </w:r>
      <w:r w:rsidRPr="00322A3E">
        <w:fldChar w:fldCharType="begin"/>
      </w:r>
      <w:r w:rsidRPr="00322A3E">
        <w:instrText xml:space="preserve"> REF _Ref416343469 \h </w:instrText>
      </w:r>
      <w:r w:rsidRPr="00322A3E">
        <w:fldChar w:fldCharType="separate"/>
      </w:r>
      <w:r w:rsidR="005E73B8" w:rsidRPr="00322A3E">
        <w:t xml:space="preserve">Table </w:t>
      </w:r>
      <w:r w:rsidR="005E73B8">
        <w:rPr>
          <w:noProof/>
        </w:rPr>
        <w:t>16</w:t>
      </w:r>
      <w:r w:rsidR="005E73B8">
        <w:t>.</w:t>
      </w:r>
      <w:r w:rsidR="005E73B8">
        <w:rPr>
          <w:noProof/>
        </w:rPr>
        <w:t>11</w:t>
      </w:r>
      <w:r w:rsidRPr="00322A3E">
        <w:fldChar w:fldCharType="end"/>
      </w:r>
      <w:r w:rsidRPr="00322A3E">
        <w:t xml:space="preserve"> sets out the factors which we have considered.</w:t>
      </w:r>
    </w:p>
    <w:p w:rsidR="00DE752C" w:rsidRPr="00322A3E" w:rsidRDefault="00DE752C" w:rsidP="00DE752C">
      <w:pPr>
        <w:pStyle w:val="Caption"/>
      </w:pPr>
      <w:bookmarkStart w:id="87" w:name="_Ref416343469"/>
      <w:r w:rsidRPr="00322A3E">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11</w:t>
        </w:r>
      </w:fldSimple>
      <w:bookmarkEnd w:id="87"/>
      <w:r w:rsidRPr="00322A3E">
        <w:tab/>
        <w:t>Classification and control mechanism factors</w:t>
      </w:r>
    </w:p>
    <w:tbl>
      <w:tblPr>
        <w:tblStyle w:val="AERtable-text0"/>
        <w:tblW w:w="0" w:type="auto"/>
        <w:tblLook w:val="04A0" w:firstRow="1" w:lastRow="0" w:firstColumn="1" w:lastColumn="0" w:noHBand="0" w:noVBand="1"/>
      </w:tblPr>
      <w:tblGrid>
        <w:gridCol w:w="4346"/>
        <w:gridCol w:w="4347"/>
      </w:tblGrid>
      <w:tr w:rsidR="00DE752C" w:rsidTr="00F10F02">
        <w:trPr>
          <w:cnfStyle w:val="100000000000" w:firstRow="1" w:lastRow="0" w:firstColumn="0" w:lastColumn="0" w:oddVBand="0" w:evenVBand="0" w:oddHBand="0" w:evenHBand="0" w:firstRowFirstColumn="0" w:firstRowLastColumn="0" w:lastRowFirstColumn="0" w:lastRowLastColumn="0"/>
        </w:trPr>
        <w:tc>
          <w:tcPr>
            <w:tcW w:w="4346" w:type="dxa"/>
          </w:tcPr>
          <w:p w:rsidR="00DE752C" w:rsidRPr="00322A3E" w:rsidRDefault="00DE752C" w:rsidP="00DE752C">
            <w:pPr>
              <w:numPr>
                <w:ilvl w:val="0"/>
                <w:numId w:val="25"/>
              </w:numPr>
            </w:pPr>
            <w:r w:rsidRPr="00322A3E">
              <w:t>Classification factors</w:t>
            </w:r>
          </w:p>
        </w:tc>
        <w:tc>
          <w:tcPr>
            <w:tcW w:w="4347" w:type="dxa"/>
          </w:tcPr>
          <w:p w:rsidR="00DE752C" w:rsidRPr="00322A3E" w:rsidRDefault="00DE752C" w:rsidP="00DE752C">
            <w:pPr>
              <w:numPr>
                <w:ilvl w:val="0"/>
                <w:numId w:val="25"/>
              </w:numPr>
            </w:pPr>
            <w:r w:rsidRPr="00322A3E">
              <w:t>Control mechanism factors</w:t>
            </w:r>
          </w:p>
        </w:tc>
      </w:tr>
      <w:tr w:rsidR="00DE752C" w:rsidTr="00F10F02">
        <w:tc>
          <w:tcPr>
            <w:tcW w:w="4346" w:type="dxa"/>
          </w:tcPr>
          <w:p w:rsidR="00DE752C" w:rsidRPr="00322A3E" w:rsidRDefault="00DE752C" w:rsidP="00DE752C">
            <w:pPr>
              <w:numPr>
                <w:ilvl w:val="0"/>
                <w:numId w:val="25"/>
              </w:numPr>
            </w:pPr>
            <w:r w:rsidRPr="00322A3E">
              <w:t>Potential for development of competition in the relevant market and how the classification might influence that potential</w:t>
            </w:r>
          </w:p>
        </w:tc>
        <w:tc>
          <w:tcPr>
            <w:tcW w:w="4347" w:type="dxa"/>
          </w:tcPr>
          <w:p w:rsidR="00DE752C" w:rsidRPr="00322A3E" w:rsidRDefault="00DE752C" w:rsidP="00DE752C">
            <w:pPr>
              <w:numPr>
                <w:ilvl w:val="0"/>
                <w:numId w:val="25"/>
              </w:numPr>
            </w:pPr>
            <w:r w:rsidRPr="00322A3E">
              <w:t>Potential for development of competition in the relevant market and how the control mechanism might influence that potential</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tcW w:w="4346" w:type="dxa"/>
          </w:tcPr>
          <w:p w:rsidR="00DE752C" w:rsidRPr="00DE752C" w:rsidRDefault="00DE752C" w:rsidP="00DE752C">
            <w:r w:rsidRPr="00322A3E">
              <w:t>The possible effects of classification on administrative costs of the AER, the distribution business and users or potential users</w:t>
            </w:r>
          </w:p>
        </w:tc>
        <w:tc>
          <w:tcPr>
            <w:tcW w:w="4347" w:type="dxa"/>
          </w:tcPr>
          <w:p w:rsidR="00DE752C" w:rsidRPr="00DE752C" w:rsidRDefault="00DE752C" w:rsidP="00DE752C">
            <w:r w:rsidRPr="00322A3E">
              <w:t>The possible effects of the control mechanism on administrative costs of the AER, the distribution business and users or potential users</w:t>
            </w:r>
          </w:p>
        </w:tc>
      </w:tr>
      <w:tr w:rsidR="00DE752C" w:rsidTr="00F10F02">
        <w:tc>
          <w:tcPr>
            <w:tcW w:w="4346" w:type="dxa"/>
          </w:tcPr>
          <w:p w:rsidR="00DE752C" w:rsidRPr="00322A3E" w:rsidRDefault="00DE752C" w:rsidP="00DE752C">
            <w:pPr>
              <w:numPr>
                <w:ilvl w:val="0"/>
                <w:numId w:val="25"/>
              </w:numPr>
            </w:pPr>
            <w:r w:rsidRPr="00322A3E">
              <w:t>The regulatory approach (if any) applicable to the relevant service immediately before the commencement of the distribution determination for which the classification is made</w:t>
            </w:r>
          </w:p>
        </w:tc>
        <w:tc>
          <w:tcPr>
            <w:tcW w:w="4347" w:type="dxa"/>
          </w:tcPr>
          <w:p w:rsidR="00DE752C" w:rsidRPr="00322A3E" w:rsidRDefault="00DE752C" w:rsidP="00DE752C">
            <w:pPr>
              <w:numPr>
                <w:ilvl w:val="0"/>
                <w:numId w:val="25"/>
              </w:numPr>
            </w:pPr>
            <w:r w:rsidRPr="00322A3E">
              <w:t>The regulatory arrangements (if any) applicable to the relevant service immediately before the commencement of the distribution determination for which the classification is made</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tcW w:w="4346" w:type="dxa"/>
          </w:tcPr>
          <w:p w:rsidR="00DE752C" w:rsidRPr="00322A3E" w:rsidRDefault="00DE752C" w:rsidP="00DE752C">
            <w:pPr>
              <w:numPr>
                <w:ilvl w:val="0"/>
                <w:numId w:val="25"/>
              </w:numPr>
            </w:pPr>
            <w:r w:rsidRPr="00322A3E">
              <w:t>The desirability of a consistent regulatory approach to similar services (both within and beyond the relevant jurisdiction)</w:t>
            </w:r>
          </w:p>
        </w:tc>
        <w:tc>
          <w:tcPr>
            <w:tcW w:w="4347" w:type="dxa"/>
          </w:tcPr>
          <w:p w:rsidR="00DE752C" w:rsidRPr="00322A3E" w:rsidRDefault="00DE752C" w:rsidP="00DE752C">
            <w:pPr>
              <w:numPr>
                <w:ilvl w:val="0"/>
                <w:numId w:val="25"/>
              </w:numPr>
            </w:pPr>
            <w:r w:rsidRPr="00322A3E">
              <w:t>The desirability of a consistent regulatory arrangements to similar services (both within and beyond the relevant jurisdiction)</w:t>
            </w:r>
          </w:p>
        </w:tc>
      </w:tr>
      <w:tr w:rsidR="00DE752C" w:rsidTr="00F10F02">
        <w:tc>
          <w:tcPr>
            <w:tcW w:w="4346" w:type="dxa"/>
          </w:tcPr>
          <w:p w:rsidR="00DE752C" w:rsidRPr="00322A3E" w:rsidRDefault="00DE752C" w:rsidP="00DE752C">
            <w:pPr>
              <w:numPr>
                <w:ilvl w:val="0"/>
                <w:numId w:val="25"/>
              </w:numPr>
            </w:pPr>
            <w:r w:rsidRPr="00322A3E">
              <w:t>The extent of the costs of providing the relevant service are directly attributable to the person to which the service is provided</w:t>
            </w:r>
          </w:p>
        </w:tc>
        <w:tc>
          <w:tcPr>
            <w:tcW w:w="4347" w:type="dxa"/>
          </w:tcPr>
          <w:p w:rsidR="00DE752C" w:rsidRPr="00322A3E" w:rsidRDefault="00DE752C" w:rsidP="00DE752C">
            <w:pPr>
              <w:numPr>
                <w:ilvl w:val="0"/>
                <w:numId w:val="25"/>
              </w:numPr>
            </w:pPr>
            <w:r w:rsidRPr="00322A3E">
              <w:t>Any other relevant factor</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tcW w:w="4346" w:type="dxa"/>
          </w:tcPr>
          <w:p w:rsidR="00DE752C" w:rsidRPr="00322A3E" w:rsidRDefault="00DE752C" w:rsidP="00DE752C">
            <w:pPr>
              <w:numPr>
                <w:ilvl w:val="0"/>
                <w:numId w:val="25"/>
              </w:numPr>
            </w:pPr>
            <w:r w:rsidRPr="00322A3E">
              <w:t>Any other relevant factor</w:t>
            </w:r>
          </w:p>
        </w:tc>
        <w:tc>
          <w:tcPr>
            <w:tcW w:w="4347" w:type="dxa"/>
          </w:tcPr>
          <w:p w:rsidR="00DE752C" w:rsidRPr="00322A3E" w:rsidRDefault="00DE752C" w:rsidP="00DE752C">
            <w:pPr>
              <w:numPr>
                <w:ilvl w:val="0"/>
                <w:numId w:val="25"/>
              </w:numPr>
            </w:pPr>
          </w:p>
        </w:tc>
      </w:tr>
    </w:tbl>
    <w:p w:rsidR="00DE752C" w:rsidRPr="00322A3E" w:rsidRDefault="00DE752C" w:rsidP="00DE752C">
      <w:pPr>
        <w:pStyle w:val="Source"/>
      </w:pPr>
      <w:r w:rsidRPr="00322A3E">
        <w:t>Source:</w:t>
      </w:r>
      <w:r w:rsidRPr="00322A3E">
        <w:tab/>
        <w:t>NER, cl. 6.2.2(c) and cl. 6.2.5(d).</w:t>
      </w:r>
    </w:p>
    <w:p w:rsidR="00DE752C" w:rsidRPr="00322A3E" w:rsidRDefault="00DE752C" w:rsidP="00DE752C">
      <w:r w:rsidRPr="00322A3E">
        <w:lastRenderedPageBreak/>
        <w:t>The desirability for consistency between regulatory approaches and arrangements is both a classification and control mechanism factor. In taking these factors into a</w:t>
      </w:r>
      <w:r w:rsidR="00D84113">
        <w:t xml:space="preserve">ccount, we considered our </w:t>
      </w:r>
      <w:r w:rsidRPr="00322A3E">
        <w:t xml:space="preserve">determinations on the NSW ACT 2014–15 and 2015–19 regulatory </w:t>
      </w:r>
      <w:r w:rsidR="00D84113">
        <w:t xml:space="preserve">control periods. In those </w:t>
      </w:r>
      <w:r w:rsidRPr="00322A3E">
        <w:t xml:space="preserve">determinations we approved a structure of metering services which included separate charges for existing and new or upgraded customers. </w:t>
      </w:r>
    </w:p>
    <w:p w:rsidR="00DE752C" w:rsidRDefault="00DE752C" w:rsidP="00DE752C">
      <w:r w:rsidRPr="00322A3E">
        <w:t>We also had regard to the revenue and pricing principles in the national electricity law which include providing a distributor with a reasonable opportunity to recover at least its efficient costs.</w:t>
      </w:r>
      <w:r w:rsidRPr="00322A3E">
        <w:rPr>
          <w:rStyle w:val="FootnoteReference"/>
        </w:rPr>
        <w:footnoteReference w:id="49"/>
      </w:r>
      <w:r w:rsidRPr="00322A3E">
        <w:t xml:space="preserve"> </w:t>
      </w:r>
    </w:p>
    <w:p w:rsidR="00DE752C" w:rsidRPr="000F3EEE" w:rsidRDefault="00DE752C" w:rsidP="00DE752C">
      <w:pPr>
        <w:pStyle w:val="Heading4"/>
      </w:pPr>
      <w:bookmarkStart w:id="88" w:name="_Toc416356463"/>
      <w:bookmarkStart w:id="89" w:name="_Toc417738240"/>
      <w:bookmarkStart w:id="90" w:name="_Toc417927702"/>
      <w:bookmarkStart w:id="91" w:name="_Toc403144139"/>
      <w:r w:rsidRPr="000F3EEE">
        <w:t>Annual metering service</w:t>
      </w:r>
      <w:bookmarkEnd w:id="88"/>
      <w:bookmarkEnd w:id="89"/>
      <w:r>
        <w:t>s</w:t>
      </w:r>
      <w:bookmarkEnd w:id="90"/>
    </w:p>
    <w:p w:rsidR="00DE752C" w:rsidRDefault="00DE752C" w:rsidP="00DE752C">
      <w:r>
        <w:t>We assessed Energex</w:t>
      </w:r>
      <w:r w:rsidRPr="000F3EEE">
        <w:t xml:space="preserve">'s proposed operating and capital expenditure components associated with the annual metering service. </w:t>
      </w:r>
    </w:p>
    <w:p w:rsidR="00DE752C" w:rsidRPr="00DE752C" w:rsidRDefault="00DE752C" w:rsidP="00DE752C">
      <w:pPr>
        <w:pStyle w:val="Heading5"/>
      </w:pPr>
      <w:bookmarkStart w:id="92" w:name="_Toc416356464"/>
      <w:bookmarkStart w:id="93" w:name="_Toc417738241"/>
      <w:bookmarkStart w:id="94" w:name="_Toc417927703"/>
      <w:r w:rsidRPr="000F3EEE">
        <w:t>Opening metering asset base</w:t>
      </w:r>
      <w:bookmarkEnd w:id="92"/>
      <w:bookmarkEnd w:id="93"/>
      <w:bookmarkEnd w:id="94"/>
    </w:p>
    <w:p w:rsidR="00DE752C" w:rsidRPr="000F3EEE" w:rsidRDefault="00DE752C" w:rsidP="00DE752C">
      <w:pPr>
        <w:numPr>
          <w:ilvl w:val="0"/>
          <w:numId w:val="25"/>
        </w:numPr>
      </w:pPr>
      <w:r w:rsidRPr="00930C5E">
        <w:t xml:space="preserve">In assessing the proposed opening metering asset base, we reviewed how </w:t>
      </w:r>
      <w:r>
        <w:t xml:space="preserve">Energex </w:t>
      </w:r>
      <w:r w:rsidRPr="00930C5E">
        <w:t>had separated its proposed opening metering asset base (MAB) as at 1 July 201</w:t>
      </w:r>
      <w:r>
        <w:t>5</w:t>
      </w:r>
      <w:r w:rsidRPr="00930C5E">
        <w:t xml:space="preserve">, from the RAB for standard control services. </w:t>
      </w:r>
    </w:p>
    <w:p w:rsidR="00DE752C" w:rsidRPr="00DE752C" w:rsidRDefault="00DE752C" w:rsidP="00DE752C">
      <w:pPr>
        <w:pStyle w:val="Heading5"/>
      </w:pPr>
      <w:bookmarkStart w:id="95" w:name="_Toc416356465"/>
      <w:bookmarkStart w:id="96" w:name="_Toc417738242"/>
      <w:bookmarkStart w:id="97" w:name="_Toc417927704"/>
      <w:r w:rsidRPr="000F3EEE">
        <w:t>Depreciation</w:t>
      </w:r>
      <w:bookmarkEnd w:id="95"/>
      <w:bookmarkEnd w:id="96"/>
      <w:bookmarkEnd w:id="97"/>
    </w:p>
    <w:p w:rsidR="00DE752C" w:rsidRDefault="00DE752C" w:rsidP="00DE752C">
      <w:r w:rsidRPr="000F3EEE">
        <w:t xml:space="preserve">We also considered the remaining asset lives </w:t>
      </w:r>
      <w:r>
        <w:t xml:space="preserve">Energex </w:t>
      </w:r>
      <w:r w:rsidRPr="000F3EEE">
        <w:t>proposed and had regard to the opening of competition to metering services.</w:t>
      </w:r>
    </w:p>
    <w:p w:rsidR="00DE752C" w:rsidRPr="00DE752C" w:rsidRDefault="00DE752C" w:rsidP="00DE752C">
      <w:pPr>
        <w:pStyle w:val="Heading5"/>
      </w:pPr>
      <w:bookmarkStart w:id="98" w:name="_Toc416356466"/>
      <w:bookmarkStart w:id="99" w:name="_Toc417738243"/>
      <w:bookmarkStart w:id="100" w:name="_Toc417927705"/>
      <w:r w:rsidRPr="000F3EEE">
        <w:t>Forecast capital expenditure</w:t>
      </w:r>
      <w:bookmarkEnd w:id="98"/>
      <w:bookmarkEnd w:id="99"/>
      <w:bookmarkEnd w:id="100"/>
      <w:r w:rsidRPr="000F3EEE">
        <w:t xml:space="preserve"> </w:t>
      </w:r>
    </w:p>
    <w:p w:rsidR="00DE752C" w:rsidRPr="001E6A18" w:rsidRDefault="00DE752C" w:rsidP="00DE752C">
      <w:r w:rsidRPr="000F3EEE">
        <w:t>In assessing the propos</w:t>
      </w:r>
      <w:r>
        <w:t>ed forecast capital expenditure, we first considered any legislative or regulatory requirements regarding meter type and then reviewed Energex's 'unit costs' and 'volume forecasts'. More specifically, we assessed the proposed:</w:t>
      </w:r>
    </w:p>
    <w:p w:rsidR="00DE752C" w:rsidRPr="001E6A18" w:rsidRDefault="00DE752C" w:rsidP="00DE752C">
      <w:pPr>
        <w:pStyle w:val="AERbulletlistfirststyle"/>
      </w:pPr>
      <w:r w:rsidRPr="001E6A18">
        <w:t>'material' and 'non–material' unit costs</w:t>
      </w:r>
      <w:r>
        <w:rPr>
          <w:rStyle w:val="FootnoteReference"/>
        </w:rPr>
        <w:footnoteReference w:id="50"/>
      </w:r>
      <w:r>
        <w:t xml:space="preserve"> </w:t>
      </w:r>
      <w:r w:rsidRPr="001E6A18">
        <w:t xml:space="preserve"> </w:t>
      </w:r>
    </w:p>
    <w:p w:rsidR="00DE752C" w:rsidRPr="001E6A18" w:rsidRDefault="00DE752C" w:rsidP="00DE752C">
      <w:pPr>
        <w:pStyle w:val="AERbulletlistfirststyle"/>
      </w:pPr>
      <w:r w:rsidRPr="001E6A18">
        <w:t xml:space="preserve">volume of ‘reactive’ and ‘proactive’ replacements. </w:t>
      </w:r>
    </w:p>
    <w:p w:rsidR="00DE752C" w:rsidRPr="00DE752C" w:rsidRDefault="00DE752C" w:rsidP="00DE752C">
      <w:pPr>
        <w:pStyle w:val="Heading5"/>
      </w:pPr>
      <w:bookmarkStart w:id="101" w:name="_Toc416356467"/>
      <w:bookmarkStart w:id="102" w:name="_Toc417738244"/>
      <w:bookmarkStart w:id="103" w:name="_Toc417927706"/>
      <w:r w:rsidRPr="000F3EEE">
        <w:t>Forecast operating expenditure</w:t>
      </w:r>
      <w:bookmarkEnd w:id="101"/>
      <w:bookmarkEnd w:id="102"/>
      <w:bookmarkEnd w:id="103"/>
    </w:p>
    <w:p w:rsidR="00DE752C" w:rsidRPr="00406560" w:rsidRDefault="00DE752C" w:rsidP="00DE752C">
      <w:pPr>
        <w:numPr>
          <w:ilvl w:val="0"/>
          <w:numId w:val="25"/>
        </w:numPr>
      </w:pPr>
      <w:r w:rsidRPr="00406560">
        <w:t>Operating expenditure refers to the operating, maintenance and other non–capital costs, including labour, incurred in the provision of metering services.</w:t>
      </w:r>
    </w:p>
    <w:p w:rsidR="00DE752C" w:rsidRDefault="00DE752C" w:rsidP="00DE752C">
      <w:pPr>
        <w:numPr>
          <w:ilvl w:val="0"/>
          <w:numId w:val="25"/>
        </w:numPr>
      </w:pPr>
      <w:r>
        <w:t xml:space="preserve">To develop our alternative forecast for metering </w:t>
      </w:r>
      <w:proofErr w:type="spellStart"/>
      <w:r>
        <w:t>opex</w:t>
      </w:r>
      <w:proofErr w:type="spellEnd"/>
      <w:r>
        <w:t>, we used a top-down</w:t>
      </w:r>
      <w:r w:rsidRPr="00406560">
        <w:t xml:space="preserve"> ‘base, step and trend’ approach</w:t>
      </w:r>
      <w:r>
        <w:t xml:space="preserve"> which we explain further below</w:t>
      </w:r>
      <w:r w:rsidRPr="00406560">
        <w:t xml:space="preserve">. </w:t>
      </w:r>
    </w:p>
    <w:p w:rsidR="00B54AA0" w:rsidRDefault="00B54AA0" w:rsidP="00DE752C">
      <w:pPr>
        <w:numPr>
          <w:ilvl w:val="0"/>
          <w:numId w:val="25"/>
        </w:numPr>
      </w:pPr>
    </w:p>
    <w:p w:rsidR="00DE752C" w:rsidRPr="00DE752C" w:rsidRDefault="00DE752C" w:rsidP="00DE752C">
      <w:pPr>
        <w:pStyle w:val="Heading6"/>
      </w:pPr>
      <w:bookmarkStart w:id="104" w:name="_Toc416356468"/>
      <w:bookmarkStart w:id="105" w:name="_Ref416425137"/>
      <w:bookmarkStart w:id="106" w:name="_Ref416701130"/>
      <w:bookmarkStart w:id="107" w:name="_Toc417738245"/>
      <w:bookmarkStart w:id="108" w:name="_Toc417927707"/>
      <w:r w:rsidRPr="000F3EEE">
        <w:lastRenderedPageBreak/>
        <w:t>Base</w:t>
      </w:r>
      <w:bookmarkEnd w:id="104"/>
      <w:bookmarkEnd w:id="105"/>
      <w:bookmarkEnd w:id="106"/>
      <w:bookmarkEnd w:id="107"/>
      <w:bookmarkEnd w:id="108"/>
    </w:p>
    <w:p w:rsidR="00DE752C" w:rsidRPr="0029521B" w:rsidRDefault="00DE752C" w:rsidP="00DE752C">
      <w:pPr>
        <w:numPr>
          <w:ilvl w:val="0"/>
          <w:numId w:val="25"/>
        </w:numPr>
      </w:pPr>
      <w:r w:rsidRPr="0029521B">
        <w:t xml:space="preserve">As operating expenditure is largely recurrent in nature, we considered </w:t>
      </w:r>
      <w:r>
        <w:t>Energex</w:t>
      </w:r>
      <w:r w:rsidRPr="0029521B">
        <w:t>'</w:t>
      </w:r>
      <w:r>
        <w:t>s</w:t>
      </w:r>
      <w:r w:rsidRPr="0029521B">
        <w:t xml:space="preserve"> historical costs to be a useful starting point to establish a base to forecast future costs. We also used benchmarking to assess the relative efficiency of the base year compared with comparable network businesses in the national electricity market. </w:t>
      </w:r>
    </w:p>
    <w:p w:rsidR="00DE752C" w:rsidRPr="0029521B" w:rsidRDefault="00DE752C" w:rsidP="00DE752C">
      <w:r w:rsidRPr="0029521B">
        <w:t>Our base assessment uses historical data over a five year period, rather than selecting a single base year. Given tha</w:t>
      </w:r>
      <w:r w:rsidR="00653ABF">
        <w:t>t we do not apply an efficiency</w:t>
      </w:r>
      <w:r w:rsidRPr="0029521B">
        <w:t xml:space="preserve"> benefit sharing scheme (EBSS) to alternative control services, we consider an average of multiple years to be a better measure of a business’ efficient base; it avoids any incentive to ‘load’ a single base year with expenditure going forward.</w:t>
      </w:r>
    </w:p>
    <w:p w:rsidR="00DE752C" w:rsidRPr="0029521B" w:rsidRDefault="00DE752C" w:rsidP="00DE752C">
      <w:r w:rsidRPr="0029521B">
        <w:t>We used '</w:t>
      </w:r>
      <w:proofErr w:type="spellStart"/>
      <w:r w:rsidRPr="0029521B">
        <w:t>opex</w:t>
      </w:r>
      <w:proofErr w:type="spellEnd"/>
      <w:r w:rsidRPr="0029521B">
        <w:t xml:space="preserve"> for metering' data collected in our economic benchmarking regulatory information notices (RIN). This audited data is suitable for comparison because the data provided by the distributors was prepared according to a consistent set of instructions and definitions.</w:t>
      </w:r>
      <w:r w:rsidRPr="0029521B">
        <w:rPr>
          <w:rStyle w:val="FootnoteReference"/>
        </w:rPr>
        <w:footnoteReference w:id="51"/>
      </w:r>
      <w:r w:rsidRPr="0029521B">
        <w:t xml:space="preserve"> </w:t>
      </w:r>
    </w:p>
    <w:p w:rsidR="00DE752C" w:rsidRPr="00195C7C" w:rsidRDefault="00DE752C" w:rsidP="00DE752C">
      <w:r w:rsidRPr="0029521B">
        <w:t xml:space="preserve">Our metering assessment relates to annual charges for default </w:t>
      </w:r>
      <w:r>
        <w:t xml:space="preserve">type 5 and 6 </w:t>
      </w:r>
      <w:r w:rsidRPr="0029521B">
        <w:t xml:space="preserve">metering services common to all regulated metering customers. </w:t>
      </w:r>
      <w:r>
        <w:t>In some jurisdictions, t</w:t>
      </w:r>
      <w:r w:rsidRPr="0029521B">
        <w:t xml:space="preserve">here are also </w:t>
      </w:r>
      <w:r>
        <w:t xml:space="preserve">ancillary metering </w:t>
      </w:r>
      <w:r w:rsidRPr="0029521B">
        <w:t xml:space="preserve">services paid for by customers specifically requesting a service like an off-cycle meter read or a meter accuracy test. However, the economic benchmarking metering </w:t>
      </w:r>
      <w:proofErr w:type="spellStart"/>
      <w:r w:rsidRPr="0029521B">
        <w:t>opex</w:t>
      </w:r>
      <w:proofErr w:type="spellEnd"/>
      <w:r w:rsidRPr="0029521B">
        <w:t xml:space="preserve"> data does not distinguish between ancillary and default metering services. Thus, we adjusted base metering operating expenditure data to exclude ancillary metering service costs</w:t>
      </w:r>
      <w:r>
        <w:t xml:space="preserve"> so that our benchmarking analysis compares like for like data. </w:t>
      </w:r>
    </w:p>
    <w:p w:rsidR="00DE752C" w:rsidRPr="004157D8" w:rsidRDefault="00DE752C" w:rsidP="00DE752C">
      <w:pPr>
        <w:pStyle w:val="ListParagraph"/>
        <w:numPr>
          <w:ilvl w:val="0"/>
          <w:numId w:val="25"/>
        </w:numPr>
      </w:pPr>
      <w:r w:rsidRPr="004157D8">
        <w:t xml:space="preserve">With this adjusted base data, we then performed our benchmarking analysis. We used a partial performance indicator for our benchmarking analysis. This compared historic annual metering </w:t>
      </w:r>
      <w:proofErr w:type="spellStart"/>
      <w:r w:rsidRPr="004157D8">
        <w:t>opex</w:t>
      </w:r>
      <w:proofErr w:type="spellEnd"/>
      <w:r w:rsidRPr="004157D8">
        <w:t xml:space="preserve"> per customer across non-Victorian distributors</w:t>
      </w:r>
      <w:r w:rsidRPr="004157D8">
        <w:rPr>
          <w:rStyle w:val="FootnoteReference"/>
        </w:rPr>
        <w:footnoteReference w:id="52"/>
      </w:r>
      <w:r w:rsidRPr="004157D8">
        <w:t xml:space="preserve"> in the national electricity market.</w:t>
      </w:r>
    </w:p>
    <w:p w:rsidR="00DE752C" w:rsidRPr="004157D8" w:rsidRDefault="00DE752C" w:rsidP="00DE752C">
      <w:pPr>
        <w:pStyle w:val="ListParagraph"/>
        <w:numPr>
          <w:ilvl w:val="0"/>
          <w:numId w:val="25"/>
        </w:numPr>
      </w:pPr>
      <w:r w:rsidRPr="004157D8">
        <w:t xml:space="preserve">Our benchmarking analysis for metering is a simpler version than what we used to assess standard control </w:t>
      </w:r>
      <w:proofErr w:type="spellStart"/>
      <w:r w:rsidRPr="004157D8">
        <w:t>opex</w:t>
      </w:r>
      <w:proofErr w:type="spellEnd"/>
      <w:r w:rsidRPr="004157D8">
        <w:t xml:space="preserve">. This reflects the generally lighter handed regulatory approach to alternative control services compared with standard control services. For example, our econometric modelling results we used to assess standard control </w:t>
      </w:r>
      <w:proofErr w:type="spellStart"/>
      <w:r w:rsidRPr="004157D8">
        <w:t>opex</w:t>
      </w:r>
      <w:proofErr w:type="spellEnd"/>
      <w:r w:rsidRPr="004157D8">
        <w:t xml:space="preserve"> were based on data for network services and therefore do not strictly apply to metering services. </w:t>
      </w:r>
    </w:p>
    <w:p w:rsidR="00DE752C" w:rsidRDefault="00DE752C" w:rsidP="00DE752C">
      <w:pPr>
        <w:numPr>
          <w:ilvl w:val="0"/>
          <w:numId w:val="25"/>
        </w:numPr>
      </w:pPr>
      <w:r>
        <w:t>W</w:t>
      </w:r>
      <w:r w:rsidRPr="0029521B">
        <w:t xml:space="preserve">e </w:t>
      </w:r>
      <w:r>
        <w:t xml:space="preserve">then </w:t>
      </w:r>
      <w:r w:rsidRPr="0029521B">
        <w:t>adjusted the benchmarking results for customer density. This is a network characteristic that is an exogenous influence on operating expenditure requirements.</w:t>
      </w:r>
    </w:p>
    <w:p w:rsidR="00B54AA0" w:rsidRDefault="00B54AA0" w:rsidP="00DE752C">
      <w:pPr>
        <w:numPr>
          <w:ilvl w:val="0"/>
          <w:numId w:val="25"/>
        </w:numPr>
      </w:pPr>
    </w:p>
    <w:p w:rsidR="00DE752C" w:rsidRPr="00DE752C" w:rsidRDefault="00DE752C" w:rsidP="00DE752C">
      <w:pPr>
        <w:pStyle w:val="Heading6"/>
      </w:pPr>
      <w:bookmarkStart w:id="109" w:name="_Toc416356469"/>
      <w:bookmarkStart w:id="110" w:name="_Toc417738246"/>
      <w:bookmarkStart w:id="111" w:name="_Toc417927708"/>
      <w:r w:rsidRPr="000F3EEE">
        <w:lastRenderedPageBreak/>
        <w:t>Step changes</w:t>
      </w:r>
      <w:bookmarkEnd w:id="109"/>
      <w:bookmarkEnd w:id="110"/>
      <w:bookmarkEnd w:id="111"/>
    </w:p>
    <w:p w:rsidR="00DE752C" w:rsidRPr="006E3B46" w:rsidRDefault="00DE752C" w:rsidP="00DE752C">
      <w:pPr>
        <w:numPr>
          <w:ilvl w:val="0"/>
          <w:numId w:val="25"/>
        </w:numPr>
      </w:pPr>
      <w:bookmarkStart w:id="112" w:name="_Toc416356470"/>
      <w:r w:rsidRPr="006E3B46">
        <w:t xml:space="preserve">When assessing a distributor's proposed step changes, we consider whether they are needed for the total </w:t>
      </w:r>
      <w:proofErr w:type="spellStart"/>
      <w:r w:rsidRPr="006E3B46">
        <w:t>opex</w:t>
      </w:r>
      <w:proofErr w:type="spellEnd"/>
      <w:r w:rsidRPr="006E3B46">
        <w:t xml:space="preserve"> forecast to reasonably reflect the </w:t>
      </w:r>
      <w:proofErr w:type="spellStart"/>
      <w:r w:rsidRPr="006E3B46">
        <w:t>opex</w:t>
      </w:r>
      <w:proofErr w:type="spellEnd"/>
      <w:r w:rsidRPr="006E3B46">
        <w:t xml:space="preserve"> criteria.</w:t>
      </w:r>
      <w:r w:rsidRPr="006E3B46">
        <w:rPr>
          <w:rStyle w:val="FootnoteReference"/>
        </w:rPr>
        <w:footnoteReference w:id="53"/>
      </w:r>
      <w:r w:rsidRPr="006E3B46">
        <w:t xml:space="preserve"> Our assessment approach is consistent with our </w:t>
      </w:r>
      <w:r w:rsidRPr="006E3B46">
        <w:rPr>
          <w:rStyle w:val="AERtextitalic"/>
        </w:rPr>
        <w:t>Expenditure forecast assessment guideline</w:t>
      </w:r>
      <w:r w:rsidRPr="006E3B46">
        <w:t>.</w:t>
      </w:r>
      <w:r w:rsidRPr="006E3B46">
        <w:rPr>
          <w:rStyle w:val="FootnoteReference"/>
        </w:rPr>
        <w:footnoteReference w:id="54"/>
      </w:r>
    </w:p>
    <w:p w:rsidR="00DE752C" w:rsidRPr="006E3B46" w:rsidRDefault="00DE752C" w:rsidP="00DE752C">
      <w:pPr>
        <w:numPr>
          <w:ilvl w:val="0"/>
          <w:numId w:val="25"/>
        </w:numPr>
      </w:pPr>
      <w:r w:rsidRPr="006E3B46">
        <w:t xml:space="preserve">We generally consider an efficient base level of </w:t>
      </w:r>
      <w:proofErr w:type="spellStart"/>
      <w:r w:rsidRPr="006E3B46">
        <w:t>opex</w:t>
      </w:r>
      <w:proofErr w:type="spellEnd"/>
      <w:r w:rsidRPr="006E3B46">
        <w:t xml:space="preserve"> is sufficient for a prudent and efficient distributor to meet all existing regulatory obligations. This is the same regardless of whether we forecast an efficient base level of </w:t>
      </w:r>
      <w:proofErr w:type="spellStart"/>
      <w:r w:rsidRPr="006E3B46">
        <w:t>opex</w:t>
      </w:r>
      <w:proofErr w:type="spellEnd"/>
      <w:r w:rsidRPr="006E3B46">
        <w:t xml:space="preserve"> based on the service provider's own costs or the efficient costs of comparable benchmark providers. We only include a step change in our </w:t>
      </w:r>
      <w:proofErr w:type="spellStart"/>
      <w:r w:rsidRPr="006E3B46">
        <w:t>opex</w:t>
      </w:r>
      <w:proofErr w:type="spellEnd"/>
      <w:r w:rsidRPr="006E3B46">
        <w:t xml:space="preserve"> forecast if we are satisfied a prudent and efficient service provider would need an increase in its </w:t>
      </w:r>
      <w:proofErr w:type="spellStart"/>
      <w:r w:rsidRPr="006E3B46">
        <w:t>opex</w:t>
      </w:r>
      <w:proofErr w:type="spellEnd"/>
      <w:r w:rsidRPr="006E3B46">
        <w:t>.</w:t>
      </w:r>
    </w:p>
    <w:p w:rsidR="00DE752C" w:rsidRPr="006E3B46" w:rsidRDefault="00DE752C" w:rsidP="00DE752C">
      <w:pPr>
        <w:numPr>
          <w:ilvl w:val="0"/>
          <w:numId w:val="25"/>
        </w:numPr>
      </w:pPr>
      <w:r w:rsidRPr="006E3B46">
        <w:t xml:space="preserve">Step changes should generally relate to a new obligation or some change in the service provider's operating environment beyond its control. It is not enough to simply demonstrate an efficient cost will be incurred for an activity that was not previously undertaken. </w:t>
      </w:r>
    </w:p>
    <w:p w:rsidR="00DE752C" w:rsidRPr="00DE752C" w:rsidRDefault="00DE752C" w:rsidP="00DE752C">
      <w:pPr>
        <w:pStyle w:val="Heading6"/>
      </w:pPr>
      <w:bookmarkStart w:id="113" w:name="_Toc417738247"/>
      <w:bookmarkStart w:id="114" w:name="_Toc417927709"/>
      <w:r w:rsidRPr="000F3EEE">
        <w:t>Trend</w:t>
      </w:r>
      <w:bookmarkEnd w:id="112"/>
      <w:bookmarkEnd w:id="113"/>
      <w:bookmarkEnd w:id="114"/>
    </w:p>
    <w:p w:rsidR="00DE752C" w:rsidRPr="001F20E8" w:rsidRDefault="00DE752C" w:rsidP="00DE752C">
      <w:pPr>
        <w:numPr>
          <w:ilvl w:val="0"/>
          <w:numId w:val="25"/>
        </w:numPr>
      </w:pPr>
      <w:bookmarkStart w:id="115" w:name="_Toc416356471"/>
      <w:r w:rsidRPr="001F20E8">
        <w:t xml:space="preserve">We then trended forward base </w:t>
      </w:r>
      <w:proofErr w:type="spellStart"/>
      <w:r w:rsidRPr="001F20E8">
        <w:t>opex</w:t>
      </w:r>
      <w:proofErr w:type="spellEnd"/>
      <w:r w:rsidRPr="001F20E8">
        <w:t xml:space="preserve"> (plus any step changes) by considering forecast changes in output, price and productivity. </w:t>
      </w:r>
    </w:p>
    <w:p w:rsidR="00DE752C" w:rsidRPr="000F3EEE" w:rsidRDefault="00DE752C" w:rsidP="00DE752C">
      <w:pPr>
        <w:numPr>
          <w:ilvl w:val="0"/>
          <w:numId w:val="25"/>
        </w:numPr>
      </w:pPr>
      <w:r w:rsidRPr="000F3EEE">
        <w:t>For both capital and operating expenditure, we had regard to the capital and operating expenditure objectives and criteria in chapter 6 of the NER.</w:t>
      </w:r>
      <w:r w:rsidRPr="000F3EEE">
        <w:rPr>
          <w:rStyle w:val="FootnoteReference"/>
        </w:rPr>
        <w:footnoteReference w:id="55"/>
      </w:r>
      <w:r w:rsidRPr="000F3EEE">
        <w:t xml:space="preserve"> Though these considerations relate to standard, as opposed to alternative, control services, they are helpful and relevant in providing a general framework for assessing a building block expenditure forecast. Among other things, when considering a distribution business’s forecast, the capital and operating expenditure objectives and criteria state we should consider:</w:t>
      </w:r>
    </w:p>
    <w:p w:rsidR="00DE752C" w:rsidRPr="000F3EEE" w:rsidRDefault="00DE752C" w:rsidP="00DE752C">
      <w:pPr>
        <w:pStyle w:val="AERbulletlistfirststyle"/>
      </w:pPr>
      <w:r w:rsidRPr="000F3EEE">
        <w:t>the efficient costs required</w:t>
      </w:r>
    </w:p>
    <w:p w:rsidR="00DE752C" w:rsidRPr="000F3EEE" w:rsidRDefault="00DE752C" w:rsidP="00DE752C">
      <w:pPr>
        <w:pStyle w:val="AERbulletlistfirststyle"/>
      </w:pPr>
      <w:r w:rsidRPr="000F3EEE">
        <w:t>the costs a prudent operator would incur</w:t>
      </w:r>
    </w:p>
    <w:p w:rsidR="00DE752C" w:rsidRPr="000F3EEE" w:rsidRDefault="00DE752C" w:rsidP="00DE752C">
      <w:pPr>
        <w:pStyle w:val="AERbulletlistfirststyle"/>
      </w:pPr>
      <w:r w:rsidRPr="000F3EEE">
        <w:t>whether the proposed cost inputs are rea</w:t>
      </w:r>
      <w:r>
        <w:t>listic</w:t>
      </w:r>
      <w:r w:rsidRPr="000F3EEE">
        <w:t>.</w:t>
      </w:r>
      <w:r w:rsidRPr="000F3EEE">
        <w:rPr>
          <w:rStyle w:val="FootnoteReference"/>
        </w:rPr>
        <w:footnoteReference w:id="56"/>
      </w:r>
      <w:r w:rsidRPr="000F3EEE">
        <w:t xml:space="preserve">  </w:t>
      </w:r>
    </w:p>
    <w:p w:rsidR="00DE752C" w:rsidRPr="000F3EEE" w:rsidRDefault="00DE752C" w:rsidP="00DE752C">
      <w:pPr>
        <w:pStyle w:val="Heading4"/>
      </w:pPr>
      <w:bookmarkStart w:id="116" w:name="_Toc417738248"/>
      <w:bookmarkStart w:id="117" w:name="_Toc417927710"/>
      <w:r w:rsidRPr="000F3EEE">
        <w:t>Upfront capital charge</w:t>
      </w:r>
      <w:bookmarkEnd w:id="115"/>
      <w:bookmarkEnd w:id="116"/>
      <w:bookmarkEnd w:id="117"/>
    </w:p>
    <w:p w:rsidR="00DE752C" w:rsidRDefault="00DE752C" w:rsidP="00DE752C">
      <w:r>
        <w:t>Energex did not propose any upfront capital charges</w:t>
      </w:r>
      <w:r w:rsidRPr="000F3EEE">
        <w:t>.</w:t>
      </w:r>
      <w:r>
        <w:t xml:space="preserve"> We nonetheless provided the distributor with an opportunity to comment on how such charges should be calculated.</w:t>
      </w:r>
      <w:r>
        <w:rPr>
          <w:rStyle w:val="FootnoteReference"/>
        </w:rPr>
        <w:footnoteReference w:id="57"/>
      </w:r>
      <w:r>
        <w:t xml:space="preserve"> Our preliminary decision took those comments into account, along with a </w:t>
      </w:r>
      <w:r>
        <w:lastRenderedPageBreak/>
        <w:t xml:space="preserve">report we received from Marsden Jacob. This report recommended the maximum material and non–material unit costs we should accept. </w:t>
      </w:r>
    </w:p>
    <w:p w:rsidR="00DE752C" w:rsidRDefault="00DE752C" w:rsidP="00DE752C">
      <w:pPr>
        <w:pStyle w:val="Heading4"/>
      </w:pPr>
      <w:bookmarkStart w:id="118" w:name="_Toc417738249"/>
      <w:bookmarkStart w:id="119" w:name="_Toc417927711"/>
      <w:r>
        <w:t>Meter exit fee</w:t>
      </w:r>
      <w:bookmarkEnd w:id="118"/>
      <w:bookmarkEnd w:id="119"/>
    </w:p>
    <w:p w:rsidR="00DE752C" w:rsidRDefault="00DE752C" w:rsidP="00DE752C">
      <w:r>
        <w:t xml:space="preserve">We considered the appropriate method to recover the residual metering asset value as part of our structure of metering charges assessment. </w:t>
      </w:r>
    </w:p>
    <w:p w:rsidR="00F10F02" w:rsidRPr="00AF0AD5" w:rsidRDefault="00F10F02" w:rsidP="00F10F02">
      <w:r>
        <w:t>With regard to the administration component of the proposed exit fee, w</w:t>
      </w:r>
      <w:r w:rsidRPr="00AF0AD5">
        <w:t xml:space="preserve">e must balance revenue recovery for the efficient costs of </w:t>
      </w:r>
      <w:r>
        <w:t xml:space="preserve">the </w:t>
      </w:r>
      <w:r w:rsidRPr="00AF0AD5">
        <w:t xml:space="preserve">distributor’s service provision </w:t>
      </w:r>
      <w:r>
        <w:t>with</w:t>
      </w:r>
      <w:r w:rsidRPr="00AF0AD5">
        <w:t xml:space="preserve"> identifying and removing barriers to entry and competition</w:t>
      </w:r>
      <w:r>
        <w:t>, consistent with the proposed metering rule change submitted by the COAG Energy Council and currently being deliberated by the Australian Energy Market Commission</w:t>
      </w:r>
      <w:r w:rsidRPr="00AF0AD5">
        <w:t>.</w:t>
      </w:r>
      <w:r>
        <w:rPr>
          <w:rStyle w:val="FootnoteReference"/>
        </w:rPr>
        <w:footnoteReference w:id="58"/>
      </w:r>
    </w:p>
    <w:p w:rsidR="00F10F02" w:rsidRPr="00AF0AD5" w:rsidRDefault="00F10F02" w:rsidP="00F10F02">
      <w:r w:rsidRPr="00AF0AD5">
        <w:t xml:space="preserve">We </w:t>
      </w:r>
      <w:r>
        <w:t>undertook a cost</w:t>
      </w:r>
      <w:r w:rsidRPr="00AF0AD5">
        <w:t xml:space="preserve"> assessment</w:t>
      </w:r>
      <w:r>
        <w:t xml:space="preserve"> underlying the proposed meter transfer fees</w:t>
      </w:r>
      <w:r w:rsidRPr="00AF0AD5">
        <w:t xml:space="preserve"> </w:t>
      </w:r>
      <w:r>
        <w:t xml:space="preserve">to determine the efficiency of those costs. To asses costs we considered </w:t>
      </w:r>
      <w:r w:rsidRPr="00AF0AD5">
        <w:t>the activities either required, or reasonab</w:t>
      </w:r>
      <w:r>
        <w:t>ly expected to be required, for a</w:t>
      </w:r>
      <w:r w:rsidRPr="00AF0AD5">
        <w:t xml:space="preserve"> meter transfer</w:t>
      </w:r>
      <w:r>
        <w:t>, by both a distributor and a competing metering provider</w:t>
      </w:r>
      <w:r w:rsidRPr="00AF0AD5">
        <w:t xml:space="preserve">. </w:t>
      </w:r>
      <w:r>
        <w:t>We had regard to the costs</w:t>
      </w:r>
      <w:r w:rsidRPr="00AF0AD5">
        <w:t xml:space="preserve"> estimated to be incurred from such activities in New South Wales</w:t>
      </w:r>
      <w:r>
        <w:t>,</w:t>
      </w:r>
      <w:r w:rsidRPr="00AF0AD5">
        <w:t xml:space="preserve"> </w:t>
      </w:r>
      <w:r>
        <w:t xml:space="preserve">the Australian Capital Territory, </w:t>
      </w:r>
      <w:r w:rsidRPr="00AF0AD5">
        <w:t>Queensland and</w:t>
      </w:r>
      <w:r>
        <w:t xml:space="preserve"> South Australia</w:t>
      </w:r>
      <w:r w:rsidRPr="00AF0AD5">
        <w:t xml:space="preserve">. Victorian distributors are under a State Government mandated smart meter roll out, and so meter transfer is not a comparable activity that can be presently </w:t>
      </w:r>
      <w:r>
        <w:t xml:space="preserve">undertaken and therefore </w:t>
      </w:r>
      <w:r w:rsidRPr="00AF0AD5">
        <w:t>benchmarked</w:t>
      </w:r>
      <w:r>
        <w:t xml:space="preserve">. </w:t>
      </w:r>
    </w:p>
    <w:p w:rsidR="00F10F02" w:rsidRPr="00AF0AD5" w:rsidRDefault="00F10F02" w:rsidP="00F10F02">
      <w:r>
        <w:t xml:space="preserve">We consulted with first and second tier retailers and </w:t>
      </w:r>
      <w:r w:rsidRPr="00AF0AD5">
        <w:t xml:space="preserve">the Australian Energy Market Operator to ascertain those activities necessary for the efficient transfer of </w:t>
      </w:r>
      <w:r>
        <w:t xml:space="preserve">meter </w:t>
      </w:r>
      <w:r w:rsidRPr="00AF0AD5">
        <w:t>customers</w:t>
      </w:r>
      <w:r>
        <w:t xml:space="preserve"> among service providers</w:t>
      </w:r>
      <w:r w:rsidRPr="00AF0AD5">
        <w:t xml:space="preserve">. The </w:t>
      </w:r>
      <w:r>
        <w:t xml:space="preserve">New South Wales and Australian Capital Territory </w:t>
      </w:r>
      <w:r w:rsidRPr="00AF0AD5">
        <w:t>distributors</w:t>
      </w:r>
      <w:r>
        <w:t>'</w:t>
      </w:r>
      <w:r w:rsidRPr="00AF0AD5">
        <w:t xml:space="preserve"> revised revenue proposals</w:t>
      </w:r>
      <w:r>
        <w:t>, and the initial proposals from Queensland and South Australia's distributors,</w:t>
      </w:r>
      <w:r w:rsidRPr="00AF0AD5">
        <w:t xml:space="preserve"> outlined the activities they would undertake to transfer customers. </w:t>
      </w:r>
    </w:p>
    <w:p w:rsidR="00DE752C" w:rsidRPr="00B531A2" w:rsidRDefault="00DE752C" w:rsidP="00DE752C">
      <w:pPr>
        <w:pStyle w:val="Heading3"/>
      </w:pPr>
      <w:bookmarkStart w:id="120" w:name="_Toc417738250"/>
      <w:bookmarkStart w:id="121" w:name="_Toc417996129"/>
      <w:r w:rsidRPr="00B531A2">
        <w:t>Interrelationships</w:t>
      </w:r>
      <w:bookmarkEnd w:id="91"/>
      <w:bookmarkEnd w:id="120"/>
      <w:bookmarkEnd w:id="121"/>
    </w:p>
    <w:p w:rsidR="00DE752C" w:rsidRDefault="00DE752C" w:rsidP="00DE752C">
      <w:pPr>
        <w:rPr>
          <w:rStyle w:val="AERbody"/>
        </w:rPr>
      </w:pPr>
      <w:r>
        <w:rPr>
          <w:rStyle w:val="AERbody"/>
        </w:rPr>
        <w:t>Our preliminary decision should provide Energex with an opportunity to recover at least its efficient costs.</w:t>
      </w:r>
      <w:r>
        <w:rPr>
          <w:rStyle w:val="FootnoteReference"/>
        </w:rPr>
        <w:footnoteReference w:id="59"/>
      </w:r>
      <w:r>
        <w:rPr>
          <w:rStyle w:val="AERbody"/>
        </w:rPr>
        <w:t xml:space="preserve"> This includes, where relevant, providing enough expenditure for the business to repay its debt financing costs and earn a reasonable return on its investments. </w:t>
      </w:r>
    </w:p>
    <w:p w:rsidR="00DE752C" w:rsidRDefault="00DE752C" w:rsidP="00DE752C">
      <w:pPr>
        <w:rPr>
          <w:rStyle w:val="AERbody"/>
        </w:rPr>
      </w:pPr>
      <w:r>
        <w:rPr>
          <w:rStyle w:val="AERbody"/>
        </w:rPr>
        <w:t>Our preliminary decision on Energex's alternative control metering proposal, therefore, interrelates with our assessment of its proposed rate of return. Refer to attachment 3 of this preliminary decision for the rate of return we accept for direct control services,</w:t>
      </w:r>
      <w:r w:rsidRPr="00284A3D">
        <w:rPr>
          <w:rStyle w:val="FootnoteReference"/>
        </w:rPr>
        <w:t xml:space="preserve"> </w:t>
      </w:r>
      <w:r w:rsidRPr="00284A3D">
        <w:rPr>
          <w:rStyle w:val="FootnoteReference"/>
        </w:rPr>
        <w:footnoteReference w:id="60"/>
      </w:r>
      <w:r>
        <w:rPr>
          <w:rStyle w:val="AERbody"/>
        </w:rPr>
        <w:t xml:space="preserve"> along with our reasons. Unlike standard control services, we will not be annually adjusting for the return on debt for alternative control services. The only annual </w:t>
      </w:r>
      <w:r>
        <w:rPr>
          <w:rStyle w:val="AERbody"/>
        </w:rPr>
        <w:lastRenderedPageBreak/>
        <w:t xml:space="preserve">changes for price caps for alternative control services will be consistent with our price control mechanism formula set out in </w:t>
      </w:r>
      <w:r>
        <w:rPr>
          <w:rStyle w:val="AERbody"/>
        </w:rPr>
        <w:fldChar w:fldCharType="begin"/>
      </w:r>
      <w:r>
        <w:rPr>
          <w:rStyle w:val="AERbody"/>
        </w:rPr>
        <w:instrText xml:space="preserve"> REF _Ref417314709 \r \h </w:instrText>
      </w:r>
      <w:r>
        <w:rPr>
          <w:rStyle w:val="AERbody"/>
        </w:rPr>
      </w:r>
      <w:r>
        <w:rPr>
          <w:rStyle w:val="AERbody"/>
        </w:rPr>
        <w:fldChar w:fldCharType="separate"/>
      </w:r>
      <w:r w:rsidR="005E73B8">
        <w:rPr>
          <w:rStyle w:val="AERbody"/>
        </w:rPr>
        <w:t>0</w:t>
      </w:r>
      <w:r>
        <w:rPr>
          <w:rStyle w:val="AERbody"/>
        </w:rPr>
        <w:fldChar w:fldCharType="end"/>
      </w:r>
      <w:r>
        <w:rPr>
          <w:rStyle w:val="AERbody"/>
        </w:rPr>
        <w:t>.</w:t>
      </w:r>
    </w:p>
    <w:p w:rsidR="00DE752C" w:rsidRDefault="00DE752C" w:rsidP="00DE752C">
      <w:pPr>
        <w:rPr>
          <w:rStyle w:val="AERbody"/>
        </w:rPr>
      </w:pPr>
      <w:r>
        <w:rPr>
          <w:rStyle w:val="AERbody"/>
        </w:rPr>
        <w:t xml:space="preserve">Our preliminary decision for metering </w:t>
      </w:r>
      <w:proofErr w:type="spellStart"/>
      <w:r>
        <w:rPr>
          <w:rStyle w:val="AERbody"/>
        </w:rPr>
        <w:t>opex</w:t>
      </w:r>
      <w:proofErr w:type="spellEnd"/>
      <w:r>
        <w:rPr>
          <w:rStyle w:val="AERbody"/>
        </w:rPr>
        <w:t xml:space="preserve"> applies the real labour price changes and productivity used for standard control </w:t>
      </w:r>
      <w:proofErr w:type="spellStart"/>
      <w:r>
        <w:rPr>
          <w:rStyle w:val="AERbody"/>
        </w:rPr>
        <w:t>opex</w:t>
      </w:r>
      <w:proofErr w:type="spellEnd"/>
      <w:r>
        <w:rPr>
          <w:rStyle w:val="AERbody"/>
        </w:rPr>
        <w:t xml:space="preserve"> (attachment 7, see rate of change appendix). </w:t>
      </w:r>
    </w:p>
    <w:p w:rsidR="00DE752C" w:rsidRDefault="00DE752C" w:rsidP="00DE752C">
      <w:pPr>
        <w:pStyle w:val="Heading3"/>
      </w:pPr>
      <w:bookmarkStart w:id="122" w:name="_Toc417738251"/>
      <w:bookmarkStart w:id="123" w:name="_Toc417996130"/>
      <w:r w:rsidRPr="00B531A2">
        <w:t>Reasons for preliminary decision</w:t>
      </w:r>
      <w:bookmarkEnd w:id="122"/>
      <w:bookmarkEnd w:id="123"/>
      <w:r>
        <w:t xml:space="preserve"> </w:t>
      </w:r>
    </w:p>
    <w:p w:rsidR="00DE752C" w:rsidRPr="00010623" w:rsidRDefault="00DE752C" w:rsidP="00DE752C">
      <w:r w:rsidRPr="00010623">
        <w:t xml:space="preserve">Our reasons for not accepting </w:t>
      </w:r>
      <w:r>
        <w:t>Energex's</w:t>
      </w:r>
      <w:r w:rsidRPr="00010623">
        <w:t xml:space="preserve"> proposed annual metering services</w:t>
      </w:r>
      <w:r>
        <w:t xml:space="preserve"> charge</w:t>
      </w:r>
      <w:r w:rsidRPr="00010623">
        <w:t xml:space="preserve"> and the </w:t>
      </w:r>
      <w:r>
        <w:t>transfer/</w:t>
      </w:r>
      <w:r w:rsidRPr="00010623">
        <w:t>exit fee are discussed in this section.</w:t>
      </w:r>
      <w:r>
        <w:t xml:space="preserve"> We also set out our reasons for not accepting Energex's proposed structure of metering services.</w:t>
      </w:r>
    </w:p>
    <w:p w:rsidR="00DE752C" w:rsidRDefault="00DE752C" w:rsidP="00DE752C">
      <w:pPr>
        <w:pStyle w:val="Heading4"/>
      </w:pPr>
      <w:bookmarkStart w:id="124" w:name="_Toc417738252"/>
      <w:bookmarkStart w:id="125" w:name="_Toc417927714"/>
      <w:r>
        <w:t xml:space="preserve">Structure of metering </w:t>
      </w:r>
      <w:bookmarkEnd w:id="124"/>
      <w:r>
        <w:t>charges</w:t>
      </w:r>
      <w:bookmarkEnd w:id="125"/>
    </w:p>
    <w:p w:rsidR="00DE752C" w:rsidRPr="00825E03" w:rsidRDefault="00DE752C" w:rsidP="00DE752C">
      <w:pPr>
        <w:rPr>
          <w:rStyle w:val="AERbody"/>
        </w:rPr>
      </w:pPr>
      <w:r w:rsidRPr="00825E03">
        <w:rPr>
          <w:rStyle w:val="AERbody"/>
        </w:rPr>
        <w:t xml:space="preserve">Our </w:t>
      </w:r>
      <w:r>
        <w:rPr>
          <w:rStyle w:val="AERbody"/>
        </w:rPr>
        <w:t>preliminary</w:t>
      </w:r>
      <w:r w:rsidRPr="00825E03">
        <w:rPr>
          <w:rStyle w:val="AERbody"/>
        </w:rPr>
        <w:t xml:space="preserve"> decision approves two types of charges:</w:t>
      </w:r>
    </w:p>
    <w:p w:rsidR="00DE752C" w:rsidRPr="00825E03" w:rsidRDefault="00DE752C" w:rsidP="00DE752C">
      <w:pPr>
        <w:pStyle w:val="AERbulletlistfirststyle"/>
        <w:rPr>
          <w:rStyle w:val="AERbody"/>
        </w:rPr>
      </w:pPr>
      <w:r>
        <w:rPr>
          <w:rStyle w:val="AERbody"/>
        </w:rPr>
        <w:t>u</w:t>
      </w:r>
      <w:r w:rsidRPr="00825E03">
        <w:rPr>
          <w:rStyle w:val="AERbody"/>
        </w:rPr>
        <w:t>pfront capital charge (for all new and upgraded meters installed from 1 July 2015)</w:t>
      </w:r>
    </w:p>
    <w:p w:rsidR="00DE752C" w:rsidRPr="00825E03" w:rsidRDefault="00DE752C" w:rsidP="00DE752C">
      <w:pPr>
        <w:pStyle w:val="AERbulletlistfirststyle"/>
        <w:rPr>
          <w:rStyle w:val="AERbody"/>
        </w:rPr>
      </w:pPr>
      <w:r>
        <w:rPr>
          <w:rStyle w:val="AERbody"/>
        </w:rPr>
        <w:t>a</w:t>
      </w:r>
      <w:r w:rsidRPr="00825E03">
        <w:rPr>
          <w:rStyle w:val="AERbody"/>
        </w:rPr>
        <w:t>nnual charge comprising two components</w:t>
      </w:r>
      <w:r>
        <w:rPr>
          <w:rStyle w:val="AERbody"/>
        </w:rPr>
        <w:t>:</w:t>
      </w:r>
    </w:p>
    <w:p w:rsidR="00DE752C" w:rsidRPr="00825E03" w:rsidRDefault="00DE752C" w:rsidP="00DE752C">
      <w:pPr>
        <w:pStyle w:val="AERbulletlistsecondstyle"/>
        <w:rPr>
          <w:rStyle w:val="AERbody"/>
        </w:rPr>
      </w:pPr>
      <w:r>
        <w:rPr>
          <w:rStyle w:val="AERbody"/>
        </w:rPr>
        <w:t>c</w:t>
      </w:r>
      <w:r w:rsidRPr="00825E03">
        <w:rPr>
          <w:rStyle w:val="AERbody"/>
        </w:rPr>
        <w:t>apital—metering asset base (MAB) recovery</w:t>
      </w:r>
    </w:p>
    <w:p w:rsidR="00DE752C" w:rsidRPr="00825E03" w:rsidRDefault="00DE752C" w:rsidP="00DE752C">
      <w:pPr>
        <w:pStyle w:val="AERbulletlistsecondstyle"/>
        <w:rPr>
          <w:rStyle w:val="AERbody"/>
        </w:rPr>
      </w:pPr>
      <w:r w:rsidRPr="00825E03">
        <w:rPr>
          <w:rStyle w:val="AERbody"/>
        </w:rPr>
        <w:t>non-capital—operating expenditure and tax.</w:t>
      </w:r>
    </w:p>
    <w:p w:rsidR="00DE752C" w:rsidRPr="00825E03" w:rsidRDefault="00DE752C" w:rsidP="00DE752C">
      <w:r w:rsidRPr="00825E03">
        <w:t>We approve an upfront capital charge for two reasons. Firstly, it directly attributes the capital costs to the customer who initiates the meter installation. Secondly, it is appropriate in the context of expanding competition in metering. It is difficult to forecast the number of new regulated type 5 and 6 meters that will be i</w:t>
      </w:r>
      <w:r>
        <w:t>nstalled in the upcoming 2015–20</w:t>
      </w:r>
      <w:r w:rsidRPr="00825E03">
        <w:t xml:space="preserve"> regulatory control period. By charging upfront, we avoid having to forecast capital expenditure for new and upgraded metering installations that may not eventuate. </w:t>
      </w:r>
    </w:p>
    <w:p w:rsidR="00DE752C" w:rsidRPr="00825E03" w:rsidRDefault="00DE752C" w:rsidP="00DE752C">
      <w:r w:rsidRPr="00825E03">
        <w:t>To better meet the distribution pricing principles, it important for annual charges to be set on a cost-reflective basis. It is particularly significant in the context of expanding competition in metering. Previously, metering was a standard control service and the related metering costs were bundled into general network tariffs. There was no transparency around the costs of providing regulated metering services. By setting cost-reflective regulated metering charges, customers will be able to compare the costs of their current regulated service with offers from alternative metering providers when competition begins.</w:t>
      </w:r>
    </w:p>
    <w:p w:rsidR="00DE752C" w:rsidRPr="00825E03" w:rsidRDefault="00DE752C" w:rsidP="00DE752C">
      <w:r w:rsidRPr="00825E03">
        <w:t>We consider that a cost-reflective annual charge for new metering connections installed after 1 July 2015 should only consist of non-capital costs (operating expenditure and tax). This is because the capital cost of meters installed after 1 July 2015 would have been fully customer funded. In contrast, pre 30 June 2015 customers on a regulated type 5 or 6 metering service who have not paid for the meter upfront should contribute to the MAB recovery through their annual charge. That is, they pay a cost-reflective annual charge that includes both capital and non-capital components. This is the way such customers pay for their regulated metering services now.</w:t>
      </w:r>
    </w:p>
    <w:p w:rsidR="00DE752C" w:rsidRPr="00825E03" w:rsidRDefault="00DE752C" w:rsidP="00DE752C">
      <w:r w:rsidRPr="00825E03">
        <w:lastRenderedPageBreak/>
        <w:t>However, if a customer chooses to switch to a competitive metering provider, the capital component of the annual charge would become stranded for the distributor. That is unless there is a mechanism for recovering that cost. It is important to recognise that customers pay the capital costs of a meter on an annual basis, they represent an amortised cost (that is, have been paid for upfront by the distributor and then recovered gradually over time from customers). Past capital expenditure is a fixed cost because it does not vary with how many customers switch; the capital costs have already been incurred by the distributor to provide a regulated metering service. This is in contrast to metering operating expenditure, such as meter reading costs, which are largely variable. This means the distributor can avoid those costs if a customer switches.</w:t>
      </w:r>
      <w:r w:rsidRPr="00825E03">
        <w:rPr>
          <w:rStyle w:val="FootnoteReference"/>
        </w:rPr>
        <w:footnoteReference w:id="61"/>
      </w:r>
    </w:p>
    <w:p w:rsidR="00DE752C" w:rsidRPr="00825E03" w:rsidRDefault="00DE752C" w:rsidP="00DE752C">
      <w:r w:rsidRPr="00825E03">
        <w:t>QCOSS considers "</w:t>
      </w:r>
      <w:r w:rsidRPr="00825E03">
        <w:rPr>
          <w:rStyle w:val="AERtextitalic"/>
        </w:rPr>
        <w:t>it would be inappropriate to recover residual costs associated with a service that customers are not getting any benefit from…. distributors should not be allowed to recover such costs from consumers - either through a charge which is allocated across all customers nor via individual exit fees</w:t>
      </w:r>
      <w:r w:rsidRPr="00825E03">
        <w:t>."</w:t>
      </w:r>
      <w:r w:rsidRPr="00825E03">
        <w:rPr>
          <w:rStyle w:val="AERsuperscript"/>
        </w:rPr>
        <w:footnoteReference w:id="62"/>
      </w:r>
      <w:r w:rsidRPr="00825E03">
        <w:t xml:space="preserve"> But this effectively means that the distributor would be unable to recover the undepreciated residual value of those meters. The revenue and pricing principles provide that distributors should have a reasonable opportunity to recover at least their efficient costs. We therefore consider it appropriate that distributors recover their fixed capital costs that were incurred in providing regulated metering services. </w:t>
      </w:r>
    </w:p>
    <w:p w:rsidR="00DE752C" w:rsidRPr="00825E03" w:rsidRDefault="00DE752C" w:rsidP="00DE752C">
      <w:pPr>
        <w:rPr>
          <w:rStyle w:val="AERbody"/>
        </w:rPr>
      </w:pPr>
      <w:r w:rsidRPr="00825E03">
        <w:rPr>
          <w:rStyle w:val="AERbody"/>
        </w:rPr>
        <w:t xml:space="preserve">Accordingly, we considered the most appropriate way to recover metering capital costs incurred in providing regulated metering services that risk becoming stranded if a customer switches. </w:t>
      </w:r>
    </w:p>
    <w:p w:rsidR="00DE752C" w:rsidRPr="00825E03" w:rsidRDefault="00DE752C" w:rsidP="00DE752C">
      <w:pPr>
        <w:rPr>
          <w:rStyle w:val="AERbody"/>
        </w:rPr>
      </w:pPr>
      <w:r>
        <w:rPr>
          <w:rStyle w:val="AERbody"/>
        </w:rPr>
        <w:t xml:space="preserve">Energex proposed </w:t>
      </w:r>
      <w:r w:rsidRPr="00825E03">
        <w:rPr>
          <w:rStyle w:val="AERbody"/>
        </w:rPr>
        <w:t>an upfront exit fee when a customer wished to switch to a competitive metering provider. This would ensure they recovered their metering capital costs for existing meters that would otherwise become stranded.</w:t>
      </w:r>
    </w:p>
    <w:p w:rsidR="00DE752C" w:rsidRPr="00825E03" w:rsidRDefault="00DE752C" w:rsidP="00DE752C">
      <w:pPr>
        <w:rPr>
          <w:rStyle w:val="AERbody"/>
        </w:rPr>
      </w:pPr>
      <w:r w:rsidRPr="00825E03">
        <w:rPr>
          <w:rStyle w:val="AERbody"/>
        </w:rPr>
        <w:t>However various stakeholders raised concerns that a large upfront exit fee would be a barrier to competitive entry and to the take up of advanced metering.</w:t>
      </w:r>
      <w:r w:rsidRPr="00825E03">
        <w:rPr>
          <w:rStyle w:val="FootnoteReference"/>
        </w:rPr>
        <w:footnoteReference w:id="63"/>
      </w:r>
      <w:r w:rsidRPr="00825E03">
        <w:rPr>
          <w:rStyle w:val="AERbody"/>
        </w:rPr>
        <w:t xml:space="preserve"> In particular, it potentially creates a first mover disadvantage because a market-led smart meter rollout is predicated on the customer not having to pay any charges upfront.</w:t>
      </w:r>
      <w:r w:rsidRPr="00825E03">
        <w:rPr>
          <w:rStyle w:val="FootnoteReference"/>
        </w:rPr>
        <w:footnoteReference w:id="64"/>
      </w:r>
      <w:r w:rsidRPr="00825E03">
        <w:rPr>
          <w:rStyle w:val="AERbody"/>
        </w:rPr>
        <w:t xml:space="preserve"> Therefore, the first mover competitive metering provider may have to pay for both an </w:t>
      </w:r>
      <w:r w:rsidRPr="00825E03">
        <w:rPr>
          <w:rStyle w:val="AERbody"/>
        </w:rPr>
        <w:lastRenderedPageBreak/>
        <w:t xml:space="preserve">exit fee as well as the new smart meter—and bear the risk of those sunk costs if the customer decided to move to another competitive metering provider. We find that exit fees create a regulatory barrier to a market-led roll out of advanced metering. </w:t>
      </w:r>
    </w:p>
    <w:p w:rsidR="00DE752C" w:rsidRPr="00825E03" w:rsidRDefault="00DE752C" w:rsidP="00DE752C">
      <w:pPr>
        <w:rPr>
          <w:rStyle w:val="AERbody"/>
        </w:rPr>
      </w:pPr>
      <w:r w:rsidRPr="00825E03">
        <w:rPr>
          <w:rStyle w:val="AERbody"/>
        </w:rPr>
        <w:t>There are several methods of ensuring distributors can recover capital costs incurred in providing regulated metering services. After extensive consultation with stakeholders</w:t>
      </w:r>
      <w:r w:rsidRPr="00825E03">
        <w:rPr>
          <w:rStyle w:val="FootnoteReference"/>
        </w:rPr>
        <w:footnoteReference w:id="65"/>
      </w:r>
      <w:r w:rsidRPr="00825E03">
        <w:rPr>
          <w:rStyle w:val="AERbody"/>
        </w:rPr>
        <w:t xml:space="preserve">, we decided on a method that we considered best balances the objectives of distributors and customers and meets regulatory objectives to promote competition in metering services. </w:t>
      </w:r>
    </w:p>
    <w:p w:rsidR="00DE752C" w:rsidRPr="00825E03" w:rsidRDefault="00DE752C" w:rsidP="00DE752C">
      <w:r w:rsidRPr="00825E03">
        <w:t>Based on economic principles, the efficient investment signal to switch to unregulated metering would be to set individual exit fees based on the remaining economic value of the individual meter associated with the customer making the decision to switch. The remaining economic value would vary with the capability of the meter (the meter type) and remaining life (the age) of the meter. This would ensure that an existing meter would only be replaced if the new meter delivers sufficient additional economic value to cover its own cost and any remaining economic value of the existing regulated meter.</w:t>
      </w:r>
    </w:p>
    <w:p w:rsidR="00DE752C" w:rsidRPr="00825E03" w:rsidRDefault="00DE752C" w:rsidP="00DE752C">
      <w:r w:rsidRPr="00825E03">
        <w:t>Although we considered that at a theoretical level this option has merit, at a practical level it has substantial shortcomings for a range of reasons. Firstly there is limited information as most distribution businesses do not record information about asset type or age at the individual customer level. Secondly, we are not satisfied that the amount distribution businesses are entitled to recover (based on actual costs) necessarily corresponds to the remaining economic value of a meter. For example, if a meter fails, distributors are still allowed to recover the capital costs that were incurred to provide that meter originally–even though the meter is no longer in service and therefore has no economic value. Also, regulated historic metering costs may not be efficient, as distribution businesses have not faced competitive pressures. Finally, we were concerned that it may be inappropriate to charge customers different exit fees that would vary with meter type and age because such investment decisions were made by distribution businesses, not customers.</w:t>
      </w:r>
    </w:p>
    <w:p w:rsidR="00DE752C" w:rsidRPr="00825E03" w:rsidRDefault="00DE752C" w:rsidP="00DE752C">
      <w:pPr>
        <w:rPr>
          <w:rStyle w:val="AERbody"/>
        </w:rPr>
      </w:pPr>
      <w:r w:rsidRPr="00825E03">
        <w:rPr>
          <w:rStyle w:val="AERbody"/>
        </w:rPr>
        <w:t xml:space="preserve">We consider our </w:t>
      </w:r>
      <w:r w:rsidR="00B5694C">
        <w:rPr>
          <w:rStyle w:val="AERbody"/>
        </w:rPr>
        <w:t>preliminary</w:t>
      </w:r>
      <w:r w:rsidRPr="00825E03">
        <w:rPr>
          <w:rStyle w:val="AERbody"/>
        </w:rPr>
        <w:t xml:space="preserve"> decision </w:t>
      </w:r>
      <w:r w:rsidRPr="00825E03">
        <w:t>to have switching customers continue to pay for the capital costs associated with the regulated metering service</w:t>
      </w:r>
      <w:r>
        <w:t xml:space="preserve"> better </w:t>
      </w:r>
      <w:r w:rsidRPr="00825E03">
        <w:rPr>
          <w:rStyle w:val="AERbody"/>
        </w:rPr>
        <w:t xml:space="preserve">meets the regulatory objectives under the NEL and NER, than </w:t>
      </w:r>
      <w:r>
        <w:rPr>
          <w:rStyle w:val="AERbody"/>
        </w:rPr>
        <w:t>Energex's</w:t>
      </w:r>
      <w:r w:rsidRPr="00825E03">
        <w:rPr>
          <w:rStyle w:val="AERbody"/>
        </w:rPr>
        <w:t xml:space="preserve"> proposal</w:t>
      </w:r>
      <w:r>
        <w:rPr>
          <w:rStyle w:val="AERbody"/>
        </w:rPr>
        <w:t xml:space="preserve">. </w:t>
      </w:r>
      <w:r w:rsidRPr="00825E03">
        <w:rPr>
          <w:rStyle w:val="AERbody"/>
        </w:rPr>
        <w:t>We considered:</w:t>
      </w:r>
    </w:p>
    <w:p w:rsidR="00DE752C" w:rsidRPr="00825E03" w:rsidRDefault="00DE752C" w:rsidP="00DE752C">
      <w:pPr>
        <w:pStyle w:val="AERbulletlistfirststyle"/>
      </w:pPr>
      <w:r w:rsidRPr="00825E03">
        <w:t xml:space="preserve">Impact on competition </w:t>
      </w:r>
    </w:p>
    <w:p w:rsidR="00DE752C" w:rsidRPr="001F196E" w:rsidRDefault="00DE752C" w:rsidP="00DE752C">
      <w:pPr>
        <w:pStyle w:val="AERbulletlistsecondstyle"/>
        <w:rPr>
          <w:rStyle w:val="AERbody"/>
        </w:rPr>
      </w:pPr>
      <w:r w:rsidRPr="001F196E">
        <w:rPr>
          <w:rStyle w:val="AERbody"/>
        </w:rPr>
        <w:t xml:space="preserve">Our preliminary decision removes the upfront exit fee which was identified as the primary barrier to competitive entry by stakeholders </w:t>
      </w:r>
    </w:p>
    <w:p w:rsidR="00DE752C" w:rsidRPr="001F196E" w:rsidRDefault="00DE752C" w:rsidP="00DE752C">
      <w:pPr>
        <w:pStyle w:val="AERbulletlistsecondstyle"/>
        <w:rPr>
          <w:rStyle w:val="AERbody"/>
        </w:rPr>
      </w:pPr>
      <w:r w:rsidRPr="001F196E">
        <w:rPr>
          <w:rStyle w:val="AERbody"/>
        </w:rPr>
        <w:lastRenderedPageBreak/>
        <w:t>Our preliminary decision removes concerns about first mover disadvantage that would arise if the first mover had to pay the upfront exit fee and risk being undercut by another competitive provider that does not fa</w:t>
      </w:r>
      <w:r w:rsidR="00653ABF">
        <w:rPr>
          <w:rStyle w:val="AERbody"/>
        </w:rPr>
        <w:t>ce the exit fee. Under the preliminary</w:t>
      </w:r>
      <w:r w:rsidRPr="001F196E">
        <w:rPr>
          <w:rStyle w:val="AERbody"/>
        </w:rPr>
        <w:t xml:space="preserve"> decision, the customer is charged the capital component of the regulated annual metering charge directly.  </w:t>
      </w:r>
    </w:p>
    <w:p w:rsidR="00DE752C" w:rsidRPr="00825E03" w:rsidRDefault="00DE752C" w:rsidP="00DE752C">
      <w:pPr>
        <w:pStyle w:val="AERbulletlistfirststyle"/>
      </w:pPr>
      <w:r w:rsidRPr="00825E03">
        <w:t>Administrative simplicity</w:t>
      </w:r>
    </w:p>
    <w:p w:rsidR="00DE752C" w:rsidRPr="00825E03" w:rsidRDefault="00DE752C" w:rsidP="00DE752C">
      <w:pPr>
        <w:pStyle w:val="AERbulletlistsecondstyle"/>
      </w:pPr>
      <w:r>
        <w:t xml:space="preserve">Our preliminary </w:t>
      </w:r>
      <w:r w:rsidRPr="00825E03">
        <w:t xml:space="preserve">decision makes use of existing information that </w:t>
      </w:r>
      <w:r>
        <w:t>Energex</w:t>
      </w:r>
      <w:r w:rsidRPr="00825E03">
        <w:t xml:space="preserve"> has, rather than relying on further information on the remaining economic or technical life of individual metering assets which would be difficult to determine.</w:t>
      </w:r>
    </w:p>
    <w:p w:rsidR="00DE752C" w:rsidRPr="00825E03" w:rsidRDefault="00DE752C" w:rsidP="00DE752C">
      <w:pPr>
        <w:pStyle w:val="AERbulletlistfirststyle"/>
      </w:pPr>
      <w:r w:rsidRPr="00825E03">
        <w:t>The directly attributed cost to minimise cross subsidies</w:t>
      </w:r>
    </w:p>
    <w:p w:rsidR="00DE752C" w:rsidRPr="00825E03" w:rsidRDefault="00DE752C" w:rsidP="00DE752C">
      <w:pPr>
        <w:pStyle w:val="AERbulletlistsecondstyle"/>
      </w:pPr>
      <w:r w:rsidRPr="00825E03">
        <w:t xml:space="preserve">Our </w:t>
      </w:r>
      <w:r>
        <w:t xml:space="preserve">preliminary </w:t>
      </w:r>
      <w:r w:rsidRPr="00825E03">
        <w:t xml:space="preserve">decision involves continuing to charge switching customers an ongoing regulated annual charge to recover metering capital costs associated with their past regulated metering service. We considered whether it was appropriate to continue to charge a regulated annual charge when a customer is no longer receiving an active regulated metering service. We consider that it is appropriate to charge switched customers for fixed capital costs associated with their past regulated metering services because it more directly attributes cost recovery to the customer group that caused those costs to be incurred and ensures that the distributor has an opportunity to at least recover its efficient costs. We consider this also strikes an appropriate balance to promote efficient investment as set out in the revenue and pricing principles </w:t>
      </w:r>
    </w:p>
    <w:p w:rsidR="00DE752C" w:rsidRPr="00825E03" w:rsidRDefault="00DE752C" w:rsidP="00DE752C">
      <w:pPr>
        <w:pStyle w:val="AERbulletlistsecondstyle"/>
      </w:pPr>
      <w:r w:rsidRPr="00825E03">
        <w:t xml:space="preserve">Under our </w:t>
      </w:r>
      <w:r>
        <w:t>preliminary</w:t>
      </w:r>
      <w:r w:rsidRPr="00825E03">
        <w:t xml:space="preserve"> decision, only customers at premises which currently or previously had a type 5 or 6 metering service will be paying for the capital costs incurred in providing type 5 and 6 metering services </w:t>
      </w:r>
    </w:p>
    <w:p w:rsidR="00DE752C" w:rsidRPr="00825E03" w:rsidRDefault="00DE752C" w:rsidP="00DE752C">
      <w:pPr>
        <w:pStyle w:val="AERbulletlistsecondstyle"/>
      </w:pPr>
      <w:r w:rsidRPr="00825E03">
        <w:t xml:space="preserve">Nonetheless, our </w:t>
      </w:r>
      <w:r>
        <w:t xml:space="preserve">preliminary </w:t>
      </w:r>
      <w:r w:rsidRPr="00825E03">
        <w:t xml:space="preserve">decision still involves some cross subsidy. This is because the capital component of the annual charge is based on the average depreciated value of the MAB. We consider this is appropriate given that we do not have granular information on the customer's specific meter asset type or age </w:t>
      </w:r>
    </w:p>
    <w:p w:rsidR="00DE752C" w:rsidRPr="00825E03" w:rsidRDefault="00DE752C" w:rsidP="00DE752C">
      <w:pPr>
        <w:pStyle w:val="AERbulletlistsecondstyle"/>
      </w:pPr>
      <w:r w:rsidRPr="00825E03">
        <w:t>Another form of cross subsidy is that the regulated annual charge (capital) a switching customer will pay for includes some recovery of forecast replacement capital expenditure that is not linked to the switched customer's past regulated metering service. The opening MAB value is based on past capital expenditure. The MAB is not forecast to grow much because from 1 July 2015, all new and upgraded meters will be paid for upfront and will therefore not be included in the MAB. However, some forecast capital expenditure relating to replacement meters will be added to the MAB.</w:t>
      </w:r>
      <w:r w:rsidRPr="00825E03">
        <w:rPr>
          <w:rStyle w:val="FootnoteReference"/>
        </w:rPr>
        <w:footnoteReference w:id="66"/>
      </w:r>
      <w:r w:rsidRPr="00825E03">
        <w:t xml:space="preserve"> </w:t>
      </w:r>
      <w:r w:rsidRPr="00825E03">
        <w:lastRenderedPageBreak/>
        <w:t>However, this is expected to be an interim issue as it is likely that distributors will not be able to install replacement meters after the metering rule change comes into effect on 1 July 2017</w:t>
      </w:r>
      <w:r w:rsidRPr="00825E03">
        <w:rPr>
          <w:rStyle w:val="FootnoteReference"/>
        </w:rPr>
        <w:footnoteReference w:id="67"/>
      </w:r>
      <w:r w:rsidRPr="00825E03">
        <w:t xml:space="preserve"> </w:t>
      </w:r>
    </w:p>
    <w:p w:rsidR="00DE752C" w:rsidRPr="00825E03" w:rsidRDefault="00DE752C" w:rsidP="00DE752C">
      <w:pPr>
        <w:pStyle w:val="AERbulletlistsecondstyle"/>
      </w:pPr>
      <w:r w:rsidRPr="00825E03">
        <w:t xml:space="preserve">Our </w:t>
      </w:r>
      <w:r w:rsidR="00B5694C">
        <w:t>preliminary</w:t>
      </w:r>
      <w:r w:rsidRPr="00825E03">
        <w:t xml:space="preserve"> decision to charge for new and upgraded meters upfront removes the risk of future cross subsidy. This is because by charging capital costs upfront, it is directly attributed and paid for by the customer choosing to install that meter. There is no risk of metering capital costs becoming stranded. </w:t>
      </w:r>
    </w:p>
    <w:p w:rsidR="00DE752C" w:rsidRPr="00010623" w:rsidRDefault="00DE752C" w:rsidP="00DE752C">
      <w:pPr>
        <w:pStyle w:val="Heading4"/>
      </w:pPr>
      <w:bookmarkStart w:id="126" w:name="_Toc417738253"/>
      <w:bookmarkStart w:id="127" w:name="_Toc417927715"/>
      <w:r w:rsidRPr="00010623">
        <w:t>Annual metering services</w:t>
      </w:r>
      <w:bookmarkEnd w:id="126"/>
      <w:bookmarkEnd w:id="127"/>
    </w:p>
    <w:p w:rsidR="00DE752C" w:rsidRPr="00010623" w:rsidRDefault="00DE752C" w:rsidP="00DE752C">
      <w:r w:rsidRPr="00010623">
        <w:t xml:space="preserve">Our </w:t>
      </w:r>
      <w:r>
        <w:t>preliminary</w:t>
      </w:r>
      <w:r w:rsidRPr="00010623">
        <w:t xml:space="preserve"> decision is to not accept </w:t>
      </w:r>
      <w:r>
        <w:t>Energex's</w:t>
      </w:r>
      <w:r w:rsidRPr="00010623">
        <w:t xml:space="preserve"> total proposed building block requirement for annual metering services. </w:t>
      </w:r>
      <w:r>
        <w:t>W</w:t>
      </w:r>
      <w:r w:rsidRPr="00010623">
        <w:t>e accept a building block approach to setting charges</w:t>
      </w:r>
      <w:r>
        <w:t xml:space="preserve"> but not accept the</w:t>
      </w:r>
      <w:r w:rsidRPr="00010623">
        <w:t xml:space="preserve"> following components of </w:t>
      </w:r>
      <w:r>
        <w:t xml:space="preserve">Energex's </w:t>
      </w:r>
      <w:r w:rsidRPr="00010623">
        <w:t xml:space="preserve">proposal: </w:t>
      </w:r>
    </w:p>
    <w:p w:rsidR="00DE752C" w:rsidRDefault="00DE752C" w:rsidP="00DE752C">
      <w:pPr>
        <w:pStyle w:val="AERbulletlistfirststyle"/>
      </w:pPr>
      <w:r w:rsidRPr="00010623">
        <w:t xml:space="preserve">opening </w:t>
      </w:r>
      <w:r>
        <w:t>MAB</w:t>
      </w:r>
    </w:p>
    <w:p w:rsidR="00DE752C" w:rsidRDefault="00DE752C" w:rsidP="00DE752C">
      <w:pPr>
        <w:pStyle w:val="AERbulletlistfirststyle"/>
      </w:pPr>
      <w:r>
        <w:t>depreciation</w:t>
      </w:r>
    </w:p>
    <w:p w:rsidR="00DE752C" w:rsidRPr="00010623" w:rsidRDefault="00DE752C" w:rsidP="00DE752C">
      <w:pPr>
        <w:pStyle w:val="AERbulletlistfirststyle"/>
      </w:pPr>
      <w:r>
        <w:t>capex</w:t>
      </w:r>
    </w:p>
    <w:p w:rsidR="00DE752C" w:rsidRPr="00010623" w:rsidRDefault="00DE752C" w:rsidP="00DE752C">
      <w:r w:rsidRPr="00010623">
        <w:t xml:space="preserve">This has led us to reject </w:t>
      </w:r>
      <w:r>
        <w:t>Energex's</w:t>
      </w:r>
      <w:r w:rsidRPr="00010623">
        <w:t xml:space="preserve"> proposed annual metering service charges. Our alternative price caps are set out in appendix</w:t>
      </w:r>
      <w:r>
        <w:t xml:space="preserve"> </w:t>
      </w:r>
      <w:r w:rsidRPr="00774FAA">
        <w:rPr>
          <w:rStyle w:val="AERbody"/>
        </w:rPr>
        <w:t>A</w:t>
      </w:r>
      <w:r w:rsidRPr="00010623">
        <w:t xml:space="preserve">. </w:t>
      </w:r>
    </w:p>
    <w:p w:rsidR="00DE752C" w:rsidRPr="00DE752C" w:rsidRDefault="00DE752C" w:rsidP="00DE752C">
      <w:pPr>
        <w:pStyle w:val="Heading5"/>
      </w:pPr>
      <w:bookmarkStart w:id="128" w:name="_Toc417738254"/>
      <w:bookmarkStart w:id="129" w:name="_Toc417927716"/>
      <w:r>
        <w:t>Opening metering asset base</w:t>
      </w:r>
      <w:bookmarkEnd w:id="128"/>
      <w:bookmarkEnd w:id="129"/>
    </w:p>
    <w:p w:rsidR="00DE752C" w:rsidRPr="00DE752C" w:rsidRDefault="00DE752C" w:rsidP="00653ABF">
      <w:r w:rsidRPr="00571053">
        <w:t xml:space="preserve">Our preliminary decision is to approve an opening MAB value </w:t>
      </w:r>
      <w:r w:rsidRPr="00DE752C">
        <w:t xml:space="preserve">as at 1 July 2015 of $448.8 million and substitute it for Energex's proposed $435.9 million ($nominal). </w:t>
      </w:r>
    </w:p>
    <w:p w:rsidR="00DE752C" w:rsidRPr="00DE752C" w:rsidRDefault="00DE752C" w:rsidP="00653ABF">
      <w:r>
        <w:t>T</w:t>
      </w:r>
      <w:r w:rsidRPr="00DE752C">
        <w:t>o calculate the opening MAB, we reclassified metering assets to alternative control services. This is consistent with our F&amp;A service classification</w:t>
      </w:r>
      <w:r w:rsidRPr="00DE752C">
        <w:rPr>
          <w:rStyle w:val="FootnoteReference"/>
        </w:rPr>
        <w:footnoteReference w:id="68"/>
      </w:r>
      <w:r w:rsidRPr="00DE752C">
        <w:t xml:space="preserve"> and Energex’s proposal. In reclassifying metering assets, however, our preliminary decision differs to Energex’s proposal in one respect. This is that we have moved certain load control assets (associated with new meter types) which Energex’s proposal left in its RAB for standard control services. Our reasoning for moving those assets to the MAB is outlined in attachment 2. </w:t>
      </w:r>
    </w:p>
    <w:p w:rsidR="00DE752C" w:rsidRDefault="00DE752C" w:rsidP="00DE752C">
      <w:r>
        <w:t xml:space="preserve">We received submissions on </w:t>
      </w:r>
      <w:r w:rsidRPr="00793A4B">
        <w:t>Energex</w:t>
      </w:r>
      <w:r>
        <w:t>'s proposed opening MAB. The Queensland Council of Social Services noted that the value of Energex's proposed MAB was disproportionately higher than Ergon Energy's MAB.</w:t>
      </w:r>
      <w:r>
        <w:rPr>
          <w:rStyle w:val="FootnoteReference"/>
        </w:rPr>
        <w:footnoteReference w:id="69"/>
      </w:r>
      <w:r>
        <w:t xml:space="preserve"> There are various reasons why the MABs of Energex and Ergon Energy can differ. </w:t>
      </w:r>
      <w:r w:rsidRPr="007D79A3">
        <w:t xml:space="preserve">For example, the amount of past capex and depreciation differs across both service providers. We do not currently have powers to review past capex on meters. This means a key driver behind Energex’s </w:t>
      </w:r>
      <w:r w:rsidRPr="007D79A3">
        <w:lastRenderedPageBreak/>
        <w:t>relatively higher opening MAB cannot be reviewed as part of our regulatory processes.</w:t>
      </w:r>
      <w:r>
        <w:t xml:space="preserve"> With regards to depreciation, </w:t>
      </w:r>
      <w:r w:rsidRPr="007D79A3">
        <w:t>Energex notes that some metering assets were previously reported as low voltage overhead service line assets, and thus attracted a lower depreciation rate (standard life of 35 years) than if they had been reported originally as metering assets (standard life of 25 years)</w:t>
      </w:r>
      <w:r>
        <w:t xml:space="preserve"> which results in '</w:t>
      </w:r>
      <w:r w:rsidRPr="007D79A3">
        <w:t>a higher book value than would otherwise be the case</w:t>
      </w:r>
      <w:r>
        <w:t>'</w:t>
      </w:r>
      <w:r w:rsidRPr="007D79A3">
        <w:t>.</w:t>
      </w:r>
      <w:r w:rsidRPr="007D79A3">
        <w:rPr>
          <w:rStyle w:val="FootnoteReference"/>
        </w:rPr>
        <w:footnoteReference w:id="70"/>
      </w:r>
      <w:r>
        <w:t xml:space="preserve"> </w:t>
      </w:r>
    </w:p>
    <w:p w:rsidR="00DE752C" w:rsidRPr="00DE752C" w:rsidRDefault="00DE752C" w:rsidP="00653ABF">
      <w:r>
        <w:t xml:space="preserve">We </w:t>
      </w:r>
      <w:r w:rsidRPr="00DE752C">
        <w:t>further note that QCOSS' submission identified an apparent discrepancy in Energex's proposed opening RAB and MAB values.</w:t>
      </w:r>
      <w:r w:rsidRPr="00DE752C">
        <w:rPr>
          <w:rStyle w:val="FootnoteReference"/>
        </w:rPr>
        <w:footnoteReference w:id="71"/>
      </w:r>
      <w:r w:rsidRPr="00DE752C">
        <w:t xml:space="preserve"> We confirm that the opening MAB value of $448.8 million ($ nominal) has been subtracted from the opening RAB value set in this preliminary decision. There should, therefore, be no discrepancies.  </w:t>
      </w:r>
    </w:p>
    <w:p w:rsidR="00DE752C" w:rsidRPr="00DE752C" w:rsidRDefault="00DE752C" w:rsidP="00DE752C">
      <w:pPr>
        <w:pStyle w:val="Heading5"/>
      </w:pPr>
      <w:bookmarkStart w:id="130" w:name="_Toc417738255"/>
      <w:bookmarkStart w:id="131" w:name="_Toc417927717"/>
      <w:r>
        <w:t>Depreciation</w:t>
      </w:r>
      <w:bookmarkEnd w:id="130"/>
      <w:bookmarkEnd w:id="131"/>
    </w:p>
    <w:p w:rsidR="00DE752C" w:rsidRPr="00DE752C" w:rsidRDefault="00DE752C" w:rsidP="00653ABF">
      <w:r>
        <w:t xml:space="preserve">We accept Energex's proposed standard </w:t>
      </w:r>
      <w:r w:rsidRPr="00DE752C">
        <w:t>metering asset life of 15 years.</w:t>
      </w:r>
      <w:r w:rsidRPr="00DE752C">
        <w:rPr>
          <w:rStyle w:val="FootnoteReference"/>
        </w:rPr>
        <w:footnoteReference w:id="72"/>
      </w:r>
      <w:r w:rsidRPr="00DE752C">
        <w:t xml:space="preserve"> This establishes consistent economic and technical lifetimes for Energex’s meters,</w:t>
      </w:r>
      <w:r w:rsidRPr="00DE752C">
        <w:rPr>
          <w:rStyle w:val="FootnoteReference"/>
        </w:rPr>
        <w:footnoteReference w:id="73"/>
      </w:r>
      <w:r w:rsidRPr="00DE752C">
        <w:t xml:space="preserve">  which we consider to be efficient. We also received submissions in support of this aspect of Energex's proposal.</w:t>
      </w:r>
      <w:r w:rsidRPr="00DE752C">
        <w:rPr>
          <w:rStyle w:val="FootnoteReference"/>
        </w:rPr>
        <w:footnoteReference w:id="74"/>
      </w:r>
      <w:r w:rsidRPr="00DE752C">
        <w:t xml:space="preserve"> There are also a small proportion of non-system assets in the MAB to reflect the use of metering services of these assets. The asset lives used to calculate depreciation for these assets are consistent with those for standard control services. </w:t>
      </w:r>
    </w:p>
    <w:p w:rsidR="00DE752C" w:rsidRPr="00DE752C" w:rsidRDefault="00DE752C" w:rsidP="00653ABF">
      <w:r>
        <w:t xml:space="preserve">Our preliminary decision </w:t>
      </w:r>
      <w:r w:rsidRPr="00DE752C">
        <w:t xml:space="preserve">does not accept the proposed remaining asset lives. We have made adjustments to the remaining asset lives as at 1 July 2010 and actual net capex in relation to the standard control services RAB. This in turn impacted on the weighted average remaining lives of assets in the MAB at 1 July 2015. For more information about this, see attachment 2.  </w:t>
      </w:r>
    </w:p>
    <w:p w:rsidR="00DE752C" w:rsidRPr="00DE752C" w:rsidRDefault="00DE752C" w:rsidP="00653ABF">
      <w:r>
        <w:t xml:space="preserve">We also confirm that </w:t>
      </w:r>
      <w:r w:rsidRPr="00DE752C">
        <w:t>forecast, as opposed to actual, depreciation will apply to determining Energex's opening MAB at the commencement of the 2015–20 regulatory control period. This is consistent with our preliminary decision for standard control services.</w:t>
      </w:r>
    </w:p>
    <w:p w:rsidR="00DE752C" w:rsidRPr="00DE752C" w:rsidRDefault="00DE752C" w:rsidP="00DE752C">
      <w:pPr>
        <w:pStyle w:val="Heading5"/>
      </w:pPr>
      <w:bookmarkStart w:id="132" w:name="_Toc417738256"/>
      <w:bookmarkStart w:id="133" w:name="_Toc417927718"/>
      <w:r>
        <w:t>Capex</w:t>
      </w:r>
      <w:r w:rsidRPr="00DE752C">
        <w:t xml:space="preserve"> building block</w:t>
      </w:r>
      <w:bookmarkEnd w:id="132"/>
      <w:bookmarkEnd w:id="133"/>
    </w:p>
    <w:p w:rsidR="00DE752C" w:rsidRDefault="00DE752C" w:rsidP="00DE752C">
      <w:r w:rsidRPr="00010623">
        <w:t>Ou</w:t>
      </w:r>
      <w:r>
        <w:t>r preliminary decision accepts $29.4</w:t>
      </w:r>
      <w:r w:rsidRPr="00010623">
        <w:t xml:space="preserve"> million in </w:t>
      </w:r>
      <w:r>
        <w:t>capex</w:t>
      </w:r>
      <w:r w:rsidRPr="00010623">
        <w:t xml:space="preserve"> for annual metering services</w:t>
      </w:r>
      <w:r>
        <w:t xml:space="preserve"> compared to Energex's proposed $160.1 million (2014–15). </w:t>
      </w:r>
    </w:p>
    <w:p w:rsidR="00DE752C" w:rsidRDefault="00DE752C" w:rsidP="00DE752C">
      <w:r>
        <w:t xml:space="preserve">Most of the capex we have not approved in our preliminary decision (78 percent or $101.4 million) relates to moving the cost recovery of new connections. This is from the annual metering service charge to upfront payments made directly to Energex by customers. As such, Energex should still recover its costs associated with new </w:t>
      </w:r>
      <w:r>
        <w:lastRenderedPageBreak/>
        <w:t xml:space="preserve">connections; however this will occur via a different capitalisation policy. </w:t>
      </w:r>
      <w:r>
        <w:fldChar w:fldCharType="begin"/>
      </w:r>
      <w:r>
        <w:instrText xml:space="preserve"> REF _Ref415129404 \h </w:instrText>
      </w:r>
      <w:r>
        <w:fldChar w:fldCharType="separate"/>
      </w:r>
      <w:r w:rsidR="005E73B8">
        <w:t xml:space="preserve">Table </w:t>
      </w:r>
      <w:r w:rsidR="005E73B8">
        <w:rPr>
          <w:noProof/>
        </w:rPr>
        <w:t>16</w:t>
      </w:r>
      <w:r w:rsidR="005E73B8">
        <w:t>.</w:t>
      </w:r>
      <w:r w:rsidR="005E73B8">
        <w:rPr>
          <w:noProof/>
        </w:rPr>
        <w:t>12</w:t>
      </w:r>
      <w:r>
        <w:fldChar w:fldCharType="end"/>
      </w:r>
      <w:r>
        <w:t xml:space="preserve"> </w:t>
      </w:r>
      <w:r w:rsidRPr="00010623">
        <w:t xml:space="preserve">sets out </w:t>
      </w:r>
      <w:r>
        <w:t>Energex's</w:t>
      </w:r>
      <w:r w:rsidRPr="00010623">
        <w:t xml:space="preserve"> proposed </w:t>
      </w:r>
      <w:r>
        <w:t>capex. It also shows our preliminary decision on each cost category</w:t>
      </w:r>
      <w:r w:rsidRPr="00010623">
        <w:t xml:space="preserve">. </w:t>
      </w:r>
    </w:p>
    <w:p w:rsidR="00DE752C" w:rsidRPr="00010623" w:rsidRDefault="00DE752C" w:rsidP="00DE752C">
      <w:pPr>
        <w:pStyle w:val="Caption"/>
      </w:pPr>
      <w:bookmarkStart w:id="134" w:name="_Ref415129404"/>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12</w:t>
        </w:r>
      </w:fldSimple>
      <w:bookmarkEnd w:id="134"/>
      <w:r>
        <w:tab/>
      </w:r>
      <w:r w:rsidRPr="00010623">
        <w:t xml:space="preserve">Proposed and substitute </w:t>
      </w:r>
      <w:r>
        <w:t>capex</w:t>
      </w:r>
      <w:r w:rsidRPr="00010623">
        <w:t xml:space="preserve"> for metering annual services ($ million 2014–15) </w:t>
      </w:r>
    </w:p>
    <w:tbl>
      <w:tblPr>
        <w:tblStyle w:val="AERtable-numbers"/>
        <w:tblW w:w="0" w:type="auto"/>
        <w:tblLook w:val="04A0" w:firstRow="1" w:lastRow="0" w:firstColumn="1" w:lastColumn="0" w:noHBand="0" w:noVBand="1"/>
      </w:tblPr>
      <w:tblGrid>
        <w:gridCol w:w="1738"/>
        <w:gridCol w:w="1738"/>
        <w:gridCol w:w="1739"/>
        <w:gridCol w:w="1739"/>
        <w:gridCol w:w="1739"/>
      </w:tblGrid>
      <w:tr w:rsidR="00DE752C"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DE752C" w:rsidRDefault="00DE752C" w:rsidP="00DE752C"/>
        </w:tc>
        <w:tc>
          <w:tcPr>
            <w:tcW w:w="1738"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Proposed</w:t>
            </w:r>
          </w:p>
        </w:tc>
        <w:tc>
          <w:tcPr>
            <w:tcW w:w="173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Unit cost adjustment</w:t>
            </w:r>
          </w:p>
        </w:tc>
        <w:tc>
          <w:tcPr>
            <w:tcW w:w="173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Volume adjustment</w:t>
            </w:r>
          </w:p>
        </w:tc>
        <w:tc>
          <w:tcPr>
            <w:tcW w:w="1739"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Preliminary</w:t>
            </w:r>
            <w:r w:rsidRPr="00DE752C">
              <w:t xml:space="preserve"> decision</w:t>
            </w:r>
          </w:p>
        </w:tc>
      </w:tr>
      <w:tr w:rsidR="00DE752C" w:rsidTr="00F10F02">
        <w:tc>
          <w:tcPr>
            <w:cnfStyle w:val="001000000000" w:firstRow="0" w:lastRow="0" w:firstColumn="1" w:lastColumn="0" w:oddVBand="0" w:evenVBand="0" w:oddHBand="0" w:evenHBand="0" w:firstRowFirstColumn="0" w:firstRowLastColumn="0" w:lastRowFirstColumn="0" w:lastRowLastColumn="0"/>
            <w:tcW w:w="1738" w:type="dxa"/>
          </w:tcPr>
          <w:p w:rsidR="00DE752C" w:rsidRPr="00DE752C" w:rsidRDefault="00DE752C" w:rsidP="00DE752C">
            <w:r>
              <w:t>New connections</w:t>
            </w:r>
            <w:r w:rsidRPr="00DE752C">
              <w:t xml:space="preserve"> </w:t>
            </w:r>
          </w:p>
        </w:tc>
        <w:tc>
          <w:tcPr>
            <w:tcW w:w="1738"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101.4</w:t>
            </w:r>
          </w:p>
        </w:tc>
        <w:tc>
          <w:tcPr>
            <w:tcW w:w="1739"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0.0</w:t>
            </w:r>
          </w:p>
        </w:tc>
        <w:tc>
          <w:tcPr>
            <w:tcW w:w="1739"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101.4</w:t>
            </w:r>
          </w:p>
        </w:tc>
        <w:tc>
          <w:tcPr>
            <w:tcW w:w="1739"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0.0</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DE752C" w:rsidRPr="00DE752C" w:rsidRDefault="00DE752C" w:rsidP="00DE752C">
            <w:r>
              <w:t>Replacement</w:t>
            </w:r>
          </w:p>
        </w:tc>
        <w:tc>
          <w:tcPr>
            <w:tcW w:w="1738"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58.7</w:t>
            </w:r>
          </w:p>
        </w:tc>
        <w:tc>
          <w:tcPr>
            <w:tcW w:w="1739"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0.0</w:t>
            </w:r>
          </w:p>
        </w:tc>
        <w:tc>
          <w:tcPr>
            <w:tcW w:w="1739"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29</w:t>
            </w:r>
            <w:r w:rsidRPr="00DE752C">
              <w:t>.3</w:t>
            </w:r>
          </w:p>
        </w:tc>
        <w:tc>
          <w:tcPr>
            <w:tcW w:w="1739"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29.4</w:t>
            </w:r>
          </w:p>
        </w:tc>
      </w:tr>
      <w:tr w:rsidR="00DE752C" w:rsidTr="00F10F02">
        <w:tc>
          <w:tcPr>
            <w:cnfStyle w:val="001000000000" w:firstRow="0" w:lastRow="0" w:firstColumn="1" w:lastColumn="0" w:oddVBand="0" w:evenVBand="0" w:oddHBand="0" w:evenHBand="0" w:firstRowFirstColumn="0" w:firstRowLastColumn="0" w:lastRowFirstColumn="0" w:lastRowLastColumn="0"/>
            <w:tcW w:w="1738" w:type="dxa"/>
          </w:tcPr>
          <w:p w:rsidR="00DE752C" w:rsidRPr="00DE752C" w:rsidRDefault="00DE752C" w:rsidP="00DE752C">
            <w:r>
              <w:t>Total</w:t>
            </w:r>
          </w:p>
        </w:tc>
        <w:tc>
          <w:tcPr>
            <w:tcW w:w="1738"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160.1</w:t>
            </w:r>
          </w:p>
        </w:tc>
        <w:tc>
          <w:tcPr>
            <w:tcW w:w="1739"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0.0</w:t>
            </w:r>
          </w:p>
        </w:tc>
        <w:tc>
          <w:tcPr>
            <w:tcW w:w="1739"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130.7</w:t>
            </w:r>
          </w:p>
        </w:tc>
        <w:tc>
          <w:tcPr>
            <w:tcW w:w="1739"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29.4</w:t>
            </w:r>
          </w:p>
        </w:tc>
      </w:tr>
    </w:tbl>
    <w:p w:rsidR="00DE752C" w:rsidRDefault="00DE752C" w:rsidP="00DE752C">
      <w:pPr>
        <w:pStyle w:val="Source"/>
      </w:pPr>
      <w:r>
        <w:t>Source:</w:t>
      </w:r>
      <w:r>
        <w:tab/>
        <w:t xml:space="preserve">Energex, </w:t>
      </w:r>
      <w:r w:rsidRPr="00D972D2">
        <w:rPr>
          <w:rStyle w:val="AERtextitalic"/>
        </w:rPr>
        <w:t>Regulatory proposal</w:t>
      </w:r>
      <w:r>
        <w:t>, November 2014, p. 272; AER analysis.</w:t>
      </w:r>
    </w:p>
    <w:p w:rsidR="00DE752C" w:rsidRPr="00DE752C" w:rsidRDefault="00DE752C" w:rsidP="00DE752C">
      <w:pPr>
        <w:pStyle w:val="Heading6"/>
      </w:pPr>
      <w:bookmarkStart w:id="135" w:name="_Toc417738257"/>
      <w:bookmarkStart w:id="136" w:name="_Toc417927719"/>
      <w:r w:rsidRPr="00010623">
        <w:t>Unit costs</w:t>
      </w:r>
      <w:bookmarkEnd w:id="135"/>
      <w:bookmarkEnd w:id="136"/>
    </w:p>
    <w:p w:rsidR="00DE752C" w:rsidRPr="00B1019F" w:rsidRDefault="00DE752C" w:rsidP="00DE752C">
      <w:pPr>
        <w:rPr>
          <w:rStyle w:val="AERtextunderline"/>
        </w:rPr>
      </w:pPr>
      <w:r w:rsidRPr="00B1019F">
        <w:rPr>
          <w:rStyle w:val="AERtextunderline"/>
        </w:rPr>
        <w:t>Material unit costs</w:t>
      </w:r>
    </w:p>
    <w:p w:rsidR="00DE752C" w:rsidRDefault="00DE752C" w:rsidP="00DE752C">
      <w:r>
        <w:t>We accept Energex's proposed material unit costs. In reaching this preliminary decision, we took into account the jurisdictional requirements for which Energex must comply. We also assessed the proposed material unit costs against the market ranges our consultant, Marsden Jacob Associates, observed.</w:t>
      </w:r>
    </w:p>
    <w:p w:rsidR="00DE752C" w:rsidRDefault="00DE752C" w:rsidP="00DE752C">
      <w:r>
        <w:t>In Queensland, jurisdictional requirements specify that Energex must install type 5 interval meters. These meters must be upgradable for use in a type 4 smart metering installation.</w:t>
      </w:r>
      <w:r>
        <w:rPr>
          <w:rStyle w:val="FootnoteReference"/>
        </w:rPr>
        <w:footnoteReference w:id="75"/>
      </w:r>
      <w:r>
        <w:t xml:space="preserve"> Until upgraded, the interval meters are read by Energex on a type 6 accumulation basis.</w:t>
      </w:r>
    </w:p>
    <w:p w:rsidR="00DE752C" w:rsidRDefault="00DE752C" w:rsidP="00DE752C">
      <w:r>
        <w:t xml:space="preserve">We accept that the jurisdictional requirement is legally binding on Energex and must be complied with. In assessing the proposed unit costs we have, accordingly, not considered if it would be more prudent for Energex to install accumulation, instead of the proposed, interval meters. </w:t>
      </w:r>
    </w:p>
    <w:p w:rsidR="00DE752C" w:rsidRPr="00DE752C" w:rsidRDefault="00DE752C" w:rsidP="00DE752C">
      <w:pPr>
        <w:pStyle w:val="AERbulletlistfirststyle"/>
        <w:rPr>
          <w:rStyle w:val="AERbody"/>
        </w:rPr>
      </w:pPr>
      <w:r>
        <w:t>To assess the reasonableness of the proposed unit costs,</w:t>
      </w:r>
      <w:r w:rsidRPr="00DE752C">
        <w:t xml:space="preserve"> we used a report commissioned from Marsden Jacob Associates. This report considered the </w:t>
      </w:r>
      <w:r w:rsidRPr="00DE752C">
        <w:rPr>
          <w:rStyle w:val="AERbody"/>
        </w:rPr>
        <w:t>‘maximum rate that should be applied for each meter hardware category based on consideration of the rates applied across the business and a comparison against current market rates'.</w:t>
      </w:r>
      <w:r w:rsidRPr="00DE752C">
        <w:rPr>
          <w:rStyle w:val="FootnoteReference"/>
        </w:rPr>
        <w:footnoteReference w:id="76"/>
      </w:r>
      <w:r w:rsidRPr="00DE752C">
        <w:rPr>
          <w:rStyle w:val="AERbody"/>
        </w:rPr>
        <w:t xml:space="preserve"> These rates were sourced from online advertised prices and through direct engagement with major suppliers.</w:t>
      </w:r>
      <w:r w:rsidRPr="00DE752C">
        <w:rPr>
          <w:rStyle w:val="FootnoteReference"/>
        </w:rPr>
        <w:footnoteReference w:id="77"/>
      </w:r>
      <w:r w:rsidRPr="00DE752C">
        <w:rPr>
          <w:rStyle w:val="AERbody"/>
        </w:rPr>
        <w:t xml:space="preserve"> Marsden Jacob took into </w:t>
      </w:r>
      <w:r w:rsidRPr="00DE752C">
        <w:rPr>
          <w:rStyle w:val="AERbody"/>
        </w:rPr>
        <w:lastRenderedPageBreak/>
        <w:t>consideration volume discounts which would reasonably be expected to apply to metering hardware purchases.</w:t>
      </w:r>
      <w:r w:rsidRPr="00DE752C">
        <w:rPr>
          <w:rStyle w:val="FootnoteReference"/>
        </w:rPr>
        <w:footnoteReference w:id="78"/>
      </w:r>
    </w:p>
    <w:p w:rsidR="00DE752C" w:rsidRPr="00750FD7" w:rsidRDefault="00DE752C" w:rsidP="00DE752C">
      <w:r>
        <w:fldChar w:fldCharType="begin"/>
      </w:r>
      <w:r>
        <w:instrText xml:space="preserve"> REF _Ref416971119 \h </w:instrText>
      </w:r>
      <w:r>
        <w:fldChar w:fldCharType="separate"/>
      </w:r>
      <w:r w:rsidR="005E73B8">
        <w:t xml:space="preserve">Table </w:t>
      </w:r>
      <w:r w:rsidR="005E73B8">
        <w:rPr>
          <w:noProof/>
        </w:rPr>
        <w:t>16</w:t>
      </w:r>
      <w:r w:rsidR="005E73B8">
        <w:t>.</w:t>
      </w:r>
      <w:r w:rsidR="005E73B8">
        <w:rPr>
          <w:noProof/>
        </w:rPr>
        <w:t>13</w:t>
      </w:r>
      <w:r>
        <w:fldChar w:fldCharType="end"/>
      </w:r>
      <w:r>
        <w:t xml:space="preserve"> </w:t>
      </w:r>
      <w:r w:rsidRPr="00750FD7">
        <w:t xml:space="preserve">set out </w:t>
      </w:r>
      <w:r>
        <w:t>Energex's</w:t>
      </w:r>
      <w:r w:rsidRPr="00750FD7">
        <w:t xml:space="preserve"> forecast material unit costs and Marsden Jacob's observations on current mar</w:t>
      </w:r>
      <w:r>
        <w:t>ket rates. It also shows our preliminary decision on each proposed make and model of meter hardware</w:t>
      </w:r>
      <w:r w:rsidRPr="00750FD7">
        <w:t>.</w:t>
      </w:r>
    </w:p>
    <w:p w:rsidR="00DE752C" w:rsidRPr="00DA1765" w:rsidRDefault="00DE752C" w:rsidP="00DE752C">
      <w:pPr>
        <w:pStyle w:val="Caption"/>
      </w:pPr>
      <w:bookmarkStart w:id="137" w:name="_Ref416971119"/>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13</w:t>
        </w:r>
      </w:fldSimple>
      <w:bookmarkEnd w:id="137"/>
      <w:r>
        <w:tab/>
        <w:t>Energex's</w:t>
      </w:r>
      <w:r w:rsidRPr="00750FD7">
        <w:t xml:space="preserve"> forecast material unit costs, Marsden Jacob Associates' observed market rates, and our substitute</w:t>
      </w:r>
      <w:r>
        <w:t>s</w:t>
      </w:r>
      <w:r w:rsidRPr="00750FD7">
        <w:t xml:space="preserve"> ($2014–15)</w:t>
      </w:r>
    </w:p>
    <w:tbl>
      <w:tblPr>
        <w:tblStyle w:val="AERtable-numbers"/>
        <w:tblW w:w="0" w:type="auto"/>
        <w:tblLook w:val="04A0" w:firstRow="1" w:lastRow="0" w:firstColumn="1" w:lastColumn="0" w:noHBand="0" w:noVBand="1"/>
      </w:tblPr>
      <w:tblGrid>
        <w:gridCol w:w="2173"/>
        <w:gridCol w:w="2173"/>
        <w:gridCol w:w="2173"/>
        <w:gridCol w:w="2174"/>
      </w:tblGrid>
      <w:tr w:rsidR="00DE752C"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E752C" w:rsidRDefault="00DE752C" w:rsidP="00DE752C"/>
        </w:tc>
        <w:tc>
          <w:tcPr>
            <w:tcW w:w="2173"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Proposed</w:t>
            </w:r>
          </w:p>
        </w:tc>
        <w:tc>
          <w:tcPr>
            <w:tcW w:w="2173"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Marsden Jacob maximum</w:t>
            </w:r>
          </w:p>
        </w:tc>
        <w:tc>
          <w:tcPr>
            <w:tcW w:w="2174"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Preliminary decision</w:t>
            </w:r>
          </w:p>
        </w:tc>
      </w:tr>
      <w:tr w:rsidR="00DE752C" w:rsidTr="00F10F02">
        <w:tc>
          <w:tcPr>
            <w:cnfStyle w:val="001000000000" w:firstRow="0" w:lastRow="0" w:firstColumn="1" w:lastColumn="0" w:oddVBand="0" w:evenVBand="0" w:oddHBand="0" w:evenHBand="0" w:firstRowFirstColumn="0" w:firstRowLastColumn="0" w:lastRowFirstColumn="0" w:lastRowLastColumn="0"/>
            <w:tcW w:w="2173" w:type="dxa"/>
          </w:tcPr>
          <w:p w:rsidR="00DE752C" w:rsidRPr="00DE752C" w:rsidRDefault="00DE752C" w:rsidP="00DE752C">
            <w:r>
              <w:t>Single phase - one element</w:t>
            </w:r>
          </w:p>
        </w:tc>
        <w:tc>
          <w:tcPr>
            <w:tcW w:w="217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86.48</w:t>
            </w:r>
          </w:p>
        </w:tc>
        <w:tc>
          <w:tcPr>
            <w:tcW w:w="217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100.00</w:t>
            </w:r>
          </w:p>
        </w:tc>
        <w:tc>
          <w:tcPr>
            <w:tcW w:w="2174"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86.48</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E752C" w:rsidRPr="00DE752C" w:rsidRDefault="00DE752C" w:rsidP="00DE752C">
            <w:r>
              <w:t>Single phase - two element</w:t>
            </w:r>
          </w:p>
        </w:tc>
        <w:tc>
          <w:tcPr>
            <w:tcW w:w="217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137.35</w:t>
            </w:r>
          </w:p>
        </w:tc>
        <w:tc>
          <w:tcPr>
            <w:tcW w:w="217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150.00</w:t>
            </w:r>
          </w:p>
        </w:tc>
        <w:tc>
          <w:tcPr>
            <w:tcW w:w="2174"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137.35</w:t>
            </w:r>
          </w:p>
        </w:tc>
      </w:tr>
      <w:tr w:rsidR="00DE752C" w:rsidTr="00F10F02">
        <w:tc>
          <w:tcPr>
            <w:cnfStyle w:val="001000000000" w:firstRow="0" w:lastRow="0" w:firstColumn="1" w:lastColumn="0" w:oddVBand="0" w:evenVBand="0" w:oddHBand="0" w:evenHBand="0" w:firstRowFirstColumn="0" w:firstRowLastColumn="0" w:lastRowFirstColumn="0" w:lastRowLastColumn="0"/>
            <w:tcW w:w="2173" w:type="dxa"/>
          </w:tcPr>
          <w:p w:rsidR="00DE752C" w:rsidRPr="00DE752C" w:rsidRDefault="00DE752C" w:rsidP="00DE752C">
            <w:proofErr w:type="spellStart"/>
            <w:r>
              <w:t>Multi phase</w:t>
            </w:r>
            <w:proofErr w:type="spellEnd"/>
            <w:r>
              <w:t xml:space="preserve"> (DC)</w:t>
            </w:r>
          </w:p>
        </w:tc>
        <w:tc>
          <w:tcPr>
            <w:tcW w:w="217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234.00</w:t>
            </w:r>
          </w:p>
        </w:tc>
        <w:tc>
          <w:tcPr>
            <w:tcW w:w="217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220.00</w:t>
            </w:r>
          </w:p>
        </w:tc>
        <w:tc>
          <w:tcPr>
            <w:tcW w:w="2174"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220.00</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DE752C" w:rsidRPr="00DE752C" w:rsidRDefault="00DE752C" w:rsidP="00DE752C">
            <w:proofErr w:type="spellStart"/>
            <w:r>
              <w:t>Multi phase</w:t>
            </w:r>
            <w:proofErr w:type="spellEnd"/>
            <w:r>
              <w:t xml:space="preserve"> (CT) - 2 man crew</w:t>
            </w:r>
          </w:p>
        </w:tc>
        <w:tc>
          <w:tcPr>
            <w:tcW w:w="217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474.23</w:t>
            </w:r>
          </w:p>
        </w:tc>
        <w:tc>
          <w:tcPr>
            <w:tcW w:w="217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Insufficient information</w:t>
            </w:r>
          </w:p>
        </w:tc>
        <w:tc>
          <w:tcPr>
            <w:tcW w:w="2174"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474.23</w:t>
            </w:r>
          </w:p>
        </w:tc>
      </w:tr>
    </w:tbl>
    <w:p w:rsidR="00DE752C" w:rsidRPr="00750FD7" w:rsidRDefault="00DE752C" w:rsidP="00DE752C">
      <w:pPr>
        <w:pStyle w:val="AERtablesource"/>
      </w:pPr>
      <w:r w:rsidRPr="00750FD7">
        <w:t>Source:</w:t>
      </w:r>
      <w:r w:rsidRPr="00750FD7">
        <w:tab/>
      </w:r>
      <w:r>
        <w:t xml:space="preserve">Energex, AER Energex 014, Email dated 21 January 2015; </w:t>
      </w:r>
      <w:r w:rsidRPr="00750FD7">
        <w:t xml:space="preserve">Marsden Jacob Associates, Consultant report to the AER on Alternative Control Services, October 2014, section 2.1.1. </w:t>
      </w:r>
    </w:p>
    <w:p w:rsidR="00DE752C" w:rsidRPr="00E6694E" w:rsidRDefault="00DE752C" w:rsidP="00DE752C">
      <w:r w:rsidRPr="00E6694E">
        <w:t>Using the Marsden Jacob's report, we find that Energex's proposed unit costs are all within the observed market rates. This is except for the proposed unit cost for a multi–phase (DC) meter. We considered whether we should make an adjustment to Energex's capex building block because of this. However, we found that any such adjustme</w:t>
      </w:r>
      <w:r>
        <w:t xml:space="preserve">nt would be immaterial, </w:t>
      </w:r>
      <w:r w:rsidRPr="00E6694E">
        <w:t>given:</w:t>
      </w:r>
    </w:p>
    <w:p w:rsidR="00DE752C" w:rsidRPr="00E6694E" w:rsidRDefault="00DE752C" w:rsidP="00DE752C">
      <w:pPr>
        <w:pStyle w:val="AERbulletlistfirststyle"/>
      </w:pPr>
      <w:r w:rsidRPr="00E6694E">
        <w:t>we are only approving capex for meter replacements</w:t>
      </w:r>
    </w:p>
    <w:p w:rsidR="00DE752C" w:rsidRPr="00E6694E" w:rsidRDefault="00DE752C" w:rsidP="00DE752C">
      <w:pPr>
        <w:pStyle w:val="AERbulletlistfirststyle"/>
      </w:pPr>
      <w:r w:rsidRPr="00E6694E">
        <w:t>the low volume of multi–phase (DC) meters which are likely to be replaced in the 2015–20 regulatory control period</w:t>
      </w:r>
      <w:r>
        <w:t>.</w:t>
      </w:r>
    </w:p>
    <w:p w:rsidR="00DE752C" w:rsidRPr="00E6694E" w:rsidRDefault="00DE752C" w:rsidP="00DE752C">
      <w:r w:rsidRPr="00E6694E">
        <w:t xml:space="preserve">Our preliminary decision to only accept capex for meter replacements, as part of the annual metering charge, is discussed further in section </w:t>
      </w:r>
      <w:r w:rsidRPr="00E6694E">
        <w:fldChar w:fldCharType="begin"/>
      </w:r>
      <w:r w:rsidRPr="00E6694E">
        <w:instrText xml:space="preserve"> REF _Ref417311377 \r \h </w:instrText>
      </w:r>
      <w:r w:rsidRPr="00E6694E">
        <w:fldChar w:fldCharType="separate"/>
      </w:r>
      <w:r w:rsidR="005E73B8">
        <w:t>16.2.5.4</w:t>
      </w:r>
      <w:r w:rsidRPr="00E6694E">
        <w:fldChar w:fldCharType="end"/>
      </w:r>
      <w:r w:rsidRPr="00E6694E">
        <w:t xml:space="preserve"> below. </w:t>
      </w:r>
      <w:r>
        <w:t>W</w:t>
      </w:r>
      <w:r w:rsidRPr="00E6694E">
        <w:t>e consider the establishment of upfront charges for new installations will facilitate competition in metering. We have therefore reallocated the cost recovery of new installation</w:t>
      </w:r>
      <w:r>
        <w:t>s</w:t>
      </w:r>
      <w:r w:rsidRPr="00E6694E">
        <w:t xml:space="preserve"> to upfront capital charges, leaving only the cost of replacements in the annual metering charge.</w:t>
      </w:r>
    </w:p>
    <w:p w:rsidR="00DE752C" w:rsidRPr="00DE752C" w:rsidRDefault="00DE752C" w:rsidP="00DE752C">
      <w:pPr>
        <w:rPr>
          <w:rStyle w:val="AERtextunderline"/>
        </w:rPr>
      </w:pPr>
      <w:r w:rsidRPr="00E6694E">
        <w:t xml:space="preserve">In finding that it is unlikely that Energex will engage in a significant volume of replacements involving multi–phase (DC) meters we had regard to the distributor's meter population. We observed that less than 5 percent of Energex's meters are of a multi–phase configuration. From this, we calculated that a capex adjustment to reduce Energex's proposed unit cost for a multi–phase (DC) meter would be immaterial. Too </w:t>
      </w:r>
      <w:r w:rsidRPr="00E6694E">
        <w:lastRenderedPageBreak/>
        <w:t xml:space="preserve">few of </w:t>
      </w:r>
      <w:r>
        <w:t xml:space="preserve">these </w:t>
      </w:r>
      <w:r w:rsidRPr="00E6694E">
        <w:t>meters are likely to be replaced to warrant any such adjustment and, hence, it has not been applied in this preliminary decision.</w:t>
      </w:r>
    </w:p>
    <w:p w:rsidR="00DE752C" w:rsidRPr="00CB24F9" w:rsidRDefault="00DE752C" w:rsidP="00DE752C">
      <w:pPr>
        <w:rPr>
          <w:rStyle w:val="AERtextunderline"/>
        </w:rPr>
      </w:pPr>
      <w:r w:rsidRPr="00CB24F9">
        <w:rPr>
          <w:rStyle w:val="AERtextunderline"/>
        </w:rPr>
        <w:t>Non–material cost</w:t>
      </w:r>
    </w:p>
    <w:p w:rsidR="00DE752C" w:rsidRDefault="00DE752C" w:rsidP="00DE752C">
      <w:r>
        <w:t>In assessing Energex's proposed non–material unit costs we developed a range which we would be willing to accept. We also took the non–material unit costs of other non–Victorian distribution businesses in the national electricity market into account.</w:t>
      </w:r>
    </w:p>
    <w:p w:rsidR="00DE752C" w:rsidRDefault="00DE752C" w:rsidP="00DE752C">
      <w:r>
        <w:t xml:space="preserve">To devise our range for non–material unit cost, we applied a bottom up approach. This involved estimating a reasonable hourly rate for a metering technician and an average time required to replace a meter. We also accounted for the time it would take to travel from site to site. With regard to indirect costs, we took a conservative approach. This led to us developing a wide range for non–material unit costs which we would consider to be reasonable.  </w:t>
      </w:r>
    </w:p>
    <w:p w:rsidR="00DE752C" w:rsidRDefault="00DE752C" w:rsidP="00DE752C">
      <w:r>
        <w:t>We accept Energex's non–material unit costs. It is within the limits we developed using our bottom up approach. In addition, it is among the lowest of the non–Victorian distribution businesses' non–material unit costs. We have not published the results of our analysis given that it contains commercially sensitive information.</w:t>
      </w:r>
    </w:p>
    <w:p w:rsidR="00DE752C" w:rsidRPr="00DE752C" w:rsidRDefault="00DE752C" w:rsidP="00DE752C">
      <w:pPr>
        <w:pStyle w:val="Heading6"/>
      </w:pPr>
      <w:bookmarkStart w:id="138" w:name="_Toc417738258"/>
      <w:bookmarkStart w:id="139" w:name="_Toc417927720"/>
      <w:r>
        <w:t>Forecast volumes</w:t>
      </w:r>
      <w:bookmarkEnd w:id="138"/>
      <w:bookmarkEnd w:id="139"/>
    </w:p>
    <w:p w:rsidR="00DE752C" w:rsidRDefault="00DE752C" w:rsidP="00DE752C">
      <w:r>
        <w:t xml:space="preserve">We do not accept Energex's forecast volume of new connection. This is because our preliminary decision applies a different capitalisation policy to Energex's proposal. We also substitute Energex's proposed volume forecast for replacements. </w:t>
      </w:r>
      <w:r>
        <w:fldChar w:fldCharType="begin"/>
      </w:r>
      <w:r>
        <w:instrText xml:space="preserve"> REF _Ref416971209 \h </w:instrText>
      </w:r>
      <w:r>
        <w:fldChar w:fldCharType="separate"/>
      </w:r>
      <w:r w:rsidR="005E73B8">
        <w:t xml:space="preserve">Table </w:t>
      </w:r>
      <w:r w:rsidR="005E73B8">
        <w:rPr>
          <w:noProof/>
        </w:rPr>
        <w:t>16</w:t>
      </w:r>
      <w:r w:rsidR="005E73B8">
        <w:t>.</w:t>
      </w:r>
      <w:r w:rsidR="005E73B8">
        <w:rPr>
          <w:noProof/>
        </w:rPr>
        <w:t>14</w:t>
      </w:r>
      <w:r>
        <w:fldChar w:fldCharType="end"/>
      </w:r>
      <w:r>
        <w:t xml:space="preserve"> sets out Energex's forecasts against our preliminary decision.</w:t>
      </w:r>
    </w:p>
    <w:p w:rsidR="00DE752C" w:rsidRDefault="00DE752C" w:rsidP="00DE752C">
      <w:pPr>
        <w:pStyle w:val="Caption"/>
      </w:pPr>
      <w:bookmarkStart w:id="140" w:name="_Ref416971209"/>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14</w:t>
        </w:r>
      </w:fldSimple>
      <w:bookmarkEnd w:id="140"/>
      <w:r>
        <w:tab/>
        <w:t>Forecast and approved volumes of meter replacements</w:t>
      </w:r>
    </w:p>
    <w:tbl>
      <w:tblPr>
        <w:tblStyle w:val="AERtable-numbers"/>
        <w:tblW w:w="0" w:type="auto"/>
        <w:tblLook w:val="04A0" w:firstRow="1" w:lastRow="0" w:firstColumn="1" w:lastColumn="0" w:noHBand="0" w:noVBand="1"/>
      </w:tblPr>
      <w:tblGrid>
        <w:gridCol w:w="2897"/>
        <w:gridCol w:w="2898"/>
        <w:gridCol w:w="2898"/>
      </w:tblGrid>
      <w:tr w:rsidR="00DE752C"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DE752C" w:rsidRDefault="00DE752C" w:rsidP="00DE752C"/>
        </w:tc>
        <w:tc>
          <w:tcPr>
            <w:tcW w:w="2898"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Forecast</w:t>
            </w:r>
          </w:p>
        </w:tc>
        <w:tc>
          <w:tcPr>
            <w:tcW w:w="2898"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Preliminary decision</w:t>
            </w:r>
          </w:p>
        </w:tc>
      </w:tr>
      <w:tr w:rsidR="00DE752C" w:rsidTr="00F10F02">
        <w:tc>
          <w:tcPr>
            <w:cnfStyle w:val="001000000000" w:firstRow="0" w:lastRow="0" w:firstColumn="1" w:lastColumn="0" w:oddVBand="0" w:evenVBand="0" w:oddHBand="0" w:evenHBand="0" w:firstRowFirstColumn="0" w:firstRowLastColumn="0" w:lastRowFirstColumn="0" w:lastRowLastColumn="0"/>
            <w:tcW w:w="2897" w:type="dxa"/>
          </w:tcPr>
          <w:p w:rsidR="00DE752C" w:rsidRPr="00DE752C" w:rsidRDefault="00DE752C" w:rsidP="00DE752C">
            <w:r>
              <w:t>New connections</w:t>
            </w:r>
          </w:p>
        </w:tc>
        <w:tc>
          <w:tcPr>
            <w:tcW w:w="2898"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546 528</w:t>
            </w:r>
          </w:p>
        </w:tc>
        <w:tc>
          <w:tcPr>
            <w:tcW w:w="2898"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0</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DE752C" w:rsidRPr="00DE752C" w:rsidRDefault="00DE752C" w:rsidP="00DE752C">
            <w:r>
              <w:t>Replacements</w:t>
            </w:r>
          </w:p>
        </w:tc>
        <w:tc>
          <w:tcPr>
            <w:tcW w:w="2898"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200 000</w:t>
            </w:r>
          </w:p>
        </w:tc>
        <w:tc>
          <w:tcPr>
            <w:tcW w:w="2898"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100 155</w:t>
            </w:r>
          </w:p>
        </w:tc>
      </w:tr>
    </w:tbl>
    <w:p w:rsidR="00DE752C" w:rsidRPr="00CB24F9" w:rsidRDefault="00DE752C" w:rsidP="00DE752C">
      <w:pPr>
        <w:pStyle w:val="AERtablesource"/>
      </w:pPr>
      <w:r w:rsidRPr="00CB24F9">
        <w:t xml:space="preserve">Source: </w:t>
      </w:r>
      <w:r w:rsidRPr="00CB24F9">
        <w:tab/>
        <w:t xml:space="preserve">QLD Reset RIN 2015–20, October 2014; Energex, Regulatory proposal, Appendix 58, October 2014. </w:t>
      </w:r>
      <w:r w:rsidRPr="00CB24F9">
        <w:tab/>
      </w:r>
    </w:p>
    <w:p w:rsidR="00DE752C" w:rsidRPr="00CB24F9" w:rsidRDefault="00DE752C" w:rsidP="00DE752C">
      <w:pPr>
        <w:rPr>
          <w:rStyle w:val="AERtextunderline"/>
        </w:rPr>
      </w:pPr>
      <w:bookmarkStart w:id="141" w:name="_Ref415219824"/>
      <w:r w:rsidRPr="00CB24F9">
        <w:rPr>
          <w:rStyle w:val="AERtextunderline"/>
        </w:rPr>
        <w:t>New connections</w:t>
      </w:r>
      <w:bookmarkEnd w:id="141"/>
    </w:p>
    <w:p w:rsidR="00DE752C" w:rsidRDefault="00DE752C" w:rsidP="00DE752C">
      <w:r>
        <w:t>We do not accept any forecast volumes associated with new connections. Consistent with previous AER decisions,</w:t>
      </w:r>
      <w:r>
        <w:rPr>
          <w:rStyle w:val="FootnoteReference"/>
        </w:rPr>
        <w:footnoteReference w:id="79"/>
      </w:r>
      <w:r>
        <w:t xml:space="preserve"> we consider there to be substantial benefits if Energex changes its capitalisation policy. This is so that the costs of installing meters at new </w:t>
      </w:r>
      <w:r>
        <w:lastRenderedPageBreak/>
        <w:t xml:space="preserve">connections are not recovered through the annual metering charge, but as upfront payments.  </w:t>
      </w:r>
    </w:p>
    <w:p w:rsidR="00DE752C" w:rsidRDefault="00DE752C" w:rsidP="00DE752C">
      <w:r>
        <w:t>Our preliminary decision is based on the AEMC's metering rule change.</w:t>
      </w:r>
      <w:r>
        <w:rPr>
          <w:rStyle w:val="FootnoteReference"/>
        </w:rPr>
        <w:footnoteReference w:id="80"/>
      </w:r>
      <w:r>
        <w:t xml:space="preserve"> </w:t>
      </w:r>
      <w:r w:rsidRPr="008739F4">
        <w:t xml:space="preserve">When implemented, </w:t>
      </w:r>
      <w:r>
        <w:t xml:space="preserve">our approach to Energex's capitalisation policy for new connections (upfront payments) </w:t>
      </w:r>
      <w:r w:rsidRPr="008739F4">
        <w:t xml:space="preserve">should help level the competitive playing field for new meters. This is by shifting how </w:t>
      </w:r>
      <w:r>
        <w:t>Energex's capital costs are recovered, f</w:t>
      </w:r>
      <w:r w:rsidRPr="008739F4">
        <w:t xml:space="preserve">rom the annual metering services charge, where costs are smeared across all customers, to an upfront payment which new entrants to the market are able to compete with in terms of price.     </w:t>
      </w:r>
    </w:p>
    <w:p w:rsidR="00DE752C" w:rsidRDefault="00DE752C" w:rsidP="00DE752C">
      <w:pPr>
        <w:numPr>
          <w:ilvl w:val="0"/>
          <w:numId w:val="25"/>
        </w:numPr>
      </w:pPr>
      <w:r>
        <w:t>This change in capitalisation policy for new connections</w:t>
      </w:r>
      <w:r w:rsidRPr="008739F4">
        <w:t xml:space="preserve"> has a significant impact on </w:t>
      </w:r>
      <w:r>
        <w:t>the</w:t>
      </w:r>
      <w:r w:rsidRPr="008739F4">
        <w:t xml:space="preserve"> </w:t>
      </w:r>
      <w:r>
        <w:t>capex</w:t>
      </w:r>
      <w:r w:rsidRPr="008739F4">
        <w:t xml:space="preserve"> building block component of annual metering charges. Notwithstanding this, </w:t>
      </w:r>
      <w:r>
        <w:t>Energex</w:t>
      </w:r>
      <w:r w:rsidRPr="008739F4">
        <w:t xml:space="preserve"> will still be able to recover its costs. The only difference is that the cost of new connections will be recovered via upfront capital contributions, rather than as part of annual metering charges.</w:t>
      </w:r>
    </w:p>
    <w:p w:rsidR="00DE752C" w:rsidRDefault="00DE752C" w:rsidP="00DE752C">
      <w:r>
        <w:t xml:space="preserve">We therefore do not approve any of the forecast 546 528 new connections. The charges our preliminary decision accepts for new connections are set out in Appendix </w:t>
      </w:r>
      <w:r w:rsidRPr="00465AEB">
        <w:rPr>
          <w:rStyle w:val="AERbody"/>
        </w:rPr>
        <w:t>A</w:t>
      </w:r>
      <w:r>
        <w:t xml:space="preserve">.  </w:t>
      </w:r>
    </w:p>
    <w:p w:rsidR="00DE752C" w:rsidRPr="00CB24F9" w:rsidRDefault="00DE752C" w:rsidP="00DE752C">
      <w:pPr>
        <w:rPr>
          <w:rStyle w:val="AERtextunderline"/>
        </w:rPr>
      </w:pPr>
      <w:r w:rsidRPr="00CB24F9">
        <w:rPr>
          <w:rStyle w:val="AERtextunderline"/>
        </w:rPr>
        <w:t>Replacements</w:t>
      </w:r>
    </w:p>
    <w:p w:rsidR="00DE752C" w:rsidRDefault="00DE752C" w:rsidP="00DE752C">
      <w:r>
        <w:t>Our preliminary decision is to not accept Energex's proposed volume forecast for meter replacements. We substitute Energex's proposed 200 000 replacements with 100 155, which we consider to be more reflective of the business' compliance obligations in the 2015–20 regulatory control period.</w:t>
      </w:r>
    </w:p>
    <w:p w:rsidR="00DE752C" w:rsidRDefault="00DE752C" w:rsidP="00DE752C">
      <w:r>
        <w:t>Energex's proposed replacement program is informed by regulatory obligations under the NER and Australian Standard 1284.13.</w:t>
      </w:r>
      <w:r>
        <w:rPr>
          <w:rStyle w:val="FootnoteReference"/>
        </w:rPr>
        <w:footnoteReference w:id="81"/>
      </w:r>
      <w:r>
        <w:t xml:space="preserve"> Together these regulatory instruments create requirements on Energex to test the accuracy of its meters. More specifically, Chapter 7 of the NER establishes the maximum allowable overall error limits for a meter recording a customer's energy usage. For Type 5 meters this is an error reading of +/-1.5 percent at a full load.</w:t>
      </w:r>
      <w:r>
        <w:rPr>
          <w:rStyle w:val="FootnoteReference"/>
        </w:rPr>
        <w:footnoteReference w:id="82"/>
      </w:r>
      <w:r>
        <w:t xml:space="preserve"> For Type 6 meters it is +/-2.0 percent.</w:t>
      </w:r>
      <w:r>
        <w:rPr>
          <w:rStyle w:val="FootnoteReference"/>
        </w:rPr>
        <w:footnoteReference w:id="83"/>
      </w:r>
      <w:r>
        <w:t xml:space="preserve"> Because it would be inefficient to test every meter in service against these error reading levels, Australian Standard 1284.13 establishes a process for taking 'samples' of a broader meter 'population'.  </w:t>
      </w:r>
    </w:p>
    <w:p w:rsidR="00DE752C" w:rsidRDefault="00DE752C" w:rsidP="00DE752C">
      <w:r>
        <w:t xml:space="preserve">For example, if 1 201 meters of a particular make and model are in service, then Australian Standard 1284.13 requires that 125 sample tests have to be taken. This is to check their accuracy against the NER error limits. But if more meters of a different make and model are in service, then the sample size must be greater. For example, a population of 150 001 meters requires a sample size of 800. </w:t>
      </w:r>
    </w:p>
    <w:p w:rsidR="00DE752C" w:rsidRDefault="00DE752C" w:rsidP="00DE752C">
      <w:r>
        <w:lastRenderedPageBreak/>
        <w:t>When a set number of meters in a sample fail the NER accuracy limits, the entire population needs to be replaced in a time framework agreed to with AEMO.</w:t>
      </w:r>
      <w:r>
        <w:rPr>
          <w:rStyle w:val="FootnoteReference"/>
        </w:rPr>
        <w:footnoteReference w:id="84"/>
      </w:r>
      <w:r>
        <w:t xml:space="preserve"> The maximum number of fails which can occur before replacement is triggered is called the 'acceptable quality level'. This level is specified in Australian Standard 1284.13 and it varies according to the size of the meter population; the more meters in service, the greater the failure rate required. </w:t>
      </w:r>
    </w:p>
    <w:p w:rsidR="00DE752C" w:rsidRDefault="00DE752C" w:rsidP="00DE752C">
      <w:r>
        <w:t>In summary, Australian Standard 1284.13 and Chapter 7 of the NER create a rigorous regime for determining when replacement should occur. It establishes a statistical method to determine if there are too many meters in a population recording energy inaccurately such that the entire population can be said to have failed and should be replaced. Energex did not, however, follow the processes established under Australian Standard 1284.13 and Chapter 7 of the NER. Rather than testing for whether particular makes and models exceed their acceptable quality level, Energex grouped its samples together according to age.</w:t>
      </w:r>
    </w:p>
    <w:p w:rsidR="00DE752C" w:rsidRDefault="00DE752C" w:rsidP="00DE752C">
      <w:r>
        <w:t xml:space="preserve">Specifically, Energex conducted 10 000 tests to find if there are age groups of meters which do not comply with 'the </w:t>
      </w:r>
      <w:r w:rsidRPr="00362715">
        <w:rPr>
          <w:rStyle w:val="Strong"/>
        </w:rPr>
        <w:t>spirit</w:t>
      </w:r>
      <w:r>
        <w:t xml:space="preserve"> of AS 1284.13 and the overall installation error requirements according to the NER Chapter 7 (emphasis added)'.</w:t>
      </w:r>
      <w:r>
        <w:rPr>
          <w:rStyle w:val="FootnoteReference"/>
        </w:rPr>
        <w:footnoteReference w:id="85"/>
      </w:r>
      <w:r>
        <w:t xml:space="preserve"> </w:t>
      </w:r>
      <w:r>
        <w:fldChar w:fldCharType="begin"/>
      </w:r>
      <w:r>
        <w:instrText xml:space="preserve"> REF _Ref415137848 \h </w:instrText>
      </w:r>
      <w:r>
        <w:fldChar w:fldCharType="separate"/>
      </w:r>
      <w:r w:rsidR="005E73B8">
        <w:t xml:space="preserve">Table </w:t>
      </w:r>
      <w:r w:rsidR="005E73B8">
        <w:rPr>
          <w:noProof/>
        </w:rPr>
        <w:t>16</w:t>
      </w:r>
      <w:r w:rsidR="005E73B8">
        <w:t>.</w:t>
      </w:r>
      <w:r w:rsidR="005E73B8">
        <w:rPr>
          <w:noProof/>
        </w:rPr>
        <w:t>15</w:t>
      </w:r>
      <w:r>
        <w:fldChar w:fldCharType="end"/>
      </w:r>
      <w:r>
        <w:t xml:space="preserve"> sets out Energex's findings. It includes information on the population size of each age group, the number of meters Energex tested and the proportion which failed the 2 percent accuracy limits for Type 6 meters. </w:t>
      </w:r>
      <w:r>
        <w:fldChar w:fldCharType="begin"/>
      </w:r>
      <w:r>
        <w:instrText xml:space="preserve"> REF _Ref415138131 \h </w:instrText>
      </w:r>
      <w:r>
        <w:fldChar w:fldCharType="separate"/>
      </w:r>
      <w:r w:rsidR="005E73B8">
        <w:t xml:space="preserve">Figure </w:t>
      </w:r>
      <w:r w:rsidR="005E73B8">
        <w:rPr>
          <w:noProof/>
        </w:rPr>
        <w:t>16</w:t>
      </w:r>
      <w:r w:rsidR="005E73B8">
        <w:t>.</w:t>
      </w:r>
      <w:r w:rsidR="005E73B8">
        <w:rPr>
          <w:noProof/>
        </w:rPr>
        <w:t>5</w:t>
      </w:r>
      <w:r>
        <w:fldChar w:fldCharType="end"/>
      </w:r>
      <w:r>
        <w:t xml:space="preserve"> shows, in graphical form, the failure rates observed for each age group.</w:t>
      </w:r>
    </w:p>
    <w:p w:rsidR="00DE752C" w:rsidRDefault="00DE752C" w:rsidP="00DE752C">
      <w:pPr>
        <w:pStyle w:val="Caption"/>
      </w:pPr>
      <w:bookmarkStart w:id="142" w:name="_Ref415137848"/>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15</w:t>
        </w:r>
      </w:fldSimple>
      <w:bookmarkEnd w:id="142"/>
      <w:r>
        <w:tab/>
        <w:t>Summary of Energex's sample testing</w:t>
      </w:r>
    </w:p>
    <w:tbl>
      <w:tblPr>
        <w:tblStyle w:val="AERtable-numbers"/>
        <w:tblW w:w="0" w:type="auto"/>
        <w:tblLook w:val="04A0" w:firstRow="1" w:lastRow="0" w:firstColumn="1" w:lastColumn="0" w:noHBand="0" w:noVBand="1"/>
      </w:tblPr>
      <w:tblGrid>
        <w:gridCol w:w="1742"/>
        <w:gridCol w:w="1596"/>
        <w:gridCol w:w="1765"/>
        <w:gridCol w:w="1765"/>
        <w:gridCol w:w="1825"/>
      </w:tblGrid>
      <w:tr w:rsidR="00DE752C" w:rsidTr="00B54AA0">
        <w:trPr>
          <w:cnfStyle w:val="100000000000" w:firstRow="1" w:lastRow="0" w:firstColumn="0" w:lastColumn="0" w:oddVBand="0" w:evenVBand="0" w:oddHBand="0" w:evenHBand="0" w:firstRowFirstColumn="0" w:firstRowLastColumn="0" w:lastRowFirstColumn="0" w:lastRowLastColumn="0"/>
          <w:trHeight w:val="883"/>
          <w:tblHeader/>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t>Age of meters (years)</w:t>
            </w:r>
          </w:p>
        </w:tc>
        <w:tc>
          <w:tcPr>
            <w:tcW w:w="1596"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Meter population</w:t>
            </w:r>
          </w:p>
        </w:tc>
        <w:tc>
          <w:tcPr>
            <w:tcW w:w="1765"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Number tested</w:t>
            </w:r>
          </w:p>
        </w:tc>
        <w:tc>
          <w:tcPr>
            <w:tcW w:w="1765"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Number failed</w:t>
            </w:r>
          </w:p>
        </w:tc>
        <w:tc>
          <w:tcPr>
            <w:tcW w:w="1825"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Proportion error (%)</w:t>
            </w:r>
          </w:p>
        </w:tc>
      </w:tr>
      <w:tr w:rsidR="00DE752C" w:rsidTr="00F10F02">
        <w:trPr>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rsidRPr="00FD6406">
              <w:t>65-70</w:t>
            </w:r>
          </w:p>
        </w:tc>
        <w:tc>
          <w:tcPr>
            <w:tcW w:w="1596"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6 700</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44</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14</w:t>
            </w:r>
          </w:p>
        </w:tc>
        <w:tc>
          <w:tcPr>
            <w:tcW w:w="182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31.81</w:t>
            </w:r>
          </w:p>
        </w:tc>
      </w:tr>
      <w:tr w:rsidR="00DE752C" w:rsidTr="00F10F0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rsidRPr="00FD6406">
              <w:t>60-65</w:t>
            </w:r>
          </w:p>
        </w:tc>
        <w:tc>
          <w:tcPr>
            <w:tcW w:w="1596"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9 517</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375</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115</w:t>
            </w:r>
          </w:p>
        </w:tc>
        <w:tc>
          <w:tcPr>
            <w:tcW w:w="182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30.67</w:t>
            </w:r>
          </w:p>
        </w:tc>
      </w:tr>
      <w:tr w:rsidR="00DE752C" w:rsidTr="00F10F02">
        <w:trPr>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rsidRPr="00FD6406">
              <w:t>55-60</w:t>
            </w:r>
          </w:p>
        </w:tc>
        <w:tc>
          <w:tcPr>
            <w:tcW w:w="1596"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2 668</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214</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54</w:t>
            </w:r>
          </w:p>
        </w:tc>
        <w:tc>
          <w:tcPr>
            <w:tcW w:w="182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25.23</w:t>
            </w:r>
          </w:p>
        </w:tc>
      </w:tr>
      <w:tr w:rsidR="00DE752C" w:rsidTr="00F10F0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rsidRPr="00FD6406">
              <w:t>50-55</w:t>
            </w:r>
          </w:p>
        </w:tc>
        <w:tc>
          <w:tcPr>
            <w:tcW w:w="1596"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13 293</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168</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14</w:t>
            </w:r>
          </w:p>
        </w:tc>
        <w:tc>
          <w:tcPr>
            <w:tcW w:w="182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8.33</w:t>
            </w:r>
          </w:p>
        </w:tc>
      </w:tr>
      <w:tr w:rsidR="00DE752C" w:rsidTr="00F10F02">
        <w:trPr>
          <w:trHeight w:val="304"/>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rsidRPr="00FD6406">
              <w:t>45-50</w:t>
            </w:r>
          </w:p>
        </w:tc>
        <w:tc>
          <w:tcPr>
            <w:tcW w:w="1596"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67 977</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757</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122</w:t>
            </w:r>
          </w:p>
        </w:tc>
        <w:tc>
          <w:tcPr>
            <w:tcW w:w="182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16.11</w:t>
            </w:r>
          </w:p>
        </w:tc>
      </w:tr>
      <w:tr w:rsidR="00DE752C" w:rsidTr="00F10F0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rsidRPr="00FD6406">
              <w:t>40-45</w:t>
            </w:r>
          </w:p>
        </w:tc>
        <w:tc>
          <w:tcPr>
            <w:tcW w:w="1596"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106 810</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1 747</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68</w:t>
            </w:r>
          </w:p>
        </w:tc>
        <w:tc>
          <w:tcPr>
            <w:tcW w:w="182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3.89</w:t>
            </w:r>
          </w:p>
        </w:tc>
      </w:tr>
      <w:tr w:rsidR="00DE752C" w:rsidTr="00F10F02">
        <w:trPr>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rsidRPr="00FD6406">
              <w:t>35-40</w:t>
            </w:r>
          </w:p>
        </w:tc>
        <w:tc>
          <w:tcPr>
            <w:tcW w:w="1596"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91 198</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1 399</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76</w:t>
            </w:r>
          </w:p>
        </w:tc>
        <w:tc>
          <w:tcPr>
            <w:tcW w:w="182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5.43</w:t>
            </w:r>
          </w:p>
        </w:tc>
      </w:tr>
      <w:tr w:rsidR="00DE752C" w:rsidTr="00F10F0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t>30–35</w:t>
            </w:r>
          </w:p>
        </w:tc>
        <w:tc>
          <w:tcPr>
            <w:tcW w:w="1596"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Not provided</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802</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28</w:t>
            </w:r>
          </w:p>
        </w:tc>
        <w:tc>
          <w:tcPr>
            <w:tcW w:w="182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3.49</w:t>
            </w:r>
          </w:p>
        </w:tc>
      </w:tr>
      <w:tr w:rsidR="00DE752C" w:rsidTr="00F10F02">
        <w:trPr>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t>25–30</w:t>
            </w:r>
          </w:p>
        </w:tc>
        <w:tc>
          <w:tcPr>
            <w:tcW w:w="1596"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Not provided</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1 147</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9</w:t>
            </w:r>
          </w:p>
        </w:tc>
        <w:tc>
          <w:tcPr>
            <w:tcW w:w="182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0.7</w:t>
            </w:r>
            <w:r w:rsidRPr="00DE752C">
              <w:t>0</w:t>
            </w:r>
          </w:p>
        </w:tc>
      </w:tr>
      <w:tr w:rsidR="00DE752C" w:rsidTr="00F10F0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t>20–25</w:t>
            </w:r>
          </w:p>
        </w:tc>
        <w:tc>
          <w:tcPr>
            <w:tcW w:w="1596"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Not provided</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2 642</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7</w:t>
            </w:r>
          </w:p>
        </w:tc>
        <w:tc>
          <w:tcPr>
            <w:tcW w:w="182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0.27</w:t>
            </w:r>
          </w:p>
        </w:tc>
      </w:tr>
      <w:tr w:rsidR="00DE752C" w:rsidTr="00F10F02">
        <w:trPr>
          <w:trHeight w:val="304"/>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lastRenderedPageBreak/>
              <w:t>15–20</w:t>
            </w:r>
          </w:p>
        </w:tc>
        <w:tc>
          <w:tcPr>
            <w:tcW w:w="1596"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Not provided</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535</w:t>
            </w:r>
          </w:p>
        </w:tc>
        <w:tc>
          <w:tcPr>
            <w:tcW w:w="176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3</w:t>
            </w:r>
          </w:p>
        </w:tc>
        <w:tc>
          <w:tcPr>
            <w:tcW w:w="1825"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0.56</w:t>
            </w:r>
          </w:p>
        </w:tc>
      </w:tr>
      <w:tr w:rsidR="00DE752C" w:rsidTr="00F10F02">
        <w:trPr>
          <w:cnfStyle w:val="000000010000" w:firstRow="0" w:lastRow="0" w:firstColumn="0" w:lastColumn="0" w:oddVBand="0" w:evenVBand="0" w:oddHBand="0" w:evenHBand="1"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742" w:type="dxa"/>
          </w:tcPr>
          <w:p w:rsidR="00DE752C" w:rsidRPr="00DE752C" w:rsidRDefault="00DE752C" w:rsidP="00DE752C">
            <w:r>
              <w:t>10–15</w:t>
            </w:r>
          </w:p>
        </w:tc>
        <w:tc>
          <w:tcPr>
            <w:tcW w:w="1596"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Not provided</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827</w:t>
            </w:r>
          </w:p>
        </w:tc>
        <w:tc>
          <w:tcPr>
            <w:tcW w:w="176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9</w:t>
            </w:r>
          </w:p>
        </w:tc>
        <w:tc>
          <w:tcPr>
            <w:tcW w:w="1825"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1.08</w:t>
            </w:r>
          </w:p>
        </w:tc>
      </w:tr>
    </w:tbl>
    <w:p w:rsidR="00DE752C" w:rsidRDefault="00DE752C" w:rsidP="00DE752C">
      <w:pPr>
        <w:pStyle w:val="Source"/>
      </w:pPr>
      <w:r>
        <w:t>Source:</w:t>
      </w:r>
      <w:r>
        <w:tab/>
        <w:t xml:space="preserve">Energex, </w:t>
      </w:r>
      <w:r w:rsidRPr="00916321">
        <w:rPr>
          <w:rStyle w:val="AERtextitalic"/>
        </w:rPr>
        <w:t>Regulatory proposal, Attachment 58</w:t>
      </w:r>
      <w:r>
        <w:t>, October 2014, p. 2.</w:t>
      </w:r>
    </w:p>
    <w:p w:rsidR="00DE752C" w:rsidRPr="007A79E9" w:rsidRDefault="00DE752C" w:rsidP="00DE752C">
      <w:pPr>
        <w:pStyle w:val="Caption"/>
      </w:pPr>
      <w:bookmarkStart w:id="143" w:name="_Ref415138131"/>
      <w:r>
        <w:t xml:space="preserve">Figure </w:t>
      </w:r>
      <w:r w:rsidRPr="00DE752C">
        <w:fldChar w:fldCharType="begin"/>
      </w:r>
      <w:r>
        <w:instrText xml:space="preserve"> STYLEREF 1 \s </w:instrText>
      </w:r>
      <w:r w:rsidRPr="00DE752C">
        <w:fldChar w:fldCharType="separate"/>
      </w:r>
      <w:r w:rsidR="005E73B8">
        <w:rPr>
          <w:noProof/>
        </w:rPr>
        <w:t>16</w:t>
      </w:r>
      <w:r w:rsidRPr="00DE752C">
        <w:fldChar w:fldCharType="end"/>
      </w:r>
      <w:r>
        <w:t>.</w:t>
      </w:r>
      <w:fldSimple w:instr=" SEQ Figure \* ARABIC \s 1 ">
        <w:r w:rsidR="005E73B8">
          <w:rPr>
            <w:noProof/>
          </w:rPr>
          <w:t>5</w:t>
        </w:r>
      </w:fldSimple>
      <w:bookmarkEnd w:id="143"/>
      <w:r>
        <w:tab/>
        <w:t xml:space="preserve">Energex's observed failure rates according to meter age </w:t>
      </w:r>
    </w:p>
    <w:p w:rsidR="00DE752C" w:rsidRDefault="00DE752C" w:rsidP="00DE752C">
      <w:r w:rsidRPr="00DE752C">
        <w:rPr>
          <w:noProof/>
          <w:lang w:eastAsia="en-AU"/>
        </w:rPr>
        <w:drawing>
          <wp:inline distT="0" distB="0" distL="0" distR="0" wp14:anchorId="71021CE0" wp14:editId="791AA30D">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E752C" w:rsidRDefault="00DE752C" w:rsidP="00DE752C">
      <w:pPr>
        <w:pStyle w:val="Source"/>
      </w:pPr>
      <w:r>
        <w:t>Source:</w:t>
      </w:r>
      <w:r>
        <w:tab/>
        <w:t xml:space="preserve">Energex, </w:t>
      </w:r>
      <w:r w:rsidRPr="00916321">
        <w:rPr>
          <w:rStyle w:val="AERtextitalic"/>
        </w:rPr>
        <w:t>Regulatory proposal, Attachment 58</w:t>
      </w:r>
      <w:r>
        <w:t>, October 2014, p. 2.</w:t>
      </w:r>
    </w:p>
    <w:p w:rsidR="00DE752C" w:rsidRDefault="00DE752C" w:rsidP="00DE752C">
      <w:r>
        <w:t>Taking Energex's sample testing into account, we accept that there appears to be a relationship between the age of a meter and its likelihood of failure. Our substitute forecast is nonetheless lower than the proposed amount. This is because of differences in the extent to which we consider the relationship put forward in Energex's proposal, extends into meters of a less advanced age.</w:t>
      </w:r>
    </w:p>
    <w:p w:rsidR="00DE752C" w:rsidRDefault="00DE752C" w:rsidP="00DE752C">
      <w:r>
        <w:t>We disagree with Energex that its sample testing shows that meters older than 35 years are likely to have more error readings than is tolerable under the 'spirit' of AS 1284.13 and the NER.</w:t>
      </w:r>
      <w:r>
        <w:rPr>
          <w:rStyle w:val="FootnoteReference"/>
        </w:rPr>
        <w:footnoteReference w:id="86"/>
      </w:r>
      <w:r>
        <w:t xml:space="preserve"> Out of the 91 198 meters in that age group Energex tested 1 399. It observed that 76, or 5.43 percent, exceed the maximum failure rate specified in the NER. On the basis of that analysis it considers all the meters from the 35–40 to the 65–70 age group should be replaced.</w:t>
      </w:r>
      <w:r>
        <w:rPr>
          <w:rStyle w:val="FootnoteReference"/>
        </w:rPr>
        <w:footnoteReference w:id="87"/>
      </w:r>
      <w:r>
        <w:t xml:space="preserve"> </w:t>
      </w:r>
    </w:p>
    <w:p w:rsidR="00DE752C" w:rsidRDefault="00DE752C" w:rsidP="00DE752C">
      <w:r>
        <w:t xml:space="preserve">Our preliminary decision is that a failure rate of 5.43 percent, for meters in the 35–40 age group, is not sufficient to trigger the replacement of all meters within that age range or older. We reached this conclusion by assessing the required failure rates in </w:t>
      </w:r>
      <w:r>
        <w:lastRenderedPageBreak/>
        <w:t>Australian Standard 1284.13. To calculate those failure rates as a percentage, we divided the required sample size for each age group by the acceptable quality level for testing by variables.</w:t>
      </w:r>
    </w:p>
    <w:p w:rsidR="00DE752C" w:rsidRDefault="00DE752C" w:rsidP="00DE752C">
      <w:r>
        <w:fldChar w:fldCharType="begin"/>
      </w:r>
      <w:r>
        <w:instrText xml:space="preserve"> REF _Ref415214136 \h </w:instrText>
      </w:r>
      <w:r>
        <w:fldChar w:fldCharType="separate"/>
      </w:r>
      <w:r w:rsidR="005E73B8">
        <w:t xml:space="preserve">Table </w:t>
      </w:r>
      <w:r w:rsidR="005E73B8">
        <w:rPr>
          <w:noProof/>
        </w:rPr>
        <w:t>16</w:t>
      </w:r>
      <w:r w:rsidR="005E73B8">
        <w:t>.</w:t>
      </w:r>
      <w:r w:rsidR="005E73B8">
        <w:rPr>
          <w:noProof/>
        </w:rPr>
        <w:t>16</w:t>
      </w:r>
      <w:r>
        <w:fldChar w:fldCharType="end"/>
      </w:r>
      <w:r>
        <w:t xml:space="preserve"> shows the results of our analysis. In summary, we found that meters in the 45–50 age group and above have a failure rate which is high enough to reasonably require their replacement. This results in a lower replacement forecast than Energex, which considers meters in the 35</w:t>
      </w:r>
      <w:r>
        <w:softHyphen/>
        <w:t xml:space="preserve">–40 age group and above should be replaced. </w:t>
      </w:r>
    </w:p>
    <w:p w:rsidR="00DE752C" w:rsidRDefault="00DE752C" w:rsidP="00DE752C">
      <w:pPr>
        <w:pStyle w:val="Caption"/>
      </w:pPr>
      <w:bookmarkStart w:id="144" w:name="_Ref415214136"/>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16</w:t>
        </w:r>
      </w:fldSimple>
      <w:bookmarkEnd w:id="144"/>
      <w:r>
        <w:t xml:space="preserve">    AER analysis of failure rates</w:t>
      </w:r>
    </w:p>
    <w:tbl>
      <w:tblPr>
        <w:tblStyle w:val="AERtable-numbers"/>
        <w:tblW w:w="0" w:type="auto"/>
        <w:tblLook w:val="04A0" w:firstRow="1" w:lastRow="0" w:firstColumn="1" w:lastColumn="0" w:noHBand="0" w:noVBand="1"/>
      </w:tblPr>
      <w:tblGrid>
        <w:gridCol w:w="1703"/>
        <w:gridCol w:w="1778"/>
        <w:gridCol w:w="1792"/>
        <w:gridCol w:w="1857"/>
        <w:gridCol w:w="1563"/>
      </w:tblGrid>
      <w:tr w:rsidR="00DE752C"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t>Age group</w:t>
            </w:r>
          </w:p>
        </w:tc>
        <w:tc>
          <w:tcPr>
            <w:tcW w:w="1778"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Required failure rate</w:t>
            </w:r>
            <w:r w:rsidRPr="00DE752C">
              <w:t xml:space="preserve"> (%) under AS 1284.13</w:t>
            </w:r>
          </w:p>
        </w:tc>
        <w:tc>
          <w:tcPr>
            <w:tcW w:w="1792"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Observed</w:t>
            </w:r>
          </w:p>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 xml:space="preserve"> failure rate</w:t>
            </w:r>
            <w:r w:rsidRPr="00DE752C">
              <w:t xml:space="preserve"> (%)</w:t>
            </w:r>
          </w:p>
        </w:tc>
        <w:tc>
          <w:tcPr>
            <w:tcW w:w="1857"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 xml:space="preserve">Energex's </w:t>
            </w:r>
            <w:r w:rsidRPr="00DE752C">
              <w:t>proposed replacement</w:t>
            </w:r>
          </w:p>
        </w:tc>
        <w:tc>
          <w:tcPr>
            <w:tcW w:w="1563"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Our assessment</w:t>
            </w:r>
          </w:p>
        </w:tc>
      </w:tr>
      <w:tr w:rsidR="00DE752C" w:rsidTr="00F10F02">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rsidRPr="00FD6406">
              <w:t>65-70</w:t>
            </w:r>
          </w:p>
        </w:tc>
        <w:tc>
          <w:tcPr>
            <w:tcW w:w="1778"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10.67</w:t>
            </w:r>
          </w:p>
        </w:tc>
        <w:tc>
          <w:tcPr>
            <w:tcW w:w="1792"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31.81</w:t>
            </w:r>
          </w:p>
        </w:tc>
        <w:tc>
          <w:tcPr>
            <w:tcW w:w="1857"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6</w:t>
            </w:r>
            <w:r w:rsidRPr="00DE752C">
              <w:t xml:space="preserve"> 700</w:t>
            </w:r>
          </w:p>
        </w:tc>
        <w:tc>
          <w:tcPr>
            <w:tcW w:w="156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Accept</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rsidRPr="00FD6406">
              <w:t>60-65</w:t>
            </w:r>
          </w:p>
        </w:tc>
        <w:tc>
          <w:tcPr>
            <w:tcW w:w="1778"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10.67</w:t>
            </w:r>
          </w:p>
        </w:tc>
        <w:tc>
          <w:tcPr>
            <w:tcW w:w="1792"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30.67</w:t>
            </w:r>
          </w:p>
        </w:tc>
        <w:tc>
          <w:tcPr>
            <w:tcW w:w="1857"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9</w:t>
            </w:r>
            <w:r w:rsidRPr="00DE752C">
              <w:t xml:space="preserve"> 517</w:t>
            </w:r>
          </w:p>
        </w:tc>
        <w:tc>
          <w:tcPr>
            <w:tcW w:w="156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A</w:t>
            </w:r>
            <w:r w:rsidRPr="00DE752C">
              <w:t>ccept</w:t>
            </w:r>
          </w:p>
        </w:tc>
      </w:tr>
      <w:tr w:rsidR="00DE752C" w:rsidTr="00F10F02">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rsidRPr="00FD6406">
              <w:t>55-60</w:t>
            </w:r>
          </w:p>
        </w:tc>
        <w:tc>
          <w:tcPr>
            <w:tcW w:w="1778"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12.00</w:t>
            </w:r>
          </w:p>
        </w:tc>
        <w:tc>
          <w:tcPr>
            <w:tcW w:w="1792"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25.23</w:t>
            </w:r>
          </w:p>
        </w:tc>
        <w:tc>
          <w:tcPr>
            <w:tcW w:w="1857"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2 668</w:t>
            </w:r>
          </w:p>
        </w:tc>
        <w:tc>
          <w:tcPr>
            <w:tcW w:w="156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A</w:t>
            </w:r>
            <w:r w:rsidRPr="00DE752C">
              <w:t>ccept</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rsidRPr="00FD6406">
              <w:t>50-55</w:t>
            </w:r>
          </w:p>
        </w:tc>
        <w:tc>
          <w:tcPr>
            <w:tcW w:w="1778"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11.00</w:t>
            </w:r>
          </w:p>
        </w:tc>
        <w:tc>
          <w:tcPr>
            <w:tcW w:w="1792"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8.33</w:t>
            </w:r>
          </w:p>
        </w:tc>
        <w:tc>
          <w:tcPr>
            <w:tcW w:w="1857"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13 293</w:t>
            </w:r>
          </w:p>
        </w:tc>
        <w:tc>
          <w:tcPr>
            <w:tcW w:w="156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A</w:t>
            </w:r>
            <w:r w:rsidRPr="00DE752C">
              <w:t>ccept</w:t>
            </w:r>
          </w:p>
        </w:tc>
      </w:tr>
      <w:tr w:rsidR="00DE752C" w:rsidTr="00F10F02">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rsidRPr="00FD6406">
              <w:t>45-50</w:t>
            </w:r>
          </w:p>
        </w:tc>
        <w:tc>
          <w:tcPr>
            <w:tcW w:w="1778"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8.67</w:t>
            </w:r>
          </w:p>
        </w:tc>
        <w:tc>
          <w:tcPr>
            <w:tcW w:w="1792"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16.11</w:t>
            </w:r>
          </w:p>
        </w:tc>
        <w:tc>
          <w:tcPr>
            <w:tcW w:w="1857"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67 997</w:t>
            </w:r>
          </w:p>
        </w:tc>
        <w:tc>
          <w:tcPr>
            <w:tcW w:w="156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A</w:t>
            </w:r>
            <w:r w:rsidRPr="00DE752C">
              <w:t>ccept</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rsidRPr="00FD6406">
              <w:t>40-45</w:t>
            </w:r>
          </w:p>
        </w:tc>
        <w:tc>
          <w:tcPr>
            <w:tcW w:w="1778"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8.67</w:t>
            </w:r>
          </w:p>
        </w:tc>
        <w:tc>
          <w:tcPr>
            <w:tcW w:w="1792"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3.89</w:t>
            </w:r>
          </w:p>
        </w:tc>
        <w:tc>
          <w:tcPr>
            <w:tcW w:w="1857"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106 810</w:t>
            </w:r>
          </w:p>
        </w:tc>
        <w:tc>
          <w:tcPr>
            <w:tcW w:w="156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Not accept</w:t>
            </w:r>
          </w:p>
        </w:tc>
      </w:tr>
      <w:tr w:rsidR="00DE752C" w:rsidTr="00F10F02">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t>3</w:t>
            </w:r>
            <w:r w:rsidRPr="00DE752C">
              <w:t>5–40</w:t>
            </w:r>
          </w:p>
        </w:tc>
        <w:tc>
          <w:tcPr>
            <w:tcW w:w="1778"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8.67</w:t>
            </w:r>
          </w:p>
        </w:tc>
        <w:tc>
          <w:tcPr>
            <w:tcW w:w="1792"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5.43</w:t>
            </w:r>
          </w:p>
        </w:tc>
        <w:tc>
          <w:tcPr>
            <w:tcW w:w="1857"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91 198</w:t>
            </w:r>
          </w:p>
        </w:tc>
        <w:tc>
          <w:tcPr>
            <w:tcW w:w="156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Not accept</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rsidR="00DE752C" w:rsidRPr="00DE752C" w:rsidRDefault="00DE752C" w:rsidP="00DE752C">
            <w:r>
              <w:t>Total</w:t>
            </w:r>
          </w:p>
        </w:tc>
        <w:tc>
          <w:tcPr>
            <w:tcW w:w="1778" w:type="dxa"/>
          </w:tcPr>
          <w:p w:rsidR="00DE752C" w:rsidRDefault="00DE752C" w:rsidP="00DE752C">
            <w:pPr>
              <w:cnfStyle w:val="000000010000" w:firstRow="0" w:lastRow="0" w:firstColumn="0" w:lastColumn="0" w:oddVBand="0" w:evenVBand="0" w:oddHBand="0" w:evenHBand="1" w:firstRowFirstColumn="0" w:firstRowLastColumn="0" w:lastRowFirstColumn="0" w:lastRowLastColumn="0"/>
            </w:pPr>
          </w:p>
        </w:tc>
        <w:tc>
          <w:tcPr>
            <w:tcW w:w="1792" w:type="dxa"/>
          </w:tcPr>
          <w:p w:rsidR="00DE752C" w:rsidRDefault="00DE752C" w:rsidP="00DE752C">
            <w:pPr>
              <w:cnfStyle w:val="000000010000" w:firstRow="0" w:lastRow="0" w:firstColumn="0" w:lastColumn="0" w:oddVBand="0" w:evenVBand="0" w:oddHBand="0" w:evenHBand="1" w:firstRowFirstColumn="0" w:firstRowLastColumn="0" w:lastRowFirstColumn="0" w:lastRowLastColumn="0"/>
            </w:pPr>
          </w:p>
        </w:tc>
        <w:tc>
          <w:tcPr>
            <w:tcW w:w="1857"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298 163</w:t>
            </w:r>
          </w:p>
        </w:tc>
        <w:tc>
          <w:tcPr>
            <w:tcW w:w="156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100 155</w:t>
            </w:r>
          </w:p>
        </w:tc>
      </w:tr>
    </w:tbl>
    <w:p w:rsidR="00DE752C" w:rsidRDefault="00DE752C" w:rsidP="00DE752C">
      <w:pPr>
        <w:pStyle w:val="AERtablesource"/>
      </w:pPr>
      <w:r>
        <w:t>Source:</w:t>
      </w:r>
      <w:r>
        <w:tab/>
        <w:t xml:space="preserve">Australian Standard, AS 1284.13, 2002, p. 12; Energex, </w:t>
      </w:r>
      <w:r w:rsidRPr="00916321">
        <w:rPr>
          <w:rStyle w:val="AERtextitalic"/>
        </w:rPr>
        <w:t>Regulatory proposal, Attachment 58</w:t>
      </w:r>
      <w:r>
        <w:t>, October 2014.</w:t>
      </w:r>
    </w:p>
    <w:p w:rsidR="00DE752C" w:rsidRDefault="00DE752C" w:rsidP="00DE752C">
      <w:pPr>
        <w:pStyle w:val="AERtablesource"/>
      </w:pPr>
      <w:r>
        <w:t xml:space="preserve">Note: </w:t>
      </w:r>
      <w:r>
        <w:tab/>
        <w:t>Required failure rate calculated as the "acceptable quality limit + 1" in Australian Standard 1284.13 (table 2, page 12), divided by the sample size specified for the meter population of each age group.</w:t>
      </w:r>
    </w:p>
    <w:p w:rsidR="00DE752C" w:rsidRDefault="00DE752C" w:rsidP="00DE752C">
      <w:pPr>
        <w:pStyle w:val="AERtablesource"/>
      </w:pPr>
      <w:r>
        <w:t>Note:</w:t>
      </w:r>
      <w:r>
        <w:tab/>
        <w:t>While Energex considers a total of 298 163 meters to have an unacceptable error proportion it has only proposed to replace 200 000 in the 2015–20 regulatory control period.</w:t>
      </w:r>
      <w:r>
        <w:rPr>
          <w:rStyle w:val="FootnoteReference"/>
        </w:rPr>
        <w:footnoteReference w:id="88"/>
      </w:r>
    </w:p>
    <w:p w:rsidR="00DE752C" w:rsidRDefault="00DE752C" w:rsidP="00DE752C">
      <w:r>
        <w:t xml:space="preserve">Our preliminary decision is therefore to approve a forecast volume of replacements equal to 100 155. We consider this forecast to provide Energex with a forecast volume which will allow the business to meet its regulatory obligations. </w:t>
      </w:r>
    </w:p>
    <w:p w:rsidR="00DE752C" w:rsidRDefault="00DE752C" w:rsidP="00DE752C">
      <w:r>
        <w:t>Finally, the substitute forecast we accept will allow Energex to meet its internal standards. Energex states that it has a policy where it will not tolerate any more than 4 percent of its meters being in error at any one time.</w:t>
      </w:r>
      <w:r>
        <w:rPr>
          <w:rStyle w:val="FootnoteReference"/>
        </w:rPr>
        <w:footnoteReference w:id="89"/>
      </w:r>
      <w:r>
        <w:t xml:space="preserve"> In the 2015–20 regulatory control period, Energex will have, on average, 2.18 million meters. By accepting a forecast volume of 100 155, we are in effect providing enough expenditure for Energex to replace 4.86 percent of its meter population. That is, our substitute accepts an amount in excess of Energex's 4 percent tolerance standard.</w:t>
      </w:r>
    </w:p>
    <w:p w:rsidR="00DE752C" w:rsidRDefault="00DE752C" w:rsidP="00DE752C">
      <w:pPr>
        <w:pStyle w:val="Heading4"/>
      </w:pPr>
      <w:bookmarkStart w:id="145" w:name="_Toc417738259"/>
      <w:bookmarkStart w:id="146" w:name="_Toc417927721"/>
      <w:proofErr w:type="spellStart"/>
      <w:r>
        <w:lastRenderedPageBreak/>
        <w:t>Opex</w:t>
      </w:r>
      <w:bookmarkEnd w:id="145"/>
      <w:bookmarkEnd w:id="146"/>
      <w:proofErr w:type="spellEnd"/>
    </w:p>
    <w:p w:rsidR="00DE752C" w:rsidRDefault="00DE752C" w:rsidP="00DE752C">
      <w:pPr>
        <w:numPr>
          <w:ilvl w:val="0"/>
          <w:numId w:val="25"/>
        </w:numPr>
      </w:pPr>
      <w:r>
        <w:t xml:space="preserve">We accept Energex's proposed </w:t>
      </w:r>
      <w:proofErr w:type="spellStart"/>
      <w:r>
        <w:t>opex</w:t>
      </w:r>
      <w:proofErr w:type="spellEnd"/>
      <w:r>
        <w:t xml:space="preserve"> of $78.6 million ($2014–15). Our analysis found that Energex's </w:t>
      </w:r>
      <w:proofErr w:type="spellStart"/>
      <w:r>
        <w:t>opex</w:t>
      </w:r>
      <w:proofErr w:type="spellEnd"/>
      <w:r>
        <w:t xml:space="preserve"> proposal was relatively efficient.</w:t>
      </w:r>
    </w:p>
    <w:p w:rsidR="00DE752C" w:rsidRPr="00DE752C" w:rsidRDefault="00DE752C" w:rsidP="00DE752C">
      <w:pPr>
        <w:pStyle w:val="Heading6"/>
      </w:pPr>
      <w:bookmarkStart w:id="147" w:name="_Toc417738260"/>
      <w:bookmarkStart w:id="148" w:name="_Toc417927722"/>
      <w:r>
        <w:t>Forecast b</w:t>
      </w:r>
      <w:r w:rsidRPr="00DE752C">
        <w:t>ase</w:t>
      </w:r>
      <w:bookmarkEnd w:id="147"/>
      <w:bookmarkEnd w:id="148"/>
    </w:p>
    <w:p w:rsidR="00DE752C" w:rsidRDefault="00DE752C" w:rsidP="00DE752C">
      <w:r>
        <w:t xml:space="preserve">The initial step in our assessment of Energex's proposed </w:t>
      </w:r>
      <w:proofErr w:type="spellStart"/>
      <w:r>
        <w:t>opex</w:t>
      </w:r>
      <w:proofErr w:type="spellEnd"/>
      <w:r>
        <w:t xml:space="preserve"> was to consider its 'base' level of expenditure. We looked at what Energex's base should be, from two different perspectives. These were Energex's historical </w:t>
      </w:r>
      <w:proofErr w:type="spellStart"/>
      <w:r>
        <w:t>opex</w:t>
      </w:r>
      <w:proofErr w:type="spellEnd"/>
      <w:r>
        <w:t xml:space="preserve"> and its performance against benchmarking. </w:t>
      </w:r>
    </w:p>
    <w:p w:rsidR="00DE752C" w:rsidRDefault="00DE752C" w:rsidP="00DE752C">
      <w:r>
        <w:t xml:space="preserve">With assessing historical expenditure, we consider Energex's base should be at least as efficient as its costs in previous years. We observed Energex's historic </w:t>
      </w:r>
      <w:proofErr w:type="spellStart"/>
      <w:r>
        <w:t>opex</w:t>
      </w:r>
      <w:proofErr w:type="spellEnd"/>
      <w:r>
        <w:t xml:space="preserve"> over a five year period. Applying this approach</w:t>
      </w:r>
      <w:r w:rsidRPr="00657C0C">
        <w:t xml:space="preserve">, we observed a base expenditure </w:t>
      </w:r>
      <w:r>
        <w:t xml:space="preserve">of $13 per customer per year </w:t>
      </w:r>
      <w:r w:rsidRPr="00657C0C">
        <w:t xml:space="preserve">($2014–15). </w:t>
      </w:r>
    </w:p>
    <w:p w:rsidR="00DE752C" w:rsidRDefault="00DE752C" w:rsidP="00DE752C">
      <w:r>
        <w:t xml:space="preserve">When comparing Energex's proposed </w:t>
      </w:r>
      <w:proofErr w:type="spellStart"/>
      <w:r>
        <w:t>opex</w:t>
      </w:r>
      <w:proofErr w:type="spellEnd"/>
      <w:r>
        <w:t xml:space="preserve"> to its peers, we normalised our results by accounting</w:t>
      </w:r>
      <w:r w:rsidRPr="00C10FBE">
        <w:t xml:space="preserve"> for customer density. We calculated this as the number of customers a distribution business has per kilometre of line length. We took customer density into account because, all things equal, businesses with a low customer density are likely to require higher </w:t>
      </w:r>
      <w:proofErr w:type="spellStart"/>
      <w:r>
        <w:t>opex</w:t>
      </w:r>
      <w:proofErr w:type="spellEnd"/>
      <w:r w:rsidRPr="00C10FBE">
        <w:t>. For example, this could be because of longer travel times to service customers</w:t>
      </w:r>
      <w:r>
        <w:t xml:space="preserve">. </w:t>
      </w:r>
      <w:r>
        <w:fldChar w:fldCharType="begin"/>
      </w:r>
      <w:r>
        <w:instrText xml:space="preserve"> REF _Ref416872747 \h </w:instrText>
      </w:r>
      <w:r>
        <w:fldChar w:fldCharType="separate"/>
      </w:r>
      <w:r w:rsidR="005E73B8">
        <w:t xml:space="preserve">Figure </w:t>
      </w:r>
      <w:r w:rsidR="005E73B8">
        <w:rPr>
          <w:noProof/>
        </w:rPr>
        <w:t>16</w:t>
      </w:r>
      <w:r w:rsidR="005E73B8">
        <w:t>.</w:t>
      </w:r>
      <w:r w:rsidR="005E73B8">
        <w:rPr>
          <w:noProof/>
        </w:rPr>
        <w:t>6</w:t>
      </w:r>
      <w:r>
        <w:fldChar w:fldCharType="end"/>
      </w:r>
      <w:r>
        <w:t xml:space="preserve"> shows the results of our benchmarking.</w:t>
      </w:r>
    </w:p>
    <w:p w:rsidR="00DE752C" w:rsidRDefault="00DE752C" w:rsidP="00DE752C">
      <w:pPr>
        <w:pStyle w:val="Caption"/>
      </w:pPr>
      <w:bookmarkStart w:id="149" w:name="_Ref416872747"/>
      <w:r>
        <w:t xml:space="preserve">Figure </w:t>
      </w:r>
      <w:r w:rsidRPr="00DE752C">
        <w:fldChar w:fldCharType="begin"/>
      </w:r>
      <w:r>
        <w:instrText xml:space="preserve"> STYLEREF 1 \s </w:instrText>
      </w:r>
      <w:r w:rsidRPr="00DE752C">
        <w:fldChar w:fldCharType="separate"/>
      </w:r>
      <w:r w:rsidR="005E73B8">
        <w:rPr>
          <w:noProof/>
        </w:rPr>
        <w:t>16</w:t>
      </w:r>
      <w:r w:rsidRPr="00DE752C">
        <w:fldChar w:fldCharType="end"/>
      </w:r>
      <w:r>
        <w:t>.</w:t>
      </w:r>
      <w:fldSimple w:instr=" SEQ Figure \* ARABIC \s 1 ">
        <w:r w:rsidR="005E73B8">
          <w:rPr>
            <w:noProof/>
          </w:rPr>
          <w:t>6</w:t>
        </w:r>
      </w:fldSimple>
      <w:bookmarkEnd w:id="149"/>
      <w:r>
        <w:tab/>
        <w:t xml:space="preserve">Benchmarking of annual metering </w:t>
      </w:r>
      <w:proofErr w:type="spellStart"/>
      <w:r>
        <w:t>opex</w:t>
      </w:r>
      <w:proofErr w:type="spellEnd"/>
      <w:r>
        <w:t xml:space="preserve"> per customer ($ 2014–15)</w:t>
      </w:r>
    </w:p>
    <w:p w:rsidR="00DE752C" w:rsidRDefault="00DE752C" w:rsidP="00DE752C">
      <w:r w:rsidRPr="00DE752C">
        <w:rPr>
          <w:noProof/>
          <w:lang w:eastAsia="en-AU"/>
        </w:rPr>
        <w:drawing>
          <wp:inline distT="0" distB="0" distL="0" distR="0" wp14:anchorId="0DEE164C" wp14:editId="01DA1CBB">
            <wp:extent cx="5382895" cy="3524109"/>
            <wp:effectExtent l="0" t="0" r="825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E752C" w:rsidRDefault="00DE752C" w:rsidP="00DE752C">
      <w:pPr>
        <w:pStyle w:val="Source"/>
      </w:pPr>
      <w:r>
        <w:t>Source:</w:t>
      </w:r>
      <w:r>
        <w:tab/>
        <w:t>AER analysis</w:t>
      </w:r>
    </w:p>
    <w:p w:rsidR="00DE752C" w:rsidRPr="00EB2209" w:rsidRDefault="00DE752C" w:rsidP="00DE752C">
      <w:r w:rsidRPr="00EB2209">
        <w:lastRenderedPageBreak/>
        <w:t>We observe a strong correlation between customer density and costs, and so we can reasonably expect</w:t>
      </w:r>
      <w:r>
        <w:t xml:space="preserve"> Energex </w:t>
      </w:r>
      <w:r w:rsidRPr="00EB2209">
        <w:t xml:space="preserve">to require no more </w:t>
      </w:r>
      <w:proofErr w:type="spellStart"/>
      <w:r w:rsidRPr="00EB2209">
        <w:t>opex</w:t>
      </w:r>
      <w:proofErr w:type="spellEnd"/>
      <w:r w:rsidRPr="00EB2209">
        <w:t xml:space="preserve"> per customer than a distribution business with a similarly dense network. Taking this approach, we consider </w:t>
      </w:r>
      <w:r>
        <w:t>Endeavour Energy</w:t>
      </w:r>
      <w:r w:rsidRPr="00EB2209">
        <w:t xml:space="preserve"> to be a relevant comparator for </w:t>
      </w:r>
      <w:r>
        <w:t>Ergon</w:t>
      </w:r>
      <w:r w:rsidRPr="00EB2209">
        <w:t xml:space="preserve"> Energy. This is because the </w:t>
      </w:r>
      <w:r>
        <w:t>two distributors have s</w:t>
      </w:r>
      <w:r w:rsidRPr="00EB2209">
        <w:t xml:space="preserve">imilar customer density. </w:t>
      </w:r>
    </w:p>
    <w:p w:rsidR="00DE752C" w:rsidRDefault="00DE752C" w:rsidP="00DE752C">
      <w:r>
        <w:t xml:space="preserve">However, our benchmarking results show that Energex historical </w:t>
      </w:r>
      <w:proofErr w:type="spellStart"/>
      <w:r>
        <w:t>opex</w:t>
      </w:r>
      <w:proofErr w:type="spellEnd"/>
      <w:r>
        <w:t xml:space="preserve"> is relatively efficient compared to Endeavour Energy, which has the same customer density.</w:t>
      </w:r>
      <w:r>
        <w:rPr>
          <w:rStyle w:val="FootnoteReference"/>
        </w:rPr>
        <w:footnoteReference w:id="90"/>
      </w:r>
      <w:r>
        <w:t xml:space="preserve"> As a consequence, we have decided not make an efficiency related adjustment to its base </w:t>
      </w:r>
      <w:proofErr w:type="spellStart"/>
      <w:r>
        <w:t>opex</w:t>
      </w:r>
      <w:proofErr w:type="spellEnd"/>
      <w:r>
        <w:t>.</w:t>
      </w:r>
    </w:p>
    <w:p w:rsidR="00DE752C" w:rsidRDefault="00DE752C" w:rsidP="00DE752C">
      <w:r>
        <w:t xml:space="preserve">We have therefore used Energex's historical </w:t>
      </w:r>
      <w:proofErr w:type="spellStart"/>
      <w:r>
        <w:t>opex</w:t>
      </w:r>
      <w:proofErr w:type="spellEnd"/>
      <w:r>
        <w:t xml:space="preserve"> of $13 per customer/year as the base for setting forecast </w:t>
      </w:r>
      <w:proofErr w:type="spellStart"/>
      <w:r>
        <w:t>opex</w:t>
      </w:r>
      <w:proofErr w:type="spellEnd"/>
      <w:r>
        <w:t xml:space="preserve"> in the 2015-20 regulatory control period.  </w:t>
      </w:r>
    </w:p>
    <w:p w:rsidR="00DE752C" w:rsidRPr="00DE752C" w:rsidRDefault="00DE752C" w:rsidP="00DE752C">
      <w:pPr>
        <w:pStyle w:val="Heading6"/>
      </w:pPr>
      <w:bookmarkStart w:id="150" w:name="_Toc417738261"/>
      <w:bookmarkStart w:id="151" w:name="_Toc417927723"/>
      <w:r>
        <w:t>Step changes</w:t>
      </w:r>
      <w:bookmarkEnd w:id="150"/>
      <w:bookmarkEnd w:id="151"/>
    </w:p>
    <w:p w:rsidR="00DE752C" w:rsidRDefault="00DE752C" w:rsidP="00DE752C">
      <w:r>
        <w:t>Energex</w:t>
      </w:r>
      <w:r w:rsidRPr="009C3274">
        <w:t xml:space="preserve"> did not propose any step changes.</w:t>
      </w:r>
      <w:r>
        <w:rPr>
          <w:rStyle w:val="FootnoteReference"/>
        </w:rPr>
        <w:footnoteReference w:id="91"/>
      </w:r>
      <w:r w:rsidRPr="009C3274">
        <w:t xml:space="preserve"> </w:t>
      </w:r>
      <w:r>
        <w:t xml:space="preserve">Nor did we consider any other positive or negative step changes should be applied to Energex's base </w:t>
      </w:r>
      <w:proofErr w:type="spellStart"/>
      <w:r>
        <w:t>opex</w:t>
      </w:r>
      <w:proofErr w:type="spellEnd"/>
      <w:r>
        <w:t>.</w:t>
      </w:r>
    </w:p>
    <w:p w:rsidR="00DE752C" w:rsidRPr="00DE752C" w:rsidRDefault="00DE752C" w:rsidP="00DE752C">
      <w:pPr>
        <w:pStyle w:val="Heading6"/>
      </w:pPr>
      <w:bookmarkStart w:id="152" w:name="_Toc417738262"/>
      <w:bookmarkStart w:id="153" w:name="_Toc417927724"/>
      <w:r>
        <w:t>Trend</w:t>
      </w:r>
      <w:bookmarkEnd w:id="152"/>
      <w:bookmarkEnd w:id="153"/>
    </w:p>
    <w:p w:rsidR="00DE752C" w:rsidRPr="00A51A5A" w:rsidRDefault="00DE752C" w:rsidP="00DE752C">
      <w:r w:rsidRPr="00A51A5A">
        <w:t>We trended the base forward for forecast metering customer growth. We have applied zero forecast real price and productivity growth.</w:t>
      </w:r>
    </w:p>
    <w:p w:rsidR="00DE752C" w:rsidRDefault="00DE752C" w:rsidP="00DE752C">
      <w:r w:rsidRPr="00A51A5A">
        <w:t xml:space="preserve">Our analysis for base metering </w:t>
      </w:r>
      <w:proofErr w:type="spellStart"/>
      <w:r w:rsidRPr="00A51A5A">
        <w:t>opex</w:t>
      </w:r>
      <w:proofErr w:type="spellEnd"/>
      <w:r w:rsidRPr="00A51A5A">
        <w:t xml:space="preserve"> used average data from 2008–09 to 2012–13. One would expect to see metering </w:t>
      </w:r>
      <w:proofErr w:type="spellStart"/>
      <w:r w:rsidRPr="00A51A5A">
        <w:t>opex</w:t>
      </w:r>
      <w:proofErr w:type="spellEnd"/>
      <w:r w:rsidRPr="00A51A5A">
        <w:t xml:space="preserve"> per customer increasing over the period if there was real price growth. </w:t>
      </w:r>
    </w:p>
    <w:p w:rsidR="00DE752C" w:rsidRDefault="00DE752C" w:rsidP="00DE752C">
      <w:pPr>
        <w:pStyle w:val="Caption"/>
      </w:pPr>
      <w:bookmarkStart w:id="154" w:name="_Ref417577876"/>
      <w:r>
        <w:lastRenderedPageBreak/>
        <w:t xml:space="preserve">Figure </w:t>
      </w:r>
      <w:r w:rsidRPr="00DE752C">
        <w:fldChar w:fldCharType="begin"/>
      </w:r>
      <w:r>
        <w:instrText xml:space="preserve"> STYLEREF 1 \s </w:instrText>
      </w:r>
      <w:r w:rsidRPr="00DE752C">
        <w:fldChar w:fldCharType="separate"/>
      </w:r>
      <w:r w:rsidR="005E73B8">
        <w:rPr>
          <w:noProof/>
        </w:rPr>
        <w:t>16</w:t>
      </w:r>
      <w:r w:rsidRPr="00DE752C">
        <w:fldChar w:fldCharType="end"/>
      </w:r>
      <w:r>
        <w:t>.</w:t>
      </w:r>
      <w:fldSimple w:instr=" SEQ Figure \* ARABIC \s 1 ">
        <w:r w:rsidR="005E73B8">
          <w:rPr>
            <w:noProof/>
          </w:rPr>
          <w:t>7</w:t>
        </w:r>
      </w:fldSimple>
      <w:bookmarkEnd w:id="154"/>
      <w:r>
        <w:tab/>
        <w:t xml:space="preserve">Annual default metering </w:t>
      </w:r>
      <w:proofErr w:type="spellStart"/>
      <w:r>
        <w:t>opex</w:t>
      </w:r>
      <w:proofErr w:type="spellEnd"/>
      <w:r>
        <w:t xml:space="preserve"> per customer</w:t>
      </w:r>
      <w:r>
        <w:tab/>
      </w:r>
    </w:p>
    <w:p w:rsidR="00DE752C" w:rsidRDefault="00DE752C" w:rsidP="00DE752C">
      <w:r w:rsidRPr="00DE752C">
        <w:rPr>
          <w:noProof/>
          <w:lang w:eastAsia="en-AU"/>
        </w:rPr>
        <w:drawing>
          <wp:inline distT="0" distB="0" distL="0" distR="0" wp14:anchorId="278CF179" wp14:editId="651889FF">
            <wp:extent cx="4304030" cy="2914015"/>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4030" cy="2914015"/>
                    </a:xfrm>
                    <a:prstGeom prst="rect">
                      <a:avLst/>
                    </a:prstGeom>
                    <a:noFill/>
                  </pic:spPr>
                </pic:pic>
              </a:graphicData>
            </a:graphic>
          </wp:inline>
        </w:drawing>
      </w:r>
    </w:p>
    <w:p w:rsidR="00DE752C" w:rsidRDefault="00DE752C" w:rsidP="00DE752C">
      <w:pPr>
        <w:pStyle w:val="AERtablesource"/>
      </w:pPr>
      <w:r>
        <w:t>Source:</w:t>
      </w:r>
      <w:r>
        <w:tab/>
        <w:t>AER analysis</w:t>
      </w:r>
    </w:p>
    <w:p w:rsidR="00DE752C" w:rsidRPr="00A51A5A" w:rsidRDefault="00DE752C" w:rsidP="00DE752C">
      <w:r>
        <w:fldChar w:fldCharType="begin"/>
      </w:r>
      <w:r>
        <w:instrText xml:space="preserve"> REF _Ref417577876 \h </w:instrText>
      </w:r>
      <w:r>
        <w:fldChar w:fldCharType="separate"/>
      </w:r>
      <w:r w:rsidR="005E73B8">
        <w:t xml:space="preserve">Figure </w:t>
      </w:r>
      <w:r w:rsidR="005E73B8">
        <w:rPr>
          <w:noProof/>
        </w:rPr>
        <w:t>16</w:t>
      </w:r>
      <w:r w:rsidR="005E73B8">
        <w:t>.</w:t>
      </w:r>
      <w:r w:rsidR="005E73B8">
        <w:rPr>
          <w:noProof/>
        </w:rPr>
        <w:t>7</w:t>
      </w:r>
      <w:r>
        <w:fldChar w:fldCharType="end"/>
      </w:r>
      <w:r>
        <w:t>, however,</w:t>
      </w:r>
      <w:r w:rsidRPr="00A51A5A">
        <w:t xml:space="preserve"> shows that</w:t>
      </w:r>
      <w:r>
        <w:t xml:space="preserve"> Energex's metering </w:t>
      </w:r>
      <w:proofErr w:type="spellStart"/>
      <w:r>
        <w:t>opex</w:t>
      </w:r>
      <w:proofErr w:type="spellEnd"/>
      <w:r>
        <w:t xml:space="preserve"> was generally stable over the period, which is consistent with the industry average.</w:t>
      </w:r>
      <w:r w:rsidRPr="00A51A5A">
        <w:t xml:space="preserve"> This implies that either there were no real price increases over this period, or the distributors were able to offset these real price increases with productivity improvements. </w:t>
      </w:r>
    </w:p>
    <w:p w:rsidR="00DE752C" w:rsidRDefault="00DE752C" w:rsidP="00DE752C">
      <w:r w:rsidRPr="00A51A5A">
        <w:t xml:space="preserve">Given that </w:t>
      </w:r>
      <w:proofErr w:type="spellStart"/>
      <w:r w:rsidRPr="00A51A5A">
        <w:t>opex</w:t>
      </w:r>
      <w:proofErr w:type="spellEnd"/>
      <w:r w:rsidRPr="00A51A5A">
        <w:t xml:space="preserve"> is largely recurrent and metering </w:t>
      </w:r>
      <w:proofErr w:type="spellStart"/>
      <w:r w:rsidRPr="00A51A5A">
        <w:t>opex</w:t>
      </w:r>
      <w:proofErr w:type="spellEnd"/>
      <w:r w:rsidRPr="00A51A5A">
        <w:t xml:space="preserve"> per customer did not </w:t>
      </w:r>
      <w:r>
        <w:t xml:space="preserve">trend upwards </w:t>
      </w:r>
      <w:r w:rsidRPr="00A51A5A">
        <w:t xml:space="preserve">over the 2008–09 to 2012–13 period, we do not forecast metering </w:t>
      </w:r>
      <w:proofErr w:type="spellStart"/>
      <w:r w:rsidRPr="00A51A5A">
        <w:t>opex</w:t>
      </w:r>
      <w:proofErr w:type="spellEnd"/>
      <w:r w:rsidRPr="00A51A5A">
        <w:t xml:space="preserve"> per customer to increase in the 2015–20 regulatory control period. Therefore, we apply zero real price and productivity growth.   </w:t>
      </w:r>
    </w:p>
    <w:p w:rsidR="00DE752C" w:rsidRPr="0087169E" w:rsidRDefault="00DE752C" w:rsidP="00DE752C">
      <w:r>
        <w:t xml:space="preserve">Our alternative forecast arrived at $94.9m ($ 2014–15). Energex's proposed </w:t>
      </w:r>
      <w:proofErr w:type="spellStart"/>
      <w:r>
        <w:t>opex</w:t>
      </w:r>
      <w:proofErr w:type="spellEnd"/>
      <w:r>
        <w:t xml:space="preserve"> is below our alternative forecast. We therefore accept Energex's proposed </w:t>
      </w:r>
      <w:proofErr w:type="spellStart"/>
      <w:r>
        <w:t>opex</w:t>
      </w:r>
      <w:proofErr w:type="spellEnd"/>
      <w:r>
        <w:t xml:space="preserve"> for metering services of $78.6m. </w:t>
      </w:r>
    </w:p>
    <w:p w:rsidR="00DE752C" w:rsidRPr="00C30FD3" w:rsidRDefault="00DE752C" w:rsidP="00DE752C">
      <w:pPr>
        <w:pStyle w:val="Heading4"/>
      </w:pPr>
      <w:bookmarkStart w:id="155" w:name="_Ref417311377"/>
      <w:bookmarkStart w:id="156" w:name="_Toc417738263"/>
      <w:bookmarkStart w:id="157" w:name="_Toc417927725"/>
      <w:r>
        <w:t>Upfront capital charge</w:t>
      </w:r>
      <w:bookmarkEnd w:id="155"/>
      <w:bookmarkEnd w:id="156"/>
      <w:bookmarkEnd w:id="157"/>
    </w:p>
    <w:p w:rsidR="00DE752C" w:rsidRDefault="00DE752C" w:rsidP="00DE752C">
      <w:r>
        <w:t xml:space="preserve">Energex's proposal did not include any upfront charges. Our preliminary decision, however, is to move the cost recovery of new connections from the annual metering service charge to an upfront payment, made directly by customers to Energex at the time of installation. </w:t>
      </w:r>
    </w:p>
    <w:p w:rsidR="00DE752C" w:rsidRPr="00DE752C" w:rsidRDefault="00DE752C" w:rsidP="00DE752C">
      <w:pPr>
        <w:pStyle w:val="Heading5"/>
      </w:pPr>
      <w:bookmarkStart w:id="158" w:name="_Toc417738264"/>
      <w:bookmarkStart w:id="159" w:name="_Toc417927726"/>
      <w:r>
        <w:t>Policy reasons</w:t>
      </w:r>
      <w:bookmarkEnd w:id="158"/>
      <w:bookmarkEnd w:id="159"/>
    </w:p>
    <w:p w:rsidR="00DE752C" w:rsidRPr="00A948F6" w:rsidRDefault="00DE752C" w:rsidP="00DE752C">
      <w:r>
        <w:t xml:space="preserve">By moving the cost recovery of new connections, we have amended Energex's proposed structure of metering services. In making this preliminary decision we had regard to certain factors (see </w:t>
      </w:r>
      <w:r>
        <w:fldChar w:fldCharType="begin"/>
      </w:r>
      <w:r>
        <w:instrText xml:space="preserve"> REF _Ref415219630 \r \h </w:instrText>
      </w:r>
      <w:r>
        <w:fldChar w:fldCharType="separate"/>
      </w:r>
      <w:r w:rsidR="005E73B8">
        <w:t>16.2.3.1</w:t>
      </w:r>
      <w:r>
        <w:fldChar w:fldCharType="end"/>
      </w:r>
      <w:r>
        <w:t>). These include:</w:t>
      </w:r>
    </w:p>
    <w:p w:rsidR="00DE752C" w:rsidRPr="00457C42" w:rsidRDefault="00DE752C" w:rsidP="00DE752C">
      <w:pPr>
        <w:pStyle w:val="AERbulletlistfirststyle"/>
      </w:pPr>
      <w:r>
        <w:t>h</w:t>
      </w:r>
      <w:r w:rsidRPr="00A948F6">
        <w:t xml:space="preserve">ow the control mechanism may influence the potential for competition in unregulated metering </w:t>
      </w:r>
    </w:p>
    <w:p w:rsidR="00DE752C" w:rsidRDefault="00DE752C" w:rsidP="00DE752C">
      <w:pPr>
        <w:pStyle w:val="AERbulletlistfirststyle"/>
      </w:pPr>
      <w:r>
        <w:lastRenderedPageBreak/>
        <w:t>t</w:t>
      </w:r>
      <w:r w:rsidRPr="00A948F6">
        <w:t>he regulatory arrangements that applied in the most recent distribution determination</w:t>
      </w:r>
    </w:p>
    <w:p w:rsidR="00DE752C" w:rsidRDefault="00DE752C" w:rsidP="00DE752C">
      <w:pPr>
        <w:pStyle w:val="AERbulletlistfirststyle"/>
      </w:pPr>
      <w:r>
        <w:t>t</w:t>
      </w:r>
      <w:r w:rsidRPr="00A948F6">
        <w:t>he desirability for consistency of regulatory arrangements for similar</w:t>
      </w:r>
      <w:r>
        <w:t>.</w:t>
      </w:r>
    </w:p>
    <w:p w:rsidR="00DE752C" w:rsidRPr="00DE752C" w:rsidRDefault="00DE752C" w:rsidP="00DE752C">
      <w:pPr>
        <w:pStyle w:val="AERbulletlistfirststyle"/>
      </w:pPr>
      <w:r>
        <w:t>With regard to the desirability for consistency, we took into account our draft determinations on the NSW ACT 2014–15 and 2015–19 regulatory control periods.</w:t>
      </w:r>
      <w:r w:rsidRPr="00DE752C">
        <w:rPr>
          <w:rStyle w:val="FootnoteReference"/>
        </w:rPr>
        <w:footnoteReference w:id="92"/>
      </w:r>
      <w:r w:rsidRPr="00DE752C">
        <w:t xml:space="preserve"> In those draft determinations we approved a structure of metering services which included separate charges for existing and new/upgraded customers. </w:t>
      </w:r>
    </w:p>
    <w:p w:rsidR="00DE752C" w:rsidRDefault="00DE752C" w:rsidP="00DE752C">
      <w:r>
        <w:t xml:space="preserve">We consider the same approach should be applied in Queensland, with respect to the cost recovery of new connections made by Energex (and Ergon Energy). As noted in the section above, this preliminary decision is principally driven by the AEMC's metering rule change. </w:t>
      </w:r>
      <w:r w:rsidRPr="008739F4">
        <w:t xml:space="preserve">When implemented, </w:t>
      </w:r>
      <w:r>
        <w:t xml:space="preserve">our approach to Energex's capitalisation policy for new connections (upfront payments) </w:t>
      </w:r>
      <w:r w:rsidRPr="008739F4">
        <w:t xml:space="preserve">should help level the competitive playing field for new meters. This is by shifting how </w:t>
      </w:r>
      <w:r>
        <w:t>Energex's capital costs are recovered, f</w:t>
      </w:r>
      <w:r w:rsidRPr="008739F4">
        <w:t>rom the annual metering services charge, where costs are smeared across all customers, to an upfront payment which new entrants to the market are able to comp</w:t>
      </w:r>
      <w:r>
        <w:t xml:space="preserve">ete with in terms of price.    </w:t>
      </w:r>
    </w:p>
    <w:p w:rsidR="00DE752C" w:rsidRPr="00B630A0" w:rsidRDefault="00DE752C" w:rsidP="00DE752C">
      <w:r>
        <w:t>W</w:t>
      </w:r>
      <w:r w:rsidRPr="00B630A0">
        <w:t>e</w:t>
      </w:r>
      <w:r>
        <w:t xml:space="preserve"> also</w:t>
      </w:r>
      <w:r w:rsidRPr="00B630A0">
        <w:t xml:space="preserve"> had regard to the revenue and pricing principles in the national electricity law which include providing a distributor with a reasonable opportunity to recover at least its efficient costs.</w:t>
      </w:r>
      <w:r w:rsidRPr="00B630A0">
        <w:rPr>
          <w:rStyle w:val="FootnoteReference"/>
        </w:rPr>
        <w:footnoteReference w:id="93"/>
      </w:r>
      <w:r>
        <w:t xml:space="preserve"> On this requirement, we note that Energex proposed $101.4 million (2014–15) for new connections in the 2015–20 regulatory control period, which we are not accepting. Notwithstanding, Energex will still be able to recover its efficient costs, as required under the revenue and pricing principles. However, this will be via a different capitalisation policy; that is, via an upfront payment, as opposed to through the annual metering charge.</w:t>
      </w:r>
      <w:r w:rsidRPr="00B630A0">
        <w:t xml:space="preserve"> </w:t>
      </w:r>
    </w:p>
    <w:p w:rsidR="00DE752C" w:rsidRPr="00DE752C" w:rsidRDefault="00DE752C" w:rsidP="00DE752C">
      <w:pPr>
        <w:pStyle w:val="Heading5"/>
      </w:pPr>
      <w:bookmarkStart w:id="160" w:name="_Toc417738265"/>
      <w:bookmarkStart w:id="161" w:name="_Toc417927727"/>
      <w:r>
        <w:t>Calculation of upfront charge</w:t>
      </w:r>
      <w:bookmarkEnd w:id="160"/>
      <w:bookmarkEnd w:id="161"/>
    </w:p>
    <w:p w:rsidR="00DE752C" w:rsidRDefault="00DE752C" w:rsidP="00DE752C">
      <w:r>
        <w:t>We consulted with Energex about how the upfront capital charge for new installations should be calculated. In response to an information request, Energex put forward a proposal for how this should be done.</w:t>
      </w:r>
      <w:r>
        <w:rPr>
          <w:rStyle w:val="FootnoteReference"/>
        </w:rPr>
        <w:footnoteReference w:id="94"/>
      </w:r>
      <w:r>
        <w:t xml:space="preserve"> We assessed this proposal against advice we received from Marsden Jacob about efficient material and non–material unit costs, as well as the consultant's advice on overhead and on–cost adjustments.</w:t>
      </w:r>
    </w:p>
    <w:p w:rsidR="00DE752C" w:rsidRPr="00DE752C" w:rsidRDefault="00DE752C" w:rsidP="00DE752C">
      <w:pPr>
        <w:pStyle w:val="Heading6"/>
      </w:pPr>
      <w:bookmarkStart w:id="162" w:name="_Toc417738266"/>
      <w:bookmarkStart w:id="163" w:name="_Toc417927728"/>
      <w:bookmarkStart w:id="164" w:name="_Ref417306158"/>
      <w:r>
        <w:t>Material unit costs</w:t>
      </w:r>
      <w:bookmarkEnd w:id="162"/>
      <w:bookmarkEnd w:id="163"/>
    </w:p>
    <w:p w:rsidR="00DE752C" w:rsidRPr="00BE48F5" w:rsidRDefault="00DE752C" w:rsidP="00DE752C">
      <w:r>
        <w:t xml:space="preserve">We accept the majority of Energex's proposed material unit costs. We also accept each of the proposed on–costs and overhead adjustments. </w:t>
      </w:r>
      <w:r>
        <w:fldChar w:fldCharType="begin"/>
      </w:r>
      <w:r>
        <w:instrText xml:space="preserve"> REF _Ref417317026 \h </w:instrText>
      </w:r>
      <w:r>
        <w:fldChar w:fldCharType="separate"/>
      </w:r>
      <w:r w:rsidR="005E73B8">
        <w:t xml:space="preserve">Table </w:t>
      </w:r>
      <w:r w:rsidR="005E73B8">
        <w:rPr>
          <w:noProof/>
        </w:rPr>
        <w:t>16</w:t>
      </w:r>
      <w:r w:rsidR="005E73B8">
        <w:t>.</w:t>
      </w:r>
      <w:r w:rsidR="005E73B8">
        <w:rPr>
          <w:noProof/>
        </w:rPr>
        <w:t>17</w:t>
      </w:r>
      <w:r>
        <w:fldChar w:fldCharType="end"/>
      </w:r>
      <w:r>
        <w:t xml:space="preserve"> sets out </w:t>
      </w:r>
      <w:r>
        <w:lastRenderedPageBreak/>
        <w:t xml:space="preserve">Energex's proposed calculation of the material components of the upfront capital charge. It also shows the maximum rates Marsden Jacob recommended that we accept for these components, along with our preliminary decision. </w:t>
      </w:r>
    </w:p>
    <w:p w:rsidR="00DE752C" w:rsidRDefault="00DE752C" w:rsidP="00DE752C">
      <w:pPr>
        <w:pStyle w:val="Caption"/>
      </w:pPr>
      <w:bookmarkStart w:id="165" w:name="_Ref417317026"/>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17</w:t>
        </w:r>
      </w:fldSimple>
      <w:bookmarkEnd w:id="164"/>
      <w:bookmarkEnd w:id="165"/>
      <w:r>
        <w:tab/>
        <w:t>Proposed calculation of upfront charge (material)</w:t>
      </w:r>
    </w:p>
    <w:tbl>
      <w:tblPr>
        <w:tblStyle w:val="AERtable-numbers"/>
        <w:tblW w:w="0" w:type="auto"/>
        <w:tblLook w:val="04A0" w:firstRow="1" w:lastRow="0" w:firstColumn="1" w:lastColumn="0" w:noHBand="0" w:noVBand="1"/>
      </w:tblPr>
      <w:tblGrid>
        <w:gridCol w:w="2224"/>
        <w:gridCol w:w="2234"/>
        <w:gridCol w:w="2252"/>
        <w:gridCol w:w="1983"/>
      </w:tblGrid>
      <w:tr w:rsidR="00DE752C"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rsidR="00DE752C" w:rsidRDefault="00DE752C" w:rsidP="00DE752C"/>
        </w:tc>
        <w:tc>
          <w:tcPr>
            <w:tcW w:w="2234"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Proposed</w:t>
            </w:r>
          </w:p>
        </w:tc>
        <w:tc>
          <w:tcPr>
            <w:tcW w:w="2252"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Marsden Jacob maximum</w:t>
            </w:r>
          </w:p>
        </w:tc>
        <w:tc>
          <w:tcPr>
            <w:tcW w:w="1983"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Preliminary decision</w:t>
            </w:r>
          </w:p>
        </w:tc>
      </w:tr>
      <w:tr w:rsidR="00DE752C" w:rsidTr="00F10F02">
        <w:tc>
          <w:tcPr>
            <w:cnfStyle w:val="001000000000" w:firstRow="0" w:lastRow="0" w:firstColumn="1" w:lastColumn="0" w:oddVBand="0" w:evenVBand="0" w:oddHBand="0" w:evenHBand="0" w:firstRowFirstColumn="0" w:firstRowLastColumn="0" w:lastRowFirstColumn="0" w:lastRowLastColumn="0"/>
            <w:tcW w:w="2224" w:type="dxa"/>
          </w:tcPr>
          <w:p w:rsidR="00DE752C" w:rsidRPr="00DE752C" w:rsidRDefault="00DE752C" w:rsidP="00DE752C">
            <w:pPr>
              <w:pStyle w:val="IndexHeading"/>
              <w:rPr>
                <w:rStyle w:val="AERtextboldunderline"/>
              </w:rPr>
            </w:pPr>
            <w:r>
              <w:rPr>
                <w:rStyle w:val="AERtextboldunderline"/>
              </w:rPr>
              <w:t>U</w:t>
            </w:r>
            <w:r w:rsidRPr="00DE752C">
              <w:rPr>
                <w:rStyle w:val="AERtextboldunderline"/>
              </w:rPr>
              <w:t>nit costs ($ 2014–15)</w:t>
            </w:r>
          </w:p>
        </w:tc>
        <w:tc>
          <w:tcPr>
            <w:tcW w:w="2234"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c>
          <w:tcPr>
            <w:tcW w:w="2252"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c>
          <w:tcPr>
            <w:tcW w:w="1983"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rsidR="00DE752C" w:rsidRPr="00DE752C" w:rsidRDefault="00DE752C" w:rsidP="00DE752C">
            <w:r>
              <w:t>Single phase - one element</w:t>
            </w:r>
          </w:p>
        </w:tc>
        <w:tc>
          <w:tcPr>
            <w:tcW w:w="2234"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86.48</w:t>
            </w:r>
          </w:p>
        </w:tc>
        <w:tc>
          <w:tcPr>
            <w:tcW w:w="2252"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100.00</w:t>
            </w:r>
          </w:p>
        </w:tc>
        <w:tc>
          <w:tcPr>
            <w:tcW w:w="198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86.48</w:t>
            </w:r>
          </w:p>
        </w:tc>
      </w:tr>
      <w:tr w:rsidR="00DE752C" w:rsidTr="00F10F02">
        <w:tc>
          <w:tcPr>
            <w:cnfStyle w:val="001000000000" w:firstRow="0" w:lastRow="0" w:firstColumn="1" w:lastColumn="0" w:oddVBand="0" w:evenVBand="0" w:oddHBand="0" w:evenHBand="0" w:firstRowFirstColumn="0" w:firstRowLastColumn="0" w:lastRowFirstColumn="0" w:lastRowLastColumn="0"/>
            <w:tcW w:w="2224" w:type="dxa"/>
          </w:tcPr>
          <w:p w:rsidR="00DE752C" w:rsidRPr="00DE752C" w:rsidRDefault="00DE752C" w:rsidP="00DE752C">
            <w:r>
              <w:t>Single phase - two element</w:t>
            </w:r>
          </w:p>
        </w:tc>
        <w:tc>
          <w:tcPr>
            <w:tcW w:w="2234"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137.35</w:t>
            </w:r>
          </w:p>
        </w:tc>
        <w:tc>
          <w:tcPr>
            <w:tcW w:w="2252"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150.00</w:t>
            </w:r>
          </w:p>
        </w:tc>
        <w:tc>
          <w:tcPr>
            <w:tcW w:w="198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137.35</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rsidR="00DE752C" w:rsidRPr="00DE752C" w:rsidRDefault="00DE752C" w:rsidP="00DE752C">
            <w:proofErr w:type="spellStart"/>
            <w:r>
              <w:t xml:space="preserve">Multi </w:t>
            </w:r>
            <w:r w:rsidRPr="00DE752C">
              <w:t>phase</w:t>
            </w:r>
            <w:proofErr w:type="spellEnd"/>
            <w:r w:rsidRPr="00DE752C">
              <w:t xml:space="preserve"> (DC)</w:t>
            </w:r>
          </w:p>
        </w:tc>
        <w:tc>
          <w:tcPr>
            <w:tcW w:w="2234"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234.00</w:t>
            </w:r>
          </w:p>
        </w:tc>
        <w:tc>
          <w:tcPr>
            <w:tcW w:w="2252"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220.00</w:t>
            </w:r>
          </w:p>
        </w:tc>
        <w:tc>
          <w:tcPr>
            <w:tcW w:w="198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220.00</w:t>
            </w:r>
          </w:p>
        </w:tc>
      </w:tr>
      <w:tr w:rsidR="00DE752C" w:rsidTr="00F10F02">
        <w:tc>
          <w:tcPr>
            <w:cnfStyle w:val="001000000000" w:firstRow="0" w:lastRow="0" w:firstColumn="1" w:lastColumn="0" w:oddVBand="0" w:evenVBand="0" w:oddHBand="0" w:evenHBand="0" w:firstRowFirstColumn="0" w:firstRowLastColumn="0" w:lastRowFirstColumn="0" w:lastRowLastColumn="0"/>
            <w:tcW w:w="2224" w:type="dxa"/>
          </w:tcPr>
          <w:p w:rsidR="00DE752C" w:rsidRPr="00DE752C" w:rsidRDefault="00DE752C" w:rsidP="00DE752C">
            <w:proofErr w:type="spellStart"/>
            <w:r>
              <w:t>Multi phase</w:t>
            </w:r>
            <w:proofErr w:type="spellEnd"/>
            <w:r>
              <w:t xml:space="preserve"> (CT) - 2 man crew</w:t>
            </w:r>
          </w:p>
        </w:tc>
        <w:tc>
          <w:tcPr>
            <w:tcW w:w="2234"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474.23</w:t>
            </w:r>
          </w:p>
        </w:tc>
        <w:tc>
          <w:tcPr>
            <w:tcW w:w="2252"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Insufficient information</w:t>
            </w:r>
          </w:p>
        </w:tc>
        <w:tc>
          <w:tcPr>
            <w:tcW w:w="198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474.23</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rsidR="00DE752C" w:rsidRPr="00DE752C" w:rsidRDefault="00DE752C" w:rsidP="00DE752C">
            <w:pPr>
              <w:rPr>
                <w:rStyle w:val="AERtextunderline"/>
              </w:rPr>
            </w:pPr>
            <w:r w:rsidRPr="003926B9">
              <w:rPr>
                <w:rStyle w:val="AERtextunderline"/>
              </w:rPr>
              <w:t>On–costs and overhead rates</w:t>
            </w:r>
          </w:p>
        </w:tc>
        <w:tc>
          <w:tcPr>
            <w:tcW w:w="2234" w:type="dxa"/>
          </w:tcPr>
          <w:p w:rsidR="00DE752C" w:rsidRDefault="00DE752C" w:rsidP="00DE752C">
            <w:pPr>
              <w:cnfStyle w:val="000000010000" w:firstRow="0" w:lastRow="0" w:firstColumn="0" w:lastColumn="0" w:oddVBand="0" w:evenVBand="0" w:oddHBand="0" w:evenHBand="1" w:firstRowFirstColumn="0" w:firstRowLastColumn="0" w:lastRowFirstColumn="0" w:lastRowLastColumn="0"/>
            </w:pPr>
          </w:p>
        </w:tc>
        <w:tc>
          <w:tcPr>
            <w:tcW w:w="2252" w:type="dxa"/>
          </w:tcPr>
          <w:p w:rsidR="00DE752C" w:rsidRDefault="00DE752C" w:rsidP="00DE752C">
            <w:pPr>
              <w:cnfStyle w:val="000000010000" w:firstRow="0" w:lastRow="0" w:firstColumn="0" w:lastColumn="0" w:oddVBand="0" w:evenVBand="0" w:oddHBand="0" w:evenHBand="1" w:firstRowFirstColumn="0" w:firstRowLastColumn="0" w:lastRowFirstColumn="0" w:lastRowLastColumn="0"/>
            </w:pPr>
          </w:p>
        </w:tc>
        <w:tc>
          <w:tcPr>
            <w:tcW w:w="1983" w:type="dxa"/>
          </w:tcPr>
          <w:p w:rsidR="00DE752C" w:rsidRDefault="00DE752C" w:rsidP="00DE752C">
            <w:pPr>
              <w:cnfStyle w:val="000000010000" w:firstRow="0" w:lastRow="0" w:firstColumn="0" w:lastColumn="0" w:oddVBand="0" w:evenVBand="0" w:oddHBand="0" w:evenHBand="1" w:firstRowFirstColumn="0" w:firstRowLastColumn="0" w:lastRowFirstColumn="0" w:lastRowLastColumn="0"/>
            </w:pPr>
          </w:p>
        </w:tc>
      </w:tr>
      <w:tr w:rsidR="00DE752C" w:rsidTr="00F10F02">
        <w:tc>
          <w:tcPr>
            <w:cnfStyle w:val="001000000000" w:firstRow="0" w:lastRow="0" w:firstColumn="1" w:lastColumn="0" w:oddVBand="0" w:evenVBand="0" w:oddHBand="0" w:evenHBand="0" w:firstRowFirstColumn="0" w:firstRowLastColumn="0" w:lastRowFirstColumn="0" w:lastRowLastColumn="0"/>
            <w:tcW w:w="2224" w:type="dxa"/>
          </w:tcPr>
          <w:p w:rsidR="00DE752C" w:rsidRPr="00DE752C" w:rsidRDefault="00DE752C" w:rsidP="00DE752C">
            <w:r>
              <w:t>Material  on–costs</w:t>
            </w:r>
          </w:p>
        </w:tc>
        <w:tc>
          <w:tcPr>
            <w:tcW w:w="2234"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4.6 percent</w:t>
            </w:r>
          </w:p>
        </w:tc>
        <w:tc>
          <w:tcPr>
            <w:tcW w:w="2252"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7.25 percent</w:t>
            </w:r>
          </w:p>
        </w:tc>
        <w:tc>
          <w:tcPr>
            <w:tcW w:w="1983"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4.6</w:t>
            </w: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rsidR="00DE752C" w:rsidRPr="00DE752C" w:rsidRDefault="00DE752C" w:rsidP="00DE752C">
            <w:r>
              <w:t>Capital allowance</w:t>
            </w:r>
          </w:p>
        </w:tc>
        <w:tc>
          <w:tcPr>
            <w:tcW w:w="2234"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27.0 percent</w:t>
            </w:r>
          </w:p>
        </w:tc>
        <w:tc>
          <w:tcPr>
            <w:tcW w:w="2252"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Not assessed</w:t>
            </w:r>
          </w:p>
        </w:tc>
        <w:tc>
          <w:tcPr>
            <w:tcW w:w="1983"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27.0</w:t>
            </w:r>
          </w:p>
        </w:tc>
      </w:tr>
    </w:tbl>
    <w:p w:rsidR="00DE752C" w:rsidRDefault="00DE752C" w:rsidP="00DE752C">
      <w:pPr>
        <w:pStyle w:val="AERtablesource"/>
      </w:pPr>
      <w:r>
        <w:t>Source:</w:t>
      </w:r>
      <w:r>
        <w:tab/>
        <w:t xml:space="preserve">Energex, AER Energex 039, Email dated 15 April 2015; </w:t>
      </w:r>
      <w:r w:rsidRPr="00315C6C">
        <w:t xml:space="preserve">Marsden Jacob Associates, </w:t>
      </w:r>
      <w:r w:rsidRPr="00315C6C">
        <w:rPr>
          <w:rStyle w:val="AERtextitalic"/>
        </w:rPr>
        <w:t>Consultant report to the AER on Alternative Control Services</w:t>
      </w:r>
      <w:r w:rsidRPr="00315C6C">
        <w:t>, October 2014, section 2.1.1.</w:t>
      </w:r>
    </w:p>
    <w:p w:rsidR="00DE752C" w:rsidRDefault="00DE752C" w:rsidP="00DE752C">
      <w:r>
        <w:t>Our preliminary decision accepts all the proposed unit costs for metering hardware. This is except for the cost of a multi–phase (DC) meter which exceeded Marsden Jacob's maximum range.</w:t>
      </w:r>
      <w:r>
        <w:rPr>
          <w:rStyle w:val="FootnoteReference"/>
        </w:rPr>
        <w:footnoteReference w:id="95"/>
      </w:r>
      <w:r>
        <w:t xml:space="preserve"> In place of the proposed $234 for that particular meter, we substitute a unit cost of $220.</w:t>
      </w:r>
    </w:p>
    <w:p w:rsidR="00DE752C" w:rsidRPr="00BE48F5" w:rsidRDefault="00DE752C" w:rsidP="00DE752C">
      <w:r>
        <w:t>We accept Energex's proposed material on–cost of 4.6 percent. It falls within the range Marsden Jacobs has advised us as being reasonable.</w:t>
      </w:r>
      <w:r>
        <w:rPr>
          <w:rStyle w:val="FootnoteReference"/>
        </w:rPr>
        <w:footnoteReference w:id="96"/>
      </w:r>
      <w:r>
        <w:t xml:space="preserve"> We also accept that the shifting of the cost recovery of new connections to upfront charges requires the application of a capital allowance. While we have not received advice from Marsden Jacobs on this aspect of Energex's proposal, we consider the rate that it has proposed to be reasonable. We therefore accept that aspect of Energex's proposal.</w:t>
      </w:r>
    </w:p>
    <w:p w:rsidR="00DE752C" w:rsidRPr="00DE752C" w:rsidRDefault="00DE752C" w:rsidP="00DE752C">
      <w:pPr>
        <w:pStyle w:val="Heading6"/>
      </w:pPr>
      <w:bookmarkStart w:id="166" w:name="_Toc417738267"/>
      <w:bookmarkStart w:id="167" w:name="_Toc417927729"/>
      <w:r>
        <w:t>Non–material unit costs</w:t>
      </w:r>
      <w:bookmarkEnd w:id="166"/>
      <w:bookmarkEnd w:id="167"/>
    </w:p>
    <w:p w:rsidR="00DE752C" w:rsidRDefault="00DE752C" w:rsidP="00DE752C">
      <w:r>
        <w:t xml:space="preserve">We accept each of the components making up Energex's calculation of the non–material component of the upfront capital charge. </w:t>
      </w:r>
      <w:r>
        <w:fldChar w:fldCharType="begin"/>
      </w:r>
      <w:r>
        <w:instrText xml:space="preserve"> REF _Ref417306167 \h </w:instrText>
      </w:r>
      <w:r>
        <w:fldChar w:fldCharType="separate"/>
      </w:r>
      <w:r w:rsidR="005E73B8">
        <w:t xml:space="preserve">Table </w:t>
      </w:r>
      <w:r w:rsidR="005E73B8">
        <w:rPr>
          <w:noProof/>
        </w:rPr>
        <w:t>16</w:t>
      </w:r>
      <w:r w:rsidR="005E73B8">
        <w:t>.</w:t>
      </w:r>
      <w:r w:rsidR="005E73B8">
        <w:rPr>
          <w:noProof/>
        </w:rPr>
        <w:t>18</w:t>
      </w:r>
      <w:r>
        <w:fldChar w:fldCharType="end"/>
      </w:r>
      <w:r>
        <w:t xml:space="preserve"> sets out each aspect of Energex's proposed calculation and our preliminary decision regarding them.</w:t>
      </w:r>
    </w:p>
    <w:p w:rsidR="00DE752C" w:rsidRDefault="00DE752C" w:rsidP="00DE752C">
      <w:pPr>
        <w:pStyle w:val="Caption"/>
      </w:pPr>
      <w:bookmarkStart w:id="168" w:name="_Ref417306167"/>
      <w:r>
        <w:lastRenderedPageBreak/>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18</w:t>
        </w:r>
      </w:fldSimple>
      <w:bookmarkEnd w:id="168"/>
      <w:r>
        <w:tab/>
        <w:t>Proposed calculation of upfront charge (non–material)</w:t>
      </w:r>
    </w:p>
    <w:tbl>
      <w:tblPr>
        <w:tblStyle w:val="AERtable-numbers"/>
        <w:tblW w:w="0" w:type="auto"/>
        <w:tblLook w:val="04A0" w:firstRow="1" w:lastRow="0" w:firstColumn="1" w:lastColumn="0" w:noHBand="0" w:noVBand="1"/>
      </w:tblPr>
      <w:tblGrid>
        <w:gridCol w:w="2217"/>
        <w:gridCol w:w="2241"/>
        <w:gridCol w:w="2241"/>
        <w:gridCol w:w="1994"/>
      </w:tblGrid>
      <w:tr w:rsidR="00DE752C" w:rsidTr="00F10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DE752C" w:rsidRDefault="00DE752C" w:rsidP="00DE752C"/>
        </w:tc>
        <w:tc>
          <w:tcPr>
            <w:tcW w:w="2241"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Proposed</w:t>
            </w:r>
          </w:p>
        </w:tc>
        <w:tc>
          <w:tcPr>
            <w:tcW w:w="2241"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Marsden Jacob Maximum</w:t>
            </w:r>
          </w:p>
        </w:tc>
        <w:tc>
          <w:tcPr>
            <w:tcW w:w="1994" w:type="dxa"/>
          </w:tcPr>
          <w:p w:rsidR="00DE752C" w:rsidRPr="00DE752C" w:rsidRDefault="00DE752C" w:rsidP="00DE752C">
            <w:pPr>
              <w:cnfStyle w:val="100000000000" w:firstRow="1" w:lastRow="0" w:firstColumn="0" w:lastColumn="0" w:oddVBand="0" w:evenVBand="0" w:oddHBand="0" w:evenHBand="0" w:firstRowFirstColumn="0" w:firstRowLastColumn="0" w:lastRowFirstColumn="0" w:lastRowLastColumn="0"/>
            </w:pPr>
            <w:r>
              <w:t>Preliminary decision</w:t>
            </w:r>
          </w:p>
        </w:tc>
      </w:tr>
      <w:tr w:rsidR="00DE752C" w:rsidTr="00F10F02">
        <w:trPr>
          <w:trHeight w:val="468"/>
        </w:trPr>
        <w:tc>
          <w:tcPr>
            <w:cnfStyle w:val="001000000000" w:firstRow="0" w:lastRow="0" w:firstColumn="1" w:lastColumn="0" w:oddVBand="0" w:evenVBand="0" w:oddHBand="0" w:evenHBand="0" w:firstRowFirstColumn="0" w:firstRowLastColumn="0" w:lastRowFirstColumn="0" w:lastRowLastColumn="0"/>
            <w:tcW w:w="2217" w:type="dxa"/>
          </w:tcPr>
          <w:p w:rsidR="00DE752C" w:rsidRPr="00DE752C" w:rsidRDefault="00DE752C" w:rsidP="00DE752C">
            <w:r w:rsidRPr="003926B9">
              <w:rPr>
                <w:rStyle w:val="AERtextunderline"/>
              </w:rPr>
              <w:t>Unit costs ($ 2014–15)</w:t>
            </w:r>
          </w:p>
        </w:tc>
        <w:tc>
          <w:tcPr>
            <w:tcW w:w="2241"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c>
          <w:tcPr>
            <w:tcW w:w="2241"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c>
          <w:tcPr>
            <w:tcW w:w="1994"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DE752C" w:rsidRPr="00DE752C" w:rsidRDefault="00DE752C" w:rsidP="00DE752C">
            <w:r>
              <w:t>Labour rate ($/hour)  – including labour on–costs</w:t>
            </w:r>
          </w:p>
        </w:tc>
        <w:tc>
          <w:tcPr>
            <w:tcW w:w="2241"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71.07</w:t>
            </w:r>
          </w:p>
        </w:tc>
        <w:tc>
          <w:tcPr>
            <w:tcW w:w="2241"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89.92</w:t>
            </w:r>
          </w:p>
        </w:tc>
        <w:tc>
          <w:tcPr>
            <w:tcW w:w="1994"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71.07</w:t>
            </w:r>
          </w:p>
        </w:tc>
      </w:tr>
      <w:tr w:rsidR="00DE752C" w:rsidTr="00F10F02">
        <w:tc>
          <w:tcPr>
            <w:cnfStyle w:val="001000000000" w:firstRow="0" w:lastRow="0" w:firstColumn="1" w:lastColumn="0" w:oddVBand="0" w:evenVBand="0" w:oddHBand="0" w:evenHBand="0" w:firstRowFirstColumn="0" w:firstRowLastColumn="0" w:lastRowFirstColumn="0" w:lastRowLastColumn="0"/>
            <w:tcW w:w="2217" w:type="dxa"/>
          </w:tcPr>
          <w:p w:rsidR="00DE752C" w:rsidRPr="00DE752C" w:rsidRDefault="00DE752C" w:rsidP="00DE752C">
            <w:pPr>
              <w:rPr>
                <w:rStyle w:val="AERtextunderline"/>
              </w:rPr>
            </w:pPr>
            <w:r w:rsidRPr="003926B9">
              <w:rPr>
                <w:rStyle w:val="AERtextunderline"/>
              </w:rPr>
              <w:t>On–costs and overhead rates</w:t>
            </w:r>
          </w:p>
        </w:tc>
        <w:tc>
          <w:tcPr>
            <w:tcW w:w="2241"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c>
          <w:tcPr>
            <w:tcW w:w="2241"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c>
          <w:tcPr>
            <w:tcW w:w="1994" w:type="dxa"/>
          </w:tcPr>
          <w:p w:rsidR="00DE752C" w:rsidRDefault="00DE752C" w:rsidP="00DE752C">
            <w:pPr>
              <w:cnfStyle w:val="000000000000" w:firstRow="0" w:lastRow="0" w:firstColumn="0" w:lastColumn="0" w:oddVBand="0" w:evenVBand="0" w:oddHBand="0" w:evenHBand="0" w:firstRowFirstColumn="0" w:firstRowLastColumn="0" w:lastRowFirstColumn="0" w:lastRowLastColumn="0"/>
            </w:pPr>
          </w:p>
        </w:tc>
      </w:tr>
      <w:tr w:rsidR="00DE752C" w:rsidTr="00F10F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rsidR="00DE752C" w:rsidRPr="00DE752C" w:rsidRDefault="00DE752C" w:rsidP="00DE752C">
            <w:pPr>
              <w:rPr>
                <w:rStyle w:val="AERtextunderline"/>
              </w:rPr>
            </w:pPr>
            <w:r>
              <w:t>General overhead</w:t>
            </w:r>
          </w:p>
        </w:tc>
        <w:tc>
          <w:tcPr>
            <w:tcW w:w="2241"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44.1 percent</w:t>
            </w:r>
          </w:p>
        </w:tc>
        <w:tc>
          <w:tcPr>
            <w:tcW w:w="2241"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59</w:t>
            </w:r>
            <w:r w:rsidRPr="00DE752C">
              <w:t>.0 percent</w:t>
            </w:r>
          </w:p>
        </w:tc>
        <w:tc>
          <w:tcPr>
            <w:tcW w:w="1994" w:type="dxa"/>
          </w:tcPr>
          <w:p w:rsidR="00DE752C" w:rsidRPr="00DE752C" w:rsidRDefault="00DE752C" w:rsidP="00DE752C">
            <w:pPr>
              <w:cnfStyle w:val="000000010000" w:firstRow="0" w:lastRow="0" w:firstColumn="0" w:lastColumn="0" w:oddVBand="0" w:evenVBand="0" w:oddHBand="0" w:evenHBand="1" w:firstRowFirstColumn="0" w:firstRowLastColumn="0" w:lastRowFirstColumn="0" w:lastRowLastColumn="0"/>
            </w:pPr>
            <w:r>
              <w:t>44.1 percent</w:t>
            </w:r>
          </w:p>
        </w:tc>
      </w:tr>
      <w:tr w:rsidR="00DE752C" w:rsidTr="00F10F02">
        <w:tc>
          <w:tcPr>
            <w:cnfStyle w:val="001000000000" w:firstRow="0" w:lastRow="0" w:firstColumn="1" w:lastColumn="0" w:oddVBand="0" w:evenVBand="0" w:oddHBand="0" w:evenHBand="0" w:firstRowFirstColumn="0" w:firstRowLastColumn="0" w:lastRowFirstColumn="0" w:lastRowLastColumn="0"/>
            <w:tcW w:w="2217" w:type="dxa"/>
          </w:tcPr>
          <w:p w:rsidR="00DE752C" w:rsidRPr="00DE752C" w:rsidRDefault="00DE752C" w:rsidP="00DE752C">
            <w:pPr>
              <w:rPr>
                <w:rStyle w:val="AERtextunderline"/>
              </w:rPr>
            </w:pPr>
            <w:r>
              <w:t>Fleet on–costs</w:t>
            </w:r>
          </w:p>
        </w:tc>
        <w:tc>
          <w:tcPr>
            <w:tcW w:w="2241"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12.6 percent</w:t>
            </w:r>
          </w:p>
        </w:tc>
        <w:tc>
          <w:tcPr>
            <w:tcW w:w="2241"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Not assessed</w:t>
            </w:r>
          </w:p>
        </w:tc>
        <w:tc>
          <w:tcPr>
            <w:tcW w:w="1994" w:type="dxa"/>
          </w:tcPr>
          <w:p w:rsidR="00DE752C" w:rsidRPr="00DE752C" w:rsidRDefault="00DE752C" w:rsidP="00DE752C">
            <w:pPr>
              <w:cnfStyle w:val="000000000000" w:firstRow="0" w:lastRow="0" w:firstColumn="0" w:lastColumn="0" w:oddVBand="0" w:evenVBand="0" w:oddHBand="0" w:evenHBand="0" w:firstRowFirstColumn="0" w:firstRowLastColumn="0" w:lastRowFirstColumn="0" w:lastRowLastColumn="0"/>
            </w:pPr>
            <w:r>
              <w:t>12.6 percent</w:t>
            </w:r>
          </w:p>
        </w:tc>
      </w:tr>
    </w:tbl>
    <w:p w:rsidR="00DE752C" w:rsidRDefault="00DE752C" w:rsidP="00DE752C">
      <w:pPr>
        <w:pStyle w:val="AERtablesource"/>
      </w:pPr>
      <w:r>
        <w:t>Source:</w:t>
      </w:r>
      <w:r>
        <w:tab/>
        <w:t xml:space="preserve">Energex, AER Energex 039, Email dated 15 April 2015; </w:t>
      </w:r>
      <w:r w:rsidRPr="00315C6C">
        <w:t xml:space="preserve">Marsden Jacob Associates, </w:t>
      </w:r>
      <w:r w:rsidRPr="00315C6C">
        <w:rPr>
          <w:rStyle w:val="AERtextitalic"/>
        </w:rPr>
        <w:t>Consultant report to the AER on Alternative Control Services</w:t>
      </w:r>
      <w:r>
        <w:t>, October 2014.</w:t>
      </w:r>
    </w:p>
    <w:p w:rsidR="00DE752C" w:rsidRDefault="00DE752C" w:rsidP="00DE752C">
      <w:r>
        <w:t>With respect to the non–material component, Energex proposed a labour rate, inclusive of labour related on–costs such as annual leave loading and superannuation, of $71.07 ($2014–15). We consider this amount to be reasonable. It fits within the maximum labour rate for a technician which Marsden Jacob considered to be reasonable. This maximum rate was $89.82 (2014–15), which was derived from a raw labour rate of $59 plus an on–cost adjustment of 52.23 percent.</w:t>
      </w:r>
      <w:r>
        <w:rPr>
          <w:rStyle w:val="FootnoteReference"/>
        </w:rPr>
        <w:footnoteReference w:id="97"/>
      </w:r>
      <w:r>
        <w:t xml:space="preserve">     </w:t>
      </w:r>
    </w:p>
    <w:p w:rsidR="00DE752C" w:rsidRDefault="00DE752C" w:rsidP="00DE752C">
      <w:r>
        <w:t xml:space="preserve">Energex also proposed the application of a general overhead factor of 44.1 percent to the labour rate of $71.07 (2014–15). We accept Energex's proposed adjustment. It is less than the Marsden Jacob maximum rate of 56.0 percent. </w:t>
      </w:r>
    </w:p>
    <w:p w:rsidR="00DE752C" w:rsidRDefault="00DE752C" w:rsidP="00DE752C">
      <w:r>
        <w:t>Additionally, Energex's proposed a fleet on–costs factor of 12.6 percent. This is intended to recover the costs associated with 'motor vehicle leasing and internal fleet operating, management and administration costs'.</w:t>
      </w:r>
      <w:r>
        <w:rPr>
          <w:rStyle w:val="FootnoteReference"/>
        </w:rPr>
        <w:footnoteReference w:id="98"/>
      </w:r>
      <w:r>
        <w:t xml:space="preserve"> We accept this aspect of Energex's proposal as well. When the percentage adjustment (12.6 percent) is added to the proposed general overheads adjustment (44.1 percent) the total adjustment is still less than Marsden Jacob's maximum rate (59 percent). We therefore do not consider this aspect of Energex's proposal to be overstated.</w:t>
      </w:r>
    </w:p>
    <w:p w:rsidR="00DE752C" w:rsidRPr="00DE752C" w:rsidRDefault="00DE752C" w:rsidP="00DE752C">
      <w:pPr>
        <w:pStyle w:val="Heading6"/>
      </w:pPr>
      <w:bookmarkStart w:id="169" w:name="_Toc417738268"/>
      <w:bookmarkStart w:id="170" w:name="_Toc417927730"/>
      <w:r>
        <w:t>Approved upfront charges</w:t>
      </w:r>
      <w:bookmarkEnd w:id="169"/>
      <w:bookmarkEnd w:id="170"/>
    </w:p>
    <w:p w:rsidR="00DE752C" w:rsidRDefault="00DE752C" w:rsidP="00DE752C">
      <w:pPr>
        <w:rPr>
          <w:rStyle w:val="AERbody"/>
        </w:rPr>
      </w:pPr>
      <w:r>
        <w:rPr>
          <w:rStyle w:val="AERbody"/>
        </w:rPr>
        <w:t xml:space="preserve">Our preliminary decision is to accept how Energex proposed to calculate the upfront capital charge. This is with the exception of our preliminary decision to substitute the material unit cost of a multi–phase (DC) meter. This brings it within the maximum limits Marsden Jacobs recommended. For all other meters, we have accepted Energex's proposal for calculating the upfront capital charge. </w:t>
      </w:r>
    </w:p>
    <w:p w:rsidR="00DE752C" w:rsidRPr="0017793B" w:rsidRDefault="00DE752C" w:rsidP="00DE752C">
      <w:r w:rsidRPr="0017793B">
        <w:lastRenderedPageBreak/>
        <w:t xml:space="preserve">We have determined that the upfront capital charge should be annually adjusted for labour price changes. In coming to this conclusion, we note that our </w:t>
      </w:r>
      <w:r w:rsidR="00B5694C">
        <w:t>preliminary</w:t>
      </w:r>
      <w:r w:rsidRPr="0017793B">
        <w:t xml:space="preserve"> decision has determined that ancillary service fees will be subject to such annual adjustments. The upfront capital charge recovers similar costs to ancillary services fees. It follows that labour price changes should be accounted for in our price control for the upfront capital charge. We have done this in our control mechanism decision in section </w:t>
      </w:r>
      <w:r>
        <w:fldChar w:fldCharType="begin"/>
      </w:r>
      <w:r>
        <w:instrText xml:space="preserve"> REF _Ref417314709 \r \h </w:instrText>
      </w:r>
      <w:r>
        <w:fldChar w:fldCharType="separate"/>
      </w:r>
      <w:r w:rsidR="005E73B8">
        <w:t>0</w:t>
      </w:r>
      <w:r>
        <w:fldChar w:fldCharType="end"/>
      </w:r>
      <w:r>
        <w:t xml:space="preserve"> </w:t>
      </w:r>
      <w:r w:rsidRPr="0017793B">
        <w:t xml:space="preserve">above. </w:t>
      </w:r>
    </w:p>
    <w:p w:rsidR="00DE752C" w:rsidRDefault="00DE752C" w:rsidP="00DE752C">
      <w:pPr>
        <w:rPr>
          <w:rStyle w:val="AERbody"/>
        </w:rPr>
      </w:pPr>
      <w:r w:rsidRPr="0017793B">
        <w:t xml:space="preserve">Not all of the costs associated with the upfront capital charge relate to labour. To take this into account, when making our price control decision we have used a weighted X-factor. Specifically, we observed that about 60 percent of the costs relating to the upfront capital charge are attributable to labour. In setting the X-factor, we therefore applied a weighting of 60 percent to the labour price changes, which we have forecast in this </w:t>
      </w:r>
      <w:r w:rsidR="00B5694C">
        <w:t>preliminary</w:t>
      </w:r>
      <w:r w:rsidRPr="0017793B">
        <w:t xml:space="preserve"> decision.</w:t>
      </w:r>
      <w:r w:rsidRPr="0017793B">
        <w:rPr>
          <w:rStyle w:val="FootnoteReference"/>
        </w:rPr>
        <w:footnoteReference w:id="99"/>
      </w:r>
      <w:r w:rsidRPr="0017793B">
        <w:t xml:space="preserve"> </w:t>
      </w:r>
    </w:p>
    <w:p w:rsidR="00DE752C" w:rsidRDefault="00DE752C" w:rsidP="00DE752C">
      <w:pPr>
        <w:rPr>
          <w:rStyle w:val="AERbody"/>
        </w:rPr>
      </w:pPr>
      <w:r>
        <w:rPr>
          <w:rStyle w:val="AERbody"/>
        </w:rPr>
        <w:t>The approved upfront capital charges are set out in Appendix A.</w:t>
      </w:r>
    </w:p>
    <w:p w:rsidR="00DE752C" w:rsidRPr="00DE752C" w:rsidRDefault="00DE752C" w:rsidP="00DE752C">
      <w:pPr>
        <w:pStyle w:val="Heading4"/>
        <w:rPr>
          <w:rStyle w:val="AERbody"/>
        </w:rPr>
      </w:pPr>
      <w:bookmarkStart w:id="171" w:name="_Toc417927731"/>
      <w:r w:rsidRPr="00DE752C">
        <w:rPr>
          <w:rStyle w:val="AERbody"/>
        </w:rPr>
        <w:t>Meter exit fee</w:t>
      </w:r>
      <w:bookmarkEnd w:id="171"/>
    </w:p>
    <w:p w:rsidR="00DE752C" w:rsidRDefault="00DE752C" w:rsidP="00DE752C">
      <w:r>
        <w:t xml:space="preserve">Our preliminary decision to continue charging switched customer for the capital component of the annual metering charge. Therefore, there is no risk of stranded assets that need to be recovered through an exit fee. </w:t>
      </w:r>
    </w:p>
    <w:p w:rsidR="00691C1E" w:rsidRDefault="00691C1E" w:rsidP="00691C1E">
      <w:bookmarkStart w:id="172" w:name="_Toc417738269"/>
      <w:r w:rsidRPr="00F5521C">
        <w:t xml:space="preserve">We do not approve </w:t>
      </w:r>
      <w:r w:rsidR="00C04372">
        <w:t>Energex's</w:t>
      </w:r>
      <w:r w:rsidRPr="00F5521C">
        <w:t xml:space="preserve"> proposal to recover administration costs relating to customers transferring to alternative metering providers</w:t>
      </w:r>
      <w:r>
        <w:t xml:space="preserve"> through an exit fee</w:t>
      </w:r>
      <w:r w:rsidRPr="00F5521C">
        <w:t>. We find that there are no additional tasks or functions these distributors will have to assume when customers change meter provider. Thus there are no incremental costs.</w:t>
      </w:r>
    </w:p>
    <w:p w:rsidR="00691C1E" w:rsidRPr="002F77E3" w:rsidRDefault="00691C1E" w:rsidP="00691C1E">
      <w:r w:rsidRPr="002F77E3">
        <w:t>In assessing all distributors’ proposed meter transfer fees</w:t>
      </w:r>
      <w:r>
        <w:t>,</w:t>
      </w:r>
      <w:r w:rsidRPr="002F77E3">
        <w:t xml:space="preserve"> our main focus is on the types of activities that are undertaken by retailers, distributors and metering providers in the </w:t>
      </w:r>
      <w:r>
        <w:t>N</w:t>
      </w:r>
      <w:r w:rsidRPr="002F77E3">
        <w:t xml:space="preserve">ational </w:t>
      </w:r>
      <w:r>
        <w:t>E</w:t>
      </w:r>
      <w:r w:rsidRPr="002F77E3">
        <w:t xml:space="preserve">lectricity </w:t>
      </w:r>
      <w:r>
        <w:t>M</w:t>
      </w:r>
      <w:r w:rsidRPr="002F77E3">
        <w:t xml:space="preserve">arket when a customer churns from a distributor </w:t>
      </w:r>
      <w:r>
        <w:t xml:space="preserve">owned </w:t>
      </w:r>
      <w:r w:rsidRPr="002F77E3">
        <w:t xml:space="preserve">meter. We also looked at the methodologies distributors adopted to establish the fee. </w:t>
      </w:r>
      <w:r>
        <w:t>Furthermore, b</w:t>
      </w:r>
      <w:r w:rsidRPr="002F77E3">
        <w:t xml:space="preserve">ecause there is an alternative provider to that of the distributor, those providers’ approach to dealing with customer meter churn and any associated costs </w:t>
      </w:r>
      <w:r>
        <w:t xml:space="preserve">should provide a </w:t>
      </w:r>
      <w:r w:rsidRPr="002F77E3">
        <w:t>direct comparator for that of the monopoly business.</w:t>
      </w:r>
      <w:r w:rsidRPr="004F28DE">
        <w:rPr>
          <w:rStyle w:val="AERsuperscript"/>
        </w:rPr>
        <w:footnoteReference w:id="100"/>
      </w:r>
    </w:p>
    <w:p w:rsidR="00691C1E" w:rsidRPr="002F77E3" w:rsidRDefault="00691C1E" w:rsidP="00691C1E">
      <w:r>
        <w:t>Retailers submitted</w:t>
      </w:r>
      <w:r w:rsidRPr="002F77E3">
        <w:t xml:space="preserve"> that </w:t>
      </w:r>
      <w:r>
        <w:t xml:space="preserve">any activities undertaken by the distributors was no different from existing data entry/system management functions undertaken as part of normal business practice and that any incremental </w:t>
      </w:r>
      <w:r w:rsidRPr="002F77E3">
        <w:t xml:space="preserve">costs associated with ‘administration’ </w:t>
      </w:r>
      <w:r>
        <w:t>w</w:t>
      </w:r>
      <w:r w:rsidRPr="002F77E3">
        <w:t>ould be absorbed by the entity acquiring the metering customer.</w:t>
      </w:r>
      <w:r>
        <w:rPr>
          <w:rStyle w:val="FootnoteReference"/>
        </w:rPr>
        <w:footnoteReference w:id="101"/>
      </w:r>
      <w:r w:rsidRPr="002F77E3">
        <w:t xml:space="preserve"> </w:t>
      </w:r>
    </w:p>
    <w:p w:rsidR="00691C1E" w:rsidRPr="002F77E3" w:rsidRDefault="00691C1E" w:rsidP="00691C1E">
      <w:r>
        <w:lastRenderedPageBreak/>
        <w:t>Oakley Greenwood, in its report to</w:t>
      </w:r>
      <w:r w:rsidRPr="002F77E3">
        <w:t xml:space="preserve"> Origin Energy corroborated </w:t>
      </w:r>
      <w:r>
        <w:t xml:space="preserve">stakeholders views </w:t>
      </w:r>
      <w:r w:rsidRPr="002F77E3">
        <w:t xml:space="preserve">by contending that changing information in the distributors systems, </w:t>
      </w:r>
      <w:r>
        <w:t xml:space="preserve">is likely </w:t>
      </w:r>
      <w:r w:rsidRPr="002F77E3">
        <w:t>limited to a change in information about the entity that is responsible for the meter; the identity of the metering coordinator; and sufficient information about meter type to enable its verification for tariff assignment, was probably all that was required.</w:t>
      </w:r>
      <w:r w:rsidRPr="004F28DE">
        <w:rPr>
          <w:rStyle w:val="AERsuperscript"/>
        </w:rPr>
        <w:footnoteReference w:id="102"/>
      </w:r>
      <w:r w:rsidRPr="004F28DE">
        <w:rPr>
          <w:rStyle w:val="AERsuperscript"/>
        </w:rPr>
        <w:t xml:space="preserve"> </w:t>
      </w:r>
    </w:p>
    <w:p w:rsidR="00691C1E" w:rsidRPr="002F77E3" w:rsidRDefault="00691C1E" w:rsidP="00691C1E">
      <w:r w:rsidRPr="002F77E3">
        <w:t>We tested this with retailers, many of whom are already providing metering services to large customers, which is a contestable market. Simply Energy did not agree with the imposition of administration fees; nor did Origin Energy. The latter was concerned that all three NSW distributors used vastly different inputs and therefore required testing against efficient benchmarks</w:t>
      </w:r>
      <w:r>
        <w:t xml:space="preserve"> before a reasonable costs could be determined</w:t>
      </w:r>
      <w:r w:rsidRPr="002F77E3">
        <w:t>.</w:t>
      </w:r>
      <w:r w:rsidRPr="004F28DE">
        <w:rPr>
          <w:rStyle w:val="AERsuperscript"/>
        </w:rPr>
        <w:footnoteReference w:id="103"/>
      </w:r>
      <w:r w:rsidRPr="004F28DE">
        <w:rPr>
          <w:rStyle w:val="AERsuperscript"/>
        </w:rPr>
        <w:t xml:space="preserve"> </w:t>
      </w:r>
      <w:r w:rsidRPr="002F77E3">
        <w:t>The retailer considered that a consistent approach to the calculation of administrative costs was most appropriate.</w:t>
      </w:r>
      <w:r w:rsidRPr="004F28DE">
        <w:rPr>
          <w:rStyle w:val="AERsuperscript"/>
        </w:rPr>
        <w:footnoteReference w:id="104"/>
      </w:r>
    </w:p>
    <w:p w:rsidR="00691C1E" w:rsidRDefault="00691C1E" w:rsidP="00691C1E">
      <w:r w:rsidRPr="002F77E3">
        <w:t>Simply Energy observed their current role in churning meters (type 4) in the competitively provided commercial market involved administrative transaction costs that were immaterial</w:t>
      </w:r>
      <w:r>
        <w:t xml:space="preserve"> to it</w:t>
      </w:r>
      <w:r w:rsidRPr="002F77E3">
        <w:t>. They also advised that distributors were not currently charging them a meter transfer fee where the customer switched from the distributor to the retailer as metering provider.</w:t>
      </w:r>
      <w:r w:rsidRPr="004F28DE">
        <w:rPr>
          <w:rStyle w:val="AERsuperscript"/>
        </w:rPr>
        <w:footnoteReference w:id="105"/>
      </w:r>
      <w:r w:rsidRPr="002F77E3">
        <w:t xml:space="preserve"> </w:t>
      </w:r>
    </w:p>
    <w:p w:rsidR="00691C1E" w:rsidRDefault="00691C1E" w:rsidP="00691C1E">
      <w:r>
        <w:t>Commenting on the New South Wales distributors proposals, Simply Energy stated that there appeared no assumption of batch processing. Instead, the proposed charges assumed each meter was being processed individually. Simply Energy noted that if put in the position of the distributors, it would review processes in detail to determine the optimum batch size, which would be at least 20 meters (i.e. customers) per batch.</w:t>
      </w:r>
      <w:r>
        <w:rPr>
          <w:rStyle w:val="FootnoteReference"/>
        </w:rPr>
        <w:footnoteReference w:id="106"/>
      </w:r>
      <w:r>
        <w:t xml:space="preserve"> In such circumstances, multiplying Endeavour Energy's proposed five minutes per meter by 20 minutes equates to 100 minutes per batch for each manual process. Simply Energy proposed that 10 minutes was a more credible time.</w:t>
      </w:r>
      <w:r>
        <w:rPr>
          <w:rStyle w:val="FootnoteReference"/>
        </w:rPr>
        <w:footnoteReference w:id="107"/>
      </w:r>
      <w:r>
        <w:t xml:space="preserve"> This was also appropriate for other distributors.</w:t>
      </w:r>
    </w:p>
    <w:p w:rsidR="00691C1E" w:rsidRDefault="00691C1E" w:rsidP="00691C1E">
      <w:r>
        <w:t>Furthermore, Simply Energy advised that the reasonable activities it would have to incur to process a batch of 20 meters and the time taken for each</w:t>
      </w:r>
      <w:r w:rsidRPr="004B0D08">
        <w:t xml:space="preserve"> </w:t>
      </w:r>
      <w:r>
        <w:t>were:</w:t>
      </w:r>
    </w:p>
    <w:p w:rsidR="00691C1E" w:rsidRDefault="00691C1E" w:rsidP="00691C1E">
      <w:pPr>
        <w:pStyle w:val="AERbulletlistfirststyle"/>
      </w:pPr>
      <w:r>
        <w:t>Meter provider database update—10 minutes</w:t>
      </w:r>
    </w:p>
    <w:p w:rsidR="00691C1E" w:rsidRDefault="00691C1E" w:rsidP="00691C1E">
      <w:pPr>
        <w:pStyle w:val="AERbulletlistfirststyle"/>
      </w:pPr>
      <w:r>
        <w:t>Banner system meter update—25 minutes</w:t>
      </w:r>
    </w:p>
    <w:p w:rsidR="00691C1E" w:rsidRDefault="00691C1E" w:rsidP="00691C1E">
      <w:pPr>
        <w:pStyle w:val="AERbulletlistfirststyle"/>
      </w:pPr>
      <w:r>
        <w:t>Metering business system update—25 minutes</w:t>
      </w:r>
    </w:p>
    <w:p w:rsidR="00691C1E" w:rsidRDefault="00691C1E" w:rsidP="00691C1E">
      <w:pPr>
        <w:pStyle w:val="AERbulletlistfirststyle"/>
      </w:pPr>
      <w:r>
        <w:lastRenderedPageBreak/>
        <w:t>Banner system final read update—10 minutes.</w:t>
      </w:r>
      <w:r>
        <w:rPr>
          <w:rStyle w:val="FootnoteReference"/>
        </w:rPr>
        <w:footnoteReference w:id="108"/>
      </w:r>
    </w:p>
    <w:p w:rsidR="00691C1E" w:rsidRPr="002F77E3" w:rsidRDefault="00691C1E" w:rsidP="00691C1E">
      <w:r>
        <w:t>This amounts to 70 minutes for a batch of 20 meters; or a total time per meter of</w:t>
      </w:r>
      <w:r>
        <w:br/>
        <w:t>3.5 minutes. This is substantially less than the times proposed by any of the distributors.</w:t>
      </w:r>
      <w:r w:rsidDel="001C2C92">
        <w:t xml:space="preserve"> </w:t>
      </w:r>
      <w:r w:rsidRPr="002F77E3">
        <w:t xml:space="preserve">Given this, Simply Energy </w:t>
      </w:r>
      <w:r>
        <w:t>submitted that</w:t>
      </w:r>
      <w:r w:rsidRPr="002F77E3">
        <w:t xml:space="preserve"> the imposition of a</w:t>
      </w:r>
      <w:r>
        <w:t xml:space="preserve"> meter</w:t>
      </w:r>
      <w:r w:rsidRPr="002F77E3">
        <w:t xml:space="preserve"> transfer fee in the residential metering market</w:t>
      </w:r>
      <w:r>
        <w:t xml:space="preserve"> of the magnitude distributors had proposed was not justified. Rather, </w:t>
      </w:r>
      <w:r w:rsidRPr="002F77E3">
        <w:t xml:space="preserve">Simply Energy </w:t>
      </w:r>
      <w:r>
        <w:t>argued that the administrative costs are negligible.</w:t>
      </w:r>
    </w:p>
    <w:p w:rsidR="00691C1E" w:rsidRDefault="00691C1E" w:rsidP="00691C1E">
      <w:r>
        <w:t>R</w:t>
      </w:r>
      <w:r w:rsidRPr="002F77E3">
        <w:t>etailers as the acquirers of a new meter customer bear the costs of acquisition and must provide all relevant information to the entity</w:t>
      </w:r>
      <w:r>
        <w:t xml:space="preserve"> that has lost the customer</w:t>
      </w:r>
      <w:r w:rsidRPr="002F77E3">
        <w:t>, in this case the distributor. This includes attending the site, removing the meter and sending it to the distributor’s depot or alternative location. The retailer has an incentive to keep those costs down and to work with the business that has lost the customer—be they distributors or other retail rivals once a competitive market is established—to ensure smooth market operation. This has been the case since inception of the national electricity market</w:t>
      </w:r>
      <w:r>
        <w:t xml:space="preserve"> for large customers. We do not find that the costs proposed by the distributors are reflective of this cost minimisation incentive</w:t>
      </w:r>
      <w:r w:rsidRPr="002F77E3">
        <w:t>.</w:t>
      </w:r>
    </w:p>
    <w:p w:rsidR="00691C1E" w:rsidRPr="002F77E3" w:rsidRDefault="00691C1E" w:rsidP="00691C1E">
      <w:r w:rsidRPr="002F77E3">
        <w:t xml:space="preserve">This is confirmed by the Australian Energy </w:t>
      </w:r>
      <w:r w:rsidRPr="004F28DE">
        <w:rPr>
          <w:rStyle w:val="AERbody"/>
        </w:rPr>
        <w:t>Market Operator who has a new set of meter churn procedures due to commence September 2015.</w:t>
      </w:r>
      <w:r w:rsidRPr="004F28DE">
        <w:rPr>
          <w:rStyle w:val="AERsuperscript"/>
        </w:rPr>
        <w:footnoteReference w:id="109"/>
      </w:r>
      <w:r w:rsidRPr="004F28DE">
        <w:rPr>
          <w:rStyle w:val="AERbody"/>
        </w:rPr>
        <w:t xml:space="preserve"> This new procedure simplifies the meter churn procedure and places the onus on the Financial Responsible Market Participant (as the incoming Responsible Person) and their Metering Provider to update Market Settlement and Transfer Solutions and administer the transfer. The distributor’s role is minimised, especially for the displacement of Type 6 legacy meters. Type 5 meters will require a final read. It could be expected that competing meter providers will be sufficiently encouraged to work with distributors to provide them with the necessary final read data</w:t>
      </w:r>
      <w:r>
        <w:rPr>
          <w:rStyle w:val="AERbody"/>
        </w:rPr>
        <w:t>. This is because to do otherwise will reduce their profit margins and potentially put them at risk of failing to meet their obligations to provide relevant data to ensure market settlement in a timely manner.</w:t>
      </w:r>
      <w:r>
        <w:rPr>
          <w:rStyle w:val="FootnoteReference"/>
        </w:rPr>
        <w:footnoteReference w:id="110"/>
      </w:r>
      <w:r w:rsidRPr="004F28DE">
        <w:rPr>
          <w:rStyle w:val="AERbody"/>
        </w:rPr>
        <w:t xml:space="preserve"> It is reasonable to assume that the new meter churn procedures will carry forward into the residential metering market, </w:t>
      </w:r>
      <w:r>
        <w:rPr>
          <w:rStyle w:val="AERbody"/>
        </w:rPr>
        <w:t xml:space="preserve">the competitive metering element of </w:t>
      </w:r>
      <w:r w:rsidRPr="004F28DE">
        <w:rPr>
          <w:rStyle w:val="AERbody"/>
        </w:rPr>
        <w:t>which is now in its infancy.</w:t>
      </w:r>
    </w:p>
    <w:p w:rsidR="00691C1E" w:rsidRDefault="00691C1E" w:rsidP="00691C1E">
      <w:r>
        <w:t xml:space="preserve">As a metering provider with experience in competitive metering markets, Vector commented on Endeavour Energy's cost assumptions in its revised revenue proposal. These are reproduced </w:t>
      </w:r>
      <w:r w:rsidR="005E73B8">
        <w:t xml:space="preserve">in </w:t>
      </w:r>
      <w:r w:rsidR="005E73B8">
        <w:fldChar w:fldCharType="begin"/>
      </w:r>
      <w:r w:rsidR="005E73B8">
        <w:instrText xml:space="preserve"> REF _Ref417921966 \h </w:instrText>
      </w:r>
      <w:r w:rsidR="005E73B8">
        <w:fldChar w:fldCharType="separate"/>
      </w:r>
      <w:r w:rsidR="005E73B8">
        <w:t xml:space="preserve">Table </w:t>
      </w:r>
      <w:r w:rsidR="005E73B8">
        <w:rPr>
          <w:noProof/>
        </w:rPr>
        <w:t>16</w:t>
      </w:r>
      <w:r w:rsidR="005E73B8">
        <w:t>.</w:t>
      </w:r>
      <w:r w:rsidR="005E73B8">
        <w:rPr>
          <w:noProof/>
        </w:rPr>
        <w:t>19</w:t>
      </w:r>
      <w:r w:rsidR="005E73B8">
        <w:fldChar w:fldCharType="end"/>
      </w:r>
      <w:r>
        <w:t xml:space="preserve"> where both organisations responses can be compared.</w:t>
      </w:r>
    </w:p>
    <w:p w:rsidR="00691C1E" w:rsidRDefault="00691C1E" w:rsidP="00691C1E">
      <w:pPr>
        <w:pStyle w:val="Caption"/>
      </w:pPr>
      <w:bookmarkStart w:id="173" w:name="_Ref417921966"/>
      <w:r>
        <w:lastRenderedPageBreak/>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t>.</w:t>
      </w:r>
      <w:fldSimple w:instr=" SEQ Table \* ARABIC \s 1 ">
        <w:r w:rsidR="005E73B8">
          <w:rPr>
            <w:noProof/>
          </w:rPr>
          <w:t>19</w:t>
        </w:r>
      </w:fldSimple>
      <w:bookmarkEnd w:id="173"/>
      <w:r>
        <w:t xml:space="preserve"> Endeavour </w:t>
      </w:r>
      <w:r w:rsidR="005E73B8">
        <w:t>E</w:t>
      </w:r>
      <w:r>
        <w:t>nergy meter transfer fee build up and Vector response</w:t>
      </w:r>
    </w:p>
    <w:tbl>
      <w:tblPr>
        <w:tblStyle w:val="AERtable-numbers"/>
        <w:tblW w:w="8638" w:type="dxa"/>
        <w:tblLook w:val="04A0" w:firstRow="1" w:lastRow="0" w:firstColumn="1" w:lastColumn="0" w:noHBand="0" w:noVBand="1"/>
      </w:tblPr>
      <w:tblGrid>
        <w:gridCol w:w="4108"/>
        <w:gridCol w:w="1043"/>
        <w:gridCol w:w="3487"/>
      </w:tblGrid>
      <w:tr w:rsidR="00691C1E" w:rsidTr="00653ABF">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319" w:type="dxa"/>
            <w:hideMark/>
          </w:tcPr>
          <w:p w:rsidR="00691C1E" w:rsidRPr="00691C1E" w:rsidRDefault="00691C1E" w:rsidP="00691C1E">
            <w:r>
              <w:t xml:space="preserve">Endeavour Energy </w:t>
            </w:r>
            <w:r w:rsidRPr="00691C1E">
              <w:t>Task</w:t>
            </w:r>
          </w:p>
        </w:tc>
        <w:tc>
          <w:tcPr>
            <w:tcW w:w="654" w:type="dxa"/>
            <w:hideMark/>
          </w:tcPr>
          <w:p w:rsidR="00691C1E" w:rsidRPr="00691C1E" w:rsidRDefault="00691C1E" w:rsidP="00691C1E">
            <w:pPr>
              <w:cnfStyle w:val="100000000000" w:firstRow="1" w:lastRow="0" w:firstColumn="0" w:lastColumn="0" w:oddVBand="0" w:evenVBand="0" w:oddHBand="0" w:evenHBand="0" w:firstRowFirstColumn="0" w:firstRowLastColumn="0" w:lastRowFirstColumn="0" w:lastRowLastColumn="0"/>
            </w:pPr>
            <w:r>
              <w:t xml:space="preserve">Endeavour Energy </w:t>
            </w:r>
            <w:r w:rsidRPr="00691C1E">
              <w:t>Time</w:t>
            </w:r>
          </w:p>
        </w:tc>
        <w:tc>
          <w:tcPr>
            <w:tcW w:w="3665" w:type="dxa"/>
            <w:hideMark/>
          </w:tcPr>
          <w:p w:rsidR="00691C1E" w:rsidRPr="00691C1E" w:rsidRDefault="00691C1E" w:rsidP="00691C1E">
            <w:pPr>
              <w:cnfStyle w:val="100000000000" w:firstRow="1" w:lastRow="0" w:firstColumn="0" w:lastColumn="0" w:oddVBand="0" w:evenVBand="0" w:oddHBand="0" w:evenHBand="0" w:firstRowFirstColumn="0" w:firstRowLastColumn="0" w:lastRowFirstColumn="0" w:lastRowLastColumn="0"/>
            </w:pPr>
            <w:r w:rsidRPr="009D6EDB">
              <w:t>Vector Comment</w:t>
            </w:r>
          </w:p>
        </w:tc>
      </w:tr>
      <w:tr w:rsidR="00691C1E" w:rsidTr="00653ABF">
        <w:trPr>
          <w:trHeight w:val="758"/>
        </w:trPr>
        <w:tc>
          <w:tcPr>
            <w:cnfStyle w:val="001000000000" w:firstRow="0" w:lastRow="0" w:firstColumn="1" w:lastColumn="0" w:oddVBand="0" w:evenVBand="0" w:oddHBand="0" w:evenHBand="0" w:firstRowFirstColumn="0" w:firstRowLastColumn="0" w:lastRowFirstColumn="0" w:lastRowLastColumn="0"/>
            <w:tcW w:w="4319" w:type="dxa"/>
            <w:hideMark/>
          </w:tcPr>
          <w:p w:rsidR="00691C1E" w:rsidRPr="00691C1E" w:rsidRDefault="00691C1E" w:rsidP="00691C1E">
            <w:r w:rsidRPr="009D6EDB">
              <w:t>Administration Officer updates the meter removal in the Meter</w:t>
            </w:r>
            <w:r w:rsidRPr="00691C1E">
              <w:t xml:space="preserve"> Provider Database.</w:t>
            </w:r>
          </w:p>
        </w:tc>
        <w:tc>
          <w:tcPr>
            <w:tcW w:w="654" w:type="dxa"/>
            <w:hideMark/>
          </w:tcPr>
          <w:p w:rsidR="00691C1E" w:rsidRPr="00691C1E" w:rsidRDefault="00691C1E" w:rsidP="00691C1E">
            <w:pPr>
              <w:cnfStyle w:val="000000000000" w:firstRow="0" w:lastRow="0" w:firstColumn="0" w:lastColumn="0" w:oddVBand="0" w:evenVBand="0" w:oddHBand="0" w:evenHBand="0" w:firstRowFirstColumn="0" w:firstRowLastColumn="0" w:lastRowFirstColumn="0" w:lastRowLastColumn="0"/>
            </w:pPr>
            <w:r w:rsidRPr="009D6EDB">
              <w:t>5 min</w:t>
            </w:r>
          </w:p>
        </w:tc>
        <w:tc>
          <w:tcPr>
            <w:tcW w:w="3665" w:type="dxa"/>
            <w:hideMark/>
          </w:tcPr>
          <w:p w:rsidR="00691C1E" w:rsidRPr="00691C1E" w:rsidRDefault="00691C1E" w:rsidP="00691C1E">
            <w:pPr>
              <w:cnfStyle w:val="000000000000" w:firstRow="0" w:lastRow="0" w:firstColumn="0" w:lastColumn="0" w:oddVBand="0" w:evenVBand="0" w:oddHBand="0" w:evenHBand="0" w:firstRowFirstColumn="0" w:firstRowLastColumn="0" w:lastRowFirstColumn="0" w:lastRowLastColumn="0"/>
            </w:pPr>
            <w:r w:rsidRPr="009D6EDB">
              <w:t xml:space="preserve">Valid </w:t>
            </w:r>
            <w:r w:rsidRPr="00691C1E">
              <w:t>distributor activity that is currently carried out regularly now. Could not be delivered by Metering Service Provider but could be automated via distributor integration to market systems</w:t>
            </w:r>
          </w:p>
        </w:tc>
      </w:tr>
      <w:tr w:rsidR="00691C1E" w:rsidTr="00653ABF">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691C1E" w:rsidRPr="00691C1E" w:rsidRDefault="00691C1E" w:rsidP="00691C1E">
            <w:r w:rsidRPr="009D6EDB">
              <w:t>Network Billing Data Analyst updates the meter removal and the</w:t>
            </w:r>
            <w:r w:rsidRPr="00691C1E">
              <w:t xml:space="preserve"> new metering details (for the non-Endeavour Energy asset) in the Banner billing system.</w:t>
            </w:r>
          </w:p>
        </w:tc>
        <w:tc>
          <w:tcPr>
            <w:tcW w:w="654" w:type="dxa"/>
            <w:hideMark/>
          </w:tcPr>
          <w:p w:rsidR="00691C1E" w:rsidRPr="00691C1E" w:rsidRDefault="00691C1E" w:rsidP="00691C1E">
            <w:pPr>
              <w:cnfStyle w:val="000000010000" w:firstRow="0" w:lastRow="0" w:firstColumn="0" w:lastColumn="0" w:oddVBand="0" w:evenVBand="0" w:oddHBand="0" w:evenHBand="1" w:firstRowFirstColumn="0" w:firstRowLastColumn="0" w:lastRowFirstColumn="0" w:lastRowLastColumn="0"/>
            </w:pPr>
            <w:r w:rsidRPr="009D6EDB">
              <w:t>5 min</w:t>
            </w:r>
          </w:p>
        </w:tc>
        <w:tc>
          <w:tcPr>
            <w:tcW w:w="3665" w:type="dxa"/>
            <w:hideMark/>
          </w:tcPr>
          <w:p w:rsidR="00691C1E" w:rsidRPr="00691C1E" w:rsidRDefault="00691C1E" w:rsidP="00691C1E">
            <w:pPr>
              <w:cnfStyle w:val="000000010000" w:firstRow="0" w:lastRow="0" w:firstColumn="0" w:lastColumn="0" w:oddVBand="0" w:evenVBand="0" w:oddHBand="0" w:evenHBand="1" w:firstRowFirstColumn="0" w:firstRowLastColumn="0" w:lastRowFirstColumn="0" w:lastRowLastColumn="0"/>
            </w:pPr>
            <w:r w:rsidRPr="009D6EDB">
              <w:t xml:space="preserve">Valid </w:t>
            </w:r>
            <w:r w:rsidRPr="00691C1E">
              <w:t>distributor activity that is currently carried out regularly. Could not be delivered by Metering Service Provider but could be automated by distributor via integration to market systems</w:t>
            </w:r>
          </w:p>
        </w:tc>
      </w:tr>
      <w:tr w:rsidR="00691C1E" w:rsidTr="00653ABF">
        <w:trPr>
          <w:trHeight w:val="919"/>
        </w:trPr>
        <w:tc>
          <w:tcPr>
            <w:cnfStyle w:val="001000000000" w:firstRow="0" w:lastRow="0" w:firstColumn="1" w:lastColumn="0" w:oddVBand="0" w:evenVBand="0" w:oddHBand="0" w:evenHBand="0" w:firstRowFirstColumn="0" w:firstRowLastColumn="0" w:lastRowFirstColumn="0" w:lastRowLastColumn="0"/>
            <w:tcW w:w="4319" w:type="dxa"/>
            <w:hideMark/>
          </w:tcPr>
          <w:p w:rsidR="00691C1E" w:rsidRPr="00691C1E" w:rsidRDefault="00691C1E" w:rsidP="00691C1E">
            <w:r w:rsidRPr="009D6EDB">
              <w:t>Network Billing Data Analyst updates the new metering details in</w:t>
            </w:r>
            <w:r w:rsidRPr="00691C1E">
              <w:t xml:space="preserve"> the Metering Business System (MBS), which will allow network billing activities to occur.</w:t>
            </w:r>
          </w:p>
        </w:tc>
        <w:tc>
          <w:tcPr>
            <w:tcW w:w="654" w:type="dxa"/>
            <w:hideMark/>
          </w:tcPr>
          <w:p w:rsidR="00691C1E" w:rsidRPr="00691C1E" w:rsidRDefault="00691C1E" w:rsidP="00691C1E">
            <w:pPr>
              <w:cnfStyle w:val="000000000000" w:firstRow="0" w:lastRow="0" w:firstColumn="0" w:lastColumn="0" w:oddVBand="0" w:evenVBand="0" w:oddHBand="0" w:evenHBand="0" w:firstRowFirstColumn="0" w:firstRowLastColumn="0" w:lastRowFirstColumn="0" w:lastRowLastColumn="0"/>
            </w:pPr>
            <w:r w:rsidRPr="009D6EDB">
              <w:t>5 min</w:t>
            </w:r>
          </w:p>
        </w:tc>
        <w:tc>
          <w:tcPr>
            <w:tcW w:w="3665" w:type="dxa"/>
            <w:hideMark/>
          </w:tcPr>
          <w:p w:rsidR="00691C1E" w:rsidRPr="00691C1E" w:rsidRDefault="00691C1E" w:rsidP="00691C1E">
            <w:pPr>
              <w:cnfStyle w:val="000000000000" w:firstRow="0" w:lastRow="0" w:firstColumn="0" w:lastColumn="0" w:oddVBand="0" w:evenVBand="0" w:oddHBand="0" w:evenHBand="0" w:firstRowFirstColumn="0" w:firstRowLastColumn="0" w:lastRowFirstColumn="0" w:lastRowLastColumn="0"/>
            </w:pPr>
            <w:r w:rsidRPr="009D6EDB">
              <w:t xml:space="preserve">Valid </w:t>
            </w:r>
            <w:r w:rsidRPr="00691C1E">
              <w:t>distributor activity that is currently carried out regularly. Could not be delivered by Metering Service Provider but could be automated by distributor via integration to market systems</w:t>
            </w:r>
          </w:p>
        </w:tc>
      </w:tr>
      <w:tr w:rsidR="00691C1E" w:rsidTr="00653ABF">
        <w:trPr>
          <w:cnfStyle w:val="000000010000" w:firstRow="0" w:lastRow="0" w:firstColumn="0" w:lastColumn="0" w:oddVBand="0" w:evenVBand="0" w:oddHBand="0" w:evenHBand="1"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319" w:type="dxa"/>
            <w:hideMark/>
          </w:tcPr>
          <w:p w:rsidR="00691C1E" w:rsidRPr="00691C1E" w:rsidRDefault="00691C1E" w:rsidP="00691C1E">
            <w:r w:rsidRPr="009D6EDB">
              <w:t>Metering Officer obtains the final read for the meter and inputs</w:t>
            </w:r>
            <w:r w:rsidRPr="00691C1E">
              <w:t xml:space="preserve"> the details of the final read into Banner billing system.</w:t>
            </w:r>
          </w:p>
        </w:tc>
        <w:tc>
          <w:tcPr>
            <w:tcW w:w="654" w:type="dxa"/>
            <w:hideMark/>
          </w:tcPr>
          <w:p w:rsidR="00691C1E" w:rsidRPr="00691C1E" w:rsidRDefault="00691C1E" w:rsidP="00691C1E">
            <w:pPr>
              <w:cnfStyle w:val="000000010000" w:firstRow="0" w:lastRow="0" w:firstColumn="0" w:lastColumn="0" w:oddVBand="0" w:evenVBand="0" w:oddHBand="0" w:evenHBand="1" w:firstRowFirstColumn="0" w:firstRowLastColumn="0" w:lastRowFirstColumn="0" w:lastRowLastColumn="0"/>
            </w:pPr>
            <w:r w:rsidRPr="009D6EDB">
              <w:t>5 min</w:t>
            </w:r>
          </w:p>
        </w:tc>
        <w:tc>
          <w:tcPr>
            <w:tcW w:w="3665" w:type="dxa"/>
            <w:hideMark/>
          </w:tcPr>
          <w:p w:rsidR="00691C1E" w:rsidRPr="00691C1E" w:rsidRDefault="00691C1E" w:rsidP="00691C1E">
            <w:pPr>
              <w:cnfStyle w:val="000000010000" w:firstRow="0" w:lastRow="0" w:firstColumn="0" w:lastColumn="0" w:oddVBand="0" w:evenVBand="0" w:oddHBand="0" w:evenHBand="1" w:firstRowFirstColumn="0" w:firstRowLastColumn="0" w:lastRowFirstColumn="0" w:lastRowLastColumn="0"/>
            </w:pPr>
            <w:r>
              <w:t>Valid d</w:t>
            </w:r>
            <w:r w:rsidRPr="00691C1E">
              <w:t>istributor activity that is currently carried out regularly</w:t>
            </w:r>
          </w:p>
        </w:tc>
      </w:tr>
      <w:tr w:rsidR="00691C1E" w:rsidTr="00653ABF">
        <w:trPr>
          <w:trHeight w:val="1482"/>
        </w:trPr>
        <w:tc>
          <w:tcPr>
            <w:cnfStyle w:val="001000000000" w:firstRow="0" w:lastRow="0" w:firstColumn="1" w:lastColumn="0" w:oddVBand="0" w:evenVBand="0" w:oddHBand="0" w:evenHBand="0" w:firstRowFirstColumn="0" w:firstRowLastColumn="0" w:lastRowFirstColumn="0" w:lastRowLastColumn="0"/>
            <w:tcW w:w="4319" w:type="dxa"/>
            <w:hideMark/>
          </w:tcPr>
          <w:p w:rsidR="00691C1E" w:rsidRPr="00691C1E" w:rsidRDefault="00691C1E" w:rsidP="00691C1E">
            <w:r w:rsidRPr="009D6EDB">
              <w:t>The ASP returns the Endeavour Energy removed asset back to</w:t>
            </w:r>
            <w:r w:rsidRPr="00691C1E">
              <w:t xml:space="preserve"> the designated Endeavour Energy depot. Endeavour Energy process dictates that the meter is double bagged and goose necked to ensure safe transportation of asbestos contaminated materials. The consumables required to meet these requirements are supplied by Endeavour Energy.</w:t>
            </w:r>
          </w:p>
        </w:tc>
        <w:tc>
          <w:tcPr>
            <w:tcW w:w="654" w:type="dxa"/>
            <w:hideMark/>
          </w:tcPr>
          <w:p w:rsidR="00691C1E" w:rsidRPr="00691C1E" w:rsidRDefault="00691C1E" w:rsidP="00691C1E">
            <w:pPr>
              <w:cnfStyle w:val="000000000000" w:firstRow="0" w:lastRow="0" w:firstColumn="0" w:lastColumn="0" w:oddVBand="0" w:evenVBand="0" w:oddHBand="0" w:evenHBand="0" w:firstRowFirstColumn="0" w:firstRowLastColumn="0" w:lastRowFirstColumn="0" w:lastRowLastColumn="0"/>
            </w:pPr>
            <w:r w:rsidRPr="009D6EDB">
              <w:t> </w:t>
            </w:r>
          </w:p>
        </w:tc>
        <w:tc>
          <w:tcPr>
            <w:tcW w:w="3665" w:type="dxa"/>
            <w:hideMark/>
          </w:tcPr>
          <w:p w:rsidR="00691C1E" w:rsidRPr="00691C1E" w:rsidRDefault="00691C1E" w:rsidP="00691C1E">
            <w:pPr>
              <w:cnfStyle w:val="000000000000" w:firstRow="0" w:lastRow="0" w:firstColumn="0" w:lastColumn="0" w:oddVBand="0" w:evenVBand="0" w:oddHBand="0" w:evenHBand="0" w:firstRowFirstColumn="0" w:firstRowLastColumn="0" w:lastRowFirstColumn="0" w:lastRowLastColumn="0"/>
            </w:pPr>
            <w:r w:rsidRPr="009D6EDB">
              <w:t>Metering Service Provide</w:t>
            </w:r>
            <w:r w:rsidRPr="00691C1E">
              <w:t>r could carry out on behalf of the distributor if permitted by latter. Metering Service Providers anticipate funding this activity themselves.</w:t>
            </w:r>
          </w:p>
        </w:tc>
      </w:tr>
      <w:tr w:rsidR="00691C1E" w:rsidTr="00653ABF">
        <w:trPr>
          <w:cnfStyle w:val="000000010000" w:firstRow="0" w:lastRow="0" w:firstColumn="0" w:lastColumn="0" w:oddVBand="0" w:evenVBand="0" w:oddHBand="0" w:evenHBand="1"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4319" w:type="dxa"/>
            <w:hideMark/>
          </w:tcPr>
          <w:p w:rsidR="00691C1E" w:rsidRPr="00691C1E" w:rsidRDefault="00691C1E" w:rsidP="00691C1E">
            <w:r w:rsidRPr="009D6EDB">
              <w:t>Cost of meter disposal</w:t>
            </w:r>
            <w:r w:rsidRPr="00691C1E">
              <w:t>.</w:t>
            </w:r>
          </w:p>
        </w:tc>
        <w:tc>
          <w:tcPr>
            <w:tcW w:w="654" w:type="dxa"/>
            <w:hideMark/>
          </w:tcPr>
          <w:p w:rsidR="00691C1E" w:rsidRPr="00691C1E" w:rsidRDefault="00691C1E" w:rsidP="00691C1E">
            <w:pPr>
              <w:cnfStyle w:val="000000010000" w:firstRow="0" w:lastRow="0" w:firstColumn="0" w:lastColumn="0" w:oddVBand="0" w:evenVBand="0" w:oddHBand="0" w:evenHBand="1" w:firstRowFirstColumn="0" w:firstRowLastColumn="0" w:lastRowFirstColumn="0" w:lastRowLastColumn="0"/>
            </w:pPr>
            <w:r w:rsidRPr="009D6EDB">
              <w:t> </w:t>
            </w:r>
          </w:p>
        </w:tc>
        <w:tc>
          <w:tcPr>
            <w:tcW w:w="3665" w:type="dxa"/>
            <w:hideMark/>
          </w:tcPr>
          <w:p w:rsidR="00691C1E" w:rsidRPr="00691C1E" w:rsidRDefault="00691C1E" w:rsidP="00691C1E">
            <w:pPr>
              <w:cnfStyle w:val="000000010000" w:firstRow="0" w:lastRow="0" w:firstColumn="0" w:lastColumn="0" w:oddVBand="0" w:evenVBand="0" w:oddHBand="0" w:evenHBand="1" w:firstRowFirstColumn="0" w:firstRowLastColumn="0" w:lastRowFirstColumn="0" w:lastRowLastColumn="0"/>
            </w:pPr>
            <w:r w:rsidRPr="009D6EDB">
              <w:t>Metering Service Provide</w:t>
            </w:r>
            <w:r w:rsidRPr="00691C1E">
              <w:t>r could carry out on behalf of the distributor if permitted by latter. Metering Service Providers anticipate funding this activity themselves.</w:t>
            </w:r>
          </w:p>
        </w:tc>
      </w:tr>
    </w:tbl>
    <w:p w:rsidR="00691C1E" w:rsidRDefault="00691C1E" w:rsidP="00691C1E">
      <w:pPr>
        <w:pStyle w:val="Source"/>
      </w:pPr>
      <w:r>
        <w:t>Source: Endeavour Energy; Vector Limited.</w:t>
      </w:r>
    </w:p>
    <w:p w:rsidR="00691C1E" w:rsidRDefault="00691C1E" w:rsidP="00691C1E">
      <w:r>
        <w:t xml:space="preserve">Vector advised that their response to the activities listed in </w:t>
      </w:r>
      <w:r>
        <w:fldChar w:fldCharType="begin"/>
      </w:r>
      <w:r>
        <w:instrText xml:space="preserve"> REF _Ref417920104 \h </w:instrText>
      </w:r>
      <w:r>
        <w:fldChar w:fldCharType="separate"/>
      </w:r>
      <w:r w:rsidR="005E73B8">
        <w:rPr>
          <w:b/>
          <w:bCs/>
          <w:lang w:val="en-US"/>
        </w:rPr>
        <w:t>Error! Reference source not found.</w:t>
      </w:r>
      <w:r>
        <w:fldChar w:fldCharType="end"/>
      </w:r>
      <w:r>
        <w:t xml:space="preserve"> was that the tasks were not unique to distributors. </w:t>
      </w:r>
      <w:r w:rsidRPr="005F5D8D">
        <w:t>Alternative meter service providers can now, and will in the future, undertake many of these tasks.</w:t>
      </w:r>
      <w:r>
        <w:t xml:space="preserve"> Furthermore, they noted that Endeavour Energy could integrate these activities and tasks with electronic transactions that they presently receive from AEMO.</w:t>
      </w:r>
      <w:r>
        <w:rPr>
          <w:rStyle w:val="FootnoteReference"/>
        </w:rPr>
        <w:footnoteReference w:id="111"/>
      </w:r>
      <w:r>
        <w:t xml:space="preserve"> Vector says this is how it operates in the market today and did not see why distributors should not do the same. Given that distributors were performing these functions now as standard business practice, Vector could not anticipate what incremental costs would arise as a result of competitive metering.</w:t>
      </w:r>
      <w:r>
        <w:rPr>
          <w:rStyle w:val="FootnoteReference"/>
        </w:rPr>
        <w:footnoteReference w:id="112"/>
      </w:r>
    </w:p>
    <w:p w:rsidR="00691C1E" w:rsidRPr="002F77E3" w:rsidRDefault="00691C1E" w:rsidP="00691C1E">
      <w:r>
        <w:lastRenderedPageBreak/>
        <w:t>We do not agree with the distributors' position that that</w:t>
      </w:r>
      <w:r w:rsidRPr="000E238A">
        <w:t xml:space="preserve"> an increase in staff will be required within </w:t>
      </w:r>
      <w:r>
        <w:t xml:space="preserve">the </w:t>
      </w:r>
      <w:r w:rsidRPr="000E238A">
        <w:t>regulatory period</w:t>
      </w:r>
      <w:r>
        <w:t>s commencing 1 July 2015</w:t>
      </w:r>
      <w:r w:rsidRPr="002F77E3">
        <w:t xml:space="preserve">. </w:t>
      </w:r>
      <w:r>
        <w:t>We also find that i</w:t>
      </w:r>
      <w:r w:rsidRPr="002F77E3">
        <w:t xml:space="preserve">t </w:t>
      </w:r>
      <w:r>
        <w:t>will be the meter service provider</w:t>
      </w:r>
      <w:r w:rsidRPr="002F77E3">
        <w:t xml:space="preserve">, as the financially responsible market participant, who will bear the </w:t>
      </w:r>
      <w:r>
        <w:t xml:space="preserve">additional </w:t>
      </w:r>
      <w:r w:rsidRPr="002F77E3">
        <w:t>costs associated with meter churn, not the distributors.</w:t>
      </w:r>
    </w:p>
    <w:p w:rsidR="00691C1E" w:rsidRDefault="00691C1E" w:rsidP="00691C1E">
      <w:r>
        <w:t xml:space="preserve">We find that </w:t>
      </w:r>
      <w:r w:rsidRPr="002F77E3">
        <w:t xml:space="preserve">customers would not be paying an efficient level of costs for meter churn if the distributors proposed transfer fees were approved. </w:t>
      </w:r>
      <w:r>
        <w:t>A meter transfer fee of the order proposed by Energex ($31 to $38) could amount to a de-facto exit fee that would act as a barrier to competition and the uptake of new advanced meters. While t</w:t>
      </w:r>
      <w:r w:rsidRPr="002F77E3">
        <w:t>he national electricity law requires us to ensure distributors have the opportunity to recover at least their efficient costs</w:t>
      </w:r>
      <w:r>
        <w:t xml:space="preserve"> we are not persuaded by the evidence</w:t>
      </w:r>
      <w:r w:rsidRPr="002F77E3">
        <w:t xml:space="preserve"> that distributors have </w:t>
      </w:r>
      <w:r>
        <w:t xml:space="preserve">material incremental </w:t>
      </w:r>
      <w:r w:rsidRPr="002F77E3">
        <w:t xml:space="preserve">costs to recover </w:t>
      </w:r>
      <w:r>
        <w:t>in</w:t>
      </w:r>
      <w:r w:rsidRPr="002F77E3">
        <w:t xml:space="preserve"> amending records to take account of customer churn. </w:t>
      </w:r>
      <w:r>
        <w:t xml:space="preserve">Any incremental costs will be </w:t>
      </w:r>
      <w:r w:rsidRPr="002F77E3">
        <w:t>borne by the acquirer of the new meter customer</w:t>
      </w:r>
      <w:r>
        <w:t>—</w:t>
      </w:r>
      <w:r w:rsidRPr="002F77E3">
        <w:t xml:space="preserve">at the moment, retailers. Furthermore it is </w:t>
      </w:r>
      <w:r>
        <w:t xml:space="preserve">noteworthy that </w:t>
      </w:r>
      <w:r w:rsidRPr="002F77E3">
        <w:t xml:space="preserve">distributors are churning type 6 meters for interval meters </w:t>
      </w:r>
      <w:r>
        <w:t>for</w:t>
      </w:r>
      <w:r w:rsidRPr="002F77E3">
        <w:t xml:space="preserve"> customers install</w:t>
      </w:r>
      <w:r>
        <w:t>ing</w:t>
      </w:r>
      <w:r w:rsidRPr="002F77E3">
        <w:t xml:space="preserve"> Solar Photovoltaic systems in </w:t>
      </w:r>
      <w:r>
        <w:t>large numbers</w:t>
      </w:r>
      <w:r w:rsidRPr="002F77E3">
        <w:t xml:space="preserve"> without imposing </w:t>
      </w:r>
      <w:r>
        <w:t xml:space="preserve">any </w:t>
      </w:r>
      <w:r w:rsidRPr="002F77E3">
        <w:t>administrative fees</w:t>
      </w:r>
      <w:r>
        <w:t xml:space="preserve"> for the meter transfer. </w:t>
      </w:r>
    </w:p>
    <w:p w:rsidR="00691C1E" w:rsidRPr="002F77E3" w:rsidRDefault="00691C1E" w:rsidP="00691C1E">
      <w:r w:rsidRPr="002F77E3">
        <w:t xml:space="preserve">Further </w:t>
      </w:r>
      <w:r>
        <w:t>support to our findings</w:t>
      </w:r>
      <w:r w:rsidRPr="002F77E3">
        <w:t xml:space="preserve"> that </w:t>
      </w:r>
      <w:r>
        <w:t xml:space="preserve">the </w:t>
      </w:r>
      <w:r w:rsidRPr="002F77E3">
        <w:t xml:space="preserve">proposed transfer fees are disproportionate to the activities to be undertaken is </w:t>
      </w:r>
      <w:r>
        <w:t xml:space="preserve">in comparing the per customer meter </w:t>
      </w:r>
      <w:proofErr w:type="spellStart"/>
      <w:r>
        <w:t>opex</w:t>
      </w:r>
      <w:proofErr w:type="spellEnd"/>
      <w:r>
        <w:t xml:space="preserve"> fee which we have approved in this decision. Our preliminary decision accepts Energex's proposal to recover $11 annually for metering </w:t>
      </w:r>
      <w:proofErr w:type="spellStart"/>
      <w:r>
        <w:t>opex</w:t>
      </w:r>
      <w:proofErr w:type="spellEnd"/>
      <w:r>
        <w:t xml:space="preserve"> per customer for</w:t>
      </w:r>
      <w:r w:rsidRPr="002F77E3">
        <w:t xml:space="preserve"> meter data services, truck rolls, reading and processing, a share of information technology costs and including overheads. </w:t>
      </w:r>
      <w:r>
        <w:t>It does not follow that a proposed transfer fee greater than this is reasonable.</w:t>
      </w:r>
    </w:p>
    <w:p w:rsidR="00691C1E" w:rsidRPr="002F77E3" w:rsidRDefault="00691C1E" w:rsidP="00691C1E">
      <w:r w:rsidRPr="002F77E3">
        <w:t xml:space="preserve">We </w:t>
      </w:r>
      <w:r>
        <w:t>do not approve a meter transfer fee for the regulatory control period commencing 1 July 2015</w:t>
      </w:r>
      <w:r w:rsidRPr="002F77E3">
        <w:t>.</w:t>
      </w:r>
      <w:r>
        <w:t xml:space="preserve"> </w:t>
      </w:r>
    </w:p>
    <w:p w:rsidR="00DE752C" w:rsidRDefault="00DE752C" w:rsidP="00DE752C">
      <w:pPr>
        <w:pStyle w:val="Heading4"/>
      </w:pPr>
      <w:bookmarkStart w:id="174" w:name="_Toc417927732"/>
      <w:r>
        <w:t>Control mechanism</w:t>
      </w:r>
      <w:bookmarkEnd w:id="172"/>
      <w:bookmarkEnd w:id="174"/>
    </w:p>
    <w:p w:rsidR="00DE752C" w:rsidRPr="0017793B" w:rsidRDefault="00DE752C" w:rsidP="00DE752C">
      <w:r w:rsidRPr="0017793B">
        <w:t xml:space="preserve">Our preliminary decision applies the control mechanism which we proposed in our final Framework and Approach for </w:t>
      </w:r>
      <w:r>
        <w:t>Energex</w:t>
      </w:r>
      <w:r w:rsidRPr="0017793B">
        <w:t>.</w:t>
      </w:r>
      <w:r w:rsidRPr="0017793B">
        <w:rPr>
          <w:rStyle w:val="FootnoteReference"/>
        </w:rPr>
        <w:footnoteReference w:id="113"/>
      </w:r>
      <w:r w:rsidRPr="0017793B">
        <w:t xml:space="preserve"> </w:t>
      </w:r>
    </w:p>
    <w:p w:rsidR="00DE752C" w:rsidRPr="002D2A62" w:rsidRDefault="00DE752C" w:rsidP="00DE752C">
      <w:r w:rsidRPr="002D2A62">
        <w:t xml:space="preserve">We used X-factors to smooth annual price movements. It does not include any real price escalators. This is because we assessed whether any real price escalators should apply as part of our building block revenue assessment. </w:t>
      </w:r>
    </w:p>
    <w:p w:rsidR="00DE752C" w:rsidRDefault="00DE752C" w:rsidP="00DE752C">
      <w:r>
        <w:t xml:space="preserve">The </w:t>
      </w:r>
      <w:r w:rsidRPr="002D2A62">
        <w:t xml:space="preserve">X-factors for the upfront capital charges </w:t>
      </w:r>
      <w:r>
        <w:t>account for real labour price escalation.</w:t>
      </w:r>
    </w:p>
    <w:p w:rsidR="00DE752C" w:rsidRPr="0017793B" w:rsidRDefault="00DE752C" w:rsidP="00DE752C">
      <w:r w:rsidRPr="0017793B">
        <w:t>The approved control mechanism includes an 'A–Factor'. In our final Framework and Approach we stated that A-Factor could be used to adjust for 'residual charges when customers choose to replace assets before the end of their economic life'.</w:t>
      </w:r>
      <w:r w:rsidRPr="0017793B">
        <w:rPr>
          <w:rStyle w:val="FootnoteReference"/>
        </w:rPr>
        <w:footnoteReference w:id="114"/>
      </w:r>
      <w:r w:rsidRPr="0017793B">
        <w:t xml:space="preserve"> Our preliminary decision, however, establishes a metering tariff structure which does not </w:t>
      </w:r>
      <w:r>
        <w:lastRenderedPageBreak/>
        <w:t>result in</w:t>
      </w:r>
      <w:r w:rsidRPr="0017793B">
        <w:t xml:space="preserve"> such residual charges.</w:t>
      </w:r>
      <w:r>
        <w:rPr>
          <w:rStyle w:val="FootnoteReference"/>
        </w:rPr>
        <w:footnoteReference w:id="115"/>
      </w:r>
      <w:r>
        <w:t xml:space="preserve"> </w:t>
      </w:r>
      <w:r w:rsidRPr="0017793B">
        <w:t>Consequently, the price control we have specified as</w:t>
      </w:r>
      <w:r>
        <w:t xml:space="preserve"> apply to Energex </w:t>
      </w:r>
      <w:r w:rsidRPr="0017793B">
        <w:t xml:space="preserve">has been set to zero. See section </w:t>
      </w:r>
      <w:r>
        <w:fldChar w:fldCharType="begin"/>
      </w:r>
      <w:r>
        <w:instrText xml:space="preserve"> REF _Ref417314709 \r \h </w:instrText>
      </w:r>
      <w:r>
        <w:fldChar w:fldCharType="separate"/>
      </w:r>
      <w:r w:rsidR="005E73B8">
        <w:t>0</w:t>
      </w:r>
      <w:r>
        <w:fldChar w:fldCharType="end"/>
      </w:r>
      <w:r>
        <w:t xml:space="preserve"> </w:t>
      </w:r>
      <w:r w:rsidRPr="0017793B">
        <w:t xml:space="preserve">for further details. </w:t>
      </w:r>
    </w:p>
    <w:p w:rsidR="0051318C" w:rsidRPr="002B0550" w:rsidRDefault="0051318C" w:rsidP="002B0550">
      <w:pPr>
        <w:pStyle w:val="Heading2"/>
      </w:pPr>
      <w:bookmarkStart w:id="175" w:name="_Toc417996131"/>
      <w:r w:rsidRPr="002B0550">
        <w:t>Public lighting</w:t>
      </w:r>
      <w:bookmarkEnd w:id="175"/>
    </w:p>
    <w:p w:rsidR="008B6E82" w:rsidRDefault="008B6E82" w:rsidP="008B6E82">
      <w:pPr>
        <w:pStyle w:val="Heading3"/>
      </w:pPr>
      <w:bookmarkStart w:id="176" w:name="_Toc417996132"/>
      <w:r>
        <w:t>Preliminary decision</w:t>
      </w:r>
      <w:bookmarkEnd w:id="176"/>
    </w:p>
    <w:p w:rsidR="006712D5" w:rsidRDefault="008B6E82" w:rsidP="006712D5">
      <w:r w:rsidRPr="008B6E82">
        <w:t>We do not approve E</w:t>
      </w:r>
      <w:r>
        <w:t>nergex's</w:t>
      </w:r>
      <w:r w:rsidRPr="008B6E82">
        <w:t xml:space="preserve"> </w:t>
      </w:r>
      <w:r w:rsidR="006712D5" w:rsidRPr="00F81300">
        <w:t>proposed public lighting charges because we have determined</w:t>
      </w:r>
      <w:r w:rsidR="006712D5">
        <w:t>;</w:t>
      </w:r>
    </w:p>
    <w:p w:rsidR="006712D5" w:rsidRDefault="006712D5" w:rsidP="006712D5">
      <w:pPr>
        <w:pStyle w:val="AERbulletlistfirststyle"/>
      </w:pPr>
      <w:r w:rsidRPr="00F81300">
        <w:t xml:space="preserve">a </w:t>
      </w:r>
      <w:r w:rsidR="00005193">
        <w:t>nominal post</w:t>
      </w:r>
      <w:r w:rsidRPr="00F81300">
        <w:t xml:space="preserve">-tax WACC of </w:t>
      </w:r>
      <w:r w:rsidR="00005193">
        <w:t>5</w:t>
      </w:r>
      <w:r w:rsidRPr="00F81300">
        <w:t>.</w:t>
      </w:r>
      <w:r w:rsidR="00005193">
        <w:t>85</w:t>
      </w:r>
      <w:r w:rsidR="00005193" w:rsidRPr="00F81300">
        <w:t xml:space="preserve"> </w:t>
      </w:r>
      <w:r w:rsidRPr="00F81300">
        <w:t xml:space="preserve">per cent instead of the proposed </w:t>
      </w:r>
      <w:r w:rsidR="00005193">
        <w:t>7</w:t>
      </w:r>
      <w:r w:rsidRPr="00F81300">
        <w:t>.</w:t>
      </w:r>
      <w:r w:rsidR="00005193">
        <w:t>75</w:t>
      </w:r>
      <w:r w:rsidRPr="00F81300">
        <w:t> per cent</w:t>
      </w:r>
    </w:p>
    <w:p w:rsidR="006712D5" w:rsidRDefault="006712D5" w:rsidP="006712D5">
      <w:pPr>
        <w:pStyle w:val="AERbulletlistfirststyle"/>
      </w:pPr>
      <w:r>
        <w:t>imputation credit assumption of 40 per cent instead of</w:t>
      </w:r>
      <w:r w:rsidR="00F25C84">
        <w:t xml:space="preserve"> the proposed</w:t>
      </w:r>
      <w:r>
        <w:t xml:space="preserve"> 25 per cent</w:t>
      </w:r>
    </w:p>
    <w:p w:rsidR="006B16B5" w:rsidRDefault="006B16B5" w:rsidP="006B16B5">
      <w:pPr>
        <w:rPr>
          <w:rStyle w:val="AERbody"/>
        </w:rPr>
      </w:pPr>
      <w:r w:rsidRPr="006B16B5">
        <w:rPr>
          <w:rStyle w:val="AERbody"/>
        </w:rPr>
        <w:t>In all other respects we have approved E</w:t>
      </w:r>
      <w:r>
        <w:rPr>
          <w:rStyle w:val="AERbody"/>
        </w:rPr>
        <w:t>nergex</w:t>
      </w:r>
      <w:r w:rsidRPr="006B16B5">
        <w:rPr>
          <w:rStyle w:val="AERbody"/>
        </w:rPr>
        <w:t>'s proposal</w:t>
      </w:r>
      <w:r>
        <w:rPr>
          <w:rStyle w:val="AERbody"/>
        </w:rPr>
        <w:t>.</w:t>
      </w:r>
    </w:p>
    <w:p w:rsidR="009B1D33" w:rsidRPr="00C63D58" w:rsidRDefault="009B1D33" w:rsidP="009B1D33">
      <w:pPr>
        <w:pStyle w:val="HeadingBoldBlue"/>
      </w:pPr>
      <w:bookmarkStart w:id="177" w:name="_Toc417045707"/>
      <w:bookmarkStart w:id="178" w:name="_Toc417927735"/>
      <w:bookmarkStart w:id="179" w:name="_Toc417989981"/>
      <w:bookmarkStart w:id="180" w:name="_Toc417996133"/>
      <w:r w:rsidRPr="00C63D58">
        <w:t>Form of control</w:t>
      </w:r>
      <w:bookmarkEnd w:id="177"/>
      <w:bookmarkEnd w:id="178"/>
      <w:bookmarkEnd w:id="179"/>
      <w:bookmarkEnd w:id="180"/>
    </w:p>
    <w:p w:rsidR="009B1D33" w:rsidRPr="00C63D58" w:rsidRDefault="009B1D33" w:rsidP="009B1D33">
      <w:r w:rsidRPr="00C63D58">
        <w:t xml:space="preserve">Our </w:t>
      </w:r>
      <w:r w:rsidR="00705F0B">
        <w:t>preliminary</w:t>
      </w:r>
      <w:r w:rsidR="00705F0B" w:rsidRPr="00C63D58">
        <w:t xml:space="preserve"> </w:t>
      </w:r>
      <w:r w:rsidRPr="00C63D58">
        <w:t xml:space="preserve">decision is to apply a price cap for the form of control to public lighting, consistent with the </w:t>
      </w:r>
      <w:r>
        <w:t>final</w:t>
      </w:r>
      <w:r w:rsidRPr="00C63D58">
        <w:t xml:space="preserve"> F&amp;A. </w:t>
      </w:r>
      <w:r w:rsidRPr="00C63D58">
        <w:fldChar w:fldCharType="begin"/>
      </w:r>
      <w:r w:rsidRPr="00C63D58">
        <w:instrText xml:space="preserve"> REF _Ref417031437 \h </w:instrText>
      </w:r>
      <w:r w:rsidRPr="00C63D58">
        <w:fldChar w:fldCharType="separate"/>
      </w:r>
      <w:r w:rsidR="005E73B8" w:rsidRPr="00C63D58">
        <w:t xml:space="preserve">Figure </w:t>
      </w:r>
      <w:r w:rsidR="005E73B8">
        <w:rPr>
          <w:noProof/>
        </w:rPr>
        <w:t>16</w:t>
      </w:r>
      <w:r w:rsidR="005E73B8" w:rsidRPr="00C63D58">
        <w:t>.</w:t>
      </w:r>
      <w:r w:rsidR="005E73B8">
        <w:rPr>
          <w:noProof/>
        </w:rPr>
        <w:t>8</w:t>
      </w:r>
      <w:r w:rsidRPr="00C63D58">
        <w:fldChar w:fldCharType="end"/>
      </w:r>
      <w:r w:rsidRPr="00C63D58">
        <w:t xml:space="preserve"> sets out the control mechanism formulas for </w:t>
      </w:r>
      <w:r>
        <w:t>public lighting</w:t>
      </w:r>
      <w:r w:rsidRPr="00C63D58">
        <w:t xml:space="preserve">. </w:t>
      </w:r>
    </w:p>
    <w:p w:rsidR="009B1D33" w:rsidRPr="00C63D58" w:rsidRDefault="009B1D33" w:rsidP="009B1D33">
      <w:pPr>
        <w:pStyle w:val="Caption"/>
      </w:pPr>
      <w:bookmarkStart w:id="181" w:name="_Ref417031437"/>
      <w:r w:rsidRPr="00C63D58">
        <w:t xml:space="preserve">Figure </w:t>
      </w:r>
      <w:r w:rsidR="009D19E9">
        <w:fldChar w:fldCharType="begin"/>
      </w:r>
      <w:r w:rsidR="009D19E9">
        <w:instrText xml:space="preserve"> STYLEREF 1 \s</w:instrText>
      </w:r>
      <w:r w:rsidR="009D19E9">
        <w:instrText xml:space="preserve"> </w:instrText>
      </w:r>
      <w:r w:rsidR="009D19E9">
        <w:fldChar w:fldCharType="separate"/>
      </w:r>
      <w:r w:rsidR="005E73B8">
        <w:rPr>
          <w:noProof/>
        </w:rPr>
        <w:t>16</w:t>
      </w:r>
      <w:r w:rsidR="009D19E9">
        <w:rPr>
          <w:noProof/>
        </w:rPr>
        <w:fldChar w:fldCharType="end"/>
      </w:r>
      <w:r w:rsidRPr="00C63D58">
        <w:t>.</w:t>
      </w:r>
      <w:fldSimple w:instr=" SEQ Figure \* ARABIC \s 1 ">
        <w:r w:rsidR="005E73B8">
          <w:rPr>
            <w:noProof/>
          </w:rPr>
          <w:t>8</w:t>
        </w:r>
      </w:fldSimple>
      <w:bookmarkEnd w:id="181"/>
      <w:r w:rsidRPr="00C63D58">
        <w:tab/>
        <w:t>Public lighting formula</w:t>
      </w:r>
    </w:p>
    <w:p w:rsidR="009B1D33" w:rsidRPr="00B54AA0" w:rsidRDefault="009D19E9" w:rsidP="009B1D33">
      <m:oMathPara>
        <m:oMathParaPr>
          <m:jc m:val="left"/>
        </m:oMathParaPr>
        <m:oMath>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t</m:t>
              </m:r>
              <m:r>
                <m:rPr>
                  <m:sty m:val="p"/>
                </m:rPr>
                <w:rPr>
                  <w:rFonts w:ascii="Cambria Math" w:hAnsi="Cambria Math"/>
                </w:rPr>
                <m:t>-1</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i</m:t>
                  </m:r>
                </m:sub>
                <m:sup>
                  <m:r>
                    <w:rPr>
                      <w:rFonts w:ascii="Cambria Math" w:hAnsi="Cambria Math"/>
                    </w:rPr>
                    <m:t>t</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m:oMathPara>
    </w:p>
    <w:p w:rsidR="009B1D33" w:rsidRPr="00C63D58" w:rsidRDefault="009B1D33" w:rsidP="009B1D33">
      <w:r w:rsidRPr="00C63D58">
        <w:t>Where:</w:t>
      </w:r>
    </w:p>
    <w:p w:rsidR="009B1D33" w:rsidRPr="00C63D58" w:rsidRDefault="009D19E9" w:rsidP="009B1D33">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t-1</m:t>
            </m:r>
          </m:sup>
        </m:sSubSup>
      </m:oMath>
      <w:r w:rsidR="009B1D33" w:rsidRPr="00C63D58">
        <w:tab/>
        <w:t>is the cap on the price of service i in year t</w:t>
      </w:r>
      <w:r w:rsidR="00004F19">
        <w:t>–1</w:t>
      </w:r>
      <w:r w:rsidR="009B1D33" w:rsidRPr="00C63D58">
        <w:t xml:space="preserve">. </w:t>
      </w:r>
    </w:p>
    <w:p w:rsidR="009B1D33" w:rsidRPr="00C63D58" w:rsidRDefault="009D19E9" w:rsidP="009B1D33">
      <m:oMath>
        <m:sSubSup>
          <m:sSubSupPr>
            <m:ctrlPr>
              <w:rPr>
                <w:rFonts w:ascii="Cambria Math" w:hAnsi="Cambria Math"/>
              </w:rPr>
            </m:ctrlPr>
          </m:sSubSupPr>
          <m:e>
            <m:r>
              <m:rPr>
                <m:sty m:val="p"/>
              </m:rPr>
              <w:rPr>
                <w:rFonts w:ascii="Cambria Math" w:hAnsi="Cambria Math"/>
              </w:rPr>
              <m:t>p</m:t>
            </m:r>
          </m:e>
          <m:sub>
            <m:r>
              <w:rPr>
                <w:rFonts w:ascii="Cambria Math" w:hAnsi="Cambria Math"/>
              </w:rPr>
              <m:t>i</m:t>
            </m:r>
          </m:sub>
          <m:sup>
            <m:r>
              <w:rPr>
                <w:rFonts w:ascii="Cambria Math" w:hAnsi="Cambria Math"/>
              </w:rPr>
              <m:t>t</m:t>
            </m:r>
          </m:sup>
        </m:sSubSup>
      </m:oMath>
      <w:r w:rsidR="009B1D33" w:rsidRPr="00C63D58">
        <w:tab/>
        <w:t>is the</w:t>
      </w:r>
      <w:r w:rsidR="00777ECD">
        <w:t xml:space="preserve"> cap on the</w:t>
      </w:r>
      <w:r w:rsidR="009B1D33" w:rsidRPr="00C63D58">
        <w:t xml:space="preserve"> price of service </w:t>
      </w:r>
      <w:proofErr w:type="spellStart"/>
      <w:r w:rsidR="009B1D33" w:rsidRPr="00C63D58">
        <w:t>i</w:t>
      </w:r>
      <w:proofErr w:type="spellEnd"/>
      <w:r w:rsidR="009B1D33" w:rsidRPr="00C63D58">
        <w:t xml:space="preserve"> in year t.</w:t>
      </w:r>
      <w:r w:rsidR="00004F19" w:rsidRPr="00004F19">
        <w:t xml:space="preserve"> </w:t>
      </w:r>
      <w:r w:rsidR="00004F19" w:rsidRPr="00C63D58">
        <w:t xml:space="preserve">However, for 2015–16 this is the price as determined in </w:t>
      </w:r>
      <w:r w:rsidR="00004F19">
        <w:fldChar w:fldCharType="begin"/>
      </w:r>
      <w:r w:rsidR="00004F19">
        <w:instrText xml:space="preserve"> REF  _Ref415233953 \* Lower \h </w:instrText>
      </w:r>
      <w:r w:rsidR="00004F19">
        <w:fldChar w:fldCharType="separate"/>
      </w:r>
      <w:r w:rsidR="005E73B8" w:rsidRPr="00656236">
        <w:t xml:space="preserve">table </w:t>
      </w:r>
      <w:r w:rsidR="005E73B8">
        <w:rPr>
          <w:noProof/>
        </w:rPr>
        <w:t>16</w:t>
      </w:r>
      <w:r w:rsidR="005E73B8">
        <w:t>.</w:t>
      </w:r>
      <w:r w:rsidR="005E73B8">
        <w:rPr>
          <w:noProof/>
        </w:rPr>
        <w:t>22</w:t>
      </w:r>
      <w:r w:rsidR="00004F19">
        <w:fldChar w:fldCharType="end"/>
      </w:r>
      <w:r w:rsidR="00004F19" w:rsidRPr="00C63D58">
        <w:t>.</w:t>
      </w:r>
    </w:p>
    <w:p w:rsidR="00AA6584" w:rsidRPr="00AA6584" w:rsidRDefault="00AA6584" w:rsidP="00AA6584">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AA6584">
        <w:t xml:space="preserve"> </w:t>
      </w:r>
      <w:r w:rsidRPr="00AA6584">
        <w:tab/>
        <w:t>is the annual percentage change in the ABS CPI All Groups, Weighted Average of Eight Capital Cities from December in year t-2 to December in year t-1. For example, for the 2015–16 year, t–2 is December 2013 and t–1 is December 2014 and in the 2016–17 year, t–2 is December 2014 and t–1 is December 2015 and so on.</w:t>
      </w:r>
      <w:r w:rsidRPr="00AA6584">
        <w:tab/>
      </w:r>
    </w:p>
    <w:p w:rsidR="009B1D33" w:rsidRPr="00C63D58" w:rsidRDefault="009D19E9" w:rsidP="009B1D33">
      <m:oMath>
        <m:sSubSup>
          <m:sSubSupPr>
            <m:ctrlPr>
              <w:rPr>
                <w:rFonts w:ascii="Cambria Math" w:hAnsi="Cambria Math"/>
              </w:rPr>
            </m:ctrlPr>
          </m:sSubSupPr>
          <m:e>
            <m:r>
              <m:rPr>
                <m:sty m:val="p"/>
              </m:rPr>
              <w:rPr>
                <w:rFonts w:ascii="Cambria Math" w:hAnsi="Cambria Math"/>
              </w:rPr>
              <m:t>X</m:t>
            </m:r>
          </m:e>
          <m:sub>
            <m:r>
              <w:rPr>
                <w:rFonts w:ascii="Cambria Math" w:hAnsi="Cambria Math"/>
              </w:rPr>
              <m:t>i</m:t>
            </m:r>
          </m:sub>
          <m:sup>
            <m:r>
              <w:rPr>
                <w:rFonts w:ascii="Cambria Math" w:hAnsi="Cambria Math"/>
              </w:rPr>
              <m:t>t</m:t>
            </m:r>
          </m:sup>
        </m:sSubSup>
      </m:oMath>
      <w:r w:rsidR="009B1D33" w:rsidRPr="00C63D58">
        <w:tab/>
        <w:t>is the value of X for the year t in the regulatory control period. There are no X-factors for public lighting</w:t>
      </w:r>
      <w:r w:rsidR="009B1D33">
        <w:t>.</w:t>
      </w:r>
    </w:p>
    <w:p w:rsidR="009B1D33" w:rsidRPr="00F81300" w:rsidRDefault="009D19E9" w:rsidP="009B1D33">
      <m:oMath>
        <m:sSubSup>
          <m:sSubSupPr>
            <m:ctrlPr>
              <w:rPr>
                <w:rFonts w:ascii="Cambria Math" w:hAnsi="Cambria Math"/>
                <w:i/>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9B1D33" w:rsidRPr="00C63D58">
        <w:tab/>
        <w:t>is an adjustment factor likely to include, but not limited to, adjustments for residual charges when customers choose to replace assets before the end of their economic life. For public lighting we consider the value for A is zero.</w:t>
      </w:r>
    </w:p>
    <w:p w:rsidR="008B6E82" w:rsidRPr="008B6E82" w:rsidRDefault="008B6E82" w:rsidP="006712D5">
      <w:pPr>
        <w:pStyle w:val="Heading3"/>
      </w:pPr>
      <w:bookmarkStart w:id="182" w:name="_Toc417996134"/>
      <w:r w:rsidRPr="008B6E82">
        <w:t>E</w:t>
      </w:r>
      <w:r>
        <w:t>nergex</w:t>
      </w:r>
      <w:r w:rsidRPr="008B6E82">
        <w:t>’s proposal</w:t>
      </w:r>
      <w:bookmarkEnd w:id="182"/>
    </w:p>
    <w:p w:rsidR="007E21BB" w:rsidRDefault="007E21BB" w:rsidP="007E21BB">
      <w:r>
        <w:t>Energex proposes the continuation of its charges being broken down into:</w:t>
      </w:r>
    </w:p>
    <w:p w:rsidR="007E21BB" w:rsidRPr="00CF7867" w:rsidRDefault="007E21BB" w:rsidP="007E21BB">
      <w:pPr>
        <w:pStyle w:val="AERbulletlistfirststyle"/>
      </w:pPr>
      <w:r>
        <w:t>major light</w:t>
      </w:r>
      <w:r w:rsidRPr="00CF7867">
        <w:t xml:space="preserve"> charge for luminaires owned and operated by the </w:t>
      </w:r>
      <w:r w:rsidR="00864D3A">
        <w:t>Energex (EOO)</w:t>
      </w:r>
    </w:p>
    <w:p w:rsidR="007E21BB" w:rsidRPr="00CF7867" w:rsidRDefault="007E21BB" w:rsidP="007E21BB">
      <w:pPr>
        <w:pStyle w:val="AERbulletlistfirststyle"/>
      </w:pPr>
      <w:r>
        <w:t>minor light</w:t>
      </w:r>
      <w:r w:rsidRPr="00CF7867">
        <w:t xml:space="preserve"> charge for luminaires owned and operated by the </w:t>
      </w:r>
      <w:r w:rsidR="00864D3A">
        <w:t>Energex (EOO)</w:t>
      </w:r>
    </w:p>
    <w:p w:rsidR="007E21BB" w:rsidRPr="00CF7867" w:rsidRDefault="007E21BB" w:rsidP="007E21BB">
      <w:pPr>
        <w:pStyle w:val="AERbulletlistfirststyle"/>
      </w:pPr>
      <w:r>
        <w:t xml:space="preserve">major light </w:t>
      </w:r>
      <w:r w:rsidRPr="00CF7867">
        <w:t xml:space="preserve">charge for luminaires gifted to the distributor by a council but operated by </w:t>
      </w:r>
      <w:r w:rsidR="00864D3A">
        <w:t>Energex (GOO)</w:t>
      </w:r>
      <w:r w:rsidRPr="00CF7867">
        <w:t xml:space="preserve">  </w:t>
      </w:r>
    </w:p>
    <w:p w:rsidR="007E21BB" w:rsidRDefault="007E21BB" w:rsidP="007E21BB">
      <w:pPr>
        <w:pStyle w:val="AERbulletlistfirststyle"/>
      </w:pPr>
      <w:r>
        <w:t xml:space="preserve">minor light </w:t>
      </w:r>
      <w:r w:rsidRPr="00CF7867">
        <w:t xml:space="preserve">charge for luminaires gifted to the distributor by a council but operated by </w:t>
      </w:r>
      <w:r w:rsidR="00864D3A">
        <w:t>Energex (GOO)</w:t>
      </w:r>
    </w:p>
    <w:p w:rsidR="007E21BB" w:rsidRPr="007E21BB" w:rsidRDefault="007E21BB" w:rsidP="00B07FA0">
      <w:r>
        <w:rPr>
          <w:rStyle w:val="AERbody"/>
        </w:rPr>
        <w:t xml:space="preserve">Energex's proposed prices are set out in </w:t>
      </w:r>
      <w:r w:rsidRPr="007E21BB">
        <w:fldChar w:fldCharType="begin"/>
      </w:r>
      <w:r w:rsidRPr="007E21BB">
        <w:instrText xml:space="preserve"> REF _Ref415232833 \h </w:instrText>
      </w:r>
      <w:r w:rsidRPr="007E21BB">
        <w:fldChar w:fldCharType="separate"/>
      </w:r>
      <w:r w:rsidR="005E73B8" w:rsidRPr="007E21BB">
        <w:t xml:space="preserve">Table </w:t>
      </w:r>
      <w:r w:rsidR="005E73B8">
        <w:rPr>
          <w:noProof/>
        </w:rPr>
        <w:t>16</w:t>
      </w:r>
      <w:r w:rsidR="005E73B8">
        <w:t>.</w:t>
      </w:r>
      <w:r w:rsidR="005E73B8">
        <w:rPr>
          <w:noProof/>
        </w:rPr>
        <w:t>20</w:t>
      </w:r>
      <w:r w:rsidRPr="007E21BB">
        <w:fldChar w:fldCharType="end"/>
      </w:r>
      <w:r w:rsidRPr="007E21BB">
        <w:t>.</w:t>
      </w:r>
    </w:p>
    <w:p w:rsidR="007E21BB" w:rsidRPr="007E21BB" w:rsidRDefault="007E21BB" w:rsidP="00B07FA0">
      <w:pPr>
        <w:pStyle w:val="Caption"/>
      </w:pPr>
      <w:bookmarkStart w:id="183" w:name="_Ref415232833"/>
      <w:bookmarkStart w:id="184" w:name="_Ref415232828"/>
      <w:r w:rsidRPr="007E21BB">
        <w:t xml:space="preserve">Table </w:t>
      </w:r>
      <w:r w:rsidR="009D19E9">
        <w:fldChar w:fldCharType="begin"/>
      </w:r>
      <w:r w:rsidR="009D19E9">
        <w:instrText xml:space="preserve"> STYLEREF </w:instrText>
      </w:r>
      <w:r w:rsidR="009D19E9">
        <w:instrText xml:space="preserve">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20</w:t>
        </w:r>
      </w:fldSimple>
      <w:bookmarkEnd w:id="183"/>
      <w:r w:rsidRPr="007E21BB">
        <w:t xml:space="preserve"> Proposed </w:t>
      </w:r>
      <w:bookmarkEnd w:id="184"/>
      <w:r w:rsidRPr="007E21BB">
        <w:t>prices for public lights</w:t>
      </w:r>
      <w:r w:rsidR="006B16B5" w:rsidRPr="006B16B5">
        <w:t>, $ per day</w:t>
      </w:r>
    </w:p>
    <w:tbl>
      <w:tblPr>
        <w:tblStyle w:val="AERtable-numbers"/>
        <w:tblW w:w="5000" w:type="pct"/>
        <w:tblLook w:val="04A0" w:firstRow="1" w:lastRow="0" w:firstColumn="1" w:lastColumn="0" w:noHBand="0" w:noVBand="1"/>
      </w:tblPr>
      <w:tblGrid>
        <w:gridCol w:w="2058"/>
        <w:gridCol w:w="1327"/>
        <w:gridCol w:w="1327"/>
        <w:gridCol w:w="1327"/>
        <w:gridCol w:w="1327"/>
        <w:gridCol w:w="1327"/>
      </w:tblGrid>
      <w:tr w:rsidR="007E21BB" w:rsidRPr="007E21BB" w:rsidTr="003D5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7E21BB" w:rsidRPr="007E21BB" w:rsidRDefault="007E21BB" w:rsidP="007E21BB"/>
        </w:tc>
        <w:tc>
          <w:tcPr>
            <w:tcW w:w="763" w:type="pct"/>
            <w:vAlign w:val="top"/>
          </w:tcPr>
          <w:p w:rsidR="007E21BB" w:rsidRPr="007E21BB" w:rsidRDefault="007E21BB" w:rsidP="004A5C52">
            <w:pPr>
              <w:cnfStyle w:val="100000000000" w:firstRow="1" w:lastRow="0" w:firstColumn="0" w:lastColumn="0" w:oddVBand="0" w:evenVBand="0" w:oddHBand="0" w:evenHBand="0" w:firstRowFirstColumn="0" w:firstRowLastColumn="0" w:lastRowFirstColumn="0" w:lastRowLastColumn="0"/>
            </w:pPr>
            <w:r w:rsidRPr="007E21BB">
              <w:t>2015</w:t>
            </w:r>
            <w:r w:rsidR="004A5C52">
              <w:t>—</w:t>
            </w:r>
            <w:r w:rsidRPr="007E21BB">
              <w:t>16</w:t>
            </w:r>
          </w:p>
        </w:tc>
        <w:tc>
          <w:tcPr>
            <w:tcW w:w="763" w:type="pct"/>
            <w:vAlign w:val="top"/>
          </w:tcPr>
          <w:p w:rsidR="007E21BB" w:rsidRPr="007E21BB" w:rsidRDefault="007E21BB" w:rsidP="004A5C52">
            <w:pPr>
              <w:cnfStyle w:val="100000000000" w:firstRow="1" w:lastRow="0" w:firstColumn="0" w:lastColumn="0" w:oddVBand="0" w:evenVBand="0" w:oddHBand="0" w:evenHBand="0" w:firstRowFirstColumn="0" w:firstRowLastColumn="0" w:lastRowFirstColumn="0" w:lastRowLastColumn="0"/>
            </w:pPr>
            <w:r w:rsidRPr="007E21BB">
              <w:t>2016</w:t>
            </w:r>
            <w:r w:rsidR="004A5C52">
              <w:t>—</w:t>
            </w:r>
            <w:r w:rsidRPr="007E21BB">
              <w:t>17</w:t>
            </w:r>
          </w:p>
        </w:tc>
        <w:tc>
          <w:tcPr>
            <w:tcW w:w="763" w:type="pct"/>
            <w:vAlign w:val="top"/>
          </w:tcPr>
          <w:p w:rsidR="007E21BB" w:rsidRPr="007E21BB" w:rsidRDefault="007E21BB" w:rsidP="004A5C52">
            <w:pPr>
              <w:cnfStyle w:val="100000000000" w:firstRow="1" w:lastRow="0" w:firstColumn="0" w:lastColumn="0" w:oddVBand="0" w:evenVBand="0" w:oddHBand="0" w:evenHBand="0" w:firstRowFirstColumn="0" w:firstRowLastColumn="0" w:lastRowFirstColumn="0" w:lastRowLastColumn="0"/>
            </w:pPr>
            <w:r w:rsidRPr="007E21BB">
              <w:t>2017</w:t>
            </w:r>
            <w:r w:rsidR="004A5C52">
              <w:t>—</w:t>
            </w:r>
            <w:r w:rsidRPr="007E21BB">
              <w:t>18</w:t>
            </w:r>
          </w:p>
        </w:tc>
        <w:tc>
          <w:tcPr>
            <w:tcW w:w="763" w:type="pct"/>
            <w:vAlign w:val="top"/>
          </w:tcPr>
          <w:p w:rsidR="007E21BB" w:rsidRPr="007E21BB" w:rsidRDefault="007E21BB" w:rsidP="004A5C52">
            <w:pPr>
              <w:cnfStyle w:val="100000000000" w:firstRow="1" w:lastRow="0" w:firstColumn="0" w:lastColumn="0" w:oddVBand="0" w:evenVBand="0" w:oddHBand="0" w:evenHBand="0" w:firstRowFirstColumn="0" w:firstRowLastColumn="0" w:lastRowFirstColumn="0" w:lastRowLastColumn="0"/>
            </w:pPr>
            <w:r w:rsidRPr="007E21BB">
              <w:t>2018</w:t>
            </w:r>
            <w:r w:rsidR="004A5C52">
              <w:t>—</w:t>
            </w:r>
            <w:r w:rsidRPr="007E21BB">
              <w:t>19</w:t>
            </w:r>
          </w:p>
        </w:tc>
        <w:tc>
          <w:tcPr>
            <w:tcW w:w="763" w:type="pct"/>
            <w:vAlign w:val="top"/>
          </w:tcPr>
          <w:p w:rsidR="007E21BB" w:rsidRPr="007E21BB" w:rsidRDefault="007E21BB" w:rsidP="004A5C52">
            <w:pPr>
              <w:cnfStyle w:val="100000000000" w:firstRow="1" w:lastRow="0" w:firstColumn="0" w:lastColumn="0" w:oddVBand="0" w:evenVBand="0" w:oddHBand="0" w:evenHBand="0" w:firstRowFirstColumn="0" w:firstRowLastColumn="0" w:lastRowFirstColumn="0" w:lastRowLastColumn="0"/>
            </w:pPr>
            <w:r w:rsidRPr="007E21BB">
              <w:t>2019</w:t>
            </w:r>
            <w:r w:rsidR="004A5C52">
              <w:t>—</w:t>
            </w:r>
            <w:r w:rsidRPr="007E21BB">
              <w:t>20</w:t>
            </w:r>
          </w:p>
        </w:tc>
      </w:tr>
      <w:tr w:rsidR="007E21BB" w:rsidRPr="007E21BB" w:rsidTr="003D5DD2">
        <w:tc>
          <w:tcPr>
            <w:cnfStyle w:val="001000000000" w:firstRow="0" w:lastRow="0" w:firstColumn="1" w:lastColumn="0" w:oddVBand="0" w:evenVBand="0" w:oddHBand="0" w:evenHBand="0" w:firstRowFirstColumn="0" w:firstRowLastColumn="0" w:lastRowFirstColumn="0" w:lastRowLastColumn="0"/>
            <w:tcW w:w="1184" w:type="pct"/>
            <w:vAlign w:val="top"/>
          </w:tcPr>
          <w:p w:rsidR="007E21BB" w:rsidRPr="007E21BB" w:rsidRDefault="007E21BB" w:rsidP="007E21BB">
            <w:r w:rsidRPr="007E21BB">
              <w:t>EO&amp;O - Major</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0.88</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0.90</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0.92</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0.95</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0.97</w:t>
            </w:r>
          </w:p>
        </w:tc>
      </w:tr>
      <w:tr w:rsidR="007E21BB" w:rsidRPr="007E21BB" w:rsidTr="003D5D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7E21BB" w:rsidRPr="007E21BB" w:rsidRDefault="007E21BB" w:rsidP="007E21BB">
            <w:r w:rsidRPr="007E21BB">
              <w:t>EO&amp;O - Minor</w:t>
            </w:r>
          </w:p>
        </w:tc>
        <w:tc>
          <w:tcPr>
            <w:tcW w:w="763" w:type="pct"/>
            <w:vAlign w:val="bottom"/>
          </w:tcPr>
          <w:p w:rsidR="007E21BB" w:rsidRPr="007E21BB" w:rsidRDefault="007E21BB" w:rsidP="007E21BB">
            <w:pPr>
              <w:cnfStyle w:val="000000010000" w:firstRow="0" w:lastRow="0" w:firstColumn="0" w:lastColumn="0" w:oddVBand="0" w:evenVBand="0" w:oddHBand="0" w:evenHBand="1" w:firstRowFirstColumn="0" w:firstRowLastColumn="0" w:lastRowFirstColumn="0" w:lastRowLastColumn="0"/>
            </w:pPr>
            <w:r>
              <w:t>0.28</w:t>
            </w:r>
          </w:p>
        </w:tc>
        <w:tc>
          <w:tcPr>
            <w:tcW w:w="763" w:type="pct"/>
            <w:vAlign w:val="bottom"/>
          </w:tcPr>
          <w:p w:rsidR="007E21BB" w:rsidRPr="007E21BB" w:rsidRDefault="007E21BB" w:rsidP="007E21BB">
            <w:pPr>
              <w:cnfStyle w:val="000000010000" w:firstRow="0" w:lastRow="0" w:firstColumn="0" w:lastColumn="0" w:oddVBand="0" w:evenVBand="0" w:oddHBand="0" w:evenHBand="1" w:firstRowFirstColumn="0" w:firstRowLastColumn="0" w:lastRowFirstColumn="0" w:lastRowLastColumn="0"/>
            </w:pPr>
            <w:r>
              <w:t>0.29</w:t>
            </w:r>
          </w:p>
        </w:tc>
        <w:tc>
          <w:tcPr>
            <w:tcW w:w="763" w:type="pct"/>
            <w:vAlign w:val="bottom"/>
          </w:tcPr>
          <w:p w:rsidR="007E21BB" w:rsidRPr="007E21BB" w:rsidRDefault="007E21BB" w:rsidP="007E21BB">
            <w:pPr>
              <w:cnfStyle w:val="000000010000" w:firstRow="0" w:lastRow="0" w:firstColumn="0" w:lastColumn="0" w:oddVBand="0" w:evenVBand="0" w:oddHBand="0" w:evenHBand="1" w:firstRowFirstColumn="0" w:firstRowLastColumn="0" w:lastRowFirstColumn="0" w:lastRowLastColumn="0"/>
            </w:pPr>
            <w:r>
              <w:t>0.29</w:t>
            </w:r>
          </w:p>
        </w:tc>
        <w:tc>
          <w:tcPr>
            <w:tcW w:w="763" w:type="pct"/>
            <w:vAlign w:val="bottom"/>
          </w:tcPr>
          <w:p w:rsidR="007E21BB" w:rsidRPr="007E21BB" w:rsidRDefault="007E21BB" w:rsidP="007E21BB">
            <w:pPr>
              <w:cnfStyle w:val="000000010000" w:firstRow="0" w:lastRow="0" w:firstColumn="0" w:lastColumn="0" w:oddVBand="0" w:evenVBand="0" w:oddHBand="0" w:evenHBand="1" w:firstRowFirstColumn="0" w:firstRowLastColumn="0" w:lastRowFirstColumn="0" w:lastRowLastColumn="0"/>
            </w:pPr>
            <w:r>
              <w:t>0.30</w:t>
            </w:r>
          </w:p>
        </w:tc>
        <w:tc>
          <w:tcPr>
            <w:tcW w:w="763" w:type="pct"/>
            <w:vAlign w:val="bottom"/>
          </w:tcPr>
          <w:p w:rsidR="007E21BB" w:rsidRPr="007E21BB" w:rsidRDefault="007E21BB" w:rsidP="007E21BB">
            <w:pPr>
              <w:cnfStyle w:val="000000010000" w:firstRow="0" w:lastRow="0" w:firstColumn="0" w:lastColumn="0" w:oddVBand="0" w:evenVBand="0" w:oddHBand="0" w:evenHBand="1" w:firstRowFirstColumn="0" w:firstRowLastColumn="0" w:lastRowFirstColumn="0" w:lastRowLastColumn="0"/>
            </w:pPr>
            <w:r>
              <w:t>0.31</w:t>
            </w:r>
          </w:p>
        </w:tc>
      </w:tr>
      <w:tr w:rsidR="007E21BB" w:rsidRPr="007E21BB" w:rsidTr="003D5DD2">
        <w:tc>
          <w:tcPr>
            <w:cnfStyle w:val="001000000000" w:firstRow="0" w:lastRow="0" w:firstColumn="1" w:lastColumn="0" w:oddVBand="0" w:evenVBand="0" w:oddHBand="0" w:evenHBand="0" w:firstRowFirstColumn="0" w:firstRowLastColumn="0" w:lastRowFirstColumn="0" w:lastRowLastColumn="0"/>
            <w:tcW w:w="1184" w:type="pct"/>
            <w:vAlign w:val="top"/>
          </w:tcPr>
          <w:p w:rsidR="007E21BB" w:rsidRPr="007E21BB" w:rsidRDefault="007E21BB" w:rsidP="007E21BB">
            <w:r w:rsidRPr="007E21BB">
              <w:t>GO&amp;O - Major</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0.40</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0.41</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0.42</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0.43</w:t>
            </w:r>
          </w:p>
        </w:tc>
        <w:tc>
          <w:tcPr>
            <w:tcW w:w="763" w:type="pct"/>
            <w:vAlign w:val="bottom"/>
          </w:tcPr>
          <w:p w:rsidR="007E21BB" w:rsidRPr="007E21BB" w:rsidRDefault="007E21BB" w:rsidP="007E21BB">
            <w:pPr>
              <w:cnfStyle w:val="000000000000" w:firstRow="0" w:lastRow="0" w:firstColumn="0" w:lastColumn="0" w:oddVBand="0" w:evenVBand="0" w:oddHBand="0" w:evenHBand="0" w:firstRowFirstColumn="0" w:firstRowLastColumn="0" w:lastRowFirstColumn="0" w:lastRowLastColumn="0"/>
            </w:pPr>
            <w:r>
              <w:t>0.44</w:t>
            </w:r>
          </w:p>
        </w:tc>
      </w:tr>
      <w:tr w:rsidR="007E21BB" w:rsidRPr="007E21BB" w:rsidTr="003D5D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7E21BB" w:rsidRPr="007E21BB" w:rsidRDefault="007E21BB" w:rsidP="007E21BB">
            <w:r w:rsidRPr="007E21BB">
              <w:t>GO&amp;O - Minor</w:t>
            </w:r>
          </w:p>
        </w:tc>
        <w:tc>
          <w:tcPr>
            <w:tcW w:w="763" w:type="pct"/>
            <w:vAlign w:val="bottom"/>
          </w:tcPr>
          <w:p w:rsidR="007E21BB" w:rsidRPr="007E21BB" w:rsidRDefault="007E21BB" w:rsidP="005E4E5C">
            <w:pPr>
              <w:cnfStyle w:val="000000010000" w:firstRow="0" w:lastRow="0" w:firstColumn="0" w:lastColumn="0" w:oddVBand="0" w:evenVBand="0" w:oddHBand="0" w:evenHBand="1" w:firstRowFirstColumn="0" w:firstRowLastColumn="0" w:lastRowFirstColumn="0" w:lastRowLastColumn="0"/>
            </w:pPr>
            <w:r>
              <w:t>0.13</w:t>
            </w:r>
          </w:p>
        </w:tc>
        <w:tc>
          <w:tcPr>
            <w:tcW w:w="763" w:type="pct"/>
            <w:vAlign w:val="bottom"/>
          </w:tcPr>
          <w:p w:rsidR="007E21BB" w:rsidRPr="007E21BB" w:rsidRDefault="007E21BB" w:rsidP="007E21BB">
            <w:pPr>
              <w:cnfStyle w:val="000000010000" w:firstRow="0" w:lastRow="0" w:firstColumn="0" w:lastColumn="0" w:oddVBand="0" w:evenVBand="0" w:oddHBand="0" w:evenHBand="1" w:firstRowFirstColumn="0" w:firstRowLastColumn="0" w:lastRowFirstColumn="0" w:lastRowLastColumn="0"/>
            </w:pPr>
            <w:r>
              <w:t>0.14</w:t>
            </w:r>
          </w:p>
        </w:tc>
        <w:tc>
          <w:tcPr>
            <w:tcW w:w="763" w:type="pct"/>
            <w:vAlign w:val="bottom"/>
          </w:tcPr>
          <w:p w:rsidR="007E21BB" w:rsidRPr="007E21BB" w:rsidRDefault="005E4E5C" w:rsidP="007E21BB">
            <w:pPr>
              <w:cnfStyle w:val="000000010000" w:firstRow="0" w:lastRow="0" w:firstColumn="0" w:lastColumn="0" w:oddVBand="0" w:evenVBand="0" w:oddHBand="0" w:evenHBand="1" w:firstRowFirstColumn="0" w:firstRowLastColumn="0" w:lastRowFirstColumn="0" w:lastRowLastColumn="0"/>
            </w:pPr>
            <w:r>
              <w:t>0.14</w:t>
            </w:r>
          </w:p>
        </w:tc>
        <w:tc>
          <w:tcPr>
            <w:tcW w:w="763" w:type="pct"/>
            <w:vAlign w:val="bottom"/>
          </w:tcPr>
          <w:p w:rsidR="007E21BB" w:rsidRPr="007E21BB" w:rsidRDefault="005E4E5C" w:rsidP="007E21BB">
            <w:pPr>
              <w:cnfStyle w:val="000000010000" w:firstRow="0" w:lastRow="0" w:firstColumn="0" w:lastColumn="0" w:oddVBand="0" w:evenVBand="0" w:oddHBand="0" w:evenHBand="1" w:firstRowFirstColumn="0" w:firstRowLastColumn="0" w:lastRowFirstColumn="0" w:lastRowLastColumn="0"/>
            </w:pPr>
            <w:r>
              <w:t>0.15</w:t>
            </w:r>
          </w:p>
        </w:tc>
        <w:tc>
          <w:tcPr>
            <w:tcW w:w="763" w:type="pct"/>
            <w:vAlign w:val="bottom"/>
          </w:tcPr>
          <w:p w:rsidR="007E21BB" w:rsidRPr="007E21BB" w:rsidRDefault="005E4E5C" w:rsidP="007E21BB">
            <w:pPr>
              <w:cnfStyle w:val="000000010000" w:firstRow="0" w:lastRow="0" w:firstColumn="0" w:lastColumn="0" w:oddVBand="0" w:evenVBand="0" w:oddHBand="0" w:evenHBand="1" w:firstRowFirstColumn="0" w:firstRowLastColumn="0" w:lastRowFirstColumn="0" w:lastRowLastColumn="0"/>
            </w:pPr>
            <w:r>
              <w:t>0.15</w:t>
            </w:r>
          </w:p>
        </w:tc>
      </w:tr>
    </w:tbl>
    <w:p w:rsidR="007E21BB" w:rsidRPr="007E21BB" w:rsidRDefault="007E21BB" w:rsidP="00C72D8F">
      <w:pPr>
        <w:pStyle w:val="AERtablesource"/>
      </w:pPr>
      <w:r w:rsidRPr="007E21BB">
        <w:t>Source: E</w:t>
      </w:r>
      <w:r>
        <w:t>nergex</w:t>
      </w:r>
      <w:r w:rsidRPr="007E21BB">
        <w:t xml:space="preserve">, 2015-20 Regulatory Proposal, p </w:t>
      </w:r>
      <w:r>
        <w:t>291</w:t>
      </w:r>
      <w:r w:rsidRPr="007E21BB">
        <w:t xml:space="preserve">, table </w:t>
      </w:r>
      <w:r>
        <w:t>26.11</w:t>
      </w:r>
    </w:p>
    <w:p w:rsidR="008B6E82" w:rsidRPr="008B6E82" w:rsidRDefault="008B6E82" w:rsidP="008B6E82">
      <w:pPr>
        <w:pStyle w:val="Heading3"/>
      </w:pPr>
      <w:bookmarkStart w:id="185" w:name="_Toc417996135"/>
      <w:r w:rsidRPr="008B6E82">
        <w:t>Assessment approach</w:t>
      </w:r>
      <w:bookmarkEnd w:id="185"/>
    </w:p>
    <w:p w:rsidR="00864D3A" w:rsidRPr="00F81300" w:rsidRDefault="00864D3A" w:rsidP="00864D3A">
      <w:r w:rsidRPr="00F81300">
        <w:t>The AER has continued with the assessment approach used in New South Wales</w:t>
      </w:r>
      <w:r w:rsidRPr="00CF5FC7">
        <w:t xml:space="preserve"> </w:t>
      </w:r>
      <w:r>
        <w:t>distributors' public lighting proposals</w:t>
      </w:r>
      <w:r w:rsidRPr="00F81300">
        <w:t xml:space="preserve">. </w:t>
      </w:r>
      <w:r>
        <w:t>This involves assessing Queensland distributor's public lighting proposals using a combination of high level benchmarking and assessing the assumptions used in the build-up of costs.</w:t>
      </w:r>
    </w:p>
    <w:p w:rsidR="008B6E82" w:rsidRDefault="008B6E82" w:rsidP="008B6E82">
      <w:pPr>
        <w:pStyle w:val="Heading3"/>
      </w:pPr>
      <w:bookmarkStart w:id="186" w:name="_Toc417996136"/>
      <w:r>
        <w:t>Submissions</w:t>
      </w:r>
      <w:bookmarkEnd w:id="186"/>
    </w:p>
    <w:p w:rsidR="00303807" w:rsidRDefault="00303807" w:rsidP="00303807">
      <w:r>
        <w:t>The Local Government Association of Queensland notes a reduction in prices in the first year of the regulatory control period and increase in line with inflation for the remaining years thereafter.</w:t>
      </w:r>
      <w:r w:rsidR="00E22ED5">
        <w:rPr>
          <w:rStyle w:val="FootnoteReference"/>
        </w:rPr>
        <w:footnoteReference w:id="116"/>
      </w:r>
      <w:r>
        <w:t xml:space="preserve"> </w:t>
      </w:r>
      <w:r w:rsidR="00FD430D">
        <w:t>They have no issue with this.</w:t>
      </w:r>
    </w:p>
    <w:p w:rsidR="00303807" w:rsidRPr="00F81300" w:rsidRDefault="00303807" w:rsidP="00303807">
      <w:r>
        <w:lastRenderedPageBreak/>
        <w:t>The LGAQ also raises the issue of end of life treatment of assets and unpredictable costs for councils.</w:t>
      </w:r>
      <w:r w:rsidR="006B16B5" w:rsidRPr="006B16B5">
        <w:t xml:space="preserve"> This was in relation to councils potentially purchasing the distributors public lighting assets and the costs associated with doing so.</w:t>
      </w:r>
    </w:p>
    <w:p w:rsidR="008B6E82" w:rsidRPr="008B6E82" w:rsidRDefault="008B6E82" w:rsidP="008B6E82">
      <w:pPr>
        <w:pStyle w:val="Heading3"/>
      </w:pPr>
      <w:bookmarkStart w:id="187" w:name="_Toc417996137"/>
      <w:r w:rsidRPr="008B6E82">
        <w:t xml:space="preserve">Reasons for </w:t>
      </w:r>
      <w:r>
        <w:t>preliminary</w:t>
      </w:r>
      <w:r w:rsidRPr="008B6E82">
        <w:t xml:space="preserve"> decision</w:t>
      </w:r>
      <w:bookmarkEnd w:id="187"/>
      <w:r w:rsidRPr="008B6E82">
        <w:t xml:space="preserve"> </w:t>
      </w:r>
    </w:p>
    <w:p w:rsidR="008B6E82" w:rsidRPr="008B6E82" w:rsidRDefault="008B6E82" w:rsidP="00A44F13">
      <w:r w:rsidRPr="00A44F13">
        <w:rPr>
          <w:rStyle w:val="AERbody"/>
        </w:rPr>
        <w:t xml:space="preserve">The reasons for the </w:t>
      </w:r>
      <w:r w:rsidR="00005193">
        <w:rPr>
          <w:rStyle w:val="AERbody"/>
        </w:rPr>
        <w:t>nominal post</w:t>
      </w:r>
      <w:r w:rsidR="007155B4">
        <w:rPr>
          <w:rStyle w:val="AERbody"/>
        </w:rPr>
        <w:t>-</w:t>
      </w:r>
      <w:r w:rsidR="00005193">
        <w:rPr>
          <w:rStyle w:val="AERbody"/>
        </w:rPr>
        <w:t>tax</w:t>
      </w:r>
      <w:r w:rsidRPr="00A44F13">
        <w:rPr>
          <w:rStyle w:val="AERbody"/>
        </w:rPr>
        <w:t xml:space="preserve"> WACC of </w:t>
      </w:r>
      <w:r w:rsidR="00005193">
        <w:rPr>
          <w:rStyle w:val="AERbody"/>
        </w:rPr>
        <w:t>5</w:t>
      </w:r>
      <w:r w:rsidRPr="00A44F13">
        <w:rPr>
          <w:rStyle w:val="AERbody"/>
        </w:rPr>
        <w:t>.</w:t>
      </w:r>
      <w:r w:rsidR="00005193">
        <w:rPr>
          <w:rStyle w:val="AERbody"/>
        </w:rPr>
        <w:t>85</w:t>
      </w:r>
      <w:r w:rsidR="00005193" w:rsidRPr="00A44F13">
        <w:rPr>
          <w:rStyle w:val="AERbody"/>
        </w:rPr>
        <w:t xml:space="preserve"> </w:t>
      </w:r>
      <w:r w:rsidRPr="00A44F13">
        <w:rPr>
          <w:rStyle w:val="AERbody"/>
        </w:rPr>
        <w:t>per cent</w:t>
      </w:r>
      <w:r w:rsidR="00A44F13">
        <w:rPr>
          <w:rStyle w:val="AERbody"/>
        </w:rPr>
        <w:t xml:space="preserve"> and</w:t>
      </w:r>
      <w:r w:rsidRPr="00A44F13">
        <w:rPr>
          <w:rStyle w:val="AERbody"/>
        </w:rPr>
        <w:t xml:space="preserve"> </w:t>
      </w:r>
      <w:r w:rsidR="00A44F13" w:rsidRPr="00A44F13">
        <w:rPr>
          <w:rStyle w:val="AERbody"/>
        </w:rPr>
        <w:t xml:space="preserve">imputation credit assumption of 40 per cent instead </w:t>
      </w:r>
      <w:r w:rsidRPr="008B6E82">
        <w:t>are discussed in</w:t>
      </w:r>
      <w:r w:rsidR="0093765A">
        <w:t xml:space="preserve"> rate of return,</w:t>
      </w:r>
      <w:r w:rsidRPr="008B6E82">
        <w:t xml:space="preserve"> attachment </w:t>
      </w:r>
      <w:r w:rsidR="00FD430D">
        <w:t>3</w:t>
      </w:r>
      <w:r w:rsidRPr="008B6E82">
        <w:t>.</w:t>
      </w:r>
    </w:p>
    <w:p w:rsidR="00F46C76" w:rsidRDefault="00FD430D" w:rsidP="00F46C76">
      <w:r>
        <w:t>The issue of the end of life treatment of assets should continue to be worked through in the discussions between distributors and councils to seek an agreed approach.</w:t>
      </w:r>
      <w:r w:rsidR="00F46C76">
        <w:t xml:space="preserve"> Energex </w:t>
      </w:r>
      <w:r w:rsidR="0093765A" w:rsidRPr="0093765A">
        <w:t>did not propose anything in relation to the treatment of the end of life of assets.</w:t>
      </w:r>
    </w:p>
    <w:p w:rsidR="008B6E82" w:rsidRDefault="008B6E82" w:rsidP="008B6E82">
      <w:r w:rsidRPr="008B6E82">
        <w:t xml:space="preserve">The </w:t>
      </w:r>
      <w:r w:rsidR="00010024">
        <w:t>preliminary</w:t>
      </w:r>
      <w:r w:rsidR="00010024" w:rsidRPr="008B6E82">
        <w:t xml:space="preserve"> </w:t>
      </w:r>
      <w:r w:rsidRPr="008B6E82">
        <w:t xml:space="preserve">decision </w:t>
      </w:r>
      <w:r w:rsidR="004840C0">
        <w:t>implements</w:t>
      </w:r>
      <w:r w:rsidRPr="008B6E82">
        <w:t xml:space="preserve"> revenue </w:t>
      </w:r>
      <w:r w:rsidR="00010024">
        <w:t>de</w:t>
      </w:r>
      <w:r w:rsidR="004840C0">
        <w:t xml:space="preserve">crease </w:t>
      </w:r>
      <w:r w:rsidRPr="008B6E82">
        <w:t xml:space="preserve">in 2015-16 by </w:t>
      </w:r>
      <w:r w:rsidR="00534778">
        <w:t>19.3</w:t>
      </w:r>
      <w:r w:rsidR="00010024" w:rsidRPr="008B6E82">
        <w:t> </w:t>
      </w:r>
      <w:r w:rsidRPr="008B6E82">
        <w:t xml:space="preserve">per cent compared to a proposed decrease of </w:t>
      </w:r>
      <w:r w:rsidR="00010024">
        <w:t>10</w:t>
      </w:r>
      <w:r w:rsidR="00010024" w:rsidRPr="008B6E82">
        <w:t xml:space="preserve"> </w:t>
      </w:r>
      <w:r w:rsidRPr="008B6E82">
        <w:t xml:space="preserve">per cent. </w:t>
      </w:r>
      <w:r w:rsidR="00010024">
        <w:t xml:space="preserve">Preliminary </w:t>
      </w:r>
      <w:r w:rsidRPr="008B6E82">
        <w:t xml:space="preserve">decision revenue is set out in </w:t>
      </w:r>
      <w:r w:rsidRPr="008B6E82">
        <w:fldChar w:fldCharType="begin"/>
      </w:r>
      <w:r w:rsidRPr="008B6E82">
        <w:instrText xml:space="preserve"> REF _Ref414884439 \h </w:instrText>
      </w:r>
      <w:r w:rsidRPr="008B6E82">
        <w:fldChar w:fldCharType="separate"/>
      </w:r>
      <w:r w:rsidR="005E73B8" w:rsidRPr="008B6E82">
        <w:t xml:space="preserve">Table </w:t>
      </w:r>
      <w:r w:rsidR="005E73B8">
        <w:rPr>
          <w:noProof/>
        </w:rPr>
        <w:t>16</w:t>
      </w:r>
      <w:r w:rsidR="005E73B8">
        <w:t>.</w:t>
      </w:r>
      <w:r w:rsidR="005E73B8">
        <w:rPr>
          <w:noProof/>
        </w:rPr>
        <w:t>21</w:t>
      </w:r>
      <w:r w:rsidRPr="008B6E82">
        <w:fldChar w:fldCharType="end"/>
      </w:r>
      <w:r w:rsidRPr="008B6E82">
        <w:t>.</w:t>
      </w:r>
    </w:p>
    <w:p w:rsidR="008B6E82" w:rsidRPr="008B6E82" w:rsidRDefault="008B6E82" w:rsidP="008B6E82">
      <w:pPr>
        <w:pStyle w:val="Caption"/>
      </w:pPr>
      <w:bookmarkStart w:id="188" w:name="_Ref414884439"/>
      <w:r w:rsidRPr="008B6E82">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21</w:t>
        </w:r>
      </w:fldSimple>
      <w:bookmarkEnd w:id="188"/>
      <w:r w:rsidRPr="008B6E82">
        <w:t xml:space="preserve"> Total revenue, millions</w:t>
      </w:r>
    </w:p>
    <w:tbl>
      <w:tblPr>
        <w:tblStyle w:val="AERtable-numbers"/>
        <w:tblW w:w="5000" w:type="pct"/>
        <w:tblLook w:val="04A0" w:firstRow="1" w:lastRow="0" w:firstColumn="1" w:lastColumn="0" w:noHBand="0" w:noVBand="1"/>
      </w:tblPr>
      <w:tblGrid>
        <w:gridCol w:w="3031"/>
        <w:gridCol w:w="1134"/>
        <w:gridCol w:w="1134"/>
        <w:gridCol w:w="1134"/>
        <w:gridCol w:w="1130"/>
        <w:gridCol w:w="1130"/>
      </w:tblGrid>
      <w:tr w:rsidR="00F65125" w:rsidRPr="008B6E82" w:rsidTr="00B93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pct"/>
          </w:tcPr>
          <w:p w:rsidR="00F65125" w:rsidRPr="008B6E82" w:rsidRDefault="00F65125" w:rsidP="008B6E82"/>
        </w:tc>
        <w:tc>
          <w:tcPr>
            <w:tcW w:w="652" w:type="pct"/>
          </w:tcPr>
          <w:p w:rsidR="00F65125" w:rsidRPr="008B6E82" w:rsidRDefault="00F65125" w:rsidP="00CF6341">
            <w:pPr>
              <w:cnfStyle w:val="100000000000" w:firstRow="1" w:lastRow="0" w:firstColumn="0" w:lastColumn="0" w:oddVBand="0" w:evenVBand="0" w:oddHBand="0" w:evenHBand="0" w:firstRowFirstColumn="0" w:firstRowLastColumn="0" w:lastRowFirstColumn="0" w:lastRowLastColumn="0"/>
            </w:pPr>
            <w:r w:rsidRPr="008B6E82">
              <w:t>2015</w:t>
            </w:r>
            <w:r>
              <w:t>—</w:t>
            </w:r>
            <w:r w:rsidRPr="008B6E82">
              <w:t>6</w:t>
            </w:r>
          </w:p>
        </w:tc>
        <w:tc>
          <w:tcPr>
            <w:tcW w:w="652" w:type="pct"/>
          </w:tcPr>
          <w:p w:rsidR="00F65125" w:rsidRPr="008B6E82" w:rsidRDefault="00F65125" w:rsidP="00CF6341">
            <w:pPr>
              <w:cnfStyle w:val="100000000000" w:firstRow="1" w:lastRow="0" w:firstColumn="0" w:lastColumn="0" w:oddVBand="0" w:evenVBand="0" w:oddHBand="0" w:evenHBand="0" w:firstRowFirstColumn="0" w:firstRowLastColumn="0" w:lastRowFirstColumn="0" w:lastRowLastColumn="0"/>
            </w:pPr>
            <w:r w:rsidRPr="008B6E82">
              <w:t>2016</w:t>
            </w:r>
            <w:r>
              <w:t>—</w:t>
            </w:r>
            <w:r w:rsidRPr="008B6E82">
              <w:t>17</w:t>
            </w:r>
          </w:p>
        </w:tc>
        <w:tc>
          <w:tcPr>
            <w:tcW w:w="652" w:type="pct"/>
          </w:tcPr>
          <w:p w:rsidR="00F65125" w:rsidRPr="008B6E82" w:rsidRDefault="00F65125" w:rsidP="00CF6341">
            <w:pPr>
              <w:cnfStyle w:val="100000000000" w:firstRow="1" w:lastRow="0" w:firstColumn="0" w:lastColumn="0" w:oddVBand="0" w:evenVBand="0" w:oddHBand="0" w:evenHBand="0" w:firstRowFirstColumn="0" w:firstRowLastColumn="0" w:lastRowFirstColumn="0" w:lastRowLastColumn="0"/>
            </w:pPr>
            <w:r w:rsidRPr="008B6E82">
              <w:t>2017</w:t>
            </w:r>
            <w:r>
              <w:t>—</w:t>
            </w:r>
            <w:r w:rsidRPr="008B6E82">
              <w:t>18</w:t>
            </w:r>
          </w:p>
        </w:tc>
        <w:tc>
          <w:tcPr>
            <w:tcW w:w="650" w:type="pct"/>
          </w:tcPr>
          <w:p w:rsidR="00F65125" w:rsidRPr="008B6E82" w:rsidRDefault="00F65125" w:rsidP="00CF6341">
            <w:pPr>
              <w:cnfStyle w:val="100000000000" w:firstRow="1" w:lastRow="0" w:firstColumn="0" w:lastColumn="0" w:oddVBand="0" w:evenVBand="0" w:oddHBand="0" w:evenHBand="0" w:firstRowFirstColumn="0" w:firstRowLastColumn="0" w:lastRowFirstColumn="0" w:lastRowLastColumn="0"/>
            </w:pPr>
            <w:r w:rsidRPr="008B6E82">
              <w:t>2018</w:t>
            </w:r>
            <w:r>
              <w:t>—</w:t>
            </w:r>
            <w:r w:rsidRPr="008B6E82">
              <w:t>19</w:t>
            </w:r>
          </w:p>
        </w:tc>
        <w:tc>
          <w:tcPr>
            <w:tcW w:w="650" w:type="pct"/>
          </w:tcPr>
          <w:p w:rsidR="00F65125" w:rsidRPr="008B6E82" w:rsidRDefault="00F65125" w:rsidP="00CF6341">
            <w:pPr>
              <w:cnfStyle w:val="100000000000" w:firstRow="1" w:lastRow="0" w:firstColumn="0" w:lastColumn="0" w:oddVBand="0" w:evenVBand="0" w:oddHBand="0" w:evenHBand="0" w:firstRowFirstColumn="0" w:firstRowLastColumn="0" w:lastRowFirstColumn="0" w:lastRowLastColumn="0"/>
            </w:pPr>
            <w:r w:rsidRPr="00656236">
              <w:t>2019</w:t>
            </w:r>
            <w:r w:rsidRPr="00F65125">
              <w:t>—20</w:t>
            </w:r>
          </w:p>
        </w:tc>
      </w:tr>
      <w:tr w:rsidR="00F65125" w:rsidRPr="008B6E82" w:rsidTr="00B930F1">
        <w:tc>
          <w:tcPr>
            <w:cnfStyle w:val="001000000000" w:firstRow="0" w:lastRow="0" w:firstColumn="1" w:lastColumn="0" w:oddVBand="0" w:evenVBand="0" w:oddHBand="0" w:evenHBand="0" w:firstRowFirstColumn="0" w:firstRowLastColumn="0" w:lastRowFirstColumn="0" w:lastRowLastColumn="0"/>
            <w:tcW w:w="1743" w:type="pct"/>
          </w:tcPr>
          <w:p w:rsidR="00F65125" w:rsidRPr="008B6E82" w:rsidRDefault="00F65125" w:rsidP="00A44F13">
            <w:r w:rsidRPr="008B6E82">
              <w:t>Propos</w:t>
            </w:r>
            <w:r>
              <w:t>ed</w:t>
            </w:r>
          </w:p>
        </w:tc>
        <w:tc>
          <w:tcPr>
            <w:tcW w:w="652" w:type="pct"/>
          </w:tcPr>
          <w:p w:rsidR="00F65125" w:rsidRPr="008B6E82" w:rsidRDefault="00005193" w:rsidP="008B6E82">
            <w:pPr>
              <w:cnfStyle w:val="000000000000" w:firstRow="0" w:lastRow="0" w:firstColumn="0" w:lastColumn="0" w:oddVBand="0" w:evenVBand="0" w:oddHBand="0" w:evenHBand="0" w:firstRowFirstColumn="0" w:firstRowLastColumn="0" w:lastRowFirstColumn="0" w:lastRowLastColumn="0"/>
            </w:pPr>
            <w:r>
              <w:t>39.4</w:t>
            </w:r>
          </w:p>
        </w:tc>
        <w:tc>
          <w:tcPr>
            <w:tcW w:w="652" w:type="pct"/>
          </w:tcPr>
          <w:p w:rsidR="00F65125" w:rsidRPr="008B6E82" w:rsidRDefault="00005193" w:rsidP="008B6E82">
            <w:pPr>
              <w:cnfStyle w:val="000000000000" w:firstRow="0" w:lastRow="0" w:firstColumn="0" w:lastColumn="0" w:oddVBand="0" w:evenVBand="0" w:oddHBand="0" w:evenHBand="0" w:firstRowFirstColumn="0" w:firstRowLastColumn="0" w:lastRowFirstColumn="0" w:lastRowLastColumn="0"/>
            </w:pPr>
            <w:r>
              <w:t>40.4</w:t>
            </w:r>
          </w:p>
        </w:tc>
        <w:tc>
          <w:tcPr>
            <w:tcW w:w="652" w:type="pct"/>
          </w:tcPr>
          <w:p w:rsidR="00F65125" w:rsidRPr="008B6E82" w:rsidRDefault="00005193" w:rsidP="008B6E82">
            <w:pPr>
              <w:cnfStyle w:val="000000000000" w:firstRow="0" w:lastRow="0" w:firstColumn="0" w:lastColumn="0" w:oddVBand="0" w:evenVBand="0" w:oddHBand="0" w:evenHBand="0" w:firstRowFirstColumn="0" w:firstRowLastColumn="0" w:lastRowFirstColumn="0" w:lastRowLastColumn="0"/>
            </w:pPr>
            <w:r>
              <w:t>42.0</w:t>
            </w:r>
          </w:p>
        </w:tc>
        <w:tc>
          <w:tcPr>
            <w:tcW w:w="650" w:type="pct"/>
          </w:tcPr>
          <w:p w:rsidR="00F65125" w:rsidRPr="008B6E82" w:rsidRDefault="00005193" w:rsidP="008B6E82">
            <w:pPr>
              <w:cnfStyle w:val="000000000000" w:firstRow="0" w:lastRow="0" w:firstColumn="0" w:lastColumn="0" w:oddVBand="0" w:evenVBand="0" w:oddHBand="0" w:evenHBand="0" w:firstRowFirstColumn="0" w:firstRowLastColumn="0" w:lastRowFirstColumn="0" w:lastRowLastColumn="0"/>
            </w:pPr>
            <w:r>
              <w:t>43.8</w:t>
            </w:r>
          </w:p>
        </w:tc>
        <w:tc>
          <w:tcPr>
            <w:tcW w:w="650" w:type="pct"/>
          </w:tcPr>
          <w:p w:rsidR="00F65125" w:rsidRPr="008B6E82" w:rsidRDefault="00005193" w:rsidP="008B6E82">
            <w:pPr>
              <w:cnfStyle w:val="000000000000" w:firstRow="0" w:lastRow="0" w:firstColumn="0" w:lastColumn="0" w:oddVBand="0" w:evenVBand="0" w:oddHBand="0" w:evenHBand="0" w:firstRowFirstColumn="0" w:firstRowLastColumn="0" w:lastRowFirstColumn="0" w:lastRowLastColumn="0"/>
            </w:pPr>
            <w:r>
              <w:t>45.1</w:t>
            </w:r>
          </w:p>
        </w:tc>
      </w:tr>
      <w:tr w:rsidR="00F65125" w:rsidRPr="008B6E82" w:rsidTr="00B930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pct"/>
          </w:tcPr>
          <w:p w:rsidR="00F65125" w:rsidRPr="008B6E82" w:rsidRDefault="00F65125" w:rsidP="008B6E82">
            <w:r>
              <w:t>Preliminary</w:t>
            </w:r>
            <w:r w:rsidRPr="008B6E82">
              <w:t xml:space="preserve"> decision</w:t>
            </w:r>
          </w:p>
        </w:tc>
        <w:tc>
          <w:tcPr>
            <w:tcW w:w="652" w:type="pct"/>
          </w:tcPr>
          <w:p w:rsidR="00F65125" w:rsidRPr="008B6E82" w:rsidRDefault="00F65125" w:rsidP="00534778">
            <w:pPr>
              <w:cnfStyle w:val="000000010000" w:firstRow="0" w:lastRow="0" w:firstColumn="0" w:lastColumn="0" w:oddVBand="0" w:evenVBand="0" w:oddHBand="0" w:evenHBand="1" w:firstRowFirstColumn="0" w:firstRowLastColumn="0" w:lastRowFirstColumn="0" w:lastRowLastColumn="0"/>
            </w:pPr>
            <w:r>
              <w:t>35.</w:t>
            </w:r>
            <w:r w:rsidR="00534778">
              <w:t>8</w:t>
            </w:r>
          </w:p>
        </w:tc>
        <w:tc>
          <w:tcPr>
            <w:tcW w:w="652" w:type="pct"/>
          </w:tcPr>
          <w:p w:rsidR="00F65125" w:rsidRPr="008B6E82" w:rsidRDefault="00F65125" w:rsidP="00534778">
            <w:pPr>
              <w:cnfStyle w:val="000000010000" w:firstRow="0" w:lastRow="0" w:firstColumn="0" w:lastColumn="0" w:oddVBand="0" w:evenVBand="0" w:oddHBand="0" w:evenHBand="1" w:firstRowFirstColumn="0" w:firstRowLastColumn="0" w:lastRowFirstColumn="0" w:lastRowLastColumn="0"/>
            </w:pPr>
            <w:r>
              <w:t>36.</w:t>
            </w:r>
            <w:r w:rsidR="00534778">
              <w:t>7</w:t>
            </w:r>
          </w:p>
        </w:tc>
        <w:tc>
          <w:tcPr>
            <w:tcW w:w="652" w:type="pct"/>
          </w:tcPr>
          <w:p w:rsidR="00F65125" w:rsidRPr="008B6E82" w:rsidRDefault="00F65125" w:rsidP="00534778">
            <w:pPr>
              <w:cnfStyle w:val="000000010000" w:firstRow="0" w:lastRow="0" w:firstColumn="0" w:lastColumn="0" w:oddVBand="0" w:evenVBand="0" w:oddHBand="0" w:evenHBand="1" w:firstRowFirstColumn="0" w:firstRowLastColumn="0" w:lastRowFirstColumn="0" w:lastRowLastColumn="0"/>
            </w:pPr>
            <w:r>
              <w:t>38.</w:t>
            </w:r>
            <w:r w:rsidR="00534778">
              <w:t>4</w:t>
            </w:r>
          </w:p>
        </w:tc>
        <w:tc>
          <w:tcPr>
            <w:tcW w:w="650" w:type="pct"/>
          </w:tcPr>
          <w:p w:rsidR="00F65125" w:rsidRPr="008B6E82" w:rsidRDefault="00534778" w:rsidP="00534778">
            <w:pPr>
              <w:cnfStyle w:val="000000010000" w:firstRow="0" w:lastRow="0" w:firstColumn="0" w:lastColumn="0" w:oddVBand="0" w:evenVBand="0" w:oddHBand="0" w:evenHBand="1" w:firstRowFirstColumn="0" w:firstRowLastColumn="0" w:lastRowFirstColumn="0" w:lastRowLastColumn="0"/>
            </w:pPr>
            <w:r>
              <w:t>40</w:t>
            </w:r>
            <w:r w:rsidR="00F65125">
              <w:t>.</w:t>
            </w:r>
            <w:r>
              <w:t>1</w:t>
            </w:r>
          </w:p>
        </w:tc>
        <w:tc>
          <w:tcPr>
            <w:tcW w:w="650" w:type="pct"/>
          </w:tcPr>
          <w:p w:rsidR="00F65125" w:rsidRPr="008B6E82" w:rsidRDefault="00F65125" w:rsidP="00534778">
            <w:pPr>
              <w:cnfStyle w:val="000000010000" w:firstRow="0" w:lastRow="0" w:firstColumn="0" w:lastColumn="0" w:oddVBand="0" w:evenVBand="0" w:oddHBand="0" w:evenHBand="1" w:firstRowFirstColumn="0" w:firstRowLastColumn="0" w:lastRowFirstColumn="0" w:lastRowLastColumn="0"/>
            </w:pPr>
            <w:r>
              <w:t>41.</w:t>
            </w:r>
            <w:r w:rsidR="00534778">
              <w:t>3</w:t>
            </w:r>
          </w:p>
        </w:tc>
      </w:tr>
      <w:tr w:rsidR="00F65125" w:rsidRPr="008B6E82" w:rsidTr="00B930F1">
        <w:tc>
          <w:tcPr>
            <w:cnfStyle w:val="001000000000" w:firstRow="0" w:lastRow="0" w:firstColumn="1" w:lastColumn="0" w:oddVBand="0" w:evenVBand="0" w:oddHBand="0" w:evenHBand="0" w:firstRowFirstColumn="0" w:firstRowLastColumn="0" w:lastRowFirstColumn="0" w:lastRowLastColumn="0"/>
            <w:tcW w:w="1743" w:type="pct"/>
          </w:tcPr>
          <w:p w:rsidR="00F65125" w:rsidRPr="008B6E82" w:rsidRDefault="004D36DE" w:rsidP="008B6E82">
            <w:r>
              <w:t>change from previous year (percentage)</w:t>
            </w:r>
          </w:p>
        </w:tc>
        <w:tc>
          <w:tcPr>
            <w:tcW w:w="652" w:type="pct"/>
          </w:tcPr>
          <w:p w:rsidR="00F65125" w:rsidRPr="008B6E82" w:rsidRDefault="004D36DE" w:rsidP="00534778">
            <w:pPr>
              <w:cnfStyle w:val="000000000000" w:firstRow="0" w:lastRow="0" w:firstColumn="0" w:lastColumn="0" w:oddVBand="0" w:evenVBand="0" w:oddHBand="0" w:evenHBand="0" w:firstRowFirstColumn="0" w:firstRowLastColumn="0" w:lastRowFirstColumn="0" w:lastRowLastColumn="0"/>
            </w:pPr>
            <w:r>
              <w:t>-</w:t>
            </w:r>
            <w:r w:rsidR="00534778">
              <w:t>19.3</w:t>
            </w:r>
          </w:p>
        </w:tc>
        <w:tc>
          <w:tcPr>
            <w:tcW w:w="652" w:type="pct"/>
          </w:tcPr>
          <w:p w:rsidR="00F65125" w:rsidRPr="008B6E82" w:rsidRDefault="004D36DE" w:rsidP="008B6E82">
            <w:pPr>
              <w:cnfStyle w:val="000000000000" w:firstRow="0" w:lastRow="0" w:firstColumn="0" w:lastColumn="0" w:oddVBand="0" w:evenVBand="0" w:oddHBand="0" w:evenHBand="0" w:firstRowFirstColumn="0" w:firstRowLastColumn="0" w:lastRowFirstColumn="0" w:lastRowLastColumn="0"/>
            </w:pPr>
            <w:r>
              <w:t>2.6</w:t>
            </w:r>
          </w:p>
        </w:tc>
        <w:tc>
          <w:tcPr>
            <w:tcW w:w="652" w:type="pct"/>
          </w:tcPr>
          <w:p w:rsidR="00F65125" w:rsidRPr="008B6E82" w:rsidRDefault="004D36DE" w:rsidP="008B6E82">
            <w:pPr>
              <w:cnfStyle w:val="000000000000" w:firstRow="0" w:lastRow="0" w:firstColumn="0" w:lastColumn="0" w:oddVBand="0" w:evenVBand="0" w:oddHBand="0" w:evenHBand="0" w:firstRowFirstColumn="0" w:firstRowLastColumn="0" w:lastRowFirstColumn="0" w:lastRowLastColumn="0"/>
            </w:pPr>
            <w:r>
              <w:t>4.4</w:t>
            </w:r>
          </w:p>
        </w:tc>
        <w:tc>
          <w:tcPr>
            <w:tcW w:w="650" w:type="pct"/>
          </w:tcPr>
          <w:p w:rsidR="00F65125" w:rsidRPr="008B6E82" w:rsidRDefault="004D36DE" w:rsidP="004D36DE">
            <w:pPr>
              <w:cnfStyle w:val="000000000000" w:firstRow="0" w:lastRow="0" w:firstColumn="0" w:lastColumn="0" w:oddVBand="0" w:evenVBand="0" w:oddHBand="0" w:evenHBand="0" w:firstRowFirstColumn="0" w:firstRowLastColumn="0" w:lastRowFirstColumn="0" w:lastRowLastColumn="0"/>
            </w:pPr>
            <w:r>
              <w:t>4.5</w:t>
            </w:r>
          </w:p>
        </w:tc>
        <w:tc>
          <w:tcPr>
            <w:tcW w:w="650" w:type="pct"/>
          </w:tcPr>
          <w:p w:rsidR="00F65125" w:rsidRPr="008B6E82" w:rsidRDefault="004D36DE" w:rsidP="008B6E82">
            <w:pPr>
              <w:cnfStyle w:val="000000000000" w:firstRow="0" w:lastRow="0" w:firstColumn="0" w:lastColumn="0" w:oddVBand="0" w:evenVBand="0" w:oddHBand="0" w:evenHBand="0" w:firstRowFirstColumn="0" w:firstRowLastColumn="0" w:lastRowFirstColumn="0" w:lastRowLastColumn="0"/>
            </w:pPr>
            <w:r>
              <w:t>3.1</w:t>
            </w:r>
          </w:p>
        </w:tc>
      </w:tr>
    </w:tbl>
    <w:p w:rsidR="008B6E82" w:rsidRPr="008B6E82" w:rsidRDefault="008B6E82" w:rsidP="00656236">
      <w:pPr>
        <w:pStyle w:val="AERtablesource"/>
      </w:pPr>
      <w:r w:rsidRPr="008B6E82">
        <w:t>Source: AER analysis.</w:t>
      </w:r>
    </w:p>
    <w:p w:rsidR="008B6E82" w:rsidRPr="008B6E82" w:rsidRDefault="008B6E82" w:rsidP="008B6E82">
      <w:r>
        <w:t>Preliminary</w:t>
      </w:r>
      <w:r w:rsidRPr="008B6E82">
        <w:t xml:space="preserve"> decision prices for each light type are set out in</w:t>
      </w:r>
      <w:r w:rsidR="00656236">
        <w:t xml:space="preserve"> </w:t>
      </w:r>
      <w:r w:rsidR="00656236">
        <w:fldChar w:fldCharType="begin"/>
      </w:r>
      <w:r w:rsidR="00656236">
        <w:instrText xml:space="preserve"> REF _Ref415233953 \h </w:instrText>
      </w:r>
      <w:r w:rsidR="00656236">
        <w:fldChar w:fldCharType="separate"/>
      </w:r>
      <w:r w:rsidR="005E73B8" w:rsidRPr="00656236">
        <w:t xml:space="preserve">Table </w:t>
      </w:r>
      <w:r w:rsidR="005E73B8">
        <w:rPr>
          <w:noProof/>
        </w:rPr>
        <w:t>16</w:t>
      </w:r>
      <w:r w:rsidR="005E73B8">
        <w:t>.</w:t>
      </w:r>
      <w:r w:rsidR="005E73B8">
        <w:rPr>
          <w:noProof/>
        </w:rPr>
        <w:t>22</w:t>
      </w:r>
      <w:r w:rsidR="00656236">
        <w:fldChar w:fldCharType="end"/>
      </w:r>
      <w:r w:rsidRPr="008B6E82">
        <w:t>.</w:t>
      </w:r>
    </w:p>
    <w:p w:rsidR="00656236" w:rsidRPr="00656236" w:rsidRDefault="00656236" w:rsidP="00656236">
      <w:pPr>
        <w:pStyle w:val="Caption"/>
      </w:pPr>
      <w:bookmarkStart w:id="189" w:name="_Ref415233953"/>
      <w:r w:rsidRPr="00656236">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22</w:t>
        </w:r>
      </w:fldSimple>
      <w:bookmarkEnd w:id="189"/>
      <w:r w:rsidRPr="00656236">
        <w:t xml:space="preserve"> Preliminary decision prices for public lights</w:t>
      </w:r>
      <w:r w:rsidR="0093765A">
        <w:t>, $ day</w:t>
      </w:r>
    </w:p>
    <w:tbl>
      <w:tblPr>
        <w:tblStyle w:val="AERtable-numbers"/>
        <w:tblW w:w="5000" w:type="pct"/>
        <w:tblLook w:val="04A0" w:firstRow="1" w:lastRow="0" w:firstColumn="1" w:lastColumn="0" w:noHBand="0" w:noVBand="1"/>
      </w:tblPr>
      <w:tblGrid>
        <w:gridCol w:w="2058"/>
        <w:gridCol w:w="1327"/>
        <w:gridCol w:w="1327"/>
        <w:gridCol w:w="1327"/>
        <w:gridCol w:w="1327"/>
        <w:gridCol w:w="1327"/>
      </w:tblGrid>
      <w:tr w:rsidR="00656236" w:rsidRPr="00656236" w:rsidTr="003D5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656236" w:rsidRPr="00656236" w:rsidRDefault="00656236" w:rsidP="00656236"/>
        </w:tc>
        <w:tc>
          <w:tcPr>
            <w:tcW w:w="763" w:type="pct"/>
            <w:vAlign w:val="top"/>
          </w:tcPr>
          <w:p w:rsidR="00656236" w:rsidRPr="00656236" w:rsidRDefault="00656236" w:rsidP="00CF6341">
            <w:pPr>
              <w:cnfStyle w:val="100000000000" w:firstRow="1" w:lastRow="0" w:firstColumn="0" w:lastColumn="0" w:oddVBand="0" w:evenVBand="0" w:oddHBand="0" w:evenHBand="0" w:firstRowFirstColumn="0" w:firstRowLastColumn="0" w:lastRowFirstColumn="0" w:lastRowLastColumn="0"/>
            </w:pPr>
            <w:r w:rsidRPr="00656236">
              <w:t>2015</w:t>
            </w:r>
            <w:r w:rsidR="00CF6341">
              <w:t>—</w:t>
            </w:r>
            <w:r w:rsidRPr="00656236">
              <w:t>16</w:t>
            </w:r>
          </w:p>
        </w:tc>
        <w:tc>
          <w:tcPr>
            <w:tcW w:w="763" w:type="pct"/>
            <w:vAlign w:val="top"/>
          </w:tcPr>
          <w:p w:rsidR="00656236" w:rsidRPr="00656236" w:rsidRDefault="00656236" w:rsidP="00CF6341">
            <w:pPr>
              <w:cnfStyle w:val="100000000000" w:firstRow="1" w:lastRow="0" w:firstColumn="0" w:lastColumn="0" w:oddVBand="0" w:evenVBand="0" w:oddHBand="0" w:evenHBand="0" w:firstRowFirstColumn="0" w:firstRowLastColumn="0" w:lastRowFirstColumn="0" w:lastRowLastColumn="0"/>
            </w:pPr>
            <w:r w:rsidRPr="00656236">
              <w:t>2016</w:t>
            </w:r>
            <w:r w:rsidR="00CF6341">
              <w:t>—</w:t>
            </w:r>
            <w:r w:rsidRPr="00656236">
              <w:t>17</w:t>
            </w:r>
          </w:p>
        </w:tc>
        <w:tc>
          <w:tcPr>
            <w:tcW w:w="763" w:type="pct"/>
            <w:vAlign w:val="top"/>
          </w:tcPr>
          <w:p w:rsidR="00656236" w:rsidRPr="00656236" w:rsidRDefault="00656236" w:rsidP="00CF6341">
            <w:pPr>
              <w:cnfStyle w:val="100000000000" w:firstRow="1" w:lastRow="0" w:firstColumn="0" w:lastColumn="0" w:oddVBand="0" w:evenVBand="0" w:oddHBand="0" w:evenHBand="0" w:firstRowFirstColumn="0" w:firstRowLastColumn="0" w:lastRowFirstColumn="0" w:lastRowLastColumn="0"/>
            </w:pPr>
            <w:r w:rsidRPr="00656236">
              <w:t>2017</w:t>
            </w:r>
            <w:r w:rsidR="00CF6341">
              <w:t>—</w:t>
            </w:r>
            <w:r w:rsidRPr="00656236">
              <w:t>18</w:t>
            </w:r>
          </w:p>
        </w:tc>
        <w:tc>
          <w:tcPr>
            <w:tcW w:w="763" w:type="pct"/>
            <w:vAlign w:val="top"/>
          </w:tcPr>
          <w:p w:rsidR="00656236" w:rsidRPr="00656236" w:rsidRDefault="00656236" w:rsidP="00CF6341">
            <w:pPr>
              <w:cnfStyle w:val="100000000000" w:firstRow="1" w:lastRow="0" w:firstColumn="0" w:lastColumn="0" w:oddVBand="0" w:evenVBand="0" w:oddHBand="0" w:evenHBand="0" w:firstRowFirstColumn="0" w:firstRowLastColumn="0" w:lastRowFirstColumn="0" w:lastRowLastColumn="0"/>
            </w:pPr>
            <w:r w:rsidRPr="00656236">
              <w:t>2018</w:t>
            </w:r>
            <w:r w:rsidR="00CF6341">
              <w:t>—</w:t>
            </w:r>
            <w:r w:rsidRPr="00656236">
              <w:t>19</w:t>
            </w:r>
          </w:p>
        </w:tc>
        <w:tc>
          <w:tcPr>
            <w:tcW w:w="763" w:type="pct"/>
            <w:vAlign w:val="top"/>
          </w:tcPr>
          <w:p w:rsidR="00656236" w:rsidRPr="00656236" w:rsidRDefault="00656236" w:rsidP="00CF6341">
            <w:pPr>
              <w:cnfStyle w:val="100000000000" w:firstRow="1" w:lastRow="0" w:firstColumn="0" w:lastColumn="0" w:oddVBand="0" w:evenVBand="0" w:oddHBand="0" w:evenHBand="0" w:firstRowFirstColumn="0" w:firstRowLastColumn="0" w:lastRowFirstColumn="0" w:lastRowLastColumn="0"/>
            </w:pPr>
            <w:r w:rsidRPr="00656236">
              <w:t>2019</w:t>
            </w:r>
            <w:r w:rsidR="00CF6341">
              <w:t>—</w:t>
            </w:r>
            <w:r w:rsidRPr="00656236">
              <w:t>20</w:t>
            </w:r>
          </w:p>
        </w:tc>
      </w:tr>
      <w:tr w:rsidR="00656236" w:rsidRPr="00656236" w:rsidTr="003D5DD2">
        <w:tc>
          <w:tcPr>
            <w:cnfStyle w:val="001000000000" w:firstRow="0" w:lastRow="0" w:firstColumn="1" w:lastColumn="0" w:oddVBand="0" w:evenVBand="0" w:oddHBand="0" w:evenHBand="0" w:firstRowFirstColumn="0" w:firstRowLastColumn="0" w:lastRowFirstColumn="0" w:lastRowLastColumn="0"/>
            <w:tcW w:w="1184" w:type="pct"/>
            <w:vAlign w:val="top"/>
          </w:tcPr>
          <w:p w:rsidR="003D5DD2" w:rsidRPr="00656236" w:rsidRDefault="003D5DD2" w:rsidP="00656236">
            <w:r w:rsidRPr="00656236">
              <w:t>EO&amp;O - Major</w:t>
            </w:r>
          </w:p>
        </w:tc>
        <w:tc>
          <w:tcPr>
            <w:tcW w:w="763" w:type="pct"/>
            <w:vAlign w:val="bottom"/>
          </w:tcPr>
          <w:p w:rsidR="003D5DD2" w:rsidRPr="00656236" w:rsidRDefault="00F65125" w:rsidP="006F370C">
            <w:pPr>
              <w:cnfStyle w:val="000000000000" w:firstRow="0" w:lastRow="0" w:firstColumn="0" w:lastColumn="0" w:oddVBand="0" w:evenVBand="0" w:oddHBand="0" w:evenHBand="0" w:firstRowFirstColumn="0" w:firstRowLastColumn="0" w:lastRowFirstColumn="0" w:lastRowLastColumn="0"/>
            </w:pPr>
            <w:r>
              <w:t>0.7</w:t>
            </w:r>
            <w:r w:rsidR="006F370C">
              <w:t>8</w:t>
            </w:r>
          </w:p>
        </w:tc>
        <w:tc>
          <w:tcPr>
            <w:tcW w:w="763" w:type="pct"/>
            <w:vAlign w:val="bottom"/>
          </w:tcPr>
          <w:p w:rsidR="003D5DD2" w:rsidRPr="00656236" w:rsidRDefault="00F65125" w:rsidP="006F370C">
            <w:pPr>
              <w:cnfStyle w:val="000000000000" w:firstRow="0" w:lastRow="0" w:firstColumn="0" w:lastColumn="0" w:oddVBand="0" w:evenVBand="0" w:oddHBand="0" w:evenHBand="0" w:firstRowFirstColumn="0" w:firstRowLastColumn="0" w:lastRowFirstColumn="0" w:lastRowLastColumn="0"/>
            </w:pPr>
            <w:r>
              <w:t>0.</w:t>
            </w:r>
            <w:r w:rsidR="006F370C">
              <w:t>80</w:t>
            </w:r>
          </w:p>
        </w:tc>
        <w:tc>
          <w:tcPr>
            <w:tcW w:w="763" w:type="pct"/>
            <w:vAlign w:val="bottom"/>
          </w:tcPr>
          <w:p w:rsidR="003D5DD2" w:rsidRPr="00656236" w:rsidRDefault="00F65125" w:rsidP="006F370C">
            <w:pPr>
              <w:cnfStyle w:val="000000000000" w:firstRow="0" w:lastRow="0" w:firstColumn="0" w:lastColumn="0" w:oddVBand="0" w:evenVBand="0" w:oddHBand="0" w:evenHBand="0" w:firstRowFirstColumn="0" w:firstRowLastColumn="0" w:lastRowFirstColumn="0" w:lastRowLastColumn="0"/>
            </w:pPr>
            <w:r>
              <w:t>0.8</w:t>
            </w:r>
            <w:r w:rsidR="006F370C">
              <w:t>2</w:t>
            </w:r>
          </w:p>
        </w:tc>
        <w:tc>
          <w:tcPr>
            <w:tcW w:w="763" w:type="pct"/>
            <w:vAlign w:val="bottom"/>
          </w:tcPr>
          <w:p w:rsidR="003D5DD2" w:rsidRPr="00656236" w:rsidRDefault="00F65125" w:rsidP="00656236">
            <w:pPr>
              <w:cnfStyle w:val="000000000000" w:firstRow="0" w:lastRow="0" w:firstColumn="0" w:lastColumn="0" w:oddVBand="0" w:evenVBand="0" w:oddHBand="0" w:evenHBand="0" w:firstRowFirstColumn="0" w:firstRowLastColumn="0" w:lastRowFirstColumn="0" w:lastRowLastColumn="0"/>
            </w:pPr>
            <w:r>
              <w:t>0.83</w:t>
            </w:r>
          </w:p>
        </w:tc>
        <w:tc>
          <w:tcPr>
            <w:tcW w:w="763" w:type="pct"/>
            <w:vAlign w:val="bottom"/>
          </w:tcPr>
          <w:p w:rsidR="003D5DD2" w:rsidRPr="00656236" w:rsidRDefault="00F65125" w:rsidP="00656236">
            <w:pPr>
              <w:cnfStyle w:val="000000000000" w:firstRow="0" w:lastRow="0" w:firstColumn="0" w:lastColumn="0" w:oddVBand="0" w:evenVBand="0" w:oddHBand="0" w:evenHBand="0" w:firstRowFirstColumn="0" w:firstRowLastColumn="0" w:lastRowFirstColumn="0" w:lastRowLastColumn="0"/>
            </w:pPr>
            <w:r>
              <w:t>0.85</w:t>
            </w:r>
          </w:p>
        </w:tc>
      </w:tr>
      <w:tr w:rsidR="009672BC" w:rsidRPr="00656236" w:rsidTr="003D5D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9672BC" w:rsidRPr="009672BC" w:rsidRDefault="009672BC" w:rsidP="009672BC">
            <w:r w:rsidRPr="00656236">
              <w:t>EO&amp;O - Minor</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0.27</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0.28</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0.28</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0.29</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0.30</w:t>
            </w:r>
          </w:p>
        </w:tc>
      </w:tr>
      <w:tr w:rsidR="009672BC" w:rsidRPr="00656236" w:rsidTr="003D5DD2">
        <w:tc>
          <w:tcPr>
            <w:cnfStyle w:val="001000000000" w:firstRow="0" w:lastRow="0" w:firstColumn="1" w:lastColumn="0" w:oddVBand="0" w:evenVBand="0" w:oddHBand="0" w:evenHBand="0" w:firstRowFirstColumn="0" w:firstRowLastColumn="0" w:lastRowFirstColumn="0" w:lastRowLastColumn="0"/>
            <w:tcW w:w="1184" w:type="pct"/>
            <w:vAlign w:val="top"/>
          </w:tcPr>
          <w:p w:rsidR="009672BC" w:rsidRPr="009672BC" w:rsidRDefault="009672BC" w:rsidP="009672BC">
            <w:r w:rsidRPr="00656236">
              <w:t>GO&amp;O - Major</w:t>
            </w:r>
          </w:p>
        </w:tc>
        <w:tc>
          <w:tcPr>
            <w:tcW w:w="763" w:type="pct"/>
            <w:vAlign w:val="bottom"/>
          </w:tcPr>
          <w:p w:rsidR="009672BC" w:rsidRPr="009672BC" w:rsidRDefault="009672BC" w:rsidP="006F370C">
            <w:pPr>
              <w:cnfStyle w:val="000000000000" w:firstRow="0" w:lastRow="0" w:firstColumn="0" w:lastColumn="0" w:oddVBand="0" w:evenVBand="0" w:oddHBand="0" w:evenHBand="0" w:firstRowFirstColumn="0" w:firstRowLastColumn="0" w:lastRowFirstColumn="0" w:lastRowLastColumn="0"/>
            </w:pPr>
            <w:r>
              <w:t>0.3</w:t>
            </w:r>
            <w:r w:rsidR="006F370C">
              <w:t>6</w:t>
            </w:r>
          </w:p>
        </w:tc>
        <w:tc>
          <w:tcPr>
            <w:tcW w:w="763" w:type="pct"/>
            <w:vAlign w:val="bottom"/>
          </w:tcPr>
          <w:p w:rsidR="009672BC" w:rsidRPr="009672BC" w:rsidRDefault="009672BC" w:rsidP="006F370C">
            <w:pPr>
              <w:cnfStyle w:val="000000000000" w:firstRow="0" w:lastRow="0" w:firstColumn="0" w:lastColumn="0" w:oddVBand="0" w:evenVBand="0" w:oddHBand="0" w:evenHBand="0" w:firstRowFirstColumn="0" w:firstRowLastColumn="0" w:lastRowFirstColumn="0" w:lastRowLastColumn="0"/>
            </w:pPr>
            <w:r>
              <w:t>0.3</w:t>
            </w:r>
            <w:r w:rsidR="006F370C">
              <w:t>7</w:t>
            </w:r>
          </w:p>
        </w:tc>
        <w:tc>
          <w:tcPr>
            <w:tcW w:w="763" w:type="pct"/>
            <w:vAlign w:val="bottom"/>
          </w:tcPr>
          <w:p w:rsidR="009672BC" w:rsidRPr="009672BC" w:rsidRDefault="009672BC" w:rsidP="009672BC">
            <w:pPr>
              <w:cnfStyle w:val="000000000000" w:firstRow="0" w:lastRow="0" w:firstColumn="0" w:lastColumn="0" w:oddVBand="0" w:evenVBand="0" w:oddHBand="0" w:evenHBand="0" w:firstRowFirstColumn="0" w:firstRowLastColumn="0" w:lastRowFirstColumn="0" w:lastRowLastColumn="0"/>
            </w:pPr>
            <w:r>
              <w:t>0.37</w:t>
            </w:r>
          </w:p>
        </w:tc>
        <w:tc>
          <w:tcPr>
            <w:tcW w:w="763" w:type="pct"/>
            <w:vAlign w:val="bottom"/>
          </w:tcPr>
          <w:p w:rsidR="009672BC" w:rsidRPr="009672BC" w:rsidRDefault="009672BC" w:rsidP="009672BC">
            <w:pPr>
              <w:cnfStyle w:val="000000000000" w:firstRow="0" w:lastRow="0" w:firstColumn="0" w:lastColumn="0" w:oddVBand="0" w:evenVBand="0" w:oddHBand="0" w:evenHBand="0" w:firstRowFirstColumn="0" w:firstRowLastColumn="0" w:lastRowFirstColumn="0" w:lastRowLastColumn="0"/>
            </w:pPr>
            <w:r>
              <w:t>0.38</w:t>
            </w:r>
          </w:p>
        </w:tc>
        <w:tc>
          <w:tcPr>
            <w:tcW w:w="763" w:type="pct"/>
            <w:vAlign w:val="bottom"/>
          </w:tcPr>
          <w:p w:rsidR="009672BC" w:rsidRPr="009672BC" w:rsidRDefault="009672BC" w:rsidP="009672BC">
            <w:pPr>
              <w:cnfStyle w:val="000000000000" w:firstRow="0" w:lastRow="0" w:firstColumn="0" w:lastColumn="0" w:oddVBand="0" w:evenVBand="0" w:oddHBand="0" w:evenHBand="0" w:firstRowFirstColumn="0" w:firstRowLastColumn="0" w:lastRowFirstColumn="0" w:lastRowLastColumn="0"/>
            </w:pPr>
            <w:r>
              <w:t>0.39</w:t>
            </w:r>
          </w:p>
        </w:tc>
      </w:tr>
      <w:tr w:rsidR="009672BC" w:rsidRPr="00656236" w:rsidTr="003D5D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9672BC" w:rsidRPr="009672BC" w:rsidRDefault="009672BC" w:rsidP="009672BC">
            <w:r w:rsidRPr="00656236">
              <w:t>GO&amp;O -</w:t>
            </w:r>
            <w:r w:rsidRPr="009672BC">
              <w:t xml:space="preserve"> Minor</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0.13</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0.13</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0.14</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0.14</w:t>
            </w:r>
          </w:p>
        </w:tc>
        <w:tc>
          <w:tcPr>
            <w:tcW w:w="763" w:type="pct"/>
            <w:vAlign w:val="bottom"/>
          </w:tcPr>
          <w:p w:rsidR="009672BC" w:rsidRPr="009672BC" w:rsidRDefault="009672BC" w:rsidP="009672BC">
            <w:pPr>
              <w:cnfStyle w:val="000000010000" w:firstRow="0" w:lastRow="0" w:firstColumn="0" w:lastColumn="0" w:oddVBand="0" w:evenVBand="0" w:oddHBand="0" w:evenHBand="1" w:firstRowFirstColumn="0" w:firstRowLastColumn="0" w:lastRowFirstColumn="0" w:lastRowLastColumn="0"/>
            </w:pPr>
            <w:r>
              <w:t>0.14</w:t>
            </w:r>
          </w:p>
        </w:tc>
      </w:tr>
    </w:tbl>
    <w:p w:rsidR="003D5DD2" w:rsidRDefault="003D5DD2" w:rsidP="00656236">
      <w:pPr>
        <w:pStyle w:val="AERtablesource"/>
      </w:pPr>
      <w:r w:rsidRPr="00656236">
        <w:t xml:space="preserve">Source: AER </w:t>
      </w:r>
      <w:r w:rsidR="00656236" w:rsidRPr="00656236">
        <w:t>Analysis</w:t>
      </w:r>
    </w:p>
    <w:p w:rsidR="0051318C" w:rsidRDefault="00795FC3" w:rsidP="00795FC3">
      <w:pPr>
        <w:pStyle w:val="Heading7"/>
      </w:pPr>
      <w:bookmarkStart w:id="190" w:name="_Toc417996138"/>
      <w:r>
        <w:lastRenderedPageBreak/>
        <w:t>App</w:t>
      </w:r>
      <w:r w:rsidR="00B5694C">
        <w:t>roved charges</w:t>
      </w:r>
      <w:bookmarkEnd w:id="190"/>
    </w:p>
    <w:p w:rsidR="0051318C" w:rsidRDefault="009B1D33" w:rsidP="00795FC3">
      <w:pPr>
        <w:pStyle w:val="Heading8"/>
      </w:pPr>
      <w:bookmarkStart w:id="191" w:name="_Ref417556441"/>
      <w:r>
        <w:t>Ancillary network services</w:t>
      </w:r>
      <w:bookmarkEnd w:id="191"/>
    </w:p>
    <w:p w:rsidR="009B1D33" w:rsidRPr="009B1D33" w:rsidRDefault="008A6FA5" w:rsidP="008A6FA5">
      <w:pPr>
        <w:pStyle w:val="Caption"/>
      </w:pPr>
      <w:bookmarkStart w:id="192" w:name="_Ref417555351"/>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23</w:t>
        </w:r>
      </w:fldSimple>
      <w:bookmarkEnd w:id="192"/>
      <w:r>
        <w:tab/>
        <w:t>Ancillary network services, preliminary decision</w:t>
      </w:r>
    </w:p>
    <w:tbl>
      <w:tblPr>
        <w:tblStyle w:val="AERtable-text0"/>
        <w:tblW w:w="0" w:type="auto"/>
        <w:tblLayout w:type="fixed"/>
        <w:tblLook w:val="04A0" w:firstRow="1" w:lastRow="0" w:firstColumn="1" w:lastColumn="0" w:noHBand="0" w:noVBand="1"/>
      </w:tblPr>
      <w:tblGrid>
        <w:gridCol w:w="1449"/>
        <w:gridCol w:w="1449"/>
        <w:gridCol w:w="1449"/>
        <w:gridCol w:w="1448"/>
        <w:gridCol w:w="1449"/>
        <w:gridCol w:w="1449"/>
      </w:tblGrid>
      <w:tr w:rsidR="006515DC" w:rsidRPr="00D56EA3" w:rsidTr="009C1B5E">
        <w:trPr>
          <w:cnfStyle w:val="100000000000" w:firstRow="1" w:lastRow="0" w:firstColumn="0" w:lastColumn="0" w:oddVBand="0" w:evenVBand="0" w:oddHBand="0" w:evenHBand="0" w:firstRowFirstColumn="0" w:firstRowLastColumn="0" w:lastRowFirstColumn="0" w:lastRowLastColumn="0"/>
          <w:trHeight w:val="315"/>
          <w:tblHeader/>
        </w:trPr>
        <w:tc>
          <w:tcPr>
            <w:tcW w:w="1449" w:type="dxa"/>
          </w:tcPr>
          <w:p w:rsidR="006515DC" w:rsidRPr="00AF4EE6" w:rsidRDefault="006515DC" w:rsidP="00CD7AF9">
            <w:r>
              <w:t>Service Category</w:t>
            </w:r>
          </w:p>
        </w:tc>
        <w:tc>
          <w:tcPr>
            <w:tcW w:w="1449" w:type="dxa"/>
            <w:hideMark/>
          </w:tcPr>
          <w:p w:rsidR="006515DC" w:rsidRPr="00CD7AF9" w:rsidRDefault="006515DC" w:rsidP="006515DC">
            <w:r w:rsidRPr="00AF4EE6">
              <w:t>Service</w:t>
            </w:r>
            <w:r>
              <w:t xml:space="preserve"> Description</w:t>
            </w:r>
          </w:p>
        </w:tc>
        <w:tc>
          <w:tcPr>
            <w:tcW w:w="1449" w:type="dxa"/>
          </w:tcPr>
          <w:p w:rsidR="006515DC" w:rsidRPr="00CD7AF9" w:rsidRDefault="006515DC" w:rsidP="00CD7AF9">
            <w:r>
              <w:t>Fee Type</w:t>
            </w:r>
          </w:p>
        </w:tc>
        <w:tc>
          <w:tcPr>
            <w:tcW w:w="1448" w:type="dxa"/>
            <w:noWrap/>
            <w:hideMark/>
          </w:tcPr>
          <w:p w:rsidR="006515DC" w:rsidRPr="00CD7AF9" w:rsidRDefault="006515DC" w:rsidP="00CD7AF9">
            <w:r w:rsidRPr="00AF4EE6">
              <w:t>Proposed price</w:t>
            </w:r>
            <w:r w:rsidRPr="00CD7AF9">
              <w:t xml:space="preserve">               ($2015–16)</w:t>
            </w:r>
          </w:p>
        </w:tc>
        <w:tc>
          <w:tcPr>
            <w:tcW w:w="1449" w:type="dxa"/>
            <w:noWrap/>
            <w:hideMark/>
          </w:tcPr>
          <w:p w:rsidR="006515DC" w:rsidRPr="00CD7AF9" w:rsidRDefault="006515DC" w:rsidP="00770223">
            <w:r w:rsidRPr="00AF4EE6">
              <w:t xml:space="preserve">AER </w:t>
            </w:r>
            <w:r w:rsidR="00770223">
              <w:t>preliminary</w:t>
            </w:r>
            <w:r w:rsidRPr="00AF4EE6">
              <w:t xml:space="preserve"> decision </w:t>
            </w:r>
            <w:r w:rsidRPr="00CD7AF9">
              <w:t xml:space="preserve">   ($2015–16)</w:t>
            </w:r>
          </w:p>
        </w:tc>
        <w:tc>
          <w:tcPr>
            <w:tcW w:w="1449" w:type="dxa"/>
            <w:noWrap/>
            <w:hideMark/>
          </w:tcPr>
          <w:p w:rsidR="006515DC" w:rsidRPr="00CD7AF9" w:rsidRDefault="006515DC" w:rsidP="00770223">
            <w:r w:rsidRPr="00AF4EE6">
              <w:t>% (</w:t>
            </w:r>
            <w:r w:rsidR="00770223">
              <w:t>preliminary</w:t>
            </w:r>
            <w:r w:rsidRPr="00AF4EE6">
              <w:t xml:space="preserve"> </w:t>
            </w:r>
            <w:proofErr w:type="spellStart"/>
            <w:r w:rsidRPr="00AF4EE6">
              <w:t>cf</w:t>
            </w:r>
            <w:proofErr w:type="spellEnd"/>
            <w:r w:rsidRPr="00AF4EE6">
              <w:t xml:space="preserve"> proposed)</w:t>
            </w:r>
          </w:p>
        </w:tc>
      </w:tr>
      <w:tr w:rsidR="006515DC" w:rsidRPr="00D56EA3" w:rsidTr="009C1B5E">
        <w:trPr>
          <w:trHeight w:val="300"/>
        </w:trPr>
        <w:tc>
          <w:tcPr>
            <w:tcW w:w="1449" w:type="dxa"/>
          </w:tcPr>
          <w:p w:rsidR="006515DC" w:rsidRPr="006515DC" w:rsidRDefault="006515DC" w:rsidP="006515DC">
            <w:r w:rsidRPr="006515DC">
              <w:t>Application services to assess connection application and making of compliant connection offer.</w:t>
            </w:r>
          </w:p>
        </w:tc>
        <w:tc>
          <w:tcPr>
            <w:tcW w:w="1449" w:type="dxa"/>
            <w:hideMark/>
          </w:tcPr>
          <w:p w:rsidR="006515DC" w:rsidRPr="006515DC" w:rsidRDefault="006515DC" w:rsidP="006515DC">
            <w:r w:rsidRPr="006515DC">
              <w:t>Large Customer Connections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5,198.14 </w:t>
            </w:r>
          </w:p>
        </w:tc>
        <w:tc>
          <w:tcPr>
            <w:tcW w:w="1449" w:type="dxa"/>
            <w:noWrap/>
            <w:hideMark/>
          </w:tcPr>
          <w:p w:rsidR="006515DC" w:rsidRPr="006515DC" w:rsidRDefault="006515DC" w:rsidP="006515DC">
            <w:r w:rsidRPr="006515DC">
              <w:t xml:space="preserve">5,198.14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Undertaking design for small customer or real estate development (sub-division) connection offer (excludes detailed design undertaken after a connection offer has been accepted)</w:t>
            </w:r>
          </w:p>
        </w:tc>
        <w:tc>
          <w:tcPr>
            <w:tcW w:w="1449" w:type="dxa"/>
            <w:hideMark/>
          </w:tcPr>
          <w:p w:rsidR="006515DC" w:rsidRPr="006515DC" w:rsidRDefault="006515DC" w:rsidP="006515DC">
            <w:r w:rsidRPr="006515DC">
              <w:t>Real Estate development (sub-division)</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7,147.44 </w:t>
            </w:r>
          </w:p>
        </w:tc>
        <w:tc>
          <w:tcPr>
            <w:tcW w:w="1449" w:type="dxa"/>
            <w:noWrap/>
            <w:hideMark/>
          </w:tcPr>
          <w:p w:rsidR="006515DC" w:rsidRPr="006515DC" w:rsidRDefault="006515DC" w:rsidP="006515DC">
            <w:r w:rsidRPr="006515DC">
              <w:t xml:space="preserve">7,147.44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Carrying out planning studies and analysis relating to distribution connection applications (including sub-transmission and dual function assets)</w:t>
            </w:r>
          </w:p>
        </w:tc>
        <w:tc>
          <w:tcPr>
            <w:tcW w:w="1449" w:type="dxa"/>
            <w:hideMark/>
          </w:tcPr>
          <w:p w:rsidR="006515DC" w:rsidRPr="006515DC" w:rsidRDefault="006515DC" w:rsidP="006515DC">
            <w:r w:rsidRPr="006515DC">
              <w:t>Large generators or loads that require feeders that may trigger transmission or distribution works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9,478.88 </w:t>
            </w:r>
          </w:p>
        </w:tc>
        <w:tc>
          <w:tcPr>
            <w:tcW w:w="1449" w:type="dxa"/>
            <w:noWrap/>
            <w:hideMark/>
          </w:tcPr>
          <w:p w:rsidR="006515DC" w:rsidRPr="006515DC" w:rsidRDefault="006515DC" w:rsidP="006515DC">
            <w:r w:rsidRPr="006515DC">
              <w:t xml:space="preserve">9,478.88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Feasibility and concept scoping, including planning and design, for large customer connections.</w:t>
            </w:r>
          </w:p>
        </w:tc>
        <w:tc>
          <w:tcPr>
            <w:tcW w:w="1449" w:type="dxa"/>
            <w:hideMark/>
          </w:tcPr>
          <w:p w:rsidR="006515DC" w:rsidRPr="006515DC" w:rsidRDefault="006515DC" w:rsidP="006515DC">
            <w:r w:rsidRPr="006515DC">
              <w:t>Large Customer Connections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3,574.47 </w:t>
            </w:r>
          </w:p>
        </w:tc>
        <w:tc>
          <w:tcPr>
            <w:tcW w:w="1449" w:type="dxa"/>
            <w:noWrap/>
            <w:hideMark/>
          </w:tcPr>
          <w:p w:rsidR="006515DC" w:rsidRPr="006515DC" w:rsidRDefault="006515DC" w:rsidP="006515DC">
            <w:r w:rsidRPr="006515DC">
              <w:t xml:space="preserve">3,574.47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Negotiation services involved in negotiating a connection agreement - complex</w:t>
            </w:r>
          </w:p>
        </w:tc>
        <w:tc>
          <w:tcPr>
            <w:tcW w:w="1449" w:type="dxa"/>
            <w:hideMark/>
          </w:tcPr>
          <w:p w:rsidR="006515DC" w:rsidRPr="006515DC" w:rsidRDefault="006515DC" w:rsidP="006515DC">
            <w:r w:rsidRPr="006515DC">
              <w:t>Large Customer Connections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1,516.62 </w:t>
            </w:r>
          </w:p>
        </w:tc>
        <w:tc>
          <w:tcPr>
            <w:tcW w:w="1449" w:type="dxa"/>
            <w:noWrap/>
            <w:hideMark/>
          </w:tcPr>
          <w:p w:rsidR="006515DC" w:rsidRPr="006515DC" w:rsidRDefault="006515DC" w:rsidP="006515DC">
            <w:r w:rsidRPr="006515DC">
              <w:t xml:space="preserve">1,516.62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 xml:space="preserve">Negotiation </w:t>
            </w:r>
            <w:r w:rsidRPr="006515DC">
              <w:lastRenderedPageBreak/>
              <w:t>services involved in negotiating a connection agreement - simple</w:t>
            </w:r>
          </w:p>
        </w:tc>
        <w:tc>
          <w:tcPr>
            <w:tcW w:w="1449" w:type="dxa"/>
            <w:hideMark/>
          </w:tcPr>
          <w:p w:rsidR="006515DC" w:rsidRPr="006515DC" w:rsidRDefault="006515DC" w:rsidP="006515DC">
            <w:r w:rsidRPr="006515DC">
              <w:lastRenderedPageBreak/>
              <w:t xml:space="preserve">Standard jobs for </w:t>
            </w:r>
            <w:r w:rsidRPr="006515DC">
              <w:lastRenderedPageBreak/>
              <w:t>Small Customer Connections and Real Estate Developments (sub-divisions). Please note that if job goes above &amp; beyond standard POA arrangement may apply instead.</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1,516.62 </w:t>
            </w:r>
          </w:p>
        </w:tc>
        <w:tc>
          <w:tcPr>
            <w:tcW w:w="1449" w:type="dxa"/>
            <w:noWrap/>
            <w:hideMark/>
          </w:tcPr>
          <w:p w:rsidR="006515DC" w:rsidRPr="006515DC" w:rsidRDefault="006515DC" w:rsidP="006515DC">
            <w:r w:rsidRPr="006515DC">
              <w:t xml:space="preserve">1,516.62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Tender process – distributor may carry out tender process on behalf of connection applicant or DNSP may assist connection application.</w:t>
            </w:r>
          </w:p>
        </w:tc>
        <w:tc>
          <w:tcPr>
            <w:tcW w:w="1449" w:type="dxa"/>
            <w:hideMark/>
          </w:tcPr>
          <w:p w:rsidR="006515DC" w:rsidRPr="006515DC" w:rsidRDefault="006515DC" w:rsidP="006515DC">
            <w:r w:rsidRPr="006515DC">
              <w:t>N/A</w:t>
            </w:r>
          </w:p>
        </w:tc>
        <w:tc>
          <w:tcPr>
            <w:tcW w:w="1449" w:type="dxa"/>
          </w:tcPr>
          <w:p w:rsidR="006515DC" w:rsidRPr="006515DC" w:rsidRDefault="006515DC" w:rsidP="006515DC">
            <w:r w:rsidRPr="006515DC">
              <w:t>N/A</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Protection and Power Quality assessment prior to connection - simple</w:t>
            </w:r>
          </w:p>
        </w:tc>
        <w:tc>
          <w:tcPr>
            <w:tcW w:w="1449" w:type="dxa"/>
            <w:hideMark/>
          </w:tcPr>
          <w:p w:rsidR="006515DC" w:rsidRPr="006515DC" w:rsidRDefault="006515DC" w:rsidP="006515DC">
            <w:r w:rsidRPr="006515DC">
              <w:t xml:space="preserve">Solar PV 30-150kW </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3,791.55 </w:t>
            </w:r>
          </w:p>
        </w:tc>
        <w:tc>
          <w:tcPr>
            <w:tcW w:w="1449" w:type="dxa"/>
            <w:noWrap/>
            <w:hideMark/>
          </w:tcPr>
          <w:p w:rsidR="006515DC" w:rsidRPr="006515DC" w:rsidRDefault="006515DC" w:rsidP="006515DC">
            <w:r w:rsidRPr="006515DC">
              <w:t xml:space="preserve">3,791.55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Protection and Power Quality assessment prior to connection - complex</w:t>
            </w:r>
          </w:p>
        </w:tc>
        <w:tc>
          <w:tcPr>
            <w:tcW w:w="1449" w:type="dxa"/>
            <w:hideMark/>
          </w:tcPr>
          <w:p w:rsidR="006515DC" w:rsidRPr="006515DC" w:rsidRDefault="006515DC" w:rsidP="006515DC">
            <w:r w:rsidRPr="006515DC">
              <w:t>Solar PV 150kW+ and Non Solar PV 30kW+</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3,791.55 </w:t>
            </w:r>
          </w:p>
        </w:tc>
        <w:tc>
          <w:tcPr>
            <w:tcW w:w="1449" w:type="dxa"/>
            <w:noWrap/>
            <w:hideMark/>
          </w:tcPr>
          <w:p w:rsidR="006515DC" w:rsidRPr="006515DC" w:rsidRDefault="006515DC" w:rsidP="006515DC">
            <w:r w:rsidRPr="006515DC">
              <w:t xml:space="preserve">3,791.55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Application assessment, design review and audit real estate development (sub-division) connection services.</w:t>
            </w:r>
          </w:p>
        </w:tc>
        <w:tc>
          <w:tcPr>
            <w:tcW w:w="1449" w:type="dxa"/>
            <w:hideMark/>
          </w:tcPr>
          <w:p w:rsidR="006515DC" w:rsidRPr="006515DC" w:rsidRDefault="006515DC" w:rsidP="006515DC">
            <w:r w:rsidRPr="006515DC">
              <w:t>Design Assessment and Preparation of Offer</w:t>
            </w:r>
            <w:r w:rsidRPr="006515DC">
              <w:br/>
              <w:t xml:space="preserve">Number of new, modified or recovered sites </w:t>
            </w:r>
            <w:r w:rsidRPr="006515DC">
              <w:br/>
              <w:t>7-30 Sites</w:t>
            </w:r>
          </w:p>
        </w:tc>
        <w:tc>
          <w:tcPr>
            <w:tcW w:w="1449" w:type="dxa"/>
          </w:tcPr>
          <w:p w:rsidR="006515DC" w:rsidRPr="006515DC" w:rsidRDefault="006515DC" w:rsidP="006515DC">
            <w:r w:rsidRPr="006515DC">
              <w:t>Quoted Example Only (potentially price cap in the future)</w:t>
            </w:r>
          </w:p>
        </w:tc>
        <w:tc>
          <w:tcPr>
            <w:tcW w:w="1448" w:type="dxa"/>
            <w:noWrap/>
            <w:hideMark/>
          </w:tcPr>
          <w:p w:rsidR="006515DC" w:rsidRPr="006515DC" w:rsidRDefault="006515DC" w:rsidP="006515DC">
            <w:r w:rsidRPr="006515DC">
              <w:t xml:space="preserve">1,055.87 </w:t>
            </w:r>
          </w:p>
        </w:tc>
        <w:tc>
          <w:tcPr>
            <w:tcW w:w="1449" w:type="dxa"/>
            <w:noWrap/>
            <w:hideMark/>
          </w:tcPr>
          <w:p w:rsidR="006515DC" w:rsidRPr="006515DC" w:rsidRDefault="006515DC" w:rsidP="006515DC">
            <w:r w:rsidRPr="006515DC">
              <w:t xml:space="preserve">1,055.87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Application assessment, design review and audit real estate (sub-division) connection services - resubmission</w:t>
            </w:r>
          </w:p>
        </w:tc>
        <w:tc>
          <w:tcPr>
            <w:tcW w:w="1449" w:type="dxa"/>
            <w:hideMark/>
          </w:tcPr>
          <w:p w:rsidR="006515DC" w:rsidRPr="006515DC" w:rsidRDefault="006515DC" w:rsidP="006515DC">
            <w:r w:rsidRPr="006515DC">
              <w:t>Design Assessment and Preparation of Offer - Resubmission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162.44 </w:t>
            </w:r>
          </w:p>
        </w:tc>
        <w:tc>
          <w:tcPr>
            <w:tcW w:w="1449" w:type="dxa"/>
            <w:noWrap/>
            <w:hideMark/>
          </w:tcPr>
          <w:p w:rsidR="006515DC" w:rsidRPr="006515DC" w:rsidRDefault="006515DC" w:rsidP="006515DC">
            <w:r w:rsidRPr="006515DC">
              <w:t xml:space="preserve">162.44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Site inspection in order to determine nature of connection</w:t>
            </w:r>
          </w:p>
        </w:tc>
        <w:tc>
          <w:tcPr>
            <w:tcW w:w="1449" w:type="dxa"/>
            <w:hideMark/>
          </w:tcPr>
          <w:p w:rsidR="006515DC" w:rsidRPr="006515DC" w:rsidRDefault="006515DC" w:rsidP="006515DC">
            <w:r w:rsidRPr="006515DC">
              <w:t>(small or large customer connection)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324.88 </w:t>
            </w:r>
          </w:p>
        </w:tc>
        <w:tc>
          <w:tcPr>
            <w:tcW w:w="1449" w:type="dxa"/>
            <w:noWrap/>
            <w:hideMark/>
          </w:tcPr>
          <w:p w:rsidR="006515DC" w:rsidRPr="006515DC" w:rsidRDefault="006515DC" w:rsidP="006515DC">
            <w:r w:rsidRPr="006515DC">
              <w:t xml:space="preserve">324.88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Provision of site-specific connection information and advice for small or large customer connections.</w:t>
            </w:r>
          </w:p>
        </w:tc>
        <w:tc>
          <w:tcPr>
            <w:tcW w:w="1449" w:type="dxa"/>
            <w:hideMark/>
          </w:tcPr>
          <w:p w:rsidR="006515DC" w:rsidRPr="006515DC" w:rsidRDefault="006515DC" w:rsidP="006515DC">
            <w:r w:rsidRPr="006515DC">
              <w:t>Protection Devices &amp; Settings, Fault level, Network Information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649.77 </w:t>
            </w:r>
          </w:p>
        </w:tc>
        <w:tc>
          <w:tcPr>
            <w:tcW w:w="1449" w:type="dxa"/>
            <w:noWrap/>
            <w:hideMark/>
          </w:tcPr>
          <w:p w:rsidR="006515DC" w:rsidRPr="006515DC" w:rsidRDefault="006515DC" w:rsidP="006515DC">
            <w:r w:rsidRPr="006515DC">
              <w:t xml:space="preserve">649.77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960"/>
        </w:trPr>
        <w:tc>
          <w:tcPr>
            <w:tcW w:w="1449" w:type="dxa"/>
          </w:tcPr>
          <w:p w:rsidR="006515DC" w:rsidRPr="006515DC" w:rsidRDefault="006515DC" w:rsidP="006515DC">
            <w:r w:rsidRPr="006515DC">
              <w:t>Preparation of preliminary designs and planning reports for small or large customer connection, including project scope and estimates</w:t>
            </w:r>
          </w:p>
        </w:tc>
        <w:tc>
          <w:tcPr>
            <w:tcW w:w="1449" w:type="dxa"/>
            <w:hideMark/>
          </w:tcPr>
          <w:p w:rsidR="006515DC" w:rsidRPr="006515DC" w:rsidRDefault="006515DC" w:rsidP="006515DC">
            <w:r w:rsidRPr="006515DC">
              <w:t>Large Customer Connection - Planning Report/Feasibility Report - Additional information provided by the Asset Management above and beyond NSC providing general connection enquiry services prior to the submission of an application for connection (requires engagement of Asset Management staff outside of the NSC)</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9,478.88 </w:t>
            </w:r>
          </w:p>
        </w:tc>
        <w:tc>
          <w:tcPr>
            <w:tcW w:w="1449" w:type="dxa"/>
            <w:noWrap/>
            <w:hideMark/>
          </w:tcPr>
          <w:p w:rsidR="006515DC" w:rsidRPr="006515DC" w:rsidRDefault="006515DC" w:rsidP="006515DC">
            <w:r w:rsidRPr="006515DC">
              <w:t xml:space="preserve">9,478.88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Customer build, own and operate consultation services.</w:t>
            </w:r>
          </w:p>
        </w:tc>
        <w:tc>
          <w:tcPr>
            <w:tcW w:w="1449" w:type="dxa"/>
            <w:hideMark/>
          </w:tcPr>
          <w:p w:rsidR="006515DC" w:rsidRPr="006515DC" w:rsidRDefault="006515DC" w:rsidP="006515DC">
            <w:r w:rsidRPr="006515DC">
              <w:t>N/A</w:t>
            </w:r>
          </w:p>
        </w:tc>
        <w:tc>
          <w:tcPr>
            <w:tcW w:w="1449" w:type="dxa"/>
          </w:tcPr>
          <w:p w:rsidR="006515DC" w:rsidRPr="006515DC" w:rsidRDefault="006515DC" w:rsidP="006515DC">
            <w:r w:rsidRPr="006515DC">
              <w:t>N/A</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Design &amp; construct of connection assets for large customers.</w:t>
            </w:r>
          </w:p>
        </w:tc>
        <w:tc>
          <w:tcPr>
            <w:tcW w:w="1449" w:type="dxa"/>
            <w:hideMark/>
          </w:tcPr>
          <w:p w:rsidR="006515DC" w:rsidRPr="006515DC" w:rsidRDefault="006515DC" w:rsidP="006515DC">
            <w:r w:rsidRPr="006515DC">
              <w:t xml:space="preserve">Install new ground </w:t>
            </w:r>
            <w:proofErr w:type="spellStart"/>
            <w:r w:rsidRPr="006515DC">
              <w:t>transfomer</w:t>
            </w:r>
            <w:proofErr w:type="spellEnd"/>
            <w:r w:rsidRPr="006515DC">
              <w:t xml:space="preserve"> substation to service commercial load. Substation includes installation of 2 x 1500KVA TX, </w:t>
            </w:r>
            <w:proofErr w:type="spellStart"/>
            <w:r w:rsidRPr="006515DC">
              <w:t>safelink</w:t>
            </w:r>
            <w:proofErr w:type="spellEnd"/>
            <w:r w:rsidRPr="006515DC">
              <w:t xml:space="preserve"> RMU, LB Board 300m of 11kv cable</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273,064.45 </w:t>
            </w:r>
          </w:p>
        </w:tc>
        <w:tc>
          <w:tcPr>
            <w:tcW w:w="1449" w:type="dxa"/>
            <w:noWrap/>
            <w:hideMark/>
          </w:tcPr>
          <w:p w:rsidR="006515DC" w:rsidRPr="006515DC" w:rsidRDefault="006515DC" w:rsidP="006515DC">
            <w:r w:rsidRPr="006515DC">
              <w:t xml:space="preserve">273,064.45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 xml:space="preserve">Commissioning and </w:t>
            </w:r>
            <w:proofErr w:type="spellStart"/>
            <w:r w:rsidRPr="006515DC">
              <w:t>energisation</w:t>
            </w:r>
            <w:proofErr w:type="spellEnd"/>
            <w:r w:rsidRPr="006515DC">
              <w:t xml:space="preserve"> of Large Customer Connection </w:t>
            </w:r>
            <w:r w:rsidRPr="006515DC">
              <w:lastRenderedPageBreak/>
              <w:t>assets to allow conveyance of electricity.</w:t>
            </w:r>
          </w:p>
        </w:tc>
        <w:tc>
          <w:tcPr>
            <w:tcW w:w="1449" w:type="dxa"/>
            <w:hideMark/>
          </w:tcPr>
          <w:p w:rsidR="006515DC" w:rsidRPr="006515DC" w:rsidRDefault="006515DC" w:rsidP="006515DC">
            <w:r w:rsidRPr="006515DC">
              <w:lastRenderedPageBreak/>
              <w:t>Large Customer Connections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8,390.23 </w:t>
            </w:r>
          </w:p>
        </w:tc>
        <w:tc>
          <w:tcPr>
            <w:tcW w:w="1449" w:type="dxa"/>
            <w:noWrap/>
            <w:hideMark/>
          </w:tcPr>
          <w:p w:rsidR="006515DC" w:rsidRPr="006515DC" w:rsidRDefault="006515DC" w:rsidP="006515DC">
            <w:r w:rsidRPr="006515DC">
              <w:t xml:space="preserve">8,390.23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960"/>
        </w:trPr>
        <w:tc>
          <w:tcPr>
            <w:tcW w:w="1449" w:type="dxa"/>
          </w:tcPr>
          <w:p w:rsidR="006515DC" w:rsidRPr="006515DC" w:rsidRDefault="006515DC" w:rsidP="006515DC">
            <w:r w:rsidRPr="006515DC">
              <w:lastRenderedPageBreak/>
              <w:t xml:space="preserve">Commissioning and </w:t>
            </w:r>
            <w:proofErr w:type="spellStart"/>
            <w:r w:rsidRPr="006515DC">
              <w:t>energisation</w:t>
            </w:r>
            <w:proofErr w:type="spellEnd"/>
            <w:r w:rsidRPr="006515DC">
              <w:t xml:space="preserve"> of connection assets for real estate development (sub-division)</w:t>
            </w:r>
          </w:p>
        </w:tc>
        <w:tc>
          <w:tcPr>
            <w:tcW w:w="1449" w:type="dxa"/>
            <w:hideMark/>
          </w:tcPr>
          <w:p w:rsidR="006515DC" w:rsidRPr="006515DC" w:rsidRDefault="006515DC" w:rsidP="006515DC">
            <w:r w:rsidRPr="006515DC">
              <w:t>Undertake High Voltage switching to allow developer to connect network they have constructed as part of the real estate development (sub-division), to the existing Energex network. Energex would enter the HV switching sheet into our system and arrange for resources to undertake the forward and reverse switching with the use of existing isolation switches in the network.</w:t>
            </w:r>
          </w:p>
        </w:tc>
        <w:tc>
          <w:tcPr>
            <w:tcW w:w="1449" w:type="dxa"/>
          </w:tcPr>
          <w:p w:rsidR="006515DC" w:rsidRPr="006515DC" w:rsidRDefault="006515DC" w:rsidP="006515DC">
            <w:r w:rsidRPr="006515DC">
              <w:t>Quoted Example Only (potentially price cap in the future)</w:t>
            </w:r>
          </w:p>
        </w:tc>
        <w:tc>
          <w:tcPr>
            <w:tcW w:w="1448" w:type="dxa"/>
            <w:noWrap/>
            <w:hideMark/>
          </w:tcPr>
          <w:p w:rsidR="006515DC" w:rsidRPr="006515DC" w:rsidRDefault="006515DC" w:rsidP="006515DC">
            <w:r w:rsidRPr="006515DC">
              <w:t xml:space="preserve">1,357.45 </w:t>
            </w:r>
          </w:p>
        </w:tc>
        <w:tc>
          <w:tcPr>
            <w:tcW w:w="1449" w:type="dxa"/>
            <w:noWrap/>
            <w:hideMark/>
          </w:tcPr>
          <w:p w:rsidR="006515DC" w:rsidRPr="006515DC" w:rsidRDefault="006515DC" w:rsidP="006515DC">
            <w:r w:rsidRPr="006515DC">
              <w:t xml:space="preserve">1,357.45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Augmenting the network to remove a constraint faced by an embedded generator</w:t>
            </w:r>
          </w:p>
          <w:p w:rsidR="006515DC" w:rsidRPr="006515DC" w:rsidRDefault="006515DC" w:rsidP="006515DC"/>
        </w:tc>
        <w:tc>
          <w:tcPr>
            <w:tcW w:w="1449" w:type="dxa"/>
            <w:hideMark/>
          </w:tcPr>
          <w:p w:rsidR="006515DC" w:rsidRPr="006515DC" w:rsidRDefault="006515DC" w:rsidP="006515DC">
            <w:r w:rsidRPr="006515DC">
              <w:t>Removal of network constraint for a non-registered embedded generator - UPGRADE PMT TX 315 3 PH TO 500 3 PH SQ</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147,680.63 </w:t>
            </w:r>
          </w:p>
        </w:tc>
        <w:tc>
          <w:tcPr>
            <w:tcW w:w="1449" w:type="dxa"/>
            <w:noWrap/>
            <w:hideMark/>
          </w:tcPr>
          <w:p w:rsidR="006515DC" w:rsidRPr="006515DC" w:rsidRDefault="006515DC" w:rsidP="006515DC">
            <w:r w:rsidRPr="006515DC">
              <w:t xml:space="preserve">147,511.58 </w:t>
            </w:r>
          </w:p>
        </w:tc>
        <w:tc>
          <w:tcPr>
            <w:tcW w:w="1449" w:type="dxa"/>
            <w:noWrap/>
            <w:hideMark/>
          </w:tcPr>
          <w:p w:rsidR="006515DC" w:rsidRPr="006515DC" w:rsidRDefault="006515DC" w:rsidP="006515DC">
            <w:r w:rsidRPr="006515DC">
              <w:t>-0.1%</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 xml:space="preserve">Review, Inspection and Auditing of design and works carried out by an alternative service provider prior to </w:t>
            </w:r>
            <w:proofErr w:type="spellStart"/>
            <w:r w:rsidRPr="006515DC">
              <w:t>energisation</w:t>
            </w:r>
            <w:proofErr w:type="spellEnd"/>
            <w:r w:rsidRPr="006515DC">
              <w:t xml:space="preserve">. </w:t>
            </w:r>
          </w:p>
          <w:p w:rsidR="006515DC" w:rsidRPr="006515DC" w:rsidRDefault="006515DC" w:rsidP="006515DC"/>
        </w:tc>
        <w:tc>
          <w:tcPr>
            <w:tcW w:w="1449" w:type="dxa"/>
            <w:hideMark/>
          </w:tcPr>
          <w:p w:rsidR="006515DC" w:rsidRPr="006515DC" w:rsidRDefault="006515DC" w:rsidP="006515DC">
            <w:r w:rsidRPr="006515DC">
              <w:t>Large Customer Connections - Design</w:t>
            </w:r>
          </w:p>
        </w:tc>
        <w:tc>
          <w:tcPr>
            <w:tcW w:w="1449" w:type="dxa"/>
          </w:tcPr>
          <w:p w:rsidR="006515DC" w:rsidRPr="006515DC" w:rsidRDefault="006515DC" w:rsidP="006515DC">
            <w:r w:rsidRPr="006515DC">
              <w:t>Quoted Example Only</w:t>
            </w:r>
          </w:p>
        </w:tc>
        <w:tc>
          <w:tcPr>
            <w:tcW w:w="1448" w:type="dxa"/>
            <w:hideMark/>
          </w:tcPr>
          <w:p w:rsidR="006515DC" w:rsidRPr="006515DC" w:rsidRDefault="006515DC" w:rsidP="006515DC">
            <w:r w:rsidRPr="006515DC">
              <w:t xml:space="preserve">3,898.61 </w:t>
            </w:r>
          </w:p>
        </w:tc>
        <w:tc>
          <w:tcPr>
            <w:tcW w:w="1449" w:type="dxa"/>
            <w:hideMark/>
          </w:tcPr>
          <w:p w:rsidR="006515DC" w:rsidRPr="006515DC" w:rsidRDefault="006515DC" w:rsidP="006515DC">
            <w:r w:rsidRPr="006515DC">
              <w:t xml:space="preserve">3,898.61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tc>
        <w:tc>
          <w:tcPr>
            <w:tcW w:w="1449" w:type="dxa"/>
            <w:hideMark/>
          </w:tcPr>
          <w:p w:rsidR="006515DC" w:rsidRPr="006515DC" w:rsidRDefault="006515DC" w:rsidP="006515DC">
            <w:r w:rsidRPr="006515DC">
              <w:t>Real estate development (sub-divisions)</w:t>
            </w:r>
          </w:p>
        </w:tc>
        <w:tc>
          <w:tcPr>
            <w:tcW w:w="1449" w:type="dxa"/>
          </w:tcPr>
          <w:p w:rsidR="006515DC" w:rsidRPr="006515DC" w:rsidRDefault="006515DC" w:rsidP="006515DC">
            <w:r w:rsidRPr="006515DC">
              <w:t>N/A</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 xml:space="preserve">Customer request a </w:t>
            </w:r>
            <w:r w:rsidRPr="006515DC">
              <w:lastRenderedPageBreak/>
              <w:t>temporary connection for short term supply (includes metered and unmetered) - Simple</w:t>
            </w:r>
          </w:p>
        </w:tc>
        <w:tc>
          <w:tcPr>
            <w:tcW w:w="1449" w:type="dxa"/>
            <w:hideMark/>
          </w:tcPr>
          <w:p w:rsidR="006515DC" w:rsidRPr="006515DC" w:rsidRDefault="006515DC" w:rsidP="006515DC">
            <w:r w:rsidRPr="006515DC">
              <w:lastRenderedPageBreak/>
              <w:t xml:space="preserve">Customer requested </w:t>
            </w:r>
            <w:r w:rsidRPr="006515DC">
              <w:lastRenderedPageBreak/>
              <w:t xml:space="preserve">temporary Connection (Short Term) and recovery of the temporary builders supply (business hours) - No CT. </w:t>
            </w:r>
          </w:p>
        </w:tc>
        <w:tc>
          <w:tcPr>
            <w:tcW w:w="1449" w:type="dxa"/>
          </w:tcPr>
          <w:p w:rsidR="006515DC" w:rsidRPr="006515DC" w:rsidRDefault="006515DC" w:rsidP="006515DC">
            <w:r w:rsidRPr="006515DC">
              <w:lastRenderedPageBreak/>
              <w:t>Schedule 8</w:t>
            </w:r>
          </w:p>
        </w:tc>
        <w:tc>
          <w:tcPr>
            <w:tcW w:w="1448" w:type="dxa"/>
            <w:hideMark/>
          </w:tcPr>
          <w:p w:rsidR="006515DC" w:rsidRPr="006515DC" w:rsidRDefault="006515DC" w:rsidP="006515DC">
            <w:r w:rsidRPr="006515DC">
              <w:t xml:space="preserve">1,566.41 </w:t>
            </w:r>
          </w:p>
        </w:tc>
        <w:tc>
          <w:tcPr>
            <w:tcW w:w="1449" w:type="dxa"/>
            <w:hideMark/>
          </w:tcPr>
          <w:p w:rsidR="006515DC" w:rsidRPr="006515DC" w:rsidRDefault="006515DC" w:rsidP="006515DC">
            <w:r w:rsidRPr="006515DC">
              <w:t xml:space="preserve">1,566.41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lastRenderedPageBreak/>
              <w:t>Customer request a temporary connection for short term supply (includes metered and unmetered) - Simple</w:t>
            </w:r>
          </w:p>
        </w:tc>
        <w:tc>
          <w:tcPr>
            <w:tcW w:w="1449" w:type="dxa"/>
            <w:hideMark/>
          </w:tcPr>
          <w:p w:rsidR="006515DC" w:rsidRPr="006515DC" w:rsidRDefault="006515DC" w:rsidP="006515DC">
            <w:r w:rsidRPr="006515DC">
              <w:t>Customer requested temporary Connection (Short Term) and recovery of the temporary builders supply (business hours) - CT Metering. Includes additional crew.</w:t>
            </w:r>
          </w:p>
        </w:tc>
        <w:tc>
          <w:tcPr>
            <w:tcW w:w="1449" w:type="dxa"/>
          </w:tcPr>
          <w:p w:rsidR="006515DC" w:rsidRPr="006515DC" w:rsidRDefault="006515DC" w:rsidP="006515DC">
            <w:r w:rsidRPr="006515DC">
              <w:t>Schedule 8</w:t>
            </w:r>
          </w:p>
        </w:tc>
        <w:tc>
          <w:tcPr>
            <w:tcW w:w="1448" w:type="dxa"/>
            <w:noWrap/>
            <w:hideMark/>
          </w:tcPr>
          <w:p w:rsidR="006515DC" w:rsidRPr="006515DC" w:rsidRDefault="006515DC" w:rsidP="006515DC">
            <w:r w:rsidRPr="006515DC">
              <w:t xml:space="preserve">2,668.84 </w:t>
            </w:r>
          </w:p>
        </w:tc>
        <w:tc>
          <w:tcPr>
            <w:tcW w:w="1449" w:type="dxa"/>
            <w:noWrap/>
            <w:hideMark/>
          </w:tcPr>
          <w:p w:rsidR="006515DC" w:rsidRPr="006515DC" w:rsidRDefault="006515DC" w:rsidP="006515DC">
            <w:r w:rsidRPr="006515DC">
              <w:t xml:space="preserve">2,668.84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 xml:space="preserve">Customer requested temporary Connection (Short Term) and recovery of the temporary builders supply (after hours) - No CT. </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2,200.40 </w:t>
            </w:r>
          </w:p>
        </w:tc>
        <w:tc>
          <w:tcPr>
            <w:tcW w:w="1449" w:type="dxa"/>
            <w:noWrap/>
            <w:hideMark/>
          </w:tcPr>
          <w:p w:rsidR="006515DC" w:rsidRPr="006515DC" w:rsidRDefault="006515DC" w:rsidP="006515DC">
            <w:r w:rsidRPr="006515DC">
              <w:t xml:space="preserve">2,200.40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Customer requested temporary Connection (Short Term) and recovery of the temporary builders supply (after hours) - No CT.  Work requires traffic control due to imposed rules from external authorities.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3,259.28 </w:t>
            </w:r>
          </w:p>
        </w:tc>
        <w:tc>
          <w:tcPr>
            <w:tcW w:w="1449" w:type="dxa"/>
            <w:noWrap/>
            <w:hideMark/>
          </w:tcPr>
          <w:p w:rsidR="006515DC" w:rsidRPr="006515DC" w:rsidRDefault="006515DC" w:rsidP="006515DC">
            <w:r w:rsidRPr="006515DC">
              <w:t xml:space="preserve">3,259.28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 xml:space="preserve">Customer requested temporary Connection (Short Term) and recovery of the temporary builders supply (after hours) - CT Metering. Includes </w:t>
            </w:r>
            <w:r w:rsidRPr="006515DC">
              <w:lastRenderedPageBreak/>
              <w:t>additional crew.</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3,773.63 </w:t>
            </w:r>
          </w:p>
        </w:tc>
        <w:tc>
          <w:tcPr>
            <w:tcW w:w="1449" w:type="dxa"/>
            <w:noWrap/>
            <w:hideMark/>
          </w:tcPr>
          <w:p w:rsidR="006515DC" w:rsidRPr="006515DC" w:rsidRDefault="006515DC" w:rsidP="006515DC">
            <w:r w:rsidRPr="006515DC">
              <w:t xml:space="preserve">3,773.63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lastRenderedPageBreak/>
              <w:t>Customer request a temporary connection for short term supply (includes metered and unmetered) - Simple</w:t>
            </w:r>
          </w:p>
        </w:tc>
        <w:tc>
          <w:tcPr>
            <w:tcW w:w="1449" w:type="dxa"/>
            <w:hideMark/>
          </w:tcPr>
          <w:p w:rsidR="006515DC" w:rsidRPr="006515DC" w:rsidRDefault="006515DC" w:rsidP="006515DC">
            <w:r w:rsidRPr="006515DC">
              <w:t>Customer requested temporary Connection (Short Term) and recovery of the temporary builders supply (after hours) - CT Metering. Work requires traffic control due to imposed rules from external authorities and additional crew.</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4,832.51 </w:t>
            </w:r>
          </w:p>
        </w:tc>
        <w:tc>
          <w:tcPr>
            <w:tcW w:w="1449" w:type="dxa"/>
            <w:noWrap/>
            <w:hideMark/>
          </w:tcPr>
          <w:p w:rsidR="006515DC" w:rsidRPr="006515DC" w:rsidRDefault="006515DC" w:rsidP="006515DC">
            <w:r w:rsidRPr="006515DC">
              <w:t xml:space="preserve">4,832.51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 xml:space="preserve">Customer requested temporary Connection (Short Term) and recovery of the temporary builders supply (any time) - No CT. </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2,200.40 </w:t>
            </w:r>
          </w:p>
        </w:tc>
        <w:tc>
          <w:tcPr>
            <w:tcW w:w="1449" w:type="dxa"/>
            <w:noWrap/>
            <w:hideMark/>
          </w:tcPr>
          <w:p w:rsidR="006515DC" w:rsidRPr="006515DC" w:rsidRDefault="006515DC" w:rsidP="006515DC">
            <w:r w:rsidRPr="006515DC">
              <w:t xml:space="preserve">2,200.40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Customer requested temporary Connection (Short Term) and recovery of the temporary builders supply (any time) - No CT.  Work requires traffic control due to imposed rules from external authorities.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3,259.28 </w:t>
            </w:r>
          </w:p>
        </w:tc>
        <w:tc>
          <w:tcPr>
            <w:tcW w:w="1449" w:type="dxa"/>
            <w:noWrap/>
            <w:hideMark/>
          </w:tcPr>
          <w:p w:rsidR="006515DC" w:rsidRPr="006515DC" w:rsidRDefault="006515DC" w:rsidP="006515DC">
            <w:r w:rsidRPr="006515DC">
              <w:t xml:space="preserve">3,259.28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Customer requested temporary Connection (Short Term) and recovery of the temporary builders supply (any time) - CT Metering. Includes additional crew.</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3,773.63 </w:t>
            </w:r>
          </w:p>
        </w:tc>
        <w:tc>
          <w:tcPr>
            <w:tcW w:w="1449" w:type="dxa"/>
            <w:noWrap/>
            <w:hideMark/>
          </w:tcPr>
          <w:p w:rsidR="006515DC" w:rsidRPr="006515DC" w:rsidRDefault="006515DC" w:rsidP="006515DC">
            <w:r w:rsidRPr="006515DC">
              <w:t xml:space="preserve">3,773.63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lastRenderedPageBreak/>
              <w:t>Customer request a temporary connection for short term supply (includes metered and unmetered) - Simple</w:t>
            </w:r>
          </w:p>
        </w:tc>
        <w:tc>
          <w:tcPr>
            <w:tcW w:w="1449" w:type="dxa"/>
            <w:hideMark/>
          </w:tcPr>
          <w:p w:rsidR="006515DC" w:rsidRPr="006515DC" w:rsidRDefault="006515DC" w:rsidP="006515DC">
            <w:r w:rsidRPr="006515DC">
              <w:t>Customer requested temporary Connection (Short Term) and recovery of the temporary builders supply (any time) - CT Metering. Work requires traffic control due to imposed rules from external authorities and additional crew.</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4,832.51 </w:t>
            </w:r>
          </w:p>
        </w:tc>
        <w:tc>
          <w:tcPr>
            <w:tcW w:w="1449" w:type="dxa"/>
            <w:noWrap/>
            <w:hideMark/>
          </w:tcPr>
          <w:p w:rsidR="006515DC" w:rsidRPr="006515DC" w:rsidRDefault="006515DC" w:rsidP="006515DC">
            <w:r w:rsidRPr="006515DC">
              <w:t xml:space="preserve">4,832.51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Temporary Connection - Simple (Removal)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Temporary Connection - Simple (Removal)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Temporary Connection - Simple (Removal)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Customer request a temporary connection for short term supply (includes metered and unmetered) - Simple</w:t>
            </w:r>
          </w:p>
        </w:tc>
        <w:tc>
          <w:tcPr>
            <w:tcW w:w="1449" w:type="dxa"/>
            <w:hideMark/>
          </w:tcPr>
          <w:p w:rsidR="006515DC" w:rsidRPr="006515DC" w:rsidRDefault="006515DC" w:rsidP="006515DC">
            <w:r w:rsidRPr="006515DC">
              <w:t>Temporary Connection of unmetered equipment to an existing LV supply</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259.06 </w:t>
            </w:r>
          </w:p>
        </w:tc>
        <w:tc>
          <w:tcPr>
            <w:tcW w:w="1449" w:type="dxa"/>
            <w:noWrap/>
            <w:hideMark/>
          </w:tcPr>
          <w:p w:rsidR="006515DC" w:rsidRPr="006515DC" w:rsidRDefault="006515DC" w:rsidP="006515DC">
            <w:r w:rsidRPr="006515DC">
              <w:t xml:space="preserve">259.06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 xml:space="preserve">Customer requests a temporary </w:t>
            </w:r>
            <w:r w:rsidRPr="006515DC">
              <w:lastRenderedPageBreak/>
              <w:t>connection for short term supply (includes metered and unmetered) - complex</w:t>
            </w:r>
          </w:p>
        </w:tc>
        <w:tc>
          <w:tcPr>
            <w:tcW w:w="1449" w:type="dxa"/>
            <w:hideMark/>
          </w:tcPr>
          <w:p w:rsidR="006515DC" w:rsidRPr="006515DC" w:rsidRDefault="006515DC" w:rsidP="006515DC">
            <w:r w:rsidRPr="006515DC">
              <w:lastRenderedPageBreak/>
              <w:t xml:space="preserve">Provide temporary supply of 900 amps by </w:t>
            </w:r>
            <w:r w:rsidRPr="006515DC">
              <w:lastRenderedPageBreak/>
              <w:t xml:space="preserve">extending 11kv network and installing 1000KVA </w:t>
            </w:r>
            <w:proofErr w:type="spellStart"/>
            <w:r w:rsidRPr="006515DC">
              <w:t>padmount</w:t>
            </w:r>
            <w:proofErr w:type="spellEnd"/>
            <w:r w:rsidRPr="006515DC">
              <w:t xml:space="preserve"> transformer</w:t>
            </w:r>
          </w:p>
        </w:tc>
        <w:tc>
          <w:tcPr>
            <w:tcW w:w="1449" w:type="dxa"/>
          </w:tcPr>
          <w:p w:rsidR="006515DC" w:rsidRPr="006515DC" w:rsidRDefault="006515DC" w:rsidP="006515DC">
            <w:r w:rsidRPr="006515DC">
              <w:lastRenderedPageBreak/>
              <w:t>Quoted Example Only</w:t>
            </w:r>
          </w:p>
        </w:tc>
        <w:tc>
          <w:tcPr>
            <w:tcW w:w="1448" w:type="dxa"/>
            <w:noWrap/>
            <w:hideMark/>
          </w:tcPr>
          <w:p w:rsidR="006515DC" w:rsidRPr="006515DC" w:rsidRDefault="006515DC" w:rsidP="006515DC">
            <w:r w:rsidRPr="006515DC">
              <w:t xml:space="preserve">105,105.22 </w:t>
            </w:r>
          </w:p>
        </w:tc>
        <w:tc>
          <w:tcPr>
            <w:tcW w:w="1449" w:type="dxa"/>
            <w:noWrap/>
            <w:hideMark/>
          </w:tcPr>
          <w:p w:rsidR="006515DC" w:rsidRPr="006515DC" w:rsidRDefault="006515DC" w:rsidP="006515DC">
            <w:r w:rsidRPr="006515DC">
              <w:t xml:space="preserve">105,105.22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Supply Abolishment - Simple</w:t>
            </w:r>
          </w:p>
        </w:tc>
        <w:tc>
          <w:tcPr>
            <w:tcW w:w="1449" w:type="dxa"/>
            <w:hideMark/>
          </w:tcPr>
          <w:p w:rsidR="006515DC" w:rsidRPr="006515DC" w:rsidRDefault="006515DC" w:rsidP="006515DC">
            <w:r w:rsidRPr="006515DC">
              <w:t>Request to de-energise an Unmetered Supply Point</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397.77 </w:t>
            </w:r>
          </w:p>
        </w:tc>
        <w:tc>
          <w:tcPr>
            <w:tcW w:w="1449" w:type="dxa"/>
            <w:noWrap/>
            <w:hideMark/>
          </w:tcPr>
          <w:p w:rsidR="006515DC" w:rsidRPr="006515DC" w:rsidRDefault="006515DC" w:rsidP="006515DC">
            <w:r w:rsidRPr="006515DC">
              <w:t xml:space="preserve">397.77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Supply Abolishment - Simple</w:t>
            </w:r>
          </w:p>
        </w:tc>
        <w:tc>
          <w:tcPr>
            <w:tcW w:w="1449" w:type="dxa"/>
            <w:hideMark/>
          </w:tcPr>
          <w:p w:rsidR="006515DC" w:rsidRPr="006515DC" w:rsidRDefault="006515DC" w:rsidP="006515DC">
            <w:r w:rsidRPr="006515DC">
              <w:t>Retailer requests the Service Provider to abolish supply at a specific connection point (simple). To be used for single dwellings and the community / unit one of multi-unit residential complexes.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451.13 </w:t>
            </w:r>
          </w:p>
        </w:tc>
        <w:tc>
          <w:tcPr>
            <w:tcW w:w="1449" w:type="dxa"/>
            <w:noWrap/>
            <w:hideMark/>
          </w:tcPr>
          <w:p w:rsidR="006515DC" w:rsidRPr="006515DC" w:rsidRDefault="006515DC" w:rsidP="006515DC">
            <w:r w:rsidRPr="006515DC">
              <w:t xml:space="preserve">451.13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Supply Abolishment - Simple</w:t>
            </w:r>
          </w:p>
        </w:tc>
        <w:tc>
          <w:tcPr>
            <w:tcW w:w="1449" w:type="dxa"/>
            <w:hideMark/>
          </w:tcPr>
          <w:p w:rsidR="006515DC" w:rsidRPr="006515DC" w:rsidRDefault="006515DC" w:rsidP="006515DC">
            <w:r w:rsidRPr="006515DC">
              <w:t>Retailer requests the Service Provider to abolish supply at a specific connection point (simple). To be used for single dwellings and the community / unit one of multi-unit residential complexes.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524.51 </w:t>
            </w:r>
          </w:p>
        </w:tc>
        <w:tc>
          <w:tcPr>
            <w:tcW w:w="1449" w:type="dxa"/>
            <w:noWrap/>
            <w:hideMark/>
          </w:tcPr>
          <w:p w:rsidR="006515DC" w:rsidRPr="006515DC" w:rsidRDefault="006515DC" w:rsidP="006515DC">
            <w:r w:rsidRPr="006515DC">
              <w:t xml:space="preserve">524.51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Supply Abolishment - Simple</w:t>
            </w:r>
          </w:p>
        </w:tc>
        <w:tc>
          <w:tcPr>
            <w:tcW w:w="1449" w:type="dxa"/>
            <w:hideMark/>
          </w:tcPr>
          <w:p w:rsidR="006515DC" w:rsidRPr="006515DC" w:rsidRDefault="006515DC" w:rsidP="006515DC">
            <w:r w:rsidRPr="006515DC">
              <w:t xml:space="preserve">Retailer requests the Service Provider to abolish supply at a specific connection point (simple). To be used for single dwellings and the community / unit one of multi-unit residential complexes. (after hours).  Work requires traffic control due to imposed rules from external </w:t>
            </w:r>
            <w:r w:rsidRPr="006515DC">
              <w:lastRenderedPageBreak/>
              <w:t>authorities.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1,583.39 </w:t>
            </w:r>
          </w:p>
        </w:tc>
        <w:tc>
          <w:tcPr>
            <w:tcW w:w="1449" w:type="dxa"/>
            <w:noWrap/>
            <w:hideMark/>
          </w:tcPr>
          <w:p w:rsidR="006515DC" w:rsidRPr="006515DC" w:rsidRDefault="006515DC" w:rsidP="006515DC">
            <w:r w:rsidRPr="006515DC">
              <w:t xml:space="preserve">1,583.39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lastRenderedPageBreak/>
              <w:t>Supply Abolishment - Simple</w:t>
            </w:r>
          </w:p>
        </w:tc>
        <w:tc>
          <w:tcPr>
            <w:tcW w:w="1449" w:type="dxa"/>
            <w:hideMark/>
          </w:tcPr>
          <w:p w:rsidR="006515DC" w:rsidRPr="006515DC" w:rsidRDefault="006515DC" w:rsidP="006515DC">
            <w:r w:rsidRPr="006515DC">
              <w:t>Retailer requests the Service Provider to abolish supply at a specific connection point (simple). To be used for single dwellings and the community / unit one of multi-unit residential complexes. (any 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524.51 </w:t>
            </w:r>
          </w:p>
        </w:tc>
        <w:tc>
          <w:tcPr>
            <w:tcW w:w="1449" w:type="dxa"/>
            <w:noWrap/>
            <w:hideMark/>
          </w:tcPr>
          <w:p w:rsidR="006515DC" w:rsidRPr="006515DC" w:rsidRDefault="006515DC" w:rsidP="006515DC">
            <w:r w:rsidRPr="006515DC">
              <w:t xml:space="preserve">524.51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Supply Abolishment - Simple</w:t>
            </w:r>
          </w:p>
        </w:tc>
        <w:tc>
          <w:tcPr>
            <w:tcW w:w="1449" w:type="dxa"/>
            <w:hideMark/>
          </w:tcPr>
          <w:p w:rsidR="006515DC" w:rsidRPr="006515DC" w:rsidRDefault="006515DC" w:rsidP="006515DC">
            <w:r w:rsidRPr="006515DC">
              <w:t>Retailer requests the Service Provider to abolish supply at a specific connection point (simple). To be used for single dwellings and the community / unit one of multi-unit residential complexes. (any time)  Work requires traffic control due to imposed rules from external authorities.</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1,583.39 </w:t>
            </w:r>
          </w:p>
        </w:tc>
        <w:tc>
          <w:tcPr>
            <w:tcW w:w="1449" w:type="dxa"/>
            <w:hideMark/>
          </w:tcPr>
          <w:p w:rsidR="006515DC" w:rsidRPr="006515DC" w:rsidRDefault="006515DC" w:rsidP="006515DC">
            <w:r w:rsidRPr="006515DC">
              <w:t xml:space="preserve">1,583.39 </w:t>
            </w:r>
          </w:p>
        </w:tc>
        <w:tc>
          <w:tcPr>
            <w:tcW w:w="1449" w:type="dxa"/>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Supply Abolishment - Simple</w:t>
            </w:r>
          </w:p>
        </w:tc>
        <w:tc>
          <w:tcPr>
            <w:tcW w:w="1449" w:type="dxa"/>
            <w:hideMark/>
          </w:tcPr>
          <w:p w:rsidR="006515DC" w:rsidRPr="006515DC" w:rsidRDefault="006515DC" w:rsidP="006515DC">
            <w:r w:rsidRPr="006515DC">
              <w:t>Retailer requests the Service Provider to abolish supply at a specific connection point (simple). To be used for multi-unit residential complexes for all units after the community / unit one.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294.77 </w:t>
            </w:r>
          </w:p>
        </w:tc>
        <w:tc>
          <w:tcPr>
            <w:tcW w:w="1449" w:type="dxa"/>
            <w:noWrap/>
            <w:hideMark/>
          </w:tcPr>
          <w:p w:rsidR="006515DC" w:rsidRPr="006515DC" w:rsidRDefault="006515DC" w:rsidP="006515DC">
            <w:r w:rsidRPr="006515DC">
              <w:t xml:space="preserve">294.77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Supply Abolishment - Simple</w:t>
            </w:r>
          </w:p>
        </w:tc>
        <w:tc>
          <w:tcPr>
            <w:tcW w:w="1449" w:type="dxa"/>
            <w:hideMark/>
          </w:tcPr>
          <w:p w:rsidR="006515DC" w:rsidRPr="006515DC" w:rsidRDefault="006515DC" w:rsidP="006515DC">
            <w:r w:rsidRPr="006515DC">
              <w:t xml:space="preserve">Retailer requests the Service Provider to abolish supply at a specific connection point </w:t>
            </w:r>
            <w:r w:rsidRPr="006515DC">
              <w:lastRenderedPageBreak/>
              <w:t>(simple). To be used for multi-unit residential complexes for all units after the community / unit one. (after hours)</w:t>
            </w:r>
          </w:p>
        </w:tc>
        <w:tc>
          <w:tcPr>
            <w:tcW w:w="1449" w:type="dxa"/>
          </w:tcPr>
          <w:p w:rsidR="006515DC" w:rsidRPr="006515DC" w:rsidRDefault="006515DC" w:rsidP="006515DC">
            <w:r w:rsidRPr="006515DC">
              <w:lastRenderedPageBreak/>
              <w:t>Price Cap</w:t>
            </w:r>
          </w:p>
        </w:tc>
        <w:tc>
          <w:tcPr>
            <w:tcW w:w="1448" w:type="dxa"/>
            <w:hideMark/>
          </w:tcPr>
          <w:p w:rsidR="006515DC" w:rsidRPr="006515DC" w:rsidRDefault="006515DC" w:rsidP="006515DC">
            <w:r w:rsidRPr="006515DC">
              <w:t xml:space="preserve">171.36 </w:t>
            </w:r>
          </w:p>
        </w:tc>
        <w:tc>
          <w:tcPr>
            <w:tcW w:w="1449" w:type="dxa"/>
            <w:hideMark/>
          </w:tcPr>
          <w:p w:rsidR="006515DC" w:rsidRPr="006515DC" w:rsidRDefault="006515DC" w:rsidP="006515DC">
            <w:r w:rsidRPr="006515DC">
              <w:t xml:space="preserve">171.36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lastRenderedPageBreak/>
              <w:t>Supply Abolishment - Simple</w:t>
            </w:r>
          </w:p>
        </w:tc>
        <w:tc>
          <w:tcPr>
            <w:tcW w:w="1449" w:type="dxa"/>
            <w:hideMark/>
          </w:tcPr>
          <w:p w:rsidR="006515DC" w:rsidRPr="006515DC" w:rsidRDefault="006515DC" w:rsidP="006515DC">
            <w:r w:rsidRPr="006515DC">
              <w:t>Retailer requests the Service Provider to abolish supply at a specific connection point (simple). To be used for multi-unit residential complexes for all units after the community / unit one.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171.36 </w:t>
            </w:r>
          </w:p>
        </w:tc>
        <w:tc>
          <w:tcPr>
            <w:tcW w:w="1449" w:type="dxa"/>
            <w:noWrap/>
            <w:hideMark/>
          </w:tcPr>
          <w:p w:rsidR="006515DC" w:rsidRPr="006515DC" w:rsidRDefault="006515DC" w:rsidP="006515DC">
            <w:r w:rsidRPr="006515DC">
              <w:t xml:space="preserve">171.36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Supply Abolishment - Complex</w:t>
            </w:r>
          </w:p>
        </w:tc>
        <w:tc>
          <w:tcPr>
            <w:tcW w:w="1449" w:type="dxa"/>
            <w:hideMark/>
          </w:tcPr>
          <w:p w:rsidR="006515DC" w:rsidRPr="006515DC" w:rsidRDefault="006515DC" w:rsidP="006515DC">
            <w:r w:rsidRPr="006515DC">
              <w:t xml:space="preserve">To abolish LV supply that is fed directly from UG network to primary fuses on a </w:t>
            </w:r>
            <w:proofErr w:type="spellStart"/>
            <w:r w:rsidRPr="006515DC">
              <w:t>commerical</w:t>
            </w:r>
            <w:proofErr w:type="spellEnd"/>
            <w:r w:rsidRPr="006515DC">
              <w:t xml:space="preserve"> property.</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3,607.79 </w:t>
            </w:r>
          </w:p>
        </w:tc>
        <w:tc>
          <w:tcPr>
            <w:tcW w:w="1449" w:type="dxa"/>
            <w:noWrap/>
            <w:hideMark/>
          </w:tcPr>
          <w:p w:rsidR="006515DC" w:rsidRPr="006515DC" w:rsidRDefault="006515DC" w:rsidP="006515DC">
            <w:r w:rsidRPr="006515DC">
              <w:t xml:space="preserve">3,607.79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Move point of attachment.</w:t>
            </w:r>
          </w:p>
        </w:tc>
        <w:tc>
          <w:tcPr>
            <w:tcW w:w="1449" w:type="dxa"/>
            <w:hideMark/>
          </w:tcPr>
          <w:p w:rsidR="006515DC" w:rsidRPr="006515DC" w:rsidRDefault="006515DC" w:rsidP="006515DC">
            <w:r w:rsidRPr="006515DC">
              <w:t>N/A</w:t>
            </w:r>
          </w:p>
        </w:tc>
        <w:tc>
          <w:tcPr>
            <w:tcW w:w="1449" w:type="dxa"/>
          </w:tcPr>
          <w:p w:rsidR="006515DC" w:rsidRPr="006515DC" w:rsidRDefault="006515DC" w:rsidP="006515DC">
            <w:r w:rsidRPr="006515DC">
              <w:t>N/A</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Rearrange connection assets at customers request - complex</w:t>
            </w:r>
          </w:p>
        </w:tc>
        <w:tc>
          <w:tcPr>
            <w:tcW w:w="1449" w:type="dxa"/>
            <w:hideMark/>
          </w:tcPr>
          <w:p w:rsidR="006515DC" w:rsidRPr="006515DC" w:rsidRDefault="006515DC" w:rsidP="006515DC">
            <w:r w:rsidRPr="006515DC">
              <w:t xml:space="preserve">Pole to Pillar (installed by </w:t>
            </w:r>
            <w:proofErr w:type="spellStart"/>
            <w:r w:rsidRPr="006515DC">
              <w:t>energex</w:t>
            </w:r>
            <w:proofErr w:type="spellEnd"/>
            <w:r w:rsidRPr="006515DC">
              <w:t>)</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9,609.61 </w:t>
            </w:r>
          </w:p>
        </w:tc>
        <w:tc>
          <w:tcPr>
            <w:tcW w:w="1449" w:type="dxa"/>
            <w:noWrap/>
            <w:hideMark/>
          </w:tcPr>
          <w:p w:rsidR="006515DC" w:rsidRPr="006515DC" w:rsidRDefault="006515DC" w:rsidP="006515DC">
            <w:r w:rsidRPr="006515DC">
              <w:t xml:space="preserve">9,609.61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Rearrange connection assets at customers request - complex</w:t>
            </w:r>
          </w:p>
        </w:tc>
        <w:tc>
          <w:tcPr>
            <w:tcW w:w="1449" w:type="dxa"/>
            <w:hideMark/>
          </w:tcPr>
          <w:p w:rsidR="006515DC" w:rsidRPr="006515DC" w:rsidRDefault="006515DC" w:rsidP="006515DC">
            <w:r w:rsidRPr="006515DC">
              <w:t xml:space="preserve">Overhead to Underground where existing main connection point does not exist </w:t>
            </w:r>
            <w:proofErr w:type="spellStart"/>
            <w:r w:rsidRPr="006515DC">
              <w:t>ie</w:t>
            </w:r>
            <w:proofErr w:type="spellEnd"/>
            <w:r w:rsidRPr="006515DC">
              <w:t xml:space="preserve"> have to install pillar. Includes cost of connection once pillar is installed</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8,721.55 </w:t>
            </w:r>
          </w:p>
        </w:tc>
        <w:tc>
          <w:tcPr>
            <w:tcW w:w="1449" w:type="dxa"/>
            <w:noWrap/>
            <w:hideMark/>
          </w:tcPr>
          <w:p w:rsidR="006515DC" w:rsidRPr="006515DC" w:rsidRDefault="006515DC" w:rsidP="006515DC">
            <w:r w:rsidRPr="006515DC">
              <w:t xml:space="preserve">8,665.20 </w:t>
            </w:r>
          </w:p>
        </w:tc>
        <w:tc>
          <w:tcPr>
            <w:tcW w:w="1449" w:type="dxa"/>
            <w:noWrap/>
            <w:hideMark/>
          </w:tcPr>
          <w:p w:rsidR="006515DC" w:rsidRPr="006515DC" w:rsidRDefault="006515DC" w:rsidP="006515DC">
            <w:r w:rsidRPr="006515DC">
              <w:t>-0.6%</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 xml:space="preserve">Rearrange connection assets at customers request - simple (upgrade from overhead to underground where main </w:t>
            </w:r>
            <w:r w:rsidRPr="006515DC">
              <w:lastRenderedPageBreak/>
              <w:t xml:space="preserve">connection point is in </w:t>
            </w:r>
            <w:proofErr w:type="spellStart"/>
            <w:r w:rsidRPr="006515DC">
              <w:t>existance</w:t>
            </w:r>
            <w:proofErr w:type="spellEnd"/>
            <w:r w:rsidRPr="006515DC">
              <w:t>)</w:t>
            </w:r>
          </w:p>
        </w:tc>
        <w:tc>
          <w:tcPr>
            <w:tcW w:w="1449" w:type="dxa"/>
            <w:hideMark/>
          </w:tcPr>
          <w:p w:rsidR="006515DC" w:rsidRPr="006515DC" w:rsidRDefault="006515DC" w:rsidP="006515DC">
            <w:r w:rsidRPr="006515DC">
              <w:lastRenderedPageBreak/>
              <w:t xml:space="preserve">Recovery of the overhead service and connection of the consumer mains to the pre-existing pillar for a customer requested conversion of </w:t>
            </w:r>
            <w:r w:rsidRPr="006515DC">
              <w:lastRenderedPageBreak/>
              <w:t>existing overhead service to underground service (business hours).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242.54 </w:t>
            </w:r>
          </w:p>
        </w:tc>
        <w:tc>
          <w:tcPr>
            <w:tcW w:w="1449" w:type="dxa"/>
            <w:noWrap/>
            <w:hideMark/>
          </w:tcPr>
          <w:p w:rsidR="006515DC" w:rsidRPr="006515DC" w:rsidRDefault="006515DC" w:rsidP="006515DC">
            <w:r w:rsidRPr="006515DC">
              <w:t xml:space="preserve">242.54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lastRenderedPageBreak/>
              <w:t xml:space="preserve">Rearrange connection assets at customers request - simple (upgrade from overhead to underground where main connection point is in </w:t>
            </w:r>
            <w:proofErr w:type="spellStart"/>
            <w:r w:rsidRPr="006515DC">
              <w:t>existance</w:t>
            </w:r>
            <w:proofErr w:type="spellEnd"/>
            <w:r w:rsidRPr="006515DC">
              <w:t>)</w:t>
            </w:r>
          </w:p>
        </w:tc>
        <w:tc>
          <w:tcPr>
            <w:tcW w:w="1449" w:type="dxa"/>
            <w:hideMark/>
          </w:tcPr>
          <w:p w:rsidR="006515DC" w:rsidRPr="006515DC" w:rsidRDefault="006515DC" w:rsidP="006515DC">
            <w:r w:rsidRPr="006515DC">
              <w:t>Recovery of the overhead service and connection of the consumer mains to the pre-existing pillar for a customer requested conversion of existing overhead service to underground service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346.11 </w:t>
            </w:r>
          </w:p>
        </w:tc>
        <w:tc>
          <w:tcPr>
            <w:tcW w:w="1449" w:type="dxa"/>
            <w:noWrap/>
            <w:hideMark/>
          </w:tcPr>
          <w:p w:rsidR="006515DC" w:rsidRPr="006515DC" w:rsidRDefault="006515DC" w:rsidP="006515DC">
            <w:r w:rsidRPr="006515DC">
              <w:t xml:space="preserve">346.11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 xml:space="preserve">Rearrange connection assets at customers request - simple (upgrade from overhead to underground where main connection point is in </w:t>
            </w:r>
            <w:proofErr w:type="spellStart"/>
            <w:r w:rsidRPr="006515DC">
              <w:t>existance</w:t>
            </w:r>
            <w:proofErr w:type="spellEnd"/>
            <w:r w:rsidRPr="006515DC">
              <w:t>)</w:t>
            </w:r>
          </w:p>
        </w:tc>
        <w:tc>
          <w:tcPr>
            <w:tcW w:w="1449" w:type="dxa"/>
            <w:hideMark/>
          </w:tcPr>
          <w:p w:rsidR="006515DC" w:rsidRPr="006515DC" w:rsidRDefault="006515DC" w:rsidP="006515DC">
            <w:r w:rsidRPr="006515DC">
              <w:t>Recovery of the overhead service and connection of the consumer mains to the pre-existing pillar for a customer requested conversion of existing overhead service to underground service (any 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346.11 </w:t>
            </w:r>
          </w:p>
        </w:tc>
        <w:tc>
          <w:tcPr>
            <w:tcW w:w="1449" w:type="dxa"/>
            <w:noWrap/>
            <w:hideMark/>
          </w:tcPr>
          <w:p w:rsidR="006515DC" w:rsidRPr="006515DC" w:rsidRDefault="006515DC" w:rsidP="006515DC">
            <w:r w:rsidRPr="006515DC">
              <w:t xml:space="preserve">346.11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Overhead Service Line Replacement at customers request (no material change to load)</w:t>
            </w:r>
          </w:p>
        </w:tc>
        <w:tc>
          <w:tcPr>
            <w:tcW w:w="1449" w:type="dxa"/>
            <w:hideMark/>
          </w:tcPr>
          <w:p w:rsidR="006515DC" w:rsidRPr="006515DC" w:rsidRDefault="006515DC" w:rsidP="006515DC">
            <w:r w:rsidRPr="006515DC">
              <w:t>Customer requests their existing overhead service to be replaced or relocated, e.g.as a result of Point of Attachment relocation. No material change to load. Single phase.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615.66 </w:t>
            </w:r>
          </w:p>
        </w:tc>
        <w:tc>
          <w:tcPr>
            <w:tcW w:w="1449" w:type="dxa"/>
            <w:noWrap/>
            <w:hideMark/>
          </w:tcPr>
          <w:p w:rsidR="006515DC" w:rsidRPr="006515DC" w:rsidRDefault="006515DC" w:rsidP="006515DC">
            <w:r w:rsidRPr="006515DC">
              <w:t xml:space="preserve">615.66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Overhead Service Line Replacement at customers request (no material change to load)</w:t>
            </w:r>
          </w:p>
        </w:tc>
        <w:tc>
          <w:tcPr>
            <w:tcW w:w="1449" w:type="dxa"/>
            <w:hideMark/>
          </w:tcPr>
          <w:p w:rsidR="006515DC" w:rsidRPr="006515DC" w:rsidRDefault="006515DC" w:rsidP="006515DC">
            <w:r w:rsidRPr="006515DC">
              <w:t xml:space="preserve">Customer requests their existing overhead service to be replaced or relocated, e.g.as a result of Point of Attachment relocation. No material change </w:t>
            </w:r>
            <w:r w:rsidRPr="006515DC">
              <w:lastRenderedPageBreak/>
              <w:t>to load. Single phase. (after hours)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798.67 </w:t>
            </w:r>
          </w:p>
        </w:tc>
        <w:tc>
          <w:tcPr>
            <w:tcW w:w="1449" w:type="dxa"/>
            <w:noWrap/>
            <w:hideMark/>
          </w:tcPr>
          <w:p w:rsidR="006515DC" w:rsidRPr="006515DC" w:rsidRDefault="006515DC" w:rsidP="006515DC">
            <w:r w:rsidRPr="006515DC">
              <w:t xml:space="preserve">798.67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lastRenderedPageBreak/>
              <w:t>Overhead Service Line Replacement at customers request (no material change to load)</w:t>
            </w:r>
          </w:p>
        </w:tc>
        <w:tc>
          <w:tcPr>
            <w:tcW w:w="1449" w:type="dxa"/>
            <w:hideMark/>
          </w:tcPr>
          <w:p w:rsidR="006515DC" w:rsidRPr="006515DC" w:rsidRDefault="006515DC" w:rsidP="006515DC">
            <w:r w:rsidRPr="006515DC">
              <w:t>Customer requests their existing overhead service to be replaced or relocated, e.g.as a result of Point of Attachment relocation. No material change to load. Single phase. (after hours)  Work requires traffic control due to imposed rules from external authorities.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1,857.55 </w:t>
            </w:r>
          </w:p>
        </w:tc>
        <w:tc>
          <w:tcPr>
            <w:tcW w:w="1449" w:type="dxa"/>
            <w:noWrap/>
            <w:hideMark/>
          </w:tcPr>
          <w:p w:rsidR="006515DC" w:rsidRPr="006515DC" w:rsidRDefault="006515DC" w:rsidP="006515DC">
            <w:r w:rsidRPr="006515DC">
              <w:t xml:space="preserve">1,857.55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Overhead Service Line Replacement at customers request (no material change to load)</w:t>
            </w:r>
          </w:p>
        </w:tc>
        <w:tc>
          <w:tcPr>
            <w:tcW w:w="1449" w:type="dxa"/>
            <w:hideMark/>
          </w:tcPr>
          <w:p w:rsidR="006515DC" w:rsidRPr="006515DC" w:rsidRDefault="006515DC" w:rsidP="006515DC">
            <w:r w:rsidRPr="006515DC">
              <w:t>Customer requests their existing overhead service to be replaced or relocated, e.g.as a result of Point of Attachment relocation. No material change to load. Single phase. (any 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798.67 </w:t>
            </w:r>
          </w:p>
        </w:tc>
        <w:tc>
          <w:tcPr>
            <w:tcW w:w="1449" w:type="dxa"/>
            <w:noWrap/>
            <w:hideMark/>
          </w:tcPr>
          <w:p w:rsidR="006515DC" w:rsidRPr="006515DC" w:rsidRDefault="006515DC" w:rsidP="006515DC">
            <w:r w:rsidRPr="006515DC">
              <w:t xml:space="preserve">798.67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Overhead Service Line Replacement at customers request (no material change to load)</w:t>
            </w:r>
          </w:p>
        </w:tc>
        <w:tc>
          <w:tcPr>
            <w:tcW w:w="1449" w:type="dxa"/>
            <w:hideMark/>
          </w:tcPr>
          <w:p w:rsidR="006515DC" w:rsidRPr="006515DC" w:rsidRDefault="006515DC" w:rsidP="006515DC">
            <w:r w:rsidRPr="006515DC">
              <w:t>Customer requests their existing overhead service to be replaced or relocated, e.g.as a result of Point of Attachment relocation. No material change to load. Single phase. (any time)  Work requires traffic control due to imposed rules from external authorities.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1,857.55 </w:t>
            </w:r>
          </w:p>
        </w:tc>
        <w:tc>
          <w:tcPr>
            <w:tcW w:w="1449" w:type="dxa"/>
            <w:noWrap/>
            <w:hideMark/>
          </w:tcPr>
          <w:p w:rsidR="006515DC" w:rsidRPr="006515DC" w:rsidRDefault="006515DC" w:rsidP="006515DC">
            <w:r w:rsidRPr="006515DC">
              <w:t xml:space="preserve">1,857.55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 xml:space="preserve">Overhead Service Line Replacement at customers </w:t>
            </w:r>
            <w:r w:rsidRPr="006515DC">
              <w:lastRenderedPageBreak/>
              <w:t>request (no material change to load)</w:t>
            </w:r>
          </w:p>
        </w:tc>
        <w:tc>
          <w:tcPr>
            <w:tcW w:w="1449" w:type="dxa"/>
            <w:hideMark/>
          </w:tcPr>
          <w:p w:rsidR="006515DC" w:rsidRPr="006515DC" w:rsidRDefault="006515DC" w:rsidP="006515DC">
            <w:r w:rsidRPr="006515DC">
              <w:lastRenderedPageBreak/>
              <w:t xml:space="preserve">Customer requests their existing overhead service </w:t>
            </w:r>
            <w:r w:rsidRPr="006515DC">
              <w:lastRenderedPageBreak/>
              <w:t xml:space="preserve">to be replaced or relocated, e.g.as a result of Point of Attachment relocation. No material change to load. </w:t>
            </w:r>
            <w:proofErr w:type="spellStart"/>
            <w:r w:rsidRPr="006515DC">
              <w:t>Multi phase</w:t>
            </w:r>
            <w:proofErr w:type="spellEnd"/>
            <w:r w:rsidRPr="006515DC">
              <w:t>. (business hours)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864.57 </w:t>
            </w:r>
          </w:p>
        </w:tc>
        <w:tc>
          <w:tcPr>
            <w:tcW w:w="1449" w:type="dxa"/>
            <w:noWrap/>
            <w:hideMark/>
          </w:tcPr>
          <w:p w:rsidR="006515DC" w:rsidRPr="006515DC" w:rsidRDefault="006515DC" w:rsidP="006515DC">
            <w:r w:rsidRPr="006515DC">
              <w:t xml:space="preserve">864.57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lastRenderedPageBreak/>
              <w:t>Overhead Service Line Replacement at customers request (no material change to load)</w:t>
            </w:r>
          </w:p>
        </w:tc>
        <w:tc>
          <w:tcPr>
            <w:tcW w:w="1449" w:type="dxa"/>
            <w:hideMark/>
          </w:tcPr>
          <w:p w:rsidR="006515DC" w:rsidRPr="006515DC" w:rsidRDefault="006515DC" w:rsidP="006515DC">
            <w:r w:rsidRPr="006515DC">
              <w:t xml:space="preserve">Customer requests their existing overhead service to be replaced or relocated, e.g.as a result of Point of Attachment relocation. No material change to load. </w:t>
            </w:r>
            <w:proofErr w:type="spellStart"/>
            <w:r w:rsidRPr="006515DC">
              <w:t>Multi phase</w:t>
            </w:r>
            <w:proofErr w:type="spellEnd"/>
            <w:r w:rsidRPr="006515DC">
              <w:t>.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1,095.62 </w:t>
            </w:r>
          </w:p>
        </w:tc>
        <w:tc>
          <w:tcPr>
            <w:tcW w:w="1449" w:type="dxa"/>
            <w:noWrap/>
            <w:hideMark/>
          </w:tcPr>
          <w:p w:rsidR="006515DC" w:rsidRPr="006515DC" w:rsidRDefault="006515DC" w:rsidP="006515DC">
            <w:r w:rsidRPr="006515DC">
              <w:t xml:space="preserve">1,095.62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Overhead Service Line Replacement at customers request (no material change to load)</w:t>
            </w:r>
          </w:p>
        </w:tc>
        <w:tc>
          <w:tcPr>
            <w:tcW w:w="1449" w:type="dxa"/>
            <w:hideMark/>
          </w:tcPr>
          <w:p w:rsidR="006515DC" w:rsidRPr="006515DC" w:rsidRDefault="006515DC" w:rsidP="006515DC">
            <w:r w:rsidRPr="006515DC">
              <w:t xml:space="preserve">Customer requests their existing overhead service to be replaced or relocated, e.g.as a result of Point of Attachment relocation. No material change to load. </w:t>
            </w:r>
            <w:proofErr w:type="spellStart"/>
            <w:r w:rsidRPr="006515DC">
              <w:t>Multi phase</w:t>
            </w:r>
            <w:proofErr w:type="spellEnd"/>
            <w:r w:rsidRPr="006515DC">
              <w:t>. (after hours)  Work requires traffic control due to imposed rules from external authorities.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2,154.50 </w:t>
            </w:r>
          </w:p>
        </w:tc>
        <w:tc>
          <w:tcPr>
            <w:tcW w:w="1449" w:type="dxa"/>
            <w:noWrap/>
            <w:hideMark/>
          </w:tcPr>
          <w:p w:rsidR="006515DC" w:rsidRPr="006515DC" w:rsidRDefault="006515DC" w:rsidP="006515DC">
            <w:r w:rsidRPr="006515DC">
              <w:t xml:space="preserve">2,154.50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Overhead Service Line Replacement at customers request (no material change to load)</w:t>
            </w:r>
          </w:p>
        </w:tc>
        <w:tc>
          <w:tcPr>
            <w:tcW w:w="1449" w:type="dxa"/>
            <w:hideMark/>
          </w:tcPr>
          <w:p w:rsidR="006515DC" w:rsidRPr="006515DC" w:rsidRDefault="006515DC" w:rsidP="006515DC">
            <w:r w:rsidRPr="006515DC">
              <w:t xml:space="preserve">Customer requests their existing overhead service to be replaced or relocated, e.g.as a result of Point of Attachment relocation. No material change to load. </w:t>
            </w:r>
            <w:proofErr w:type="spellStart"/>
            <w:r w:rsidRPr="006515DC">
              <w:t>Multi phase</w:t>
            </w:r>
            <w:proofErr w:type="spellEnd"/>
            <w:r w:rsidRPr="006515DC">
              <w:t>. (any 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1,095.62 </w:t>
            </w:r>
          </w:p>
        </w:tc>
        <w:tc>
          <w:tcPr>
            <w:tcW w:w="1449" w:type="dxa"/>
            <w:noWrap/>
            <w:hideMark/>
          </w:tcPr>
          <w:p w:rsidR="006515DC" w:rsidRPr="006515DC" w:rsidRDefault="006515DC" w:rsidP="006515DC">
            <w:r w:rsidRPr="006515DC">
              <w:t xml:space="preserve">1,095.62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 xml:space="preserve">Overhead Service Line Replacement at </w:t>
            </w:r>
            <w:r w:rsidRPr="006515DC">
              <w:lastRenderedPageBreak/>
              <w:t>customers request (no material change to load)</w:t>
            </w:r>
          </w:p>
        </w:tc>
        <w:tc>
          <w:tcPr>
            <w:tcW w:w="1449" w:type="dxa"/>
            <w:hideMark/>
          </w:tcPr>
          <w:p w:rsidR="006515DC" w:rsidRPr="006515DC" w:rsidRDefault="006515DC" w:rsidP="006515DC">
            <w:r w:rsidRPr="006515DC">
              <w:lastRenderedPageBreak/>
              <w:t xml:space="preserve">Customer requests their existing </w:t>
            </w:r>
            <w:r w:rsidRPr="006515DC">
              <w:lastRenderedPageBreak/>
              <w:t xml:space="preserve">overhead service to be replaced or relocated, e.g.as a result of Point of Attachment relocation. No material change to load. </w:t>
            </w:r>
            <w:proofErr w:type="spellStart"/>
            <w:r w:rsidRPr="006515DC">
              <w:t>Multi phase</w:t>
            </w:r>
            <w:proofErr w:type="spellEnd"/>
            <w:r w:rsidRPr="006515DC">
              <w:t>. (any time)  Work requires traffic control due to imposed rules from external authorities.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2,154.50 </w:t>
            </w:r>
          </w:p>
        </w:tc>
        <w:tc>
          <w:tcPr>
            <w:tcW w:w="1449" w:type="dxa"/>
            <w:noWrap/>
            <w:hideMark/>
          </w:tcPr>
          <w:p w:rsidR="006515DC" w:rsidRPr="006515DC" w:rsidRDefault="006515DC" w:rsidP="006515DC">
            <w:r w:rsidRPr="006515DC">
              <w:t xml:space="preserve">2,154.50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 xml:space="preserve">Auditing services – auditing/re-inspection of connection assets after </w:t>
            </w:r>
            <w:proofErr w:type="spellStart"/>
            <w:r w:rsidRPr="006515DC">
              <w:t>energisation</w:t>
            </w:r>
            <w:proofErr w:type="spellEnd"/>
            <w:r w:rsidRPr="006515DC">
              <w:t xml:space="preserve"> to network - complex</w:t>
            </w:r>
          </w:p>
          <w:p w:rsidR="006515DC" w:rsidRPr="006515DC" w:rsidRDefault="006515DC" w:rsidP="006515DC"/>
        </w:tc>
        <w:tc>
          <w:tcPr>
            <w:tcW w:w="1449" w:type="dxa"/>
            <w:hideMark/>
          </w:tcPr>
          <w:p w:rsidR="006515DC" w:rsidRPr="006515DC" w:rsidRDefault="006515DC" w:rsidP="006515DC">
            <w:r w:rsidRPr="006515DC">
              <w:t xml:space="preserve">Auditing / re-inspection of connection assets after </w:t>
            </w:r>
            <w:proofErr w:type="spellStart"/>
            <w:r w:rsidRPr="006515DC">
              <w:t>energisation</w:t>
            </w:r>
            <w:proofErr w:type="spellEnd"/>
            <w:r w:rsidRPr="006515DC">
              <w:t xml:space="preserve"> - Large Customer Connections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1,357.45 </w:t>
            </w:r>
          </w:p>
        </w:tc>
        <w:tc>
          <w:tcPr>
            <w:tcW w:w="1449" w:type="dxa"/>
            <w:noWrap/>
            <w:hideMark/>
          </w:tcPr>
          <w:p w:rsidR="006515DC" w:rsidRPr="006515DC" w:rsidRDefault="006515DC" w:rsidP="006515DC">
            <w:r w:rsidRPr="006515DC">
              <w:t xml:space="preserve">1,357.45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200"/>
        </w:trPr>
        <w:tc>
          <w:tcPr>
            <w:tcW w:w="1449" w:type="dxa"/>
          </w:tcPr>
          <w:p w:rsidR="006515DC" w:rsidRPr="006515DC" w:rsidRDefault="006515DC" w:rsidP="006515DC">
            <w:r w:rsidRPr="006515DC">
              <w:t xml:space="preserve">Auditing services – auditing/re-inspection of connection assets after </w:t>
            </w:r>
            <w:proofErr w:type="spellStart"/>
            <w:r w:rsidRPr="006515DC">
              <w:t>energisation</w:t>
            </w:r>
            <w:proofErr w:type="spellEnd"/>
            <w:r w:rsidRPr="006515DC">
              <w:t xml:space="preserve"> to network - simple</w:t>
            </w:r>
          </w:p>
        </w:tc>
        <w:tc>
          <w:tcPr>
            <w:tcW w:w="1449" w:type="dxa"/>
            <w:hideMark/>
          </w:tcPr>
          <w:p w:rsidR="006515DC" w:rsidRPr="006515DC" w:rsidRDefault="006515DC" w:rsidP="006515DC">
            <w:r w:rsidRPr="006515DC">
              <w:t xml:space="preserve">Auditing / re-inspection of connection assets after </w:t>
            </w:r>
            <w:proofErr w:type="spellStart"/>
            <w:r w:rsidRPr="006515DC">
              <w:t>energisation</w:t>
            </w:r>
            <w:proofErr w:type="spellEnd"/>
            <w:r w:rsidRPr="006515DC">
              <w:t xml:space="preserve"> - real estate development (sub-division)</w:t>
            </w:r>
            <w:r w:rsidRPr="006515DC">
              <w:br/>
              <w:t>Number of new, modified or recovered sites (i.e. stations numbers excluding street light pits and conduits)</w:t>
            </w:r>
            <w:r w:rsidRPr="006515DC">
              <w:br/>
              <w:t>0-6</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445.41 </w:t>
            </w:r>
          </w:p>
        </w:tc>
        <w:tc>
          <w:tcPr>
            <w:tcW w:w="1449" w:type="dxa"/>
            <w:hideMark/>
          </w:tcPr>
          <w:p w:rsidR="006515DC" w:rsidRPr="006515DC" w:rsidRDefault="006515DC" w:rsidP="006515DC">
            <w:r w:rsidRPr="006515DC">
              <w:t xml:space="preserve">445.41 </w:t>
            </w:r>
          </w:p>
        </w:tc>
        <w:tc>
          <w:tcPr>
            <w:tcW w:w="1449" w:type="dxa"/>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t xml:space="preserve">Auditing services – auditing/re-inspection of connection assets after </w:t>
            </w:r>
            <w:proofErr w:type="spellStart"/>
            <w:r w:rsidRPr="006515DC">
              <w:t>energisation</w:t>
            </w:r>
            <w:proofErr w:type="spellEnd"/>
            <w:r w:rsidRPr="006515DC">
              <w:t xml:space="preserve"> to network - simple</w:t>
            </w:r>
          </w:p>
        </w:tc>
        <w:tc>
          <w:tcPr>
            <w:tcW w:w="1449" w:type="dxa"/>
            <w:hideMark/>
          </w:tcPr>
          <w:p w:rsidR="006515DC" w:rsidRPr="006515DC" w:rsidRDefault="006515DC" w:rsidP="006515DC">
            <w:r w:rsidRPr="006515DC">
              <w:t xml:space="preserve">Auditing / re-inspection of connection assets after </w:t>
            </w:r>
            <w:proofErr w:type="spellStart"/>
            <w:r w:rsidRPr="006515DC">
              <w:t>energisation</w:t>
            </w:r>
            <w:proofErr w:type="spellEnd"/>
            <w:r w:rsidRPr="006515DC">
              <w:t xml:space="preserve"> - real estate development (sub-division)</w:t>
            </w:r>
            <w:r w:rsidRPr="006515DC">
              <w:br/>
              <w:t xml:space="preserve">Number of new, modified or recovered sites (i.e. stations numbers excluding street light pits and </w:t>
            </w:r>
            <w:r w:rsidRPr="006515DC">
              <w:lastRenderedPageBreak/>
              <w:t>conduits)</w:t>
            </w:r>
            <w:r w:rsidRPr="006515DC">
              <w:br/>
              <w:t>7-30</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712.66 </w:t>
            </w:r>
          </w:p>
        </w:tc>
        <w:tc>
          <w:tcPr>
            <w:tcW w:w="1449" w:type="dxa"/>
            <w:noWrap/>
            <w:hideMark/>
          </w:tcPr>
          <w:p w:rsidR="006515DC" w:rsidRPr="006515DC" w:rsidRDefault="006515DC" w:rsidP="006515DC">
            <w:r w:rsidRPr="006515DC">
              <w:t xml:space="preserve">712.66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200"/>
        </w:trPr>
        <w:tc>
          <w:tcPr>
            <w:tcW w:w="1449" w:type="dxa"/>
          </w:tcPr>
          <w:p w:rsidR="006515DC" w:rsidRPr="006515DC" w:rsidRDefault="006515DC" w:rsidP="006515DC">
            <w:r w:rsidRPr="006515DC">
              <w:lastRenderedPageBreak/>
              <w:t xml:space="preserve">Auditing services – auditing/re-inspection of connection assets after </w:t>
            </w:r>
            <w:proofErr w:type="spellStart"/>
            <w:r w:rsidRPr="006515DC">
              <w:t>energisation</w:t>
            </w:r>
            <w:proofErr w:type="spellEnd"/>
            <w:r w:rsidRPr="006515DC">
              <w:t xml:space="preserve"> to network - simple</w:t>
            </w:r>
          </w:p>
        </w:tc>
        <w:tc>
          <w:tcPr>
            <w:tcW w:w="1449" w:type="dxa"/>
            <w:hideMark/>
          </w:tcPr>
          <w:p w:rsidR="006515DC" w:rsidRPr="006515DC" w:rsidRDefault="006515DC" w:rsidP="006515DC">
            <w:r w:rsidRPr="006515DC">
              <w:t xml:space="preserve">Auditing / re-inspection of connection assets after </w:t>
            </w:r>
            <w:proofErr w:type="spellStart"/>
            <w:r w:rsidRPr="006515DC">
              <w:t>energisation</w:t>
            </w:r>
            <w:proofErr w:type="spellEnd"/>
            <w:r w:rsidRPr="006515DC">
              <w:t xml:space="preserve"> - real estate development (sub-division)</w:t>
            </w:r>
            <w:r w:rsidRPr="006515DC">
              <w:br/>
              <w:t>Number of new, modified or recovered sites (i.e. stations numbers excluding street light pits and conduits)</w:t>
            </w:r>
            <w:r w:rsidRPr="006515DC">
              <w:br/>
              <w:t>31-60</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852.65 </w:t>
            </w:r>
          </w:p>
        </w:tc>
        <w:tc>
          <w:tcPr>
            <w:tcW w:w="1449" w:type="dxa"/>
            <w:hideMark/>
          </w:tcPr>
          <w:p w:rsidR="006515DC" w:rsidRPr="006515DC" w:rsidRDefault="006515DC" w:rsidP="006515DC">
            <w:r w:rsidRPr="006515DC">
              <w:t xml:space="preserve">852.65 </w:t>
            </w:r>
          </w:p>
        </w:tc>
        <w:tc>
          <w:tcPr>
            <w:tcW w:w="1449" w:type="dxa"/>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t xml:space="preserve">Auditing services – auditing/re-inspection of connection assets after </w:t>
            </w:r>
            <w:proofErr w:type="spellStart"/>
            <w:r w:rsidRPr="006515DC">
              <w:t>energisation</w:t>
            </w:r>
            <w:proofErr w:type="spellEnd"/>
            <w:r w:rsidRPr="006515DC">
              <w:t xml:space="preserve"> to network - simple</w:t>
            </w:r>
          </w:p>
        </w:tc>
        <w:tc>
          <w:tcPr>
            <w:tcW w:w="1449" w:type="dxa"/>
            <w:hideMark/>
          </w:tcPr>
          <w:p w:rsidR="006515DC" w:rsidRPr="006515DC" w:rsidRDefault="006515DC" w:rsidP="006515DC">
            <w:r w:rsidRPr="006515DC">
              <w:t xml:space="preserve">Auditing / re-inspection of connection assets after </w:t>
            </w:r>
            <w:proofErr w:type="spellStart"/>
            <w:r w:rsidRPr="006515DC">
              <w:t>energisation</w:t>
            </w:r>
            <w:proofErr w:type="spellEnd"/>
            <w:r w:rsidRPr="006515DC">
              <w:t xml:space="preserve"> - real estate development (sub-division)</w:t>
            </w:r>
            <w:r w:rsidRPr="006515DC">
              <w:br/>
              <w:t>Number of new, modified or recovered sites (i.e. stations numbers excluding street light pits and conduits)</w:t>
            </w:r>
            <w:r w:rsidRPr="006515DC">
              <w:br/>
              <w:t>61+</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950.21 </w:t>
            </w:r>
          </w:p>
        </w:tc>
        <w:tc>
          <w:tcPr>
            <w:tcW w:w="1449" w:type="dxa"/>
            <w:noWrap/>
            <w:hideMark/>
          </w:tcPr>
          <w:p w:rsidR="006515DC" w:rsidRPr="006515DC" w:rsidRDefault="006515DC" w:rsidP="006515DC">
            <w:r w:rsidRPr="006515DC">
              <w:t xml:space="preserve">950.21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Protection and Power Quality Assessment</w:t>
            </w:r>
          </w:p>
        </w:tc>
        <w:tc>
          <w:tcPr>
            <w:tcW w:w="1449" w:type="dxa"/>
            <w:hideMark/>
          </w:tcPr>
          <w:p w:rsidR="006515DC" w:rsidRPr="006515DC" w:rsidRDefault="006515DC" w:rsidP="006515DC">
            <w:r w:rsidRPr="006515DC">
              <w:t>embedded generation connected to network</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5,144.61 </w:t>
            </w:r>
          </w:p>
        </w:tc>
        <w:tc>
          <w:tcPr>
            <w:tcW w:w="1449" w:type="dxa"/>
            <w:noWrap/>
            <w:hideMark/>
          </w:tcPr>
          <w:p w:rsidR="006515DC" w:rsidRPr="006515DC" w:rsidRDefault="006515DC" w:rsidP="006515DC">
            <w:r w:rsidRPr="006515DC">
              <w:t xml:space="preserve">5,144.61 </w:t>
            </w:r>
          </w:p>
        </w:tc>
        <w:tc>
          <w:tcPr>
            <w:tcW w:w="1449" w:type="dxa"/>
            <w:noWrap/>
            <w:hideMark/>
          </w:tcPr>
          <w:p w:rsidR="006515DC" w:rsidRPr="006515DC" w:rsidRDefault="006515DC" w:rsidP="006515DC">
            <w:r w:rsidRPr="006515DC">
              <w:t xml:space="preserve">                   -  </w:t>
            </w:r>
          </w:p>
        </w:tc>
      </w:tr>
      <w:tr w:rsidR="006515DC" w:rsidRPr="00D56EA3" w:rsidTr="009C1B5E">
        <w:trPr>
          <w:trHeight w:val="960"/>
        </w:trPr>
        <w:tc>
          <w:tcPr>
            <w:tcW w:w="1449" w:type="dxa"/>
          </w:tcPr>
          <w:p w:rsidR="006515DC" w:rsidRPr="006515DC" w:rsidRDefault="006515DC" w:rsidP="006515DC">
            <w:r w:rsidRPr="006515DC">
              <w:t>Customer requested works to allow customer or contractor to work close.</w:t>
            </w:r>
          </w:p>
        </w:tc>
        <w:tc>
          <w:tcPr>
            <w:tcW w:w="1449" w:type="dxa"/>
            <w:hideMark/>
          </w:tcPr>
          <w:p w:rsidR="006515DC" w:rsidRPr="006515DC" w:rsidRDefault="006515DC" w:rsidP="006515DC">
            <w:r w:rsidRPr="006515DC">
              <w:t>Customer requested disconnection and reconnection of supply, coverage of LV mains and/or switching to allow customer/contractor to work close.</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lastRenderedPageBreak/>
              <w:t>Temporary disconnections and reconnections (which may involve a line drop) - Low Voltage</w:t>
            </w:r>
          </w:p>
        </w:tc>
        <w:tc>
          <w:tcPr>
            <w:tcW w:w="1449" w:type="dxa"/>
            <w:hideMark/>
          </w:tcPr>
          <w:p w:rsidR="006515DC" w:rsidRPr="006515DC" w:rsidRDefault="006515DC" w:rsidP="006515DC">
            <w:r w:rsidRPr="006515DC">
              <w:t>Temporary LV Service Disconnection/Reconnection - no dismantling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347.88 </w:t>
            </w:r>
          </w:p>
        </w:tc>
        <w:tc>
          <w:tcPr>
            <w:tcW w:w="1449" w:type="dxa"/>
            <w:noWrap/>
            <w:hideMark/>
          </w:tcPr>
          <w:p w:rsidR="006515DC" w:rsidRPr="006515DC" w:rsidRDefault="006515DC" w:rsidP="006515DC">
            <w:r w:rsidRPr="006515DC">
              <w:t xml:space="preserve">347.88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Temporary disconnections and reconnections (which may involve a line drop) - Low Voltage</w:t>
            </w:r>
          </w:p>
        </w:tc>
        <w:tc>
          <w:tcPr>
            <w:tcW w:w="1449" w:type="dxa"/>
            <w:hideMark/>
          </w:tcPr>
          <w:p w:rsidR="006515DC" w:rsidRPr="006515DC" w:rsidRDefault="006515DC" w:rsidP="006515DC">
            <w:r w:rsidRPr="006515DC">
              <w:t>Temporary LV Service Disconnection/Reconnection - physical dismantling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568.37 </w:t>
            </w:r>
          </w:p>
        </w:tc>
        <w:tc>
          <w:tcPr>
            <w:tcW w:w="1449" w:type="dxa"/>
            <w:noWrap/>
            <w:hideMark/>
          </w:tcPr>
          <w:p w:rsidR="006515DC" w:rsidRPr="006515DC" w:rsidRDefault="006515DC" w:rsidP="006515DC">
            <w:r w:rsidRPr="006515DC">
              <w:t xml:space="preserve">568.37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Temporary disconnections and reconnections (which may involve a line drop) - Low Voltage</w:t>
            </w:r>
          </w:p>
        </w:tc>
        <w:tc>
          <w:tcPr>
            <w:tcW w:w="1449" w:type="dxa"/>
            <w:hideMark/>
          </w:tcPr>
          <w:p w:rsidR="006515DC" w:rsidRPr="006515DC" w:rsidRDefault="006515DC" w:rsidP="006515DC">
            <w:r w:rsidRPr="006515DC">
              <w:t>Temporary LV Service Disconnection/Reconnection - no dismantling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496.44 </w:t>
            </w:r>
          </w:p>
        </w:tc>
        <w:tc>
          <w:tcPr>
            <w:tcW w:w="1449" w:type="dxa"/>
            <w:noWrap/>
            <w:hideMark/>
          </w:tcPr>
          <w:p w:rsidR="006515DC" w:rsidRPr="006515DC" w:rsidRDefault="006515DC" w:rsidP="006515DC">
            <w:r w:rsidRPr="006515DC">
              <w:t xml:space="preserve">496.44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Temporary disconnections and reconnections (which may involve a line drop) - Low Voltage</w:t>
            </w:r>
          </w:p>
        </w:tc>
        <w:tc>
          <w:tcPr>
            <w:tcW w:w="1449" w:type="dxa"/>
            <w:hideMark/>
          </w:tcPr>
          <w:p w:rsidR="006515DC" w:rsidRPr="006515DC" w:rsidRDefault="006515DC" w:rsidP="006515DC">
            <w:r w:rsidRPr="006515DC">
              <w:t>Temporary LV Service Disconnection/Reconnection - physical dismantling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811.09 </w:t>
            </w:r>
          </w:p>
        </w:tc>
        <w:tc>
          <w:tcPr>
            <w:tcW w:w="1449" w:type="dxa"/>
            <w:noWrap/>
            <w:hideMark/>
          </w:tcPr>
          <w:p w:rsidR="006515DC" w:rsidRPr="006515DC" w:rsidRDefault="006515DC" w:rsidP="006515DC">
            <w:r w:rsidRPr="006515DC">
              <w:t xml:space="preserve">811.09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Temporary disconnections and reconnections (which may involve a line drop) - Low Voltage</w:t>
            </w:r>
          </w:p>
        </w:tc>
        <w:tc>
          <w:tcPr>
            <w:tcW w:w="1449" w:type="dxa"/>
            <w:hideMark/>
          </w:tcPr>
          <w:p w:rsidR="006515DC" w:rsidRPr="006515DC" w:rsidRDefault="006515DC" w:rsidP="006515DC">
            <w:r w:rsidRPr="006515DC">
              <w:t>Temporary LV Service Disconnection/Reconnection - no dismantling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496.44 </w:t>
            </w:r>
          </w:p>
        </w:tc>
        <w:tc>
          <w:tcPr>
            <w:tcW w:w="1449" w:type="dxa"/>
            <w:noWrap/>
            <w:hideMark/>
          </w:tcPr>
          <w:p w:rsidR="006515DC" w:rsidRPr="006515DC" w:rsidRDefault="006515DC" w:rsidP="006515DC">
            <w:r w:rsidRPr="006515DC">
              <w:t xml:space="preserve">496.44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Temporary disconnections and reconnections (which may involve a line drop) - Low Voltage</w:t>
            </w:r>
          </w:p>
        </w:tc>
        <w:tc>
          <w:tcPr>
            <w:tcW w:w="1449" w:type="dxa"/>
            <w:hideMark/>
          </w:tcPr>
          <w:p w:rsidR="006515DC" w:rsidRPr="006515DC" w:rsidRDefault="006515DC" w:rsidP="006515DC">
            <w:r w:rsidRPr="006515DC">
              <w:t>Temporary LV Service Disconnection/Reconnection - physical dismantling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811.09 </w:t>
            </w:r>
          </w:p>
        </w:tc>
        <w:tc>
          <w:tcPr>
            <w:tcW w:w="1449" w:type="dxa"/>
            <w:noWrap/>
            <w:hideMark/>
          </w:tcPr>
          <w:p w:rsidR="006515DC" w:rsidRPr="006515DC" w:rsidRDefault="006515DC" w:rsidP="006515DC">
            <w:r w:rsidRPr="006515DC">
              <w:t xml:space="preserve">811.09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 xml:space="preserve">Temporary disconnections and reconnections (which may involve a line </w:t>
            </w:r>
            <w:r w:rsidRPr="006515DC">
              <w:lastRenderedPageBreak/>
              <w:t>drop) - High Voltage</w:t>
            </w:r>
          </w:p>
        </w:tc>
        <w:tc>
          <w:tcPr>
            <w:tcW w:w="1449" w:type="dxa"/>
            <w:hideMark/>
          </w:tcPr>
          <w:p w:rsidR="006515DC" w:rsidRPr="006515DC" w:rsidRDefault="006515DC" w:rsidP="006515DC">
            <w:r w:rsidRPr="006515DC">
              <w:lastRenderedPageBreak/>
              <w:t>HV - switching sheets for isolation</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1,175.94 </w:t>
            </w:r>
          </w:p>
        </w:tc>
        <w:tc>
          <w:tcPr>
            <w:tcW w:w="1449" w:type="dxa"/>
            <w:noWrap/>
            <w:hideMark/>
          </w:tcPr>
          <w:p w:rsidR="006515DC" w:rsidRPr="006515DC" w:rsidRDefault="006515DC" w:rsidP="006515DC">
            <w:r w:rsidRPr="006515DC">
              <w:t xml:space="preserve">1,175.94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Customer initiated supply enhancement</w:t>
            </w:r>
          </w:p>
        </w:tc>
        <w:tc>
          <w:tcPr>
            <w:tcW w:w="1449" w:type="dxa"/>
            <w:hideMark/>
          </w:tcPr>
          <w:p w:rsidR="006515DC" w:rsidRPr="006515DC" w:rsidRDefault="006515DC" w:rsidP="006515DC">
            <w:r w:rsidRPr="006515DC">
              <w:t>Overhead Service Upgrade to Multiphase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1,145.40 </w:t>
            </w:r>
          </w:p>
        </w:tc>
        <w:tc>
          <w:tcPr>
            <w:tcW w:w="1449" w:type="dxa"/>
            <w:noWrap/>
            <w:hideMark/>
          </w:tcPr>
          <w:p w:rsidR="006515DC" w:rsidRPr="006515DC" w:rsidRDefault="006515DC" w:rsidP="006515DC">
            <w:r w:rsidRPr="006515DC">
              <w:t xml:space="preserve">1,145.40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initiated supply enhancement</w:t>
            </w:r>
          </w:p>
        </w:tc>
        <w:tc>
          <w:tcPr>
            <w:tcW w:w="1449" w:type="dxa"/>
            <w:hideMark/>
          </w:tcPr>
          <w:p w:rsidR="006515DC" w:rsidRPr="006515DC" w:rsidRDefault="006515DC" w:rsidP="006515DC">
            <w:r w:rsidRPr="006515DC">
              <w:t>Overhead Service Upgrade to Multiphase (includes traffic control)</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2,204.28 </w:t>
            </w:r>
          </w:p>
        </w:tc>
        <w:tc>
          <w:tcPr>
            <w:tcW w:w="1449" w:type="dxa"/>
            <w:noWrap/>
            <w:hideMark/>
          </w:tcPr>
          <w:p w:rsidR="006515DC" w:rsidRPr="006515DC" w:rsidRDefault="006515DC" w:rsidP="006515DC">
            <w:r w:rsidRPr="006515DC">
              <w:t xml:space="preserve">2,204.28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Customer initiated supply enhancement</w:t>
            </w:r>
          </w:p>
        </w:tc>
        <w:tc>
          <w:tcPr>
            <w:tcW w:w="1449" w:type="dxa"/>
            <w:hideMark/>
          </w:tcPr>
          <w:p w:rsidR="006515DC" w:rsidRPr="006515DC" w:rsidRDefault="006515DC" w:rsidP="006515DC">
            <w:r w:rsidRPr="006515DC">
              <w:t xml:space="preserve">Underground Service - Upgrade to </w:t>
            </w:r>
            <w:proofErr w:type="spellStart"/>
            <w:r w:rsidRPr="006515DC">
              <w:t>multi phase</w:t>
            </w:r>
            <w:proofErr w:type="spellEnd"/>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3,051.20 </w:t>
            </w:r>
          </w:p>
        </w:tc>
        <w:tc>
          <w:tcPr>
            <w:tcW w:w="1449" w:type="dxa"/>
            <w:noWrap/>
            <w:hideMark/>
          </w:tcPr>
          <w:p w:rsidR="006515DC" w:rsidRPr="006515DC" w:rsidRDefault="006515DC" w:rsidP="006515DC">
            <w:r w:rsidRPr="006515DC">
              <w:t xml:space="preserve">3,051.20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Provision of connection services above minimum requirements.</w:t>
            </w:r>
          </w:p>
        </w:tc>
        <w:tc>
          <w:tcPr>
            <w:tcW w:w="1449" w:type="dxa"/>
            <w:hideMark/>
          </w:tcPr>
          <w:p w:rsidR="006515DC" w:rsidRPr="006515DC" w:rsidRDefault="006515DC" w:rsidP="006515DC">
            <w:r w:rsidRPr="006515DC">
              <w:t>Customer requests increase in reliability or quality of supply beyond the standard, and/or above minimum regulatory requirements (</w:t>
            </w:r>
            <w:proofErr w:type="spellStart"/>
            <w:r w:rsidRPr="006515DC">
              <w:t>eg</w:t>
            </w:r>
            <w:proofErr w:type="spellEnd"/>
            <w:r w:rsidRPr="006515DC">
              <w:t xml:space="preserve"> reserve feeder). (1km of 11kV Feeder 240mm2 UG, and new conduits.)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1,300,923.86 </w:t>
            </w:r>
          </w:p>
        </w:tc>
        <w:tc>
          <w:tcPr>
            <w:tcW w:w="1449" w:type="dxa"/>
            <w:noWrap/>
            <w:hideMark/>
          </w:tcPr>
          <w:p w:rsidR="006515DC" w:rsidRPr="006515DC" w:rsidRDefault="006515DC" w:rsidP="006515DC">
            <w:r w:rsidRPr="006515DC">
              <w:t xml:space="preserve">1,300,923.86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Customer consultation or appointment.</w:t>
            </w:r>
          </w:p>
          <w:p w:rsidR="006515DC" w:rsidRPr="006515DC" w:rsidRDefault="006515DC" w:rsidP="006515DC"/>
        </w:tc>
        <w:tc>
          <w:tcPr>
            <w:tcW w:w="1449" w:type="dxa"/>
            <w:hideMark/>
          </w:tcPr>
          <w:p w:rsidR="006515DC" w:rsidRPr="006515DC" w:rsidRDefault="006515DC" w:rsidP="006515DC">
            <w:r w:rsidRPr="006515DC">
              <w:t>A visit to the customers premise to advise on electrical supply matters, could be for various reasons.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220.49 </w:t>
            </w:r>
          </w:p>
        </w:tc>
        <w:tc>
          <w:tcPr>
            <w:tcW w:w="1449" w:type="dxa"/>
            <w:noWrap/>
            <w:hideMark/>
          </w:tcPr>
          <w:p w:rsidR="006515DC" w:rsidRPr="006515DC" w:rsidRDefault="006515DC" w:rsidP="006515DC">
            <w:r w:rsidRPr="006515DC">
              <w:t xml:space="preserve">220.49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Rectification of Illegal Connections: Work undertaken as a consequence of illegal connections resulting in damage to the network</w:t>
            </w:r>
          </w:p>
        </w:tc>
        <w:tc>
          <w:tcPr>
            <w:tcW w:w="1449" w:type="dxa"/>
            <w:hideMark/>
          </w:tcPr>
          <w:p w:rsidR="006515DC" w:rsidRPr="006515DC" w:rsidRDefault="006515DC" w:rsidP="006515DC">
            <w:r w:rsidRPr="006515DC">
              <w:t>Rectification of illegal connections or damage to overhead or underground service cables</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Retailer requests de-</w:t>
            </w:r>
            <w:proofErr w:type="spellStart"/>
            <w:r w:rsidRPr="006515DC">
              <w:t>energisation</w:t>
            </w:r>
            <w:proofErr w:type="spellEnd"/>
            <w:r w:rsidRPr="006515DC">
              <w:t xml:space="preserve"> of the customer’s premises where the de-</w:t>
            </w:r>
            <w:proofErr w:type="spellStart"/>
            <w:r w:rsidRPr="006515DC">
              <w:lastRenderedPageBreak/>
              <w:t>energisation</w:t>
            </w:r>
            <w:proofErr w:type="spellEnd"/>
            <w:r w:rsidRPr="006515DC">
              <w:t xml:space="preserve"> can be performed at the premise </w:t>
            </w:r>
            <w:proofErr w:type="spellStart"/>
            <w:r w:rsidRPr="006515DC">
              <w:t>ie</w:t>
            </w:r>
            <w:proofErr w:type="spellEnd"/>
            <w:r w:rsidRPr="006515DC">
              <w:t>. by a method other than Main Switch Seal (</w:t>
            </w:r>
            <w:proofErr w:type="spellStart"/>
            <w:r w:rsidRPr="006515DC">
              <w:t>ie</w:t>
            </w:r>
            <w:proofErr w:type="spellEnd"/>
            <w:r w:rsidRPr="006515DC">
              <w:t xml:space="preserve"> at Pillar Box, Pit or Pole Top).  No CT.</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61.40 </w:t>
            </w:r>
          </w:p>
        </w:tc>
        <w:tc>
          <w:tcPr>
            <w:tcW w:w="1449" w:type="dxa"/>
            <w:noWrap/>
            <w:hideMark/>
          </w:tcPr>
          <w:p w:rsidR="006515DC" w:rsidRPr="006515DC" w:rsidRDefault="006515DC" w:rsidP="006515DC">
            <w:r w:rsidRPr="006515DC">
              <w:t xml:space="preserve">61.40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lastRenderedPageBreak/>
              <w:t>De-</w:t>
            </w:r>
            <w:proofErr w:type="spellStart"/>
            <w:r w:rsidRPr="006515DC">
              <w:t>Energisation</w:t>
            </w:r>
            <w:proofErr w:type="spellEnd"/>
          </w:p>
        </w:tc>
        <w:tc>
          <w:tcPr>
            <w:tcW w:w="1449" w:type="dxa"/>
            <w:hideMark/>
          </w:tcPr>
          <w:p w:rsidR="006515DC" w:rsidRPr="006515DC" w:rsidRDefault="006515DC" w:rsidP="006515DC">
            <w:r w:rsidRPr="006515DC">
              <w:t>Retailer requests de-</w:t>
            </w:r>
            <w:proofErr w:type="spellStart"/>
            <w:r w:rsidRPr="006515DC">
              <w:t>energisation</w:t>
            </w:r>
            <w:proofErr w:type="spellEnd"/>
            <w:r w:rsidRPr="006515DC">
              <w:t xml:space="preserve"> of the customer’s premises where the de-</w:t>
            </w:r>
            <w:proofErr w:type="spellStart"/>
            <w:r w:rsidRPr="006515DC">
              <w:t>energisation</w:t>
            </w:r>
            <w:proofErr w:type="spellEnd"/>
            <w:r w:rsidRPr="006515DC">
              <w:t xml:space="preserve"> can be performed at the premise </w:t>
            </w:r>
            <w:proofErr w:type="spellStart"/>
            <w:r w:rsidRPr="006515DC">
              <w:t>ie</w:t>
            </w:r>
            <w:proofErr w:type="spellEnd"/>
            <w:r w:rsidRPr="006515DC">
              <w:t>. by a method other than Main Switch Seal (</w:t>
            </w:r>
            <w:proofErr w:type="spellStart"/>
            <w:r w:rsidRPr="006515DC">
              <w:t>ie</w:t>
            </w:r>
            <w:proofErr w:type="spellEnd"/>
            <w:r w:rsidRPr="006515DC">
              <w:t xml:space="preserve"> at Pillar Box, Pit or Pole Top).  CT Metering.</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301.64 </w:t>
            </w:r>
          </w:p>
        </w:tc>
        <w:tc>
          <w:tcPr>
            <w:tcW w:w="1449" w:type="dxa"/>
            <w:noWrap/>
            <w:hideMark/>
          </w:tcPr>
          <w:p w:rsidR="006515DC" w:rsidRPr="006515DC" w:rsidRDefault="006515DC" w:rsidP="006515DC">
            <w:r w:rsidRPr="006515DC">
              <w:t xml:space="preserve">301.64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Retailer requests de-</w:t>
            </w:r>
            <w:proofErr w:type="spellStart"/>
            <w:r w:rsidRPr="006515DC">
              <w:t>energisation</w:t>
            </w:r>
            <w:proofErr w:type="spellEnd"/>
            <w:r w:rsidRPr="006515DC">
              <w:t xml:space="preserve"> of the customer’s premises where the customer has not paid their electricity account and the de-</w:t>
            </w:r>
            <w:proofErr w:type="spellStart"/>
            <w:r w:rsidRPr="006515DC">
              <w:t>energisation</w:t>
            </w:r>
            <w:proofErr w:type="spellEnd"/>
            <w:r w:rsidRPr="006515DC">
              <w:t xml:space="preserve"> can be performed at the premise </w:t>
            </w:r>
            <w:proofErr w:type="spellStart"/>
            <w:r w:rsidRPr="006515DC">
              <w:t>ie</w:t>
            </w:r>
            <w:proofErr w:type="spellEnd"/>
            <w:r w:rsidRPr="006515DC">
              <w:t>. by a method other than Main Switch Seal (</w:t>
            </w:r>
            <w:proofErr w:type="spellStart"/>
            <w:r w:rsidRPr="006515DC">
              <w:t>ie</w:t>
            </w:r>
            <w:proofErr w:type="spellEnd"/>
            <w:r w:rsidRPr="006515DC">
              <w:t xml:space="preserve"> at Pillar Box, Pit or Pole Top).  No CT.</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61.40 </w:t>
            </w:r>
          </w:p>
        </w:tc>
        <w:tc>
          <w:tcPr>
            <w:tcW w:w="1449" w:type="dxa"/>
            <w:noWrap/>
            <w:hideMark/>
          </w:tcPr>
          <w:p w:rsidR="006515DC" w:rsidRPr="006515DC" w:rsidRDefault="006515DC" w:rsidP="006515DC">
            <w:r w:rsidRPr="006515DC">
              <w:t xml:space="preserve">61.40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Retailer requests de-</w:t>
            </w:r>
            <w:proofErr w:type="spellStart"/>
            <w:r w:rsidRPr="006515DC">
              <w:t>energisation</w:t>
            </w:r>
            <w:proofErr w:type="spellEnd"/>
            <w:r w:rsidRPr="006515DC">
              <w:t xml:space="preserve"> of the customer’s premises where the customer has not paid their electricity account and the de-</w:t>
            </w:r>
            <w:proofErr w:type="spellStart"/>
            <w:r w:rsidRPr="006515DC">
              <w:t>energisation</w:t>
            </w:r>
            <w:proofErr w:type="spellEnd"/>
            <w:r w:rsidRPr="006515DC">
              <w:t xml:space="preserve"> can be performed at the premise </w:t>
            </w:r>
            <w:proofErr w:type="spellStart"/>
            <w:r w:rsidRPr="006515DC">
              <w:t>ie</w:t>
            </w:r>
            <w:proofErr w:type="spellEnd"/>
            <w:r w:rsidRPr="006515DC">
              <w:t>. by a method other than Main Switch Seal (</w:t>
            </w:r>
            <w:proofErr w:type="spellStart"/>
            <w:r w:rsidRPr="006515DC">
              <w:t>ie</w:t>
            </w:r>
            <w:proofErr w:type="spellEnd"/>
            <w:r w:rsidRPr="006515DC">
              <w:t xml:space="preserve"> at Pillar Box, Pit or Pole Top).  CT </w:t>
            </w:r>
            <w:r w:rsidRPr="006515DC">
              <w:lastRenderedPageBreak/>
              <w:t>Metering.</w:t>
            </w:r>
          </w:p>
        </w:tc>
        <w:tc>
          <w:tcPr>
            <w:tcW w:w="1449" w:type="dxa"/>
          </w:tcPr>
          <w:p w:rsidR="006515DC" w:rsidRPr="006515DC" w:rsidRDefault="006515DC" w:rsidP="006515DC">
            <w:r w:rsidRPr="006515DC">
              <w:lastRenderedPageBreak/>
              <w:t>Price Cap</w:t>
            </w:r>
          </w:p>
        </w:tc>
        <w:tc>
          <w:tcPr>
            <w:tcW w:w="1448" w:type="dxa"/>
            <w:hideMark/>
          </w:tcPr>
          <w:p w:rsidR="006515DC" w:rsidRPr="006515DC" w:rsidRDefault="006515DC" w:rsidP="006515DC">
            <w:r w:rsidRPr="006515DC">
              <w:t xml:space="preserve">305.86 </w:t>
            </w:r>
          </w:p>
        </w:tc>
        <w:tc>
          <w:tcPr>
            <w:tcW w:w="1449" w:type="dxa"/>
            <w:hideMark/>
          </w:tcPr>
          <w:p w:rsidR="006515DC" w:rsidRPr="006515DC" w:rsidRDefault="006515DC" w:rsidP="006515DC">
            <w:r w:rsidRPr="006515DC">
              <w:t xml:space="preserve">305.86 </w:t>
            </w:r>
          </w:p>
        </w:tc>
        <w:tc>
          <w:tcPr>
            <w:tcW w:w="1449" w:type="dxa"/>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De-</w:t>
            </w:r>
            <w:proofErr w:type="spellStart"/>
            <w:r w:rsidRPr="006515DC">
              <w:t>Energisation</w:t>
            </w:r>
            <w:proofErr w:type="spellEnd"/>
          </w:p>
        </w:tc>
        <w:tc>
          <w:tcPr>
            <w:tcW w:w="1449" w:type="dxa"/>
            <w:hideMark/>
          </w:tcPr>
          <w:p w:rsidR="006515DC" w:rsidRPr="006515DC" w:rsidRDefault="006515DC" w:rsidP="006515DC">
            <w:r w:rsidRPr="006515DC">
              <w:t>De-</w:t>
            </w:r>
            <w:proofErr w:type="spellStart"/>
            <w:r w:rsidRPr="006515DC">
              <w:t>energisation</w:t>
            </w:r>
            <w:proofErr w:type="spellEnd"/>
            <w:r w:rsidRPr="006515DC">
              <w:t xml:space="preserve"> at the fuse or meter - Remove fuse NO CT business hours only</w:t>
            </w:r>
          </w:p>
        </w:tc>
        <w:tc>
          <w:tcPr>
            <w:tcW w:w="1449" w:type="dxa"/>
          </w:tcPr>
          <w:p w:rsidR="006515DC" w:rsidRPr="006515DC" w:rsidRDefault="006515DC" w:rsidP="006515DC">
            <w:r w:rsidRPr="006515DC">
              <w:t>DNU</w:t>
            </w:r>
          </w:p>
        </w:tc>
        <w:tc>
          <w:tcPr>
            <w:tcW w:w="1448" w:type="dxa"/>
            <w:noWrap/>
            <w:hideMark/>
          </w:tcPr>
          <w:p w:rsidR="006515DC" w:rsidRPr="006515DC" w:rsidRDefault="006515DC" w:rsidP="006515DC">
            <w:r w:rsidRPr="006515DC">
              <w:t xml:space="preserve">61.40 </w:t>
            </w:r>
          </w:p>
        </w:tc>
        <w:tc>
          <w:tcPr>
            <w:tcW w:w="1449" w:type="dxa"/>
            <w:noWrap/>
            <w:hideMark/>
          </w:tcPr>
          <w:p w:rsidR="006515DC" w:rsidRPr="006515DC" w:rsidRDefault="006515DC" w:rsidP="006515DC">
            <w:r w:rsidRPr="006515DC">
              <w:t xml:space="preserve">61.40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De-</w:t>
            </w:r>
            <w:proofErr w:type="spellStart"/>
            <w:r w:rsidRPr="006515DC">
              <w:t>energisation</w:t>
            </w:r>
            <w:proofErr w:type="spellEnd"/>
            <w:r w:rsidRPr="006515DC">
              <w:t xml:space="preserve"> at the fuse or meter - Remove fuse CT business hours only</w:t>
            </w:r>
          </w:p>
        </w:tc>
        <w:tc>
          <w:tcPr>
            <w:tcW w:w="1449" w:type="dxa"/>
          </w:tcPr>
          <w:p w:rsidR="006515DC" w:rsidRPr="006515DC" w:rsidRDefault="006515DC" w:rsidP="006515DC">
            <w:r w:rsidRPr="006515DC">
              <w:t>DNU</w:t>
            </w:r>
          </w:p>
        </w:tc>
        <w:tc>
          <w:tcPr>
            <w:tcW w:w="1448" w:type="dxa"/>
            <w:hideMark/>
          </w:tcPr>
          <w:p w:rsidR="006515DC" w:rsidRPr="006515DC" w:rsidRDefault="006515DC" w:rsidP="006515DC">
            <w:r w:rsidRPr="006515DC">
              <w:t xml:space="preserve">301.64 </w:t>
            </w:r>
          </w:p>
        </w:tc>
        <w:tc>
          <w:tcPr>
            <w:tcW w:w="1449" w:type="dxa"/>
            <w:hideMark/>
          </w:tcPr>
          <w:p w:rsidR="006515DC" w:rsidRPr="006515DC" w:rsidRDefault="006515DC" w:rsidP="006515DC">
            <w:r w:rsidRPr="006515DC">
              <w:t xml:space="preserve">301.64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De-</w:t>
            </w:r>
            <w:proofErr w:type="spellStart"/>
            <w:r w:rsidRPr="006515DC">
              <w:t>energisation</w:t>
            </w:r>
            <w:proofErr w:type="spellEnd"/>
            <w:r w:rsidRPr="006515DC">
              <w:t xml:space="preserve"> at the fuse or meter as part of a non-payment process - Remove fuse (</w:t>
            </w:r>
            <w:proofErr w:type="spellStart"/>
            <w:r w:rsidRPr="006515DC">
              <w:t>non payment</w:t>
            </w:r>
            <w:proofErr w:type="spellEnd"/>
            <w:r w:rsidRPr="006515DC">
              <w:t xml:space="preserve">) NO CT business hours only </w:t>
            </w:r>
          </w:p>
        </w:tc>
        <w:tc>
          <w:tcPr>
            <w:tcW w:w="1449" w:type="dxa"/>
          </w:tcPr>
          <w:p w:rsidR="006515DC" w:rsidRPr="006515DC" w:rsidRDefault="006515DC" w:rsidP="006515DC">
            <w:r w:rsidRPr="006515DC">
              <w:t>DNU</w:t>
            </w:r>
          </w:p>
        </w:tc>
        <w:tc>
          <w:tcPr>
            <w:tcW w:w="1448" w:type="dxa"/>
            <w:noWrap/>
            <w:hideMark/>
          </w:tcPr>
          <w:p w:rsidR="006515DC" w:rsidRPr="006515DC" w:rsidRDefault="006515DC" w:rsidP="006515DC">
            <w:r w:rsidRPr="006515DC">
              <w:t xml:space="preserve">61.40 </w:t>
            </w:r>
          </w:p>
        </w:tc>
        <w:tc>
          <w:tcPr>
            <w:tcW w:w="1449" w:type="dxa"/>
            <w:noWrap/>
            <w:hideMark/>
          </w:tcPr>
          <w:p w:rsidR="006515DC" w:rsidRPr="006515DC" w:rsidRDefault="006515DC" w:rsidP="006515DC">
            <w:r w:rsidRPr="006515DC">
              <w:t xml:space="preserve">61.40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De-</w:t>
            </w:r>
            <w:proofErr w:type="spellStart"/>
            <w:r w:rsidRPr="006515DC">
              <w:t>energisation</w:t>
            </w:r>
            <w:proofErr w:type="spellEnd"/>
            <w:r w:rsidRPr="006515DC">
              <w:t xml:space="preserve"> at the fuse or meter as part of a non-payment process - Remove fuse (non-payment) CT business hours only </w:t>
            </w:r>
          </w:p>
        </w:tc>
        <w:tc>
          <w:tcPr>
            <w:tcW w:w="1449" w:type="dxa"/>
          </w:tcPr>
          <w:p w:rsidR="006515DC" w:rsidRPr="006515DC" w:rsidRDefault="006515DC" w:rsidP="006515DC">
            <w:r w:rsidRPr="006515DC">
              <w:t>DNU</w:t>
            </w:r>
          </w:p>
        </w:tc>
        <w:tc>
          <w:tcPr>
            <w:tcW w:w="1448" w:type="dxa"/>
            <w:noWrap/>
            <w:hideMark/>
          </w:tcPr>
          <w:p w:rsidR="006515DC" w:rsidRPr="006515DC" w:rsidRDefault="006515DC" w:rsidP="006515DC">
            <w:r w:rsidRPr="006515DC">
              <w:t xml:space="preserve">305.86 </w:t>
            </w:r>
          </w:p>
        </w:tc>
        <w:tc>
          <w:tcPr>
            <w:tcW w:w="1449" w:type="dxa"/>
            <w:noWrap/>
            <w:hideMark/>
          </w:tcPr>
          <w:p w:rsidR="006515DC" w:rsidRPr="006515DC" w:rsidRDefault="006515DC" w:rsidP="006515DC">
            <w:r w:rsidRPr="006515DC">
              <w:t xml:space="preserve">305.86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ENERGEX is requested by retailer to reconnect or disconnect a customer within a multiple premises - de-</w:t>
            </w:r>
            <w:proofErr w:type="spellStart"/>
            <w:r w:rsidRPr="006515DC">
              <w:t>energisation</w:t>
            </w:r>
            <w:proofErr w:type="spellEnd"/>
            <w:r w:rsidRPr="006515DC">
              <w:t xml:space="preserve"> requiring planned notification (&gt; 10 customers)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ENERGEX is requested by retailer to reconnect or disconnect a customer within a multiple premises - de-</w:t>
            </w:r>
            <w:proofErr w:type="spellStart"/>
            <w:r w:rsidRPr="006515DC">
              <w:lastRenderedPageBreak/>
              <w:t>energisation</w:t>
            </w:r>
            <w:proofErr w:type="spellEnd"/>
            <w:r w:rsidRPr="006515DC">
              <w:t xml:space="preserve"> requiring planned notification (&lt; 10 customers)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lastRenderedPageBreak/>
              <w:t>De-</w:t>
            </w:r>
            <w:proofErr w:type="spellStart"/>
            <w:r w:rsidRPr="006515DC">
              <w:t>Energisation</w:t>
            </w:r>
            <w:proofErr w:type="spellEnd"/>
          </w:p>
        </w:tc>
        <w:tc>
          <w:tcPr>
            <w:tcW w:w="1449" w:type="dxa"/>
            <w:hideMark/>
          </w:tcPr>
          <w:p w:rsidR="006515DC" w:rsidRPr="006515DC" w:rsidRDefault="006515DC" w:rsidP="006515DC">
            <w:r w:rsidRPr="006515DC">
              <w:t>Retailer requests a de-</w:t>
            </w:r>
            <w:proofErr w:type="spellStart"/>
            <w:r w:rsidRPr="006515DC">
              <w:t>energisation</w:t>
            </w:r>
            <w:proofErr w:type="spellEnd"/>
            <w:r w:rsidRPr="006515DC">
              <w:t xml:space="preserve"> of the customer's premises and it is carried out by way of Main Switch Seal (non-payment).</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20.12 </w:t>
            </w:r>
          </w:p>
        </w:tc>
        <w:tc>
          <w:tcPr>
            <w:tcW w:w="1449" w:type="dxa"/>
            <w:noWrap/>
            <w:hideMark/>
          </w:tcPr>
          <w:p w:rsidR="006515DC" w:rsidRPr="006515DC" w:rsidRDefault="006515DC" w:rsidP="006515DC">
            <w:r w:rsidRPr="006515DC">
              <w:t xml:space="preserve">20.12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De-</w:t>
            </w:r>
            <w:proofErr w:type="spellStart"/>
            <w:r w:rsidRPr="006515DC">
              <w:t>Energisation</w:t>
            </w:r>
            <w:proofErr w:type="spellEnd"/>
          </w:p>
        </w:tc>
        <w:tc>
          <w:tcPr>
            <w:tcW w:w="1449" w:type="dxa"/>
            <w:hideMark/>
          </w:tcPr>
          <w:p w:rsidR="006515DC" w:rsidRPr="006515DC" w:rsidRDefault="006515DC" w:rsidP="006515DC">
            <w:r w:rsidRPr="006515DC">
              <w:t>Retailer requests a de-</w:t>
            </w:r>
            <w:proofErr w:type="spellStart"/>
            <w:r w:rsidRPr="006515DC">
              <w:t>energisation</w:t>
            </w:r>
            <w:proofErr w:type="spellEnd"/>
            <w:r w:rsidRPr="006515DC">
              <w:t xml:space="preserve"> of the customer's premises and it is carried out by way of Main Switch Seal.</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20.12 </w:t>
            </w:r>
          </w:p>
        </w:tc>
        <w:tc>
          <w:tcPr>
            <w:tcW w:w="1449" w:type="dxa"/>
            <w:noWrap/>
            <w:hideMark/>
          </w:tcPr>
          <w:p w:rsidR="006515DC" w:rsidRPr="006515DC" w:rsidRDefault="006515DC" w:rsidP="006515DC">
            <w:r w:rsidRPr="006515DC">
              <w:t xml:space="preserve">20.12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of the customer's premises where the customer has not paid their electricity account. No visual required, no CT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46.90 </w:t>
            </w:r>
          </w:p>
        </w:tc>
        <w:tc>
          <w:tcPr>
            <w:tcW w:w="1449" w:type="dxa"/>
            <w:noWrap/>
            <w:hideMark/>
          </w:tcPr>
          <w:p w:rsidR="006515DC" w:rsidRPr="006515DC" w:rsidRDefault="006515DC" w:rsidP="006515DC">
            <w:r w:rsidRPr="006515DC">
              <w:t xml:space="preserve">46.90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of the customer's premises where the customer has not paid their electricity account. No visual required, CT Metering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46.90 </w:t>
            </w:r>
          </w:p>
        </w:tc>
        <w:tc>
          <w:tcPr>
            <w:tcW w:w="1449" w:type="dxa"/>
            <w:noWrap/>
            <w:hideMark/>
          </w:tcPr>
          <w:p w:rsidR="006515DC" w:rsidRPr="006515DC" w:rsidRDefault="006515DC" w:rsidP="006515DC">
            <w:r w:rsidRPr="006515DC">
              <w:t xml:space="preserve">46.90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of the customer's premises where the customer has not paid their electricity account. No visual required, no CT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66.51 </w:t>
            </w:r>
          </w:p>
        </w:tc>
        <w:tc>
          <w:tcPr>
            <w:tcW w:w="1449" w:type="dxa"/>
            <w:noWrap/>
            <w:hideMark/>
          </w:tcPr>
          <w:p w:rsidR="006515DC" w:rsidRPr="006515DC" w:rsidRDefault="006515DC" w:rsidP="006515DC">
            <w:r w:rsidRPr="006515DC">
              <w:t xml:space="preserve">66.51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of the customer's premises where the customer has not paid their electricity account. No visual required, CT Metering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66.51 </w:t>
            </w:r>
          </w:p>
        </w:tc>
        <w:tc>
          <w:tcPr>
            <w:tcW w:w="1449" w:type="dxa"/>
            <w:noWrap/>
            <w:hideMark/>
          </w:tcPr>
          <w:p w:rsidR="006515DC" w:rsidRPr="006515DC" w:rsidRDefault="006515DC" w:rsidP="006515DC">
            <w:r w:rsidRPr="006515DC">
              <w:t xml:space="preserve">66.51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of the customer's premises where the customer has not paid their electricity account. No visual required, no CT (any 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66.51 </w:t>
            </w:r>
          </w:p>
        </w:tc>
        <w:tc>
          <w:tcPr>
            <w:tcW w:w="1449" w:type="dxa"/>
            <w:noWrap/>
            <w:hideMark/>
          </w:tcPr>
          <w:p w:rsidR="006515DC" w:rsidRPr="006515DC" w:rsidRDefault="006515DC" w:rsidP="006515DC">
            <w:r w:rsidRPr="006515DC">
              <w:t xml:space="preserve">66.51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of the customer's premises where the customer has not paid their electricity account. No visual required, CT Metering (any 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66.51 </w:t>
            </w:r>
          </w:p>
        </w:tc>
        <w:tc>
          <w:tcPr>
            <w:tcW w:w="1449" w:type="dxa"/>
            <w:noWrap/>
            <w:hideMark/>
          </w:tcPr>
          <w:p w:rsidR="006515DC" w:rsidRPr="006515DC" w:rsidRDefault="006515DC" w:rsidP="006515DC">
            <w:r w:rsidRPr="006515DC">
              <w:t xml:space="preserve">66.51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that a meter reading be provided, with Energex to determine whether fieldwork is necessary to obtain reading.</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that fieldwork be undertaken to obtain a new reading rather than using a deemed meter reading. May also be used for retrospective move-in requests.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9.57 </w:t>
            </w:r>
          </w:p>
        </w:tc>
        <w:tc>
          <w:tcPr>
            <w:tcW w:w="1449" w:type="dxa"/>
            <w:noWrap/>
            <w:hideMark/>
          </w:tcPr>
          <w:p w:rsidR="006515DC" w:rsidRPr="006515DC" w:rsidRDefault="006515DC" w:rsidP="006515DC">
            <w:r w:rsidRPr="006515DC">
              <w:t xml:space="preserve">9.57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Re-</w:t>
            </w:r>
            <w:proofErr w:type="spellStart"/>
            <w:r w:rsidRPr="006515DC">
              <w:t>Energisation</w:t>
            </w:r>
            <w:proofErr w:type="spellEnd"/>
          </w:p>
        </w:tc>
        <w:tc>
          <w:tcPr>
            <w:tcW w:w="1449" w:type="dxa"/>
            <w:hideMark/>
          </w:tcPr>
          <w:p w:rsidR="006515DC" w:rsidRPr="006515DC" w:rsidRDefault="006515DC" w:rsidP="006515DC">
            <w:r w:rsidRPr="006515DC">
              <w:t>Retrospective move in read required</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9.57 </w:t>
            </w:r>
          </w:p>
        </w:tc>
        <w:tc>
          <w:tcPr>
            <w:tcW w:w="1449" w:type="dxa"/>
            <w:noWrap/>
            <w:hideMark/>
          </w:tcPr>
          <w:p w:rsidR="006515DC" w:rsidRPr="006515DC" w:rsidRDefault="006515DC" w:rsidP="006515DC">
            <w:r w:rsidRPr="006515DC">
              <w:t xml:space="preserve">9.57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for the customer's premises following a main switch seal (no visual required)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11.32 </w:t>
            </w:r>
          </w:p>
        </w:tc>
        <w:tc>
          <w:tcPr>
            <w:tcW w:w="1449" w:type="dxa"/>
            <w:noWrap/>
            <w:hideMark/>
          </w:tcPr>
          <w:p w:rsidR="006515DC" w:rsidRPr="006515DC" w:rsidRDefault="006515DC" w:rsidP="006515DC">
            <w:r w:rsidRPr="006515DC">
              <w:t xml:space="preserve">11.32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for the customer's premises following a main switch seal (no visual required)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75.67 </w:t>
            </w:r>
          </w:p>
        </w:tc>
        <w:tc>
          <w:tcPr>
            <w:tcW w:w="1449" w:type="dxa"/>
            <w:noWrap/>
            <w:hideMark/>
          </w:tcPr>
          <w:p w:rsidR="006515DC" w:rsidRPr="006515DC" w:rsidRDefault="006515DC" w:rsidP="006515DC">
            <w:r w:rsidRPr="006515DC">
              <w:t xml:space="preserve">75.67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for the customer's premises following a main switch seal (no visual required) (any 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68.56 </w:t>
            </w:r>
          </w:p>
        </w:tc>
        <w:tc>
          <w:tcPr>
            <w:tcW w:w="1449" w:type="dxa"/>
            <w:noWrap/>
            <w:hideMark/>
          </w:tcPr>
          <w:p w:rsidR="006515DC" w:rsidRPr="006515DC" w:rsidRDefault="006515DC" w:rsidP="006515DC">
            <w:r w:rsidRPr="006515DC">
              <w:t xml:space="preserve">68.56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for the customer's premises following a main switch seal due to non-payment of their electricity account (no visual required)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46.42 </w:t>
            </w:r>
          </w:p>
        </w:tc>
        <w:tc>
          <w:tcPr>
            <w:tcW w:w="1449" w:type="dxa"/>
            <w:noWrap/>
            <w:hideMark/>
          </w:tcPr>
          <w:p w:rsidR="006515DC" w:rsidRPr="006515DC" w:rsidRDefault="006515DC" w:rsidP="006515DC">
            <w:r w:rsidRPr="006515DC">
              <w:t xml:space="preserve">46.42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for the customer's premises following a main switch seal due to non-payment of their electricity account (no visual required) (any time)</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68.56 </w:t>
            </w:r>
          </w:p>
        </w:tc>
        <w:tc>
          <w:tcPr>
            <w:tcW w:w="1449" w:type="dxa"/>
            <w:hideMark/>
          </w:tcPr>
          <w:p w:rsidR="006515DC" w:rsidRPr="006515DC" w:rsidRDefault="006515DC" w:rsidP="006515DC">
            <w:r w:rsidRPr="006515DC">
              <w:t xml:space="preserve">68.56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lastRenderedPageBreak/>
              <w:t>Re-</w:t>
            </w:r>
            <w:proofErr w:type="spellStart"/>
            <w:r w:rsidRPr="006515DC">
              <w:t>Energisation</w:t>
            </w:r>
            <w:proofErr w:type="spellEnd"/>
          </w:p>
        </w:tc>
        <w:tc>
          <w:tcPr>
            <w:tcW w:w="1449" w:type="dxa"/>
            <w:hideMark/>
          </w:tcPr>
          <w:p w:rsidR="006515DC" w:rsidRPr="006515DC" w:rsidRDefault="006515DC" w:rsidP="006515DC">
            <w:r w:rsidRPr="006515DC">
              <w:t>Retailer requests a re-</w:t>
            </w:r>
            <w:proofErr w:type="spellStart"/>
            <w:r w:rsidRPr="006515DC">
              <w:t>energisation</w:t>
            </w:r>
            <w:proofErr w:type="spellEnd"/>
            <w:r w:rsidRPr="006515DC">
              <w:t xml:space="preserve"> for the customer's premises following a main switch seal due to non-payment of their electricity account (no visual required)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75.67 </w:t>
            </w:r>
          </w:p>
        </w:tc>
        <w:tc>
          <w:tcPr>
            <w:tcW w:w="1449" w:type="dxa"/>
            <w:noWrap/>
            <w:hideMark/>
          </w:tcPr>
          <w:p w:rsidR="006515DC" w:rsidRPr="006515DC" w:rsidRDefault="006515DC" w:rsidP="006515DC">
            <w:r w:rsidRPr="006515DC">
              <w:t xml:space="preserve">75.67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where the customer has not paid their electricity account. NMI de-energised &gt; 30 days. - No CT (business hours)</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107.76 </w:t>
            </w:r>
          </w:p>
        </w:tc>
        <w:tc>
          <w:tcPr>
            <w:tcW w:w="1449" w:type="dxa"/>
            <w:hideMark/>
          </w:tcPr>
          <w:p w:rsidR="006515DC" w:rsidRPr="006515DC" w:rsidRDefault="006515DC" w:rsidP="006515DC">
            <w:r w:rsidRPr="006515DC">
              <w:t xml:space="preserve">107.76 </w:t>
            </w:r>
          </w:p>
        </w:tc>
        <w:tc>
          <w:tcPr>
            <w:tcW w:w="1449" w:type="dxa"/>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where the customer has not paid their electricity account. NMI de-energised &gt; 30 days. - CT Metering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276.34 </w:t>
            </w:r>
          </w:p>
        </w:tc>
        <w:tc>
          <w:tcPr>
            <w:tcW w:w="1449" w:type="dxa"/>
            <w:noWrap/>
            <w:hideMark/>
          </w:tcPr>
          <w:p w:rsidR="006515DC" w:rsidRPr="006515DC" w:rsidRDefault="006515DC" w:rsidP="006515DC">
            <w:r w:rsidRPr="006515DC">
              <w:t xml:space="preserve">276.34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where the customer has not paid their electricity account. NMI de-energised &gt; 30 days. - No CT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153.56 </w:t>
            </w:r>
          </w:p>
        </w:tc>
        <w:tc>
          <w:tcPr>
            <w:tcW w:w="1449" w:type="dxa"/>
            <w:noWrap/>
            <w:hideMark/>
          </w:tcPr>
          <w:p w:rsidR="006515DC" w:rsidRPr="006515DC" w:rsidRDefault="006515DC" w:rsidP="006515DC">
            <w:r w:rsidRPr="006515DC">
              <w:t xml:space="preserve">153.56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lastRenderedPageBreak/>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where the customer has not paid their electricity account. NMI de-energised &gt; 30 days. - CT Metering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381.90 </w:t>
            </w:r>
          </w:p>
        </w:tc>
        <w:tc>
          <w:tcPr>
            <w:tcW w:w="1449" w:type="dxa"/>
            <w:noWrap/>
            <w:hideMark/>
          </w:tcPr>
          <w:p w:rsidR="006515DC" w:rsidRPr="006515DC" w:rsidRDefault="006515DC" w:rsidP="006515DC">
            <w:r w:rsidRPr="006515DC">
              <w:t xml:space="preserve">381.90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where the customer has not paid their electricity account. NMI de-energised &gt; 30 days. - No CT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153.20 </w:t>
            </w:r>
          </w:p>
        </w:tc>
        <w:tc>
          <w:tcPr>
            <w:tcW w:w="1449" w:type="dxa"/>
            <w:noWrap/>
            <w:hideMark/>
          </w:tcPr>
          <w:p w:rsidR="006515DC" w:rsidRPr="006515DC" w:rsidRDefault="006515DC" w:rsidP="006515DC">
            <w:r w:rsidRPr="006515DC">
              <w:t xml:space="preserve">153.20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where the customer has not paid their electricity account. NMI de-energised &gt; 30 days. - CT Metering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417.46 </w:t>
            </w:r>
          </w:p>
        </w:tc>
        <w:tc>
          <w:tcPr>
            <w:tcW w:w="1449" w:type="dxa"/>
            <w:noWrap/>
            <w:hideMark/>
          </w:tcPr>
          <w:p w:rsidR="006515DC" w:rsidRPr="006515DC" w:rsidRDefault="006515DC" w:rsidP="006515DC">
            <w:r w:rsidRPr="006515DC">
              <w:t xml:space="preserve">417.46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No CT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107.76 </w:t>
            </w:r>
          </w:p>
        </w:tc>
        <w:tc>
          <w:tcPr>
            <w:tcW w:w="1449" w:type="dxa"/>
            <w:noWrap/>
            <w:hideMark/>
          </w:tcPr>
          <w:p w:rsidR="006515DC" w:rsidRPr="006515DC" w:rsidRDefault="006515DC" w:rsidP="006515DC">
            <w:r w:rsidRPr="006515DC">
              <w:t xml:space="preserve">107.76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 xml:space="preserve">Retailer requests a visual examination </w:t>
            </w:r>
            <w:r w:rsidRPr="006515DC">
              <w:lastRenderedPageBreak/>
              <w:t>upon re-</w:t>
            </w:r>
            <w:proofErr w:type="spellStart"/>
            <w:r w:rsidRPr="006515DC">
              <w:t>energisation</w:t>
            </w:r>
            <w:proofErr w:type="spellEnd"/>
            <w:r w:rsidRPr="006515DC">
              <w:t xml:space="preserve"> of the customer’s premises. CT Metering (business hours)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276.34 </w:t>
            </w:r>
          </w:p>
        </w:tc>
        <w:tc>
          <w:tcPr>
            <w:tcW w:w="1449" w:type="dxa"/>
            <w:noWrap/>
            <w:hideMark/>
          </w:tcPr>
          <w:p w:rsidR="006515DC" w:rsidRPr="006515DC" w:rsidRDefault="006515DC" w:rsidP="006515DC">
            <w:r w:rsidRPr="006515DC">
              <w:t xml:space="preserve">276.34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No CT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153.56 </w:t>
            </w:r>
          </w:p>
        </w:tc>
        <w:tc>
          <w:tcPr>
            <w:tcW w:w="1449" w:type="dxa"/>
            <w:noWrap/>
            <w:hideMark/>
          </w:tcPr>
          <w:p w:rsidR="006515DC" w:rsidRPr="006515DC" w:rsidRDefault="006515DC" w:rsidP="006515DC">
            <w:r w:rsidRPr="006515DC">
              <w:t xml:space="preserve">153.56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CT Metering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381.90 </w:t>
            </w:r>
          </w:p>
        </w:tc>
        <w:tc>
          <w:tcPr>
            <w:tcW w:w="1449" w:type="dxa"/>
            <w:noWrap/>
            <w:hideMark/>
          </w:tcPr>
          <w:p w:rsidR="006515DC" w:rsidRPr="006515DC" w:rsidRDefault="006515DC" w:rsidP="006515DC">
            <w:r w:rsidRPr="006515DC">
              <w:t xml:space="preserve">381.90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No CT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153.20 </w:t>
            </w:r>
          </w:p>
        </w:tc>
        <w:tc>
          <w:tcPr>
            <w:tcW w:w="1449" w:type="dxa"/>
            <w:noWrap/>
            <w:hideMark/>
          </w:tcPr>
          <w:p w:rsidR="006515DC" w:rsidRPr="006515DC" w:rsidRDefault="006515DC" w:rsidP="006515DC">
            <w:r w:rsidRPr="006515DC">
              <w:t xml:space="preserve">153.20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w:t>
            </w:r>
            <w:proofErr w:type="spellStart"/>
            <w:r w:rsidRPr="006515DC">
              <w:t>Energisation</w:t>
            </w:r>
            <w:proofErr w:type="spellEnd"/>
          </w:p>
        </w:tc>
        <w:tc>
          <w:tcPr>
            <w:tcW w:w="1449" w:type="dxa"/>
            <w:hideMark/>
          </w:tcPr>
          <w:p w:rsidR="006515DC" w:rsidRPr="006515DC" w:rsidRDefault="006515DC" w:rsidP="006515DC">
            <w:r w:rsidRPr="006515DC">
              <w:t>Retailer requests a visual examination upon re-</w:t>
            </w:r>
            <w:proofErr w:type="spellStart"/>
            <w:r w:rsidRPr="006515DC">
              <w:t>energisation</w:t>
            </w:r>
            <w:proofErr w:type="spellEnd"/>
            <w:r w:rsidRPr="006515DC">
              <w:t xml:space="preserve"> of the customer’s premises. CT Metering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417.46 </w:t>
            </w:r>
          </w:p>
        </w:tc>
        <w:tc>
          <w:tcPr>
            <w:tcW w:w="1449" w:type="dxa"/>
            <w:noWrap/>
            <w:hideMark/>
          </w:tcPr>
          <w:p w:rsidR="006515DC" w:rsidRPr="006515DC" w:rsidRDefault="006515DC" w:rsidP="006515DC">
            <w:r w:rsidRPr="006515DC">
              <w:t xml:space="preserve">417.46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Attending Loss of Supply (customer at fault)</w:t>
            </w:r>
          </w:p>
        </w:tc>
        <w:tc>
          <w:tcPr>
            <w:tcW w:w="1449" w:type="dxa"/>
            <w:hideMark/>
          </w:tcPr>
          <w:p w:rsidR="006515DC" w:rsidRPr="006515DC" w:rsidRDefault="006515DC" w:rsidP="006515DC">
            <w:r w:rsidRPr="006515DC">
              <w:t>EGX attending LV customers trouble call and found fault in LV customers installation (includes tripped safety switch, internal fault, customers overload)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220.49 </w:t>
            </w:r>
          </w:p>
        </w:tc>
        <w:tc>
          <w:tcPr>
            <w:tcW w:w="1449" w:type="dxa"/>
            <w:noWrap/>
            <w:hideMark/>
          </w:tcPr>
          <w:p w:rsidR="006515DC" w:rsidRPr="006515DC" w:rsidRDefault="006515DC" w:rsidP="006515DC">
            <w:r w:rsidRPr="006515DC">
              <w:t xml:space="preserve">220.49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 xml:space="preserve">Attending Loss of Supply </w:t>
            </w:r>
            <w:r w:rsidRPr="006515DC">
              <w:lastRenderedPageBreak/>
              <w:t>(customer at fault)</w:t>
            </w:r>
          </w:p>
        </w:tc>
        <w:tc>
          <w:tcPr>
            <w:tcW w:w="1449" w:type="dxa"/>
            <w:hideMark/>
          </w:tcPr>
          <w:p w:rsidR="006515DC" w:rsidRPr="006515DC" w:rsidRDefault="006515DC" w:rsidP="006515DC">
            <w:r w:rsidRPr="006515DC">
              <w:lastRenderedPageBreak/>
              <w:t xml:space="preserve">EGX attending LV customers </w:t>
            </w:r>
            <w:r w:rsidRPr="006515DC">
              <w:lastRenderedPageBreak/>
              <w:t>trouble call and found fault in LV customers installation (includes tripped safety switch, internal fault, customers overload) anytime.</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314.65 </w:t>
            </w:r>
          </w:p>
        </w:tc>
        <w:tc>
          <w:tcPr>
            <w:tcW w:w="1449" w:type="dxa"/>
            <w:noWrap/>
            <w:hideMark/>
          </w:tcPr>
          <w:p w:rsidR="006515DC" w:rsidRPr="006515DC" w:rsidRDefault="006515DC" w:rsidP="006515DC">
            <w:r w:rsidRPr="006515DC">
              <w:t xml:space="preserve">314.65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Attending Loss of Supply (customer at fault)</w:t>
            </w:r>
          </w:p>
        </w:tc>
        <w:tc>
          <w:tcPr>
            <w:tcW w:w="1449" w:type="dxa"/>
            <w:hideMark/>
          </w:tcPr>
          <w:p w:rsidR="006515DC" w:rsidRPr="006515DC" w:rsidRDefault="006515DC" w:rsidP="006515DC">
            <w:r w:rsidRPr="006515DC">
              <w:t>EGX attending LV customers trouble call and found fault in LV customers installation (includes tripped safety switch, internal fault, customers overload)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314.65 </w:t>
            </w:r>
          </w:p>
        </w:tc>
        <w:tc>
          <w:tcPr>
            <w:tcW w:w="1449" w:type="dxa"/>
            <w:noWrap/>
            <w:hideMark/>
          </w:tcPr>
          <w:p w:rsidR="006515DC" w:rsidRPr="006515DC" w:rsidRDefault="006515DC" w:rsidP="006515DC">
            <w:r w:rsidRPr="006515DC">
              <w:t xml:space="preserve">314.65 </w:t>
            </w:r>
          </w:p>
        </w:tc>
        <w:tc>
          <w:tcPr>
            <w:tcW w:w="1449" w:type="dxa"/>
            <w:noWrap/>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t>Accreditation of Design Consultants</w:t>
            </w:r>
          </w:p>
        </w:tc>
        <w:tc>
          <w:tcPr>
            <w:tcW w:w="1449" w:type="dxa"/>
            <w:hideMark/>
          </w:tcPr>
          <w:p w:rsidR="006515DC" w:rsidRPr="006515DC" w:rsidRDefault="006515DC" w:rsidP="006515DC">
            <w:r w:rsidRPr="006515DC">
              <w:t>DESKTOP MANGEMENT SYSTEM EVALUATION - Applicant requests to obtain Energex accreditation to provide design services for real estate development (sub-division), Rate 2 public lighting, LCC &amp; distribution works that are reticulated with Energex network (Design Accreditation)</w:t>
            </w:r>
            <w:r w:rsidRPr="006515DC">
              <w:br/>
            </w:r>
            <w:r w:rsidRPr="006515DC">
              <w:br/>
              <w:t>New applicant has ISO9001 accreditation with no other Energex accreditations in place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10,259.61 </w:t>
            </w:r>
          </w:p>
        </w:tc>
        <w:tc>
          <w:tcPr>
            <w:tcW w:w="1449" w:type="dxa"/>
            <w:noWrap/>
            <w:hideMark/>
          </w:tcPr>
          <w:p w:rsidR="006515DC" w:rsidRPr="006515DC" w:rsidRDefault="006515DC" w:rsidP="006515DC">
            <w:r w:rsidRPr="006515DC">
              <w:t xml:space="preserve">10,259.61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200"/>
        </w:trPr>
        <w:tc>
          <w:tcPr>
            <w:tcW w:w="1449" w:type="dxa"/>
          </w:tcPr>
          <w:p w:rsidR="006515DC" w:rsidRPr="006515DC" w:rsidRDefault="006515DC" w:rsidP="006515DC">
            <w:r w:rsidRPr="006515DC">
              <w:t>Accreditation of Design Consultants</w:t>
            </w:r>
          </w:p>
        </w:tc>
        <w:tc>
          <w:tcPr>
            <w:tcW w:w="1449" w:type="dxa"/>
            <w:hideMark/>
          </w:tcPr>
          <w:p w:rsidR="006515DC" w:rsidRPr="006515DC" w:rsidRDefault="006515DC" w:rsidP="006515DC">
            <w:r w:rsidRPr="006515DC">
              <w:t xml:space="preserve">DESKTOP MANGEMENT SYSTEM EVALUATION - Applicant requests to </w:t>
            </w:r>
            <w:r w:rsidRPr="006515DC">
              <w:lastRenderedPageBreak/>
              <w:t>obtain Energex accreditation to provide design services for real estate development (sub-division), Rate 2 public lighting, LCC &amp; distribution works that are reticulated with Energex network (Design Accreditation)</w:t>
            </w:r>
            <w:r w:rsidRPr="006515DC">
              <w:br/>
            </w:r>
            <w:r w:rsidRPr="006515DC">
              <w:br/>
              <w:t>New applicant is not ISO9001 accredited with no other Energex accreditations in place</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11,956.42 </w:t>
            </w:r>
          </w:p>
        </w:tc>
        <w:tc>
          <w:tcPr>
            <w:tcW w:w="1449" w:type="dxa"/>
            <w:noWrap/>
            <w:hideMark/>
          </w:tcPr>
          <w:p w:rsidR="006515DC" w:rsidRPr="006515DC" w:rsidRDefault="006515DC" w:rsidP="006515DC">
            <w:r w:rsidRPr="006515DC">
              <w:t xml:space="preserve">11,956.42 </w:t>
            </w:r>
          </w:p>
        </w:tc>
        <w:tc>
          <w:tcPr>
            <w:tcW w:w="1449" w:type="dxa"/>
            <w:noWrap/>
            <w:hideMark/>
          </w:tcPr>
          <w:p w:rsidR="006515DC" w:rsidRPr="006515DC" w:rsidRDefault="006515DC" w:rsidP="006515DC">
            <w:r w:rsidRPr="006515DC">
              <w:t xml:space="preserve">                   -  </w:t>
            </w:r>
          </w:p>
        </w:tc>
      </w:tr>
      <w:tr w:rsidR="006515DC" w:rsidRPr="00D56EA3" w:rsidTr="009C1B5E">
        <w:trPr>
          <w:trHeight w:val="1680"/>
        </w:trPr>
        <w:tc>
          <w:tcPr>
            <w:tcW w:w="1449" w:type="dxa"/>
          </w:tcPr>
          <w:p w:rsidR="006515DC" w:rsidRPr="006515DC" w:rsidRDefault="006515DC" w:rsidP="006515DC">
            <w:r w:rsidRPr="006515DC">
              <w:lastRenderedPageBreak/>
              <w:t>Accreditation of Design Consultants</w:t>
            </w:r>
          </w:p>
        </w:tc>
        <w:tc>
          <w:tcPr>
            <w:tcW w:w="1449" w:type="dxa"/>
            <w:hideMark/>
          </w:tcPr>
          <w:p w:rsidR="006515DC" w:rsidRPr="006515DC" w:rsidRDefault="006515DC" w:rsidP="006515DC">
            <w:r w:rsidRPr="006515DC">
              <w:t>DESKTOP MANGEMENT SYSTEM EVALUATION - Applicant requests to obtain Energex accreditation to provide design services for real estate development (sub-division), Rate 2 public lighting, LCC &amp; distribution works that are reticulated with Energex network (Design Accreditation)</w:t>
            </w:r>
            <w:r w:rsidRPr="006515DC">
              <w:br/>
            </w:r>
            <w:r w:rsidRPr="006515DC">
              <w:br/>
              <w:t xml:space="preserve">Applicant currently holds accreditation to undertake Design services for Rate 2 public lighting (Design Accreditation) Applicant requesting additional Energex accreditations with or without ISO9001 </w:t>
            </w:r>
            <w:r w:rsidRPr="006515DC">
              <w:lastRenderedPageBreak/>
              <w:t>accreditation (priced per additional accreditation).</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7,010.77 </w:t>
            </w:r>
          </w:p>
        </w:tc>
        <w:tc>
          <w:tcPr>
            <w:tcW w:w="1449" w:type="dxa"/>
            <w:noWrap/>
            <w:hideMark/>
          </w:tcPr>
          <w:p w:rsidR="006515DC" w:rsidRPr="006515DC" w:rsidRDefault="006515DC" w:rsidP="006515DC">
            <w:r w:rsidRPr="006515DC">
              <w:t xml:space="preserve">7,010.77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200"/>
        </w:trPr>
        <w:tc>
          <w:tcPr>
            <w:tcW w:w="1449" w:type="dxa"/>
          </w:tcPr>
          <w:p w:rsidR="006515DC" w:rsidRPr="006515DC" w:rsidRDefault="006515DC" w:rsidP="006515DC">
            <w:r w:rsidRPr="006515DC">
              <w:lastRenderedPageBreak/>
              <w:t>Accreditation of Design Consultants</w:t>
            </w:r>
          </w:p>
        </w:tc>
        <w:tc>
          <w:tcPr>
            <w:tcW w:w="1449" w:type="dxa"/>
            <w:hideMark/>
          </w:tcPr>
          <w:p w:rsidR="006515DC" w:rsidRPr="006515DC" w:rsidRDefault="006515DC" w:rsidP="006515DC">
            <w:r w:rsidRPr="006515DC">
              <w:t>ONSITE MANAGEMENT SYSTEM EVALUATION (irrespective of prior accreditations)</w:t>
            </w:r>
            <w:r w:rsidRPr="006515DC">
              <w:br/>
            </w:r>
            <w:r w:rsidRPr="006515DC">
              <w:br/>
              <w:t>Applicant requests to obtain Energex accreditation to provide design services for real estate development (sub-division), Rate 2 public lighting, LCC &amp; distribution works that are reticulated with Energex network (Design Accreditation)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678.72 </w:t>
            </w:r>
          </w:p>
        </w:tc>
        <w:tc>
          <w:tcPr>
            <w:tcW w:w="1449" w:type="dxa"/>
            <w:noWrap/>
            <w:hideMark/>
          </w:tcPr>
          <w:p w:rsidR="006515DC" w:rsidRPr="006515DC" w:rsidRDefault="006515DC" w:rsidP="006515DC">
            <w:r w:rsidRPr="006515DC">
              <w:t xml:space="preserve">678.72 </w:t>
            </w:r>
          </w:p>
        </w:tc>
        <w:tc>
          <w:tcPr>
            <w:tcW w:w="1449" w:type="dxa"/>
            <w:noWrap/>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t>Accreditation of Design Consultants</w:t>
            </w:r>
          </w:p>
        </w:tc>
        <w:tc>
          <w:tcPr>
            <w:tcW w:w="1449" w:type="dxa"/>
            <w:hideMark/>
          </w:tcPr>
          <w:p w:rsidR="006515DC" w:rsidRPr="006515DC" w:rsidRDefault="006515DC" w:rsidP="006515DC">
            <w:r w:rsidRPr="006515DC">
              <w:t>CAPABILITY EVALUATION (irrespective of prior accreditations)</w:t>
            </w:r>
            <w:r w:rsidRPr="006515DC">
              <w:br/>
            </w:r>
            <w:r w:rsidRPr="006515DC">
              <w:br/>
              <w:t>Applicant requests to obtain Energex accreditation to provide design services for real estate development (sub-division), Rate 2 public lighting, LCC &amp; distribution works that are reticulated with Energex network (Design Accreditation)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649.77 </w:t>
            </w:r>
          </w:p>
        </w:tc>
        <w:tc>
          <w:tcPr>
            <w:tcW w:w="1449" w:type="dxa"/>
            <w:noWrap/>
            <w:hideMark/>
          </w:tcPr>
          <w:p w:rsidR="006515DC" w:rsidRPr="006515DC" w:rsidRDefault="006515DC" w:rsidP="006515DC">
            <w:r w:rsidRPr="006515DC">
              <w:t xml:space="preserve">649.77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440"/>
        </w:trPr>
        <w:tc>
          <w:tcPr>
            <w:tcW w:w="1449" w:type="dxa"/>
          </w:tcPr>
          <w:p w:rsidR="006515DC" w:rsidRPr="006515DC" w:rsidRDefault="006515DC" w:rsidP="006515DC">
            <w:r w:rsidRPr="006515DC">
              <w:lastRenderedPageBreak/>
              <w:t>Accreditation of Alternative Service Providers (Construction Accreditation)</w:t>
            </w:r>
          </w:p>
        </w:tc>
        <w:tc>
          <w:tcPr>
            <w:tcW w:w="1449" w:type="dxa"/>
            <w:hideMark/>
          </w:tcPr>
          <w:p w:rsidR="006515DC" w:rsidRPr="006515DC" w:rsidRDefault="006515DC" w:rsidP="006515DC">
            <w:r w:rsidRPr="006515DC">
              <w:t>DESKTOP MANAGEMENT SYSTEM EVALUATION - Applicant requests to obtain Energex accreditation to provide construction services for real estate development (sub-division) works that are reticulated with Energex network (Construction Accreditation)</w:t>
            </w:r>
            <w:r w:rsidRPr="006515DC">
              <w:br/>
            </w:r>
            <w:r w:rsidRPr="006515DC">
              <w:br/>
              <w:t>New applicant has ISO9001/AS4801/ISO14001 accreditation with no other Energex accreditations in place.</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5,003.56 </w:t>
            </w:r>
          </w:p>
        </w:tc>
        <w:tc>
          <w:tcPr>
            <w:tcW w:w="1449" w:type="dxa"/>
            <w:hideMark/>
          </w:tcPr>
          <w:p w:rsidR="006515DC" w:rsidRPr="006515DC" w:rsidRDefault="006515DC" w:rsidP="006515DC">
            <w:r w:rsidRPr="006515DC">
              <w:t xml:space="preserve">5,003.56 </w:t>
            </w:r>
          </w:p>
        </w:tc>
        <w:tc>
          <w:tcPr>
            <w:tcW w:w="1449" w:type="dxa"/>
            <w:hideMark/>
          </w:tcPr>
          <w:p w:rsidR="006515DC" w:rsidRPr="006515DC" w:rsidRDefault="006515DC" w:rsidP="006515DC">
            <w:r w:rsidRPr="006515DC">
              <w:t xml:space="preserve">                   -  </w:t>
            </w:r>
          </w:p>
        </w:tc>
      </w:tr>
      <w:tr w:rsidR="006515DC" w:rsidRPr="00D56EA3" w:rsidTr="009C1B5E">
        <w:trPr>
          <w:trHeight w:val="1440"/>
        </w:trPr>
        <w:tc>
          <w:tcPr>
            <w:tcW w:w="1449" w:type="dxa"/>
          </w:tcPr>
          <w:p w:rsidR="006515DC" w:rsidRPr="006515DC" w:rsidRDefault="006515DC" w:rsidP="006515DC">
            <w:r w:rsidRPr="006515DC">
              <w:t>Accreditation of Alternative Service Providers (Construction Accreditation)</w:t>
            </w:r>
          </w:p>
        </w:tc>
        <w:tc>
          <w:tcPr>
            <w:tcW w:w="1449" w:type="dxa"/>
            <w:hideMark/>
          </w:tcPr>
          <w:p w:rsidR="006515DC" w:rsidRPr="006515DC" w:rsidRDefault="006515DC" w:rsidP="006515DC">
            <w:r w:rsidRPr="006515DC">
              <w:t>DESKTOP MANAGEMENT SYSTEM EVALUATION - Applicant requests to obtain Energex accreditation to provide construction services for real estate development (sub-division) works that are reticulated with Energex network (Construction Accreditation)</w:t>
            </w:r>
            <w:r w:rsidRPr="006515DC">
              <w:br/>
            </w:r>
            <w:r w:rsidRPr="006515DC">
              <w:br/>
              <w:t>New applicant is not ISO9001/AS4801/ISO14001 accredited with no other Energex accreditations in place.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9,386.30 </w:t>
            </w:r>
          </w:p>
        </w:tc>
        <w:tc>
          <w:tcPr>
            <w:tcW w:w="1449" w:type="dxa"/>
            <w:noWrap/>
            <w:hideMark/>
          </w:tcPr>
          <w:p w:rsidR="006515DC" w:rsidRPr="006515DC" w:rsidRDefault="006515DC" w:rsidP="006515DC">
            <w:r w:rsidRPr="006515DC">
              <w:t xml:space="preserve">9,386.30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440"/>
        </w:trPr>
        <w:tc>
          <w:tcPr>
            <w:tcW w:w="1449" w:type="dxa"/>
          </w:tcPr>
          <w:p w:rsidR="006515DC" w:rsidRPr="006515DC" w:rsidRDefault="006515DC" w:rsidP="006515DC">
            <w:r w:rsidRPr="006515DC">
              <w:lastRenderedPageBreak/>
              <w:t>Accreditation of Alternative Service Providers (Construction Accreditation)</w:t>
            </w:r>
          </w:p>
        </w:tc>
        <w:tc>
          <w:tcPr>
            <w:tcW w:w="1449" w:type="dxa"/>
            <w:hideMark/>
          </w:tcPr>
          <w:p w:rsidR="006515DC" w:rsidRPr="006515DC" w:rsidRDefault="006515DC" w:rsidP="006515DC">
            <w:r w:rsidRPr="006515DC">
              <w:t>DESKTOP MANAGEMENT SYSTEM EVALUATION - Applicant requests to obtain Energex accreditation to provide construction services for real estate development (sub-division) works that are reticulated with Energex network (Construction Accreditation)</w:t>
            </w:r>
            <w:r w:rsidRPr="006515DC">
              <w:br/>
            </w:r>
            <w:r w:rsidRPr="006515DC">
              <w:br/>
              <w:t>Applicant requesting additional Energex accreditations with or without ISO9001/AS4801/ISO14001 accreditation (price per additional accreditation).</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5,003.56 </w:t>
            </w:r>
          </w:p>
        </w:tc>
        <w:tc>
          <w:tcPr>
            <w:tcW w:w="1449" w:type="dxa"/>
            <w:hideMark/>
          </w:tcPr>
          <w:p w:rsidR="006515DC" w:rsidRPr="006515DC" w:rsidRDefault="006515DC" w:rsidP="006515DC">
            <w:r w:rsidRPr="006515DC">
              <w:t xml:space="preserve">5,003.56 </w:t>
            </w:r>
          </w:p>
        </w:tc>
        <w:tc>
          <w:tcPr>
            <w:tcW w:w="1449" w:type="dxa"/>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t>Accreditation of Alternative Service Providers (Construction Accreditation)</w:t>
            </w:r>
          </w:p>
        </w:tc>
        <w:tc>
          <w:tcPr>
            <w:tcW w:w="1449" w:type="dxa"/>
            <w:hideMark/>
          </w:tcPr>
          <w:p w:rsidR="006515DC" w:rsidRPr="006515DC" w:rsidRDefault="006515DC" w:rsidP="006515DC">
            <w:r w:rsidRPr="006515DC">
              <w:t>ONSITE MANAGEMENT SYSTEM EVALUATION (irrespective of prior accreditations)</w:t>
            </w:r>
            <w:r w:rsidRPr="006515DC">
              <w:br/>
            </w:r>
            <w:r w:rsidRPr="006515DC">
              <w:br/>
              <w:t>Applicant requests to obtain Energex accreditation to provide construction services for real estate development (sub-division) works that are reticulated with Energex network (Construction Accreditation)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1,357.45 </w:t>
            </w:r>
          </w:p>
        </w:tc>
        <w:tc>
          <w:tcPr>
            <w:tcW w:w="1449" w:type="dxa"/>
            <w:noWrap/>
            <w:hideMark/>
          </w:tcPr>
          <w:p w:rsidR="006515DC" w:rsidRPr="006515DC" w:rsidRDefault="006515DC" w:rsidP="006515DC">
            <w:r w:rsidRPr="006515DC">
              <w:t xml:space="preserve">1,357.45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200"/>
        </w:trPr>
        <w:tc>
          <w:tcPr>
            <w:tcW w:w="1449" w:type="dxa"/>
          </w:tcPr>
          <w:p w:rsidR="006515DC" w:rsidRPr="006515DC" w:rsidRDefault="006515DC" w:rsidP="006515DC">
            <w:r w:rsidRPr="006515DC">
              <w:lastRenderedPageBreak/>
              <w:t>Accreditation of Alternative Service Providers (Construction Accreditation)</w:t>
            </w:r>
          </w:p>
        </w:tc>
        <w:tc>
          <w:tcPr>
            <w:tcW w:w="1449" w:type="dxa"/>
            <w:hideMark/>
          </w:tcPr>
          <w:p w:rsidR="006515DC" w:rsidRPr="006515DC" w:rsidRDefault="006515DC" w:rsidP="006515DC">
            <w:r w:rsidRPr="006515DC">
              <w:t>CAPABILITY EVALUATION (irrespective of prior accreditations)</w:t>
            </w:r>
            <w:r w:rsidRPr="006515DC">
              <w:br/>
            </w:r>
            <w:r w:rsidRPr="006515DC">
              <w:br/>
              <w:t>Applicant requests to obtain Energex accreditation to provide construction services for real estate development (sub-division) works that are reticulated with Energex network (Construction Accreditation)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1,328.49 </w:t>
            </w:r>
          </w:p>
        </w:tc>
        <w:tc>
          <w:tcPr>
            <w:tcW w:w="1449" w:type="dxa"/>
            <w:noWrap/>
            <w:hideMark/>
          </w:tcPr>
          <w:p w:rsidR="006515DC" w:rsidRPr="006515DC" w:rsidRDefault="006515DC" w:rsidP="006515DC">
            <w:r w:rsidRPr="006515DC">
              <w:t xml:space="preserve">1,328.49 </w:t>
            </w:r>
          </w:p>
        </w:tc>
        <w:tc>
          <w:tcPr>
            <w:tcW w:w="1449" w:type="dxa"/>
            <w:noWrap/>
            <w:hideMark/>
          </w:tcPr>
          <w:p w:rsidR="006515DC" w:rsidRPr="006515DC" w:rsidRDefault="006515DC" w:rsidP="006515DC">
            <w:r w:rsidRPr="006515DC">
              <w:t xml:space="preserve">                   -  </w:t>
            </w:r>
          </w:p>
        </w:tc>
      </w:tr>
      <w:tr w:rsidR="006515DC" w:rsidRPr="00D56EA3" w:rsidTr="009C1B5E">
        <w:trPr>
          <w:trHeight w:val="720"/>
        </w:trPr>
        <w:tc>
          <w:tcPr>
            <w:tcW w:w="1449" w:type="dxa"/>
          </w:tcPr>
          <w:p w:rsidR="006515DC" w:rsidRPr="006515DC" w:rsidRDefault="006515DC" w:rsidP="006515DC">
            <w:r w:rsidRPr="006515DC">
              <w:t>Close out re-evaluation</w:t>
            </w:r>
          </w:p>
        </w:tc>
        <w:tc>
          <w:tcPr>
            <w:tcW w:w="1449" w:type="dxa"/>
            <w:hideMark/>
          </w:tcPr>
          <w:p w:rsidR="006515DC" w:rsidRPr="006515DC" w:rsidRDefault="006515DC" w:rsidP="006515DC">
            <w:r w:rsidRPr="006515DC">
              <w:t xml:space="preserve">QA and Capability process: This is to ensure the applicant has adequate QA documentation in place to </w:t>
            </w:r>
            <w:r w:rsidR="00B5694C" w:rsidRPr="006515DC">
              <w:t>satisfy</w:t>
            </w:r>
            <w:r w:rsidRPr="006515DC">
              <w:t xml:space="preserve"> Energex QA Advisor. Applicant will also be required to undertake a capability assessment to assess whether or not they meet Energex requirements.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6,787.23 </w:t>
            </w:r>
          </w:p>
        </w:tc>
        <w:tc>
          <w:tcPr>
            <w:tcW w:w="1449" w:type="dxa"/>
            <w:noWrap/>
            <w:hideMark/>
          </w:tcPr>
          <w:p w:rsidR="006515DC" w:rsidRPr="006515DC" w:rsidRDefault="006515DC" w:rsidP="006515DC">
            <w:r w:rsidRPr="006515DC">
              <w:t xml:space="preserve">6,787.23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Management System Re-Evaluation</w:t>
            </w:r>
          </w:p>
        </w:tc>
        <w:tc>
          <w:tcPr>
            <w:tcW w:w="1449" w:type="dxa"/>
            <w:hideMark/>
          </w:tcPr>
          <w:p w:rsidR="006515DC" w:rsidRPr="006515DC" w:rsidRDefault="006515DC" w:rsidP="006515DC">
            <w:r w:rsidRPr="006515DC">
              <w:t>QA process: This is conducted on request form existing service providers and design consultants with the intent to improve their management system score.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6,787.23 </w:t>
            </w:r>
          </w:p>
        </w:tc>
        <w:tc>
          <w:tcPr>
            <w:tcW w:w="1449" w:type="dxa"/>
            <w:noWrap/>
            <w:hideMark/>
          </w:tcPr>
          <w:p w:rsidR="006515DC" w:rsidRPr="006515DC" w:rsidRDefault="006515DC" w:rsidP="006515DC">
            <w:r w:rsidRPr="006515DC">
              <w:t xml:space="preserve">6,787.23 </w:t>
            </w:r>
          </w:p>
        </w:tc>
        <w:tc>
          <w:tcPr>
            <w:tcW w:w="1449" w:type="dxa"/>
            <w:noWrap/>
            <w:hideMark/>
          </w:tcPr>
          <w:p w:rsidR="006515DC" w:rsidRPr="006515DC" w:rsidRDefault="006515DC" w:rsidP="006515DC">
            <w:r w:rsidRPr="006515DC">
              <w:t xml:space="preserve">                   -  </w:t>
            </w:r>
          </w:p>
        </w:tc>
      </w:tr>
      <w:tr w:rsidR="006515DC" w:rsidRPr="00D56EA3" w:rsidTr="009C1B5E">
        <w:trPr>
          <w:trHeight w:val="960"/>
        </w:trPr>
        <w:tc>
          <w:tcPr>
            <w:tcW w:w="1449" w:type="dxa"/>
          </w:tcPr>
          <w:p w:rsidR="006515DC" w:rsidRPr="006515DC" w:rsidRDefault="006515DC" w:rsidP="006515DC">
            <w:r w:rsidRPr="006515DC">
              <w:t>Shared Assets Authority</w:t>
            </w:r>
          </w:p>
        </w:tc>
        <w:tc>
          <w:tcPr>
            <w:tcW w:w="1449" w:type="dxa"/>
            <w:hideMark/>
          </w:tcPr>
          <w:p w:rsidR="006515DC" w:rsidRPr="006515DC" w:rsidRDefault="006515DC" w:rsidP="006515DC">
            <w:r w:rsidRPr="006515DC">
              <w:t xml:space="preserve">High Level QA and capability process: This is conducted to ensure the </w:t>
            </w:r>
            <w:r w:rsidRPr="006515DC">
              <w:lastRenderedPageBreak/>
              <w:t xml:space="preserve">applicant has adequate Safety and QA documentation to meet Legislative and Energex WCS Requirements. Also involves a capability assessment of the applicant's ability to conduct the work. </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5,090.43 </w:t>
            </w:r>
          </w:p>
        </w:tc>
        <w:tc>
          <w:tcPr>
            <w:tcW w:w="1449" w:type="dxa"/>
            <w:noWrap/>
            <w:hideMark/>
          </w:tcPr>
          <w:p w:rsidR="006515DC" w:rsidRPr="006515DC" w:rsidRDefault="006515DC" w:rsidP="006515DC">
            <w:r w:rsidRPr="006515DC">
              <w:t xml:space="preserve">5,090.43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Certification of non-approved materials to be used on the network</w:t>
            </w:r>
          </w:p>
        </w:tc>
        <w:tc>
          <w:tcPr>
            <w:tcW w:w="1449" w:type="dxa"/>
            <w:hideMark/>
          </w:tcPr>
          <w:p w:rsidR="006515DC" w:rsidRPr="006515DC" w:rsidRDefault="006515DC" w:rsidP="006515DC">
            <w:r w:rsidRPr="006515DC">
              <w:t>Certification of non-approved materials to be used on the network - Simple</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2,923.95 </w:t>
            </w:r>
          </w:p>
        </w:tc>
        <w:tc>
          <w:tcPr>
            <w:tcW w:w="1449" w:type="dxa"/>
            <w:noWrap/>
            <w:hideMark/>
          </w:tcPr>
          <w:p w:rsidR="006515DC" w:rsidRPr="006515DC" w:rsidRDefault="006515DC" w:rsidP="006515DC">
            <w:r w:rsidRPr="006515DC">
              <w:t xml:space="preserve">2,923.95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Certification of non-approved materials to be used on the network</w:t>
            </w:r>
          </w:p>
        </w:tc>
        <w:tc>
          <w:tcPr>
            <w:tcW w:w="1449" w:type="dxa"/>
            <w:hideMark/>
          </w:tcPr>
          <w:p w:rsidR="006515DC" w:rsidRPr="006515DC" w:rsidRDefault="006515DC" w:rsidP="006515DC">
            <w:r w:rsidRPr="006515DC">
              <w:t>Certification of non-approved materials to be used on the network - Complex</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6,497.68 </w:t>
            </w:r>
          </w:p>
        </w:tc>
        <w:tc>
          <w:tcPr>
            <w:tcW w:w="1449" w:type="dxa"/>
            <w:noWrap/>
            <w:hideMark/>
          </w:tcPr>
          <w:p w:rsidR="006515DC" w:rsidRPr="006515DC" w:rsidRDefault="006515DC" w:rsidP="006515DC">
            <w:r w:rsidRPr="006515DC">
              <w:t xml:space="preserve">6,497.68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After Hours provision of meter exchange</w:t>
            </w:r>
          </w:p>
        </w:tc>
        <w:tc>
          <w:tcPr>
            <w:tcW w:w="1449" w:type="dxa"/>
            <w:hideMark/>
          </w:tcPr>
          <w:p w:rsidR="006515DC" w:rsidRPr="006515DC" w:rsidRDefault="006515DC" w:rsidP="006515DC">
            <w:r w:rsidRPr="006515DC">
              <w:t>After Hours exchange of meter – CT Metering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344.52 </w:t>
            </w:r>
          </w:p>
        </w:tc>
        <w:tc>
          <w:tcPr>
            <w:tcW w:w="1449" w:type="dxa"/>
            <w:noWrap/>
            <w:hideMark/>
          </w:tcPr>
          <w:p w:rsidR="006515DC" w:rsidRPr="006515DC" w:rsidRDefault="006515DC" w:rsidP="006515DC">
            <w:r w:rsidRPr="006515DC">
              <w:t xml:space="preserve">344.52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After Hours provision of meter exchange</w:t>
            </w:r>
          </w:p>
        </w:tc>
        <w:tc>
          <w:tcPr>
            <w:tcW w:w="1449" w:type="dxa"/>
            <w:hideMark/>
          </w:tcPr>
          <w:p w:rsidR="006515DC" w:rsidRPr="006515DC" w:rsidRDefault="006515DC" w:rsidP="006515DC">
            <w:r w:rsidRPr="006515DC">
              <w:t>After Hours exchange of meter – No CT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72.42 </w:t>
            </w:r>
          </w:p>
        </w:tc>
        <w:tc>
          <w:tcPr>
            <w:tcW w:w="1449" w:type="dxa"/>
            <w:noWrap/>
            <w:hideMark/>
          </w:tcPr>
          <w:p w:rsidR="006515DC" w:rsidRPr="006515DC" w:rsidRDefault="006515DC" w:rsidP="006515DC">
            <w:r w:rsidRPr="006515DC">
              <w:t xml:space="preserve">72.42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After Hours provision of meter exchange</w:t>
            </w:r>
          </w:p>
        </w:tc>
        <w:tc>
          <w:tcPr>
            <w:tcW w:w="1449" w:type="dxa"/>
            <w:hideMark/>
          </w:tcPr>
          <w:p w:rsidR="006515DC" w:rsidRPr="006515DC" w:rsidRDefault="006515DC" w:rsidP="006515DC">
            <w:r w:rsidRPr="006515DC">
              <w:t>After Hours exchange of meter – No CT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51.30 </w:t>
            </w:r>
          </w:p>
        </w:tc>
        <w:tc>
          <w:tcPr>
            <w:tcW w:w="1449" w:type="dxa"/>
            <w:noWrap/>
            <w:hideMark/>
          </w:tcPr>
          <w:p w:rsidR="006515DC" w:rsidRPr="006515DC" w:rsidRDefault="006515DC" w:rsidP="006515DC">
            <w:r w:rsidRPr="006515DC">
              <w:t xml:space="preserve">51.30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After Hours installation of additional metering</w:t>
            </w:r>
          </w:p>
        </w:tc>
        <w:tc>
          <w:tcPr>
            <w:tcW w:w="1449" w:type="dxa"/>
            <w:hideMark/>
          </w:tcPr>
          <w:p w:rsidR="006515DC" w:rsidRPr="006515DC" w:rsidRDefault="006515DC" w:rsidP="006515DC">
            <w:r w:rsidRPr="006515DC">
              <w:t xml:space="preserve">After Hours Installation of additional Metering - CT </w:t>
            </w:r>
            <w:r w:rsidRPr="006515DC">
              <w:lastRenderedPageBreak/>
              <w:t>metering (after hours - incremental costs only - base cost included in MSC)</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344.52 </w:t>
            </w:r>
          </w:p>
        </w:tc>
        <w:tc>
          <w:tcPr>
            <w:tcW w:w="1449" w:type="dxa"/>
            <w:noWrap/>
            <w:hideMark/>
          </w:tcPr>
          <w:p w:rsidR="006515DC" w:rsidRPr="006515DC" w:rsidRDefault="006515DC" w:rsidP="006515DC">
            <w:r w:rsidRPr="006515DC">
              <w:t xml:space="preserve">344.52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After Hours installation of additional metering</w:t>
            </w:r>
          </w:p>
        </w:tc>
        <w:tc>
          <w:tcPr>
            <w:tcW w:w="1449" w:type="dxa"/>
            <w:hideMark/>
          </w:tcPr>
          <w:p w:rsidR="006515DC" w:rsidRPr="006515DC" w:rsidRDefault="006515DC" w:rsidP="006515DC">
            <w:r w:rsidRPr="006515DC">
              <w:t>After Hours Installation of additional Metering - PV CT metering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183.27 </w:t>
            </w:r>
          </w:p>
        </w:tc>
        <w:tc>
          <w:tcPr>
            <w:tcW w:w="1449" w:type="dxa"/>
            <w:noWrap/>
            <w:hideMark/>
          </w:tcPr>
          <w:p w:rsidR="006515DC" w:rsidRPr="006515DC" w:rsidRDefault="006515DC" w:rsidP="006515DC">
            <w:r w:rsidRPr="006515DC">
              <w:t xml:space="preserve">183.27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After Hours installation of additional metering</w:t>
            </w:r>
          </w:p>
        </w:tc>
        <w:tc>
          <w:tcPr>
            <w:tcW w:w="1449" w:type="dxa"/>
            <w:hideMark/>
          </w:tcPr>
          <w:p w:rsidR="006515DC" w:rsidRPr="006515DC" w:rsidRDefault="006515DC" w:rsidP="006515DC">
            <w:r w:rsidRPr="006515DC">
              <w:t>After Hours Installation of additional Metering - single phase metering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72.42 </w:t>
            </w:r>
          </w:p>
        </w:tc>
        <w:tc>
          <w:tcPr>
            <w:tcW w:w="1449" w:type="dxa"/>
            <w:noWrap/>
            <w:hideMark/>
          </w:tcPr>
          <w:p w:rsidR="006515DC" w:rsidRPr="006515DC" w:rsidRDefault="006515DC" w:rsidP="006515DC">
            <w:r w:rsidRPr="006515DC">
              <w:t xml:space="preserve">72.42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After Hours installation of additional metering</w:t>
            </w:r>
          </w:p>
        </w:tc>
        <w:tc>
          <w:tcPr>
            <w:tcW w:w="1449" w:type="dxa"/>
            <w:hideMark/>
          </w:tcPr>
          <w:p w:rsidR="006515DC" w:rsidRPr="006515DC" w:rsidRDefault="006515DC" w:rsidP="006515DC">
            <w:r w:rsidRPr="006515DC">
              <w:t>After Hours Installation of additional Metering - multiphase  metering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117.27 </w:t>
            </w:r>
          </w:p>
        </w:tc>
        <w:tc>
          <w:tcPr>
            <w:tcW w:w="1449" w:type="dxa"/>
            <w:noWrap/>
            <w:hideMark/>
          </w:tcPr>
          <w:p w:rsidR="006515DC" w:rsidRPr="006515DC" w:rsidRDefault="006515DC" w:rsidP="006515DC">
            <w:r w:rsidRPr="006515DC">
              <w:t xml:space="preserve">117.27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After Hours installation of additional metering</w:t>
            </w:r>
          </w:p>
        </w:tc>
        <w:tc>
          <w:tcPr>
            <w:tcW w:w="1449" w:type="dxa"/>
            <w:hideMark/>
          </w:tcPr>
          <w:p w:rsidR="006515DC" w:rsidRPr="006515DC" w:rsidRDefault="006515DC" w:rsidP="006515DC">
            <w:r w:rsidRPr="006515DC">
              <w:t>After Hours Installation of additional Metering - PV single phase metering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61.53 </w:t>
            </w:r>
          </w:p>
        </w:tc>
        <w:tc>
          <w:tcPr>
            <w:tcW w:w="1449" w:type="dxa"/>
            <w:noWrap/>
            <w:hideMark/>
          </w:tcPr>
          <w:p w:rsidR="006515DC" w:rsidRPr="006515DC" w:rsidRDefault="006515DC" w:rsidP="006515DC">
            <w:r w:rsidRPr="006515DC">
              <w:t xml:space="preserve">61.53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After Hours installation of additional metering</w:t>
            </w:r>
          </w:p>
        </w:tc>
        <w:tc>
          <w:tcPr>
            <w:tcW w:w="1449" w:type="dxa"/>
            <w:hideMark/>
          </w:tcPr>
          <w:p w:rsidR="006515DC" w:rsidRPr="006515DC" w:rsidRDefault="006515DC" w:rsidP="006515DC">
            <w:r w:rsidRPr="006515DC">
              <w:t xml:space="preserve">After Hours Installation of additional Metering - PV multiphase metering (after hours - </w:t>
            </w:r>
            <w:r w:rsidRPr="006515DC">
              <w:lastRenderedPageBreak/>
              <w:t>incremental costs only - base cost included in MSC)</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76.34 </w:t>
            </w:r>
          </w:p>
        </w:tc>
        <w:tc>
          <w:tcPr>
            <w:tcW w:w="1449" w:type="dxa"/>
            <w:noWrap/>
            <w:hideMark/>
          </w:tcPr>
          <w:p w:rsidR="006515DC" w:rsidRPr="006515DC" w:rsidRDefault="006515DC" w:rsidP="006515DC">
            <w:r w:rsidRPr="006515DC">
              <w:t xml:space="preserve">76.34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lastRenderedPageBreak/>
              <w:t>After Hours removal of meter</w:t>
            </w:r>
          </w:p>
        </w:tc>
        <w:tc>
          <w:tcPr>
            <w:tcW w:w="1449" w:type="dxa"/>
            <w:hideMark/>
          </w:tcPr>
          <w:p w:rsidR="006515DC" w:rsidRPr="006515DC" w:rsidRDefault="006515DC" w:rsidP="006515DC">
            <w:r w:rsidRPr="006515DC">
              <w:t>After Hours Removal of Meter - No CT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52.05 </w:t>
            </w:r>
          </w:p>
        </w:tc>
        <w:tc>
          <w:tcPr>
            <w:tcW w:w="1449" w:type="dxa"/>
            <w:noWrap/>
            <w:hideMark/>
          </w:tcPr>
          <w:p w:rsidR="006515DC" w:rsidRPr="006515DC" w:rsidRDefault="006515DC" w:rsidP="006515DC">
            <w:r w:rsidRPr="006515DC">
              <w:t xml:space="preserve">52.05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After Hours removal of meter</w:t>
            </w:r>
          </w:p>
        </w:tc>
        <w:tc>
          <w:tcPr>
            <w:tcW w:w="1449" w:type="dxa"/>
            <w:hideMark/>
          </w:tcPr>
          <w:p w:rsidR="006515DC" w:rsidRPr="006515DC" w:rsidRDefault="006515DC" w:rsidP="006515DC">
            <w:r w:rsidRPr="006515DC">
              <w:t>After Hours Removal of Meter - CT Metering (after hours - incremental costs only - base cost included in MSC)</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166.00 </w:t>
            </w:r>
          </w:p>
        </w:tc>
        <w:tc>
          <w:tcPr>
            <w:tcW w:w="1449" w:type="dxa"/>
            <w:noWrap/>
            <w:hideMark/>
          </w:tcPr>
          <w:p w:rsidR="006515DC" w:rsidRPr="006515DC" w:rsidRDefault="006515DC" w:rsidP="006515DC">
            <w:r w:rsidRPr="006515DC">
              <w:t xml:space="preserve">166.00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After Hours provision of initial meter installation</w:t>
            </w:r>
          </w:p>
        </w:tc>
        <w:tc>
          <w:tcPr>
            <w:tcW w:w="1449" w:type="dxa"/>
            <w:hideMark/>
          </w:tcPr>
          <w:p w:rsidR="006515DC" w:rsidRPr="006515DC" w:rsidRDefault="006515DC" w:rsidP="006515DC">
            <w:r w:rsidRPr="006515DC">
              <w:t>After Hours Provision of initial meter installation - CT metering - Overhead Connection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330.97 </w:t>
            </w:r>
          </w:p>
        </w:tc>
        <w:tc>
          <w:tcPr>
            <w:tcW w:w="1449" w:type="dxa"/>
            <w:noWrap/>
            <w:hideMark/>
          </w:tcPr>
          <w:p w:rsidR="006515DC" w:rsidRPr="006515DC" w:rsidRDefault="006515DC" w:rsidP="006515DC">
            <w:r w:rsidRPr="006515DC">
              <w:t xml:space="preserve">330.97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After Hours provision of initial meter installation</w:t>
            </w:r>
          </w:p>
        </w:tc>
        <w:tc>
          <w:tcPr>
            <w:tcW w:w="1449" w:type="dxa"/>
            <w:hideMark/>
          </w:tcPr>
          <w:p w:rsidR="006515DC" w:rsidRPr="006515DC" w:rsidRDefault="006515DC" w:rsidP="006515DC">
            <w:r w:rsidRPr="006515DC">
              <w:t>After Hours Provision of initial meter installation - CT metering - P/Pole Connection</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378.61 </w:t>
            </w:r>
          </w:p>
        </w:tc>
        <w:tc>
          <w:tcPr>
            <w:tcW w:w="1449" w:type="dxa"/>
            <w:hideMark/>
          </w:tcPr>
          <w:p w:rsidR="006515DC" w:rsidRPr="006515DC" w:rsidRDefault="006515DC" w:rsidP="006515DC">
            <w:r w:rsidRPr="006515DC">
              <w:t xml:space="preserve">378.61 </w:t>
            </w:r>
          </w:p>
        </w:tc>
        <w:tc>
          <w:tcPr>
            <w:tcW w:w="1449" w:type="dxa"/>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After Hours provision of initial meter installation</w:t>
            </w:r>
          </w:p>
        </w:tc>
        <w:tc>
          <w:tcPr>
            <w:tcW w:w="1449" w:type="dxa"/>
            <w:hideMark/>
          </w:tcPr>
          <w:p w:rsidR="006515DC" w:rsidRPr="006515DC" w:rsidRDefault="006515DC" w:rsidP="006515DC">
            <w:r w:rsidRPr="006515DC">
              <w:t>After Hours Provision of initial meter installation - CT metering - Underground Connection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318.33 </w:t>
            </w:r>
          </w:p>
        </w:tc>
        <w:tc>
          <w:tcPr>
            <w:tcW w:w="1449" w:type="dxa"/>
            <w:noWrap/>
            <w:hideMark/>
          </w:tcPr>
          <w:p w:rsidR="006515DC" w:rsidRPr="006515DC" w:rsidRDefault="006515DC" w:rsidP="006515DC">
            <w:r w:rsidRPr="006515DC">
              <w:t xml:space="preserve">318.33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After Hours provision of initial meter installation</w:t>
            </w:r>
          </w:p>
        </w:tc>
        <w:tc>
          <w:tcPr>
            <w:tcW w:w="1449" w:type="dxa"/>
            <w:hideMark/>
          </w:tcPr>
          <w:p w:rsidR="006515DC" w:rsidRPr="006515DC" w:rsidRDefault="006515DC" w:rsidP="006515DC">
            <w:r w:rsidRPr="006515DC">
              <w:t>After Hours Provision of initial meter installation - single phase metering - Overhead Fox Connection</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131.67 </w:t>
            </w:r>
          </w:p>
        </w:tc>
        <w:tc>
          <w:tcPr>
            <w:tcW w:w="1449" w:type="dxa"/>
            <w:hideMark/>
          </w:tcPr>
          <w:p w:rsidR="006515DC" w:rsidRPr="006515DC" w:rsidRDefault="006515DC" w:rsidP="006515DC">
            <w:r w:rsidRPr="006515DC">
              <w:t xml:space="preserve">131.67 </w:t>
            </w:r>
          </w:p>
        </w:tc>
        <w:tc>
          <w:tcPr>
            <w:tcW w:w="1449" w:type="dxa"/>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After Hours provision of initial meter installation</w:t>
            </w:r>
          </w:p>
        </w:tc>
        <w:tc>
          <w:tcPr>
            <w:tcW w:w="1449" w:type="dxa"/>
            <w:hideMark/>
          </w:tcPr>
          <w:p w:rsidR="006515DC" w:rsidRPr="006515DC" w:rsidRDefault="006515DC" w:rsidP="006515DC">
            <w:r w:rsidRPr="006515DC">
              <w:t xml:space="preserve">After Hours Provision of initial meter </w:t>
            </w:r>
            <w:r w:rsidRPr="006515DC">
              <w:lastRenderedPageBreak/>
              <w:t>installation - single phase metering - Overhead Connection</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99.17 </w:t>
            </w:r>
          </w:p>
        </w:tc>
        <w:tc>
          <w:tcPr>
            <w:tcW w:w="1449" w:type="dxa"/>
            <w:noWrap/>
            <w:hideMark/>
          </w:tcPr>
          <w:p w:rsidR="006515DC" w:rsidRPr="006515DC" w:rsidRDefault="006515DC" w:rsidP="006515DC">
            <w:r w:rsidRPr="006515DC">
              <w:t xml:space="preserve">99.17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After Hours provision of initial meter installation</w:t>
            </w:r>
          </w:p>
        </w:tc>
        <w:tc>
          <w:tcPr>
            <w:tcW w:w="1449" w:type="dxa"/>
            <w:hideMark/>
          </w:tcPr>
          <w:p w:rsidR="006515DC" w:rsidRPr="006515DC" w:rsidRDefault="006515DC" w:rsidP="006515DC">
            <w:r w:rsidRPr="006515DC">
              <w:t>After Hours Provision of initial meter installation - single phase metering - Underground Connection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75.37 </w:t>
            </w:r>
          </w:p>
        </w:tc>
        <w:tc>
          <w:tcPr>
            <w:tcW w:w="1449" w:type="dxa"/>
            <w:noWrap/>
            <w:hideMark/>
          </w:tcPr>
          <w:p w:rsidR="006515DC" w:rsidRPr="006515DC" w:rsidRDefault="006515DC" w:rsidP="006515DC">
            <w:r w:rsidRPr="006515DC">
              <w:t xml:space="preserve">75.37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After Hours provision of initial meter installation</w:t>
            </w:r>
          </w:p>
        </w:tc>
        <w:tc>
          <w:tcPr>
            <w:tcW w:w="1449" w:type="dxa"/>
            <w:hideMark/>
          </w:tcPr>
          <w:p w:rsidR="006515DC" w:rsidRPr="006515DC" w:rsidRDefault="006515DC" w:rsidP="006515DC">
            <w:r w:rsidRPr="006515DC">
              <w:t>After Hours Provision of initial meter installation - multi phase metering - Overhead Fox Connection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166.61 </w:t>
            </w:r>
          </w:p>
        </w:tc>
        <w:tc>
          <w:tcPr>
            <w:tcW w:w="1449" w:type="dxa"/>
            <w:noWrap/>
            <w:hideMark/>
          </w:tcPr>
          <w:p w:rsidR="006515DC" w:rsidRPr="006515DC" w:rsidRDefault="006515DC" w:rsidP="006515DC">
            <w:r w:rsidRPr="006515DC">
              <w:t xml:space="preserve">166.61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After Hours provision of initial meter installation</w:t>
            </w:r>
          </w:p>
        </w:tc>
        <w:tc>
          <w:tcPr>
            <w:tcW w:w="1449" w:type="dxa"/>
            <w:hideMark/>
          </w:tcPr>
          <w:p w:rsidR="006515DC" w:rsidRPr="006515DC" w:rsidRDefault="006515DC" w:rsidP="006515DC">
            <w:r w:rsidRPr="006515DC">
              <w:t>After Hours Provision of initial meter installation - multi phase metering - Overhead Connection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125.38 </w:t>
            </w:r>
          </w:p>
        </w:tc>
        <w:tc>
          <w:tcPr>
            <w:tcW w:w="1449" w:type="dxa"/>
            <w:noWrap/>
            <w:hideMark/>
          </w:tcPr>
          <w:p w:rsidR="006515DC" w:rsidRPr="006515DC" w:rsidRDefault="006515DC" w:rsidP="006515DC">
            <w:r w:rsidRPr="006515DC">
              <w:t xml:space="preserve">125.38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After Hours provision of initial meter installation</w:t>
            </w:r>
          </w:p>
        </w:tc>
        <w:tc>
          <w:tcPr>
            <w:tcW w:w="1449" w:type="dxa"/>
            <w:hideMark/>
          </w:tcPr>
          <w:p w:rsidR="006515DC" w:rsidRPr="006515DC" w:rsidRDefault="006515DC" w:rsidP="006515DC">
            <w:r w:rsidRPr="006515DC">
              <w:t>After Hours Provision of initial meter installation - multi phase metering - Underground Connection</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97.79 </w:t>
            </w:r>
          </w:p>
        </w:tc>
        <w:tc>
          <w:tcPr>
            <w:tcW w:w="1449" w:type="dxa"/>
            <w:noWrap/>
            <w:hideMark/>
          </w:tcPr>
          <w:p w:rsidR="006515DC" w:rsidRPr="006515DC" w:rsidRDefault="006515DC" w:rsidP="006515DC">
            <w:r w:rsidRPr="006515DC">
              <w:t xml:space="preserve">97.79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requested Meter Accuracy Testing of type 5-6 meter (physically test meter)</w:t>
            </w:r>
          </w:p>
        </w:tc>
        <w:tc>
          <w:tcPr>
            <w:tcW w:w="1449" w:type="dxa"/>
            <w:hideMark/>
          </w:tcPr>
          <w:p w:rsidR="006515DC" w:rsidRPr="006515DC" w:rsidRDefault="006515DC" w:rsidP="006515DC">
            <w:r w:rsidRPr="006515DC">
              <w:t>Testing for type 5 &amp; 6 meters - customer requested meter accuracy testing - No CT</w:t>
            </w:r>
          </w:p>
        </w:tc>
        <w:tc>
          <w:tcPr>
            <w:tcW w:w="1449" w:type="dxa"/>
          </w:tcPr>
          <w:p w:rsidR="006515DC" w:rsidRPr="006515DC" w:rsidRDefault="006515DC" w:rsidP="006515DC">
            <w:r w:rsidRPr="006515DC">
              <w:t>Schedule 8</w:t>
            </w:r>
          </w:p>
        </w:tc>
        <w:tc>
          <w:tcPr>
            <w:tcW w:w="1448" w:type="dxa"/>
            <w:noWrap/>
            <w:hideMark/>
          </w:tcPr>
          <w:p w:rsidR="006515DC" w:rsidRPr="006515DC" w:rsidRDefault="006515DC" w:rsidP="006515DC">
            <w:r w:rsidRPr="006515DC">
              <w:t xml:space="preserve">365.40 </w:t>
            </w:r>
          </w:p>
        </w:tc>
        <w:tc>
          <w:tcPr>
            <w:tcW w:w="1449" w:type="dxa"/>
            <w:noWrap/>
            <w:hideMark/>
          </w:tcPr>
          <w:p w:rsidR="006515DC" w:rsidRPr="006515DC" w:rsidRDefault="006515DC" w:rsidP="006515DC">
            <w:r w:rsidRPr="006515DC">
              <w:t xml:space="preserve">365.40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Customer requested Meter Accuracy Testing of type 5-6 meter (physically test meter)</w:t>
            </w:r>
          </w:p>
        </w:tc>
        <w:tc>
          <w:tcPr>
            <w:tcW w:w="1449" w:type="dxa"/>
            <w:hideMark/>
          </w:tcPr>
          <w:p w:rsidR="006515DC" w:rsidRPr="006515DC" w:rsidRDefault="006515DC" w:rsidP="006515DC">
            <w:r w:rsidRPr="006515DC">
              <w:t>Testing for type 5 &amp; 6 meters - customer requested meter accuracy testing - CT Metering</w:t>
            </w:r>
          </w:p>
        </w:tc>
        <w:tc>
          <w:tcPr>
            <w:tcW w:w="1449" w:type="dxa"/>
          </w:tcPr>
          <w:p w:rsidR="006515DC" w:rsidRPr="006515DC" w:rsidRDefault="006515DC" w:rsidP="006515DC">
            <w:r w:rsidRPr="006515DC">
              <w:t>Schedule 8</w:t>
            </w:r>
          </w:p>
        </w:tc>
        <w:tc>
          <w:tcPr>
            <w:tcW w:w="1448" w:type="dxa"/>
            <w:noWrap/>
            <w:hideMark/>
          </w:tcPr>
          <w:p w:rsidR="006515DC" w:rsidRPr="006515DC" w:rsidRDefault="006515DC" w:rsidP="006515DC">
            <w:r w:rsidRPr="006515DC">
              <w:t xml:space="preserve">761.91 </w:t>
            </w:r>
          </w:p>
        </w:tc>
        <w:tc>
          <w:tcPr>
            <w:tcW w:w="1449" w:type="dxa"/>
            <w:noWrap/>
            <w:hideMark/>
          </w:tcPr>
          <w:p w:rsidR="006515DC" w:rsidRPr="006515DC" w:rsidRDefault="006515DC" w:rsidP="006515DC">
            <w:r w:rsidRPr="006515DC">
              <w:t xml:space="preserve">761.91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 xml:space="preserve">Customer requested Meter Inspection &amp; Investigation (no </w:t>
            </w:r>
            <w:r w:rsidRPr="006515DC">
              <w:lastRenderedPageBreak/>
              <w:t>physical testing of meter) no fault found</w:t>
            </w:r>
          </w:p>
        </w:tc>
        <w:tc>
          <w:tcPr>
            <w:tcW w:w="1449" w:type="dxa"/>
            <w:hideMark/>
          </w:tcPr>
          <w:p w:rsidR="006515DC" w:rsidRPr="006515DC" w:rsidRDefault="006515DC" w:rsidP="006515DC">
            <w:r w:rsidRPr="006515DC">
              <w:lastRenderedPageBreak/>
              <w:t xml:space="preserve">Inspection required to check reported or suspected fault </w:t>
            </w:r>
            <w:r w:rsidRPr="006515DC">
              <w:lastRenderedPageBreak/>
              <w:t>and no fault in meter is found.</w:t>
            </w:r>
            <w:r w:rsidRPr="006515DC">
              <w:br/>
              <w:t>(no physical meter test) - No CT (business hours)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89.74 </w:t>
            </w:r>
          </w:p>
        </w:tc>
        <w:tc>
          <w:tcPr>
            <w:tcW w:w="1449" w:type="dxa"/>
            <w:noWrap/>
            <w:hideMark/>
          </w:tcPr>
          <w:p w:rsidR="006515DC" w:rsidRPr="006515DC" w:rsidRDefault="006515DC" w:rsidP="006515DC">
            <w:r w:rsidRPr="006515DC">
              <w:t xml:space="preserve">89.74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lastRenderedPageBreak/>
              <w:t>Customer requested Meter Inspection &amp; Investigation (no physical testing of meter) no fault found</w:t>
            </w:r>
          </w:p>
        </w:tc>
        <w:tc>
          <w:tcPr>
            <w:tcW w:w="1449" w:type="dxa"/>
            <w:hideMark/>
          </w:tcPr>
          <w:p w:rsidR="006515DC" w:rsidRPr="006515DC" w:rsidRDefault="006515DC" w:rsidP="006515DC">
            <w:r w:rsidRPr="006515DC">
              <w:t>Inspection required to check reported or suspected fault and no fault in meter is found.</w:t>
            </w:r>
            <w:r w:rsidRPr="006515DC">
              <w:br/>
              <w:t>(no physical meter test) - CT Metering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333.57 </w:t>
            </w:r>
          </w:p>
        </w:tc>
        <w:tc>
          <w:tcPr>
            <w:tcW w:w="1449" w:type="dxa"/>
            <w:noWrap/>
            <w:hideMark/>
          </w:tcPr>
          <w:p w:rsidR="006515DC" w:rsidRPr="006515DC" w:rsidRDefault="006515DC" w:rsidP="006515DC">
            <w:r w:rsidRPr="006515DC">
              <w:t xml:space="preserve">333.57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Customer requested Meter Inspection &amp; Investigation (no physical testing of meter) no fault found</w:t>
            </w:r>
          </w:p>
        </w:tc>
        <w:tc>
          <w:tcPr>
            <w:tcW w:w="1449" w:type="dxa"/>
            <w:hideMark/>
          </w:tcPr>
          <w:p w:rsidR="006515DC" w:rsidRPr="006515DC" w:rsidRDefault="006515DC" w:rsidP="006515DC">
            <w:r w:rsidRPr="006515DC">
              <w:t>Inspection required to check reported or suspected fault and no fault in meter is found.</w:t>
            </w:r>
            <w:r w:rsidRPr="006515DC">
              <w:br/>
              <w:t>(no physical meter test) - No CT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161.91 </w:t>
            </w:r>
          </w:p>
        </w:tc>
        <w:tc>
          <w:tcPr>
            <w:tcW w:w="1449" w:type="dxa"/>
            <w:noWrap/>
            <w:hideMark/>
          </w:tcPr>
          <w:p w:rsidR="006515DC" w:rsidRPr="006515DC" w:rsidRDefault="006515DC" w:rsidP="006515DC">
            <w:r w:rsidRPr="006515DC">
              <w:t xml:space="preserve">161.91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Customer requested Meter Inspection &amp; Investigation (no physical testing of meter) no fault found</w:t>
            </w:r>
          </w:p>
        </w:tc>
        <w:tc>
          <w:tcPr>
            <w:tcW w:w="1449" w:type="dxa"/>
            <w:hideMark/>
          </w:tcPr>
          <w:p w:rsidR="006515DC" w:rsidRPr="006515DC" w:rsidRDefault="006515DC" w:rsidP="006515DC">
            <w:r w:rsidRPr="006515DC">
              <w:t>Inspection required to check reported or suspected fault and no fault in meter is found.</w:t>
            </w:r>
            <w:r w:rsidRPr="006515DC">
              <w:br/>
              <w:t>(no physical meter test) - No CT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161.91 </w:t>
            </w:r>
          </w:p>
        </w:tc>
        <w:tc>
          <w:tcPr>
            <w:tcW w:w="1449" w:type="dxa"/>
            <w:noWrap/>
            <w:hideMark/>
          </w:tcPr>
          <w:p w:rsidR="006515DC" w:rsidRPr="006515DC" w:rsidRDefault="006515DC" w:rsidP="006515DC">
            <w:r w:rsidRPr="006515DC">
              <w:t xml:space="preserve">161.91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Customer requested Meter Inspection &amp; Investigation (no physical testing of meter) no fault found</w:t>
            </w:r>
          </w:p>
        </w:tc>
        <w:tc>
          <w:tcPr>
            <w:tcW w:w="1449" w:type="dxa"/>
            <w:hideMark/>
          </w:tcPr>
          <w:p w:rsidR="006515DC" w:rsidRPr="006515DC" w:rsidRDefault="006515DC" w:rsidP="006515DC">
            <w:r w:rsidRPr="006515DC">
              <w:t>Inspection required to check reported or suspected fault and no fault in meter is found.</w:t>
            </w:r>
            <w:r w:rsidRPr="006515DC">
              <w:br/>
              <w:t>(no physical meter test) - CT Metering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476.02 </w:t>
            </w:r>
          </w:p>
        </w:tc>
        <w:tc>
          <w:tcPr>
            <w:tcW w:w="1449" w:type="dxa"/>
            <w:noWrap/>
            <w:hideMark/>
          </w:tcPr>
          <w:p w:rsidR="006515DC" w:rsidRPr="006515DC" w:rsidRDefault="006515DC" w:rsidP="006515DC">
            <w:r w:rsidRPr="006515DC">
              <w:t xml:space="preserve">476.02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Customer requested Meter Inspection &amp; Investigation (no physical testing of meter) no fault found</w:t>
            </w:r>
          </w:p>
        </w:tc>
        <w:tc>
          <w:tcPr>
            <w:tcW w:w="1449" w:type="dxa"/>
            <w:hideMark/>
          </w:tcPr>
          <w:p w:rsidR="006515DC" w:rsidRPr="006515DC" w:rsidRDefault="006515DC" w:rsidP="006515DC">
            <w:r w:rsidRPr="006515DC">
              <w:t>Inspection required to check reported or suspected fault and no fault in meter is found.</w:t>
            </w:r>
            <w:r w:rsidRPr="006515DC">
              <w:br/>
              <w:t>(no physical meter test) - CT Metering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476.02 </w:t>
            </w:r>
          </w:p>
        </w:tc>
        <w:tc>
          <w:tcPr>
            <w:tcW w:w="1449" w:type="dxa"/>
            <w:noWrap/>
            <w:hideMark/>
          </w:tcPr>
          <w:p w:rsidR="006515DC" w:rsidRPr="006515DC" w:rsidRDefault="006515DC" w:rsidP="006515DC">
            <w:r w:rsidRPr="006515DC">
              <w:t xml:space="preserve">476.02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lastRenderedPageBreak/>
              <w:t>Customer requested meter reconfiguration</w:t>
            </w:r>
          </w:p>
        </w:tc>
        <w:tc>
          <w:tcPr>
            <w:tcW w:w="1449" w:type="dxa"/>
            <w:hideMark/>
          </w:tcPr>
          <w:p w:rsidR="006515DC" w:rsidRPr="006515DC" w:rsidRDefault="006515DC" w:rsidP="006515DC">
            <w:r w:rsidRPr="006515DC">
              <w:t>A request to make a change from one tariff to another tariff (Controlled Load) - No CT</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91.53 </w:t>
            </w:r>
          </w:p>
        </w:tc>
        <w:tc>
          <w:tcPr>
            <w:tcW w:w="1449" w:type="dxa"/>
            <w:noWrap/>
            <w:hideMark/>
          </w:tcPr>
          <w:p w:rsidR="006515DC" w:rsidRPr="006515DC" w:rsidRDefault="006515DC" w:rsidP="006515DC">
            <w:r w:rsidRPr="006515DC">
              <w:t xml:space="preserve">91.53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 xml:space="preserve">A request to make a change from Residential Flat (NTC 8400) to Residential </w:t>
            </w:r>
            <w:proofErr w:type="spellStart"/>
            <w:r w:rsidRPr="006515DC">
              <w:t>ToU</w:t>
            </w:r>
            <w:proofErr w:type="spellEnd"/>
            <w:r w:rsidRPr="006515DC">
              <w:t xml:space="preserve"> (NTC 8900) - No CT</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139.64 </w:t>
            </w:r>
          </w:p>
        </w:tc>
        <w:tc>
          <w:tcPr>
            <w:tcW w:w="1449" w:type="dxa"/>
            <w:noWrap/>
            <w:hideMark/>
          </w:tcPr>
          <w:p w:rsidR="006515DC" w:rsidRPr="006515DC" w:rsidRDefault="006515DC" w:rsidP="006515DC">
            <w:r w:rsidRPr="006515DC">
              <w:t xml:space="preserve">139.64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A request to make a change from one tariff to another tariff (Controlled Load) - CT Metering</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421.38 </w:t>
            </w:r>
          </w:p>
        </w:tc>
        <w:tc>
          <w:tcPr>
            <w:tcW w:w="1449" w:type="dxa"/>
            <w:noWrap/>
            <w:hideMark/>
          </w:tcPr>
          <w:p w:rsidR="006515DC" w:rsidRPr="006515DC" w:rsidRDefault="006515DC" w:rsidP="006515DC">
            <w:r w:rsidRPr="006515DC">
              <w:t xml:space="preserve">421.38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 xml:space="preserve">A request to make a change from Residential Flat (NTC 8400) to Residential </w:t>
            </w:r>
            <w:proofErr w:type="spellStart"/>
            <w:r w:rsidRPr="006515DC">
              <w:t>ToU</w:t>
            </w:r>
            <w:proofErr w:type="spellEnd"/>
            <w:r w:rsidRPr="006515DC">
              <w:t xml:space="preserve"> (NTC 8900) - CT Metering</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465.47 </w:t>
            </w:r>
          </w:p>
        </w:tc>
        <w:tc>
          <w:tcPr>
            <w:tcW w:w="1449" w:type="dxa"/>
            <w:noWrap/>
            <w:hideMark/>
          </w:tcPr>
          <w:p w:rsidR="006515DC" w:rsidRPr="006515DC" w:rsidRDefault="006515DC" w:rsidP="006515DC">
            <w:r w:rsidRPr="006515DC">
              <w:t xml:space="preserve">465.47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A request to make a change from one tariff to another tariff - No CT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91.53 </w:t>
            </w:r>
          </w:p>
        </w:tc>
        <w:tc>
          <w:tcPr>
            <w:tcW w:w="1449" w:type="dxa"/>
            <w:noWrap/>
            <w:hideMark/>
          </w:tcPr>
          <w:p w:rsidR="006515DC" w:rsidRPr="006515DC" w:rsidRDefault="006515DC" w:rsidP="006515DC">
            <w:r w:rsidRPr="006515DC">
              <w:t xml:space="preserve">91.53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 xml:space="preserve">A request to make a change from Residential </w:t>
            </w:r>
            <w:proofErr w:type="spellStart"/>
            <w:r w:rsidRPr="006515DC">
              <w:t>ToU</w:t>
            </w:r>
            <w:proofErr w:type="spellEnd"/>
            <w:r w:rsidRPr="006515DC">
              <w:t xml:space="preserve"> (NTC 8900) to Residential Flat (NTC 8400)</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91.53 </w:t>
            </w:r>
          </w:p>
        </w:tc>
        <w:tc>
          <w:tcPr>
            <w:tcW w:w="1449" w:type="dxa"/>
            <w:noWrap/>
            <w:hideMark/>
          </w:tcPr>
          <w:p w:rsidR="006515DC" w:rsidRPr="006515DC" w:rsidRDefault="006515DC" w:rsidP="006515DC">
            <w:r w:rsidRPr="006515DC">
              <w:t xml:space="preserve">91.53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A request to make a change from one tariff to another tariff - CT Metering (business hours)</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421.38 </w:t>
            </w:r>
          </w:p>
        </w:tc>
        <w:tc>
          <w:tcPr>
            <w:tcW w:w="1449" w:type="dxa"/>
            <w:hideMark/>
          </w:tcPr>
          <w:p w:rsidR="006515DC" w:rsidRPr="006515DC" w:rsidRDefault="006515DC" w:rsidP="006515DC">
            <w:r w:rsidRPr="006515DC">
              <w:t xml:space="preserve">421.38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 xml:space="preserve">A request to make a change from Residential Flat (NTC 8400) or Residential </w:t>
            </w:r>
            <w:proofErr w:type="spellStart"/>
            <w:r w:rsidRPr="006515DC">
              <w:t>ToU</w:t>
            </w:r>
            <w:proofErr w:type="spellEnd"/>
            <w:r w:rsidRPr="006515DC">
              <w:t xml:space="preserve"> (NTC 8900) to </w:t>
            </w:r>
            <w:proofErr w:type="spellStart"/>
            <w:r w:rsidRPr="006515DC">
              <w:t>PeakSmart</w:t>
            </w:r>
            <w:proofErr w:type="spellEnd"/>
            <w:r w:rsidRPr="006515DC">
              <w:t xml:space="preserve"> </w:t>
            </w:r>
            <w:proofErr w:type="spellStart"/>
            <w:r w:rsidRPr="006515DC">
              <w:t>ToU</w:t>
            </w:r>
            <w:proofErr w:type="spellEnd"/>
            <w:r w:rsidRPr="006515DC">
              <w:t xml:space="preserve"> (NTC 7600) </w:t>
            </w:r>
            <w:r w:rsidRPr="006515DC">
              <w:lastRenderedPageBreak/>
              <w:t>- No CT</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139.64 </w:t>
            </w:r>
          </w:p>
        </w:tc>
        <w:tc>
          <w:tcPr>
            <w:tcW w:w="1449" w:type="dxa"/>
            <w:noWrap/>
            <w:hideMark/>
          </w:tcPr>
          <w:p w:rsidR="006515DC" w:rsidRPr="006515DC" w:rsidRDefault="006515DC" w:rsidP="006515DC">
            <w:r w:rsidRPr="006515DC">
              <w:t xml:space="preserve">139.64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lastRenderedPageBreak/>
              <w:t>Customer requested meter reconfiguration</w:t>
            </w:r>
          </w:p>
        </w:tc>
        <w:tc>
          <w:tcPr>
            <w:tcW w:w="1449" w:type="dxa"/>
            <w:hideMark/>
          </w:tcPr>
          <w:p w:rsidR="006515DC" w:rsidRPr="006515DC" w:rsidRDefault="006515DC" w:rsidP="006515DC">
            <w:r w:rsidRPr="006515DC">
              <w:t xml:space="preserve">Change </w:t>
            </w:r>
            <w:proofErr w:type="spellStart"/>
            <w:r w:rsidRPr="006515DC">
              <w:t>Timeswitch</w:t>
            </w:r>
            <w:proofErr w:type="spellEnd"/>
            <w:r w:rsidRPr="006515DC">
              <w:t xml:space="preserve"> - No CT</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122.49 </w:t>
            </w:r>
          </w:p>
        </w:tc>
        <w:tc>
          <w:tcPr>
            <w:tcW w:w="1449" w:type="dxa"/>
            <w:hideMark/>
          </w:tcPr>
          <w:p w:rsidR="006515DC" w:rsidRPr="006515DC" w:rsidRDefault="006515DC" w:rsidP="006515DC">
            <w:r w:rsidRPr="006515DC">
              <w:t xml:space="preserve">122.49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 xml:space="preserve">A request to make a change from Residential Flat (NTC 8400) or Residential </w:t>
            </w:r>
            <w:proofErr w:type="spellStart"/>
            <w:r w:rsidRPr="006515DC">
              <w:t>ToU</w:t>
            </w:r>
            <w:proofErr w:type="spellEnd"/>
            <w:r w:rsidRPr="006515DC">
              <w:t xml:space="preserve"> (NTC 8900) to </w:t>
            </w:r>
            <w:proofErr w:type="spellStart"/>
            <w:r w:rsidRPr="006515DC">
              <w:t>PeakSmart</w:t>
            </w:r>
            <w:proofErr w:type="spellEnd"/>
            <w:r w:rsidRPr="006515DC">
              <w:t xml:space="preserve"> </w:t>
            </w:r>
            <w:proofErr w:type="spellStart"/>
            <w:r w:rsidRPr="006515DC">
              <w:t>ToU</w:t>
            </w:r>
            <w:proofErr w:type="spellEnd"/>
            <w:r w:rsidRPr="006515DC">
              <w:t xml:space="preserve"> (NTC 7600) - CT Metering</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450.78 </w:t>
            </w:r>
          </w:p>
        </w:tc>
        <w:tc>
          <w:tcPr>
            <w:tcW w:w="1449" w:type="dxa"/>
            <w:noWrap/>
            <w:hideMark/>
          </w:tcPr>
          <w:p w:rsidR="006515DC" w:rsidRPr="006515DC" w:rsidRDefault="006515DC" w:rsidP="006515DC">
            <w:r w:rsidRPr="006515DC">
              <w:t xml:space="preserve">450.78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 xml:space="preserve">Change </w:t>
            </w:r>
            <w:proofErr w:type="spellStart"/>
            <w:r w:rsidRPr="006515DC">
              <w:t>Timeswitch</w:t>
            </w:r>
            <w:proofErr w:type="spellEnd"/>
            <w:r w:rsidRPr="006515DC">
              <w:t xml:space="preserve"> - CT Metering.</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387.08 </w:t>
            </w:r>
          </w:p>
        </w:tc>
        <w:tc>
          <w:tcPr>
            <w:tcW w:w="1449" w:type="dxa"/>
            <w:noWrap/>
            <w:hideMark/>
          </w:tcPr>
          <w:p w:rsidR="006515DC" w:rsidRPr="006515DC" w:rsidRDefault="006515DC" w:rsidP="006515DC">
            <w:r w:rsidRPr="006515DC">
              <w:t xml:space="preserve">387.08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A request to make a change from one tariff to another tariff - No CT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108.18 </w:t>
            </w:r>
          </w:p>
        </w:tc>
        <w:tc>
          <w:tcPr>
            <w:tcW w:w="1449" w:type="dxa"/>
            <w:noWrap/>
            <w:hideMark/>
          </w:tcPr>
          <w:p w:rsidR="006515DC" w:rsidRPr="006515DC" w:rsidRDefault="006515DC" w:rsidP="006515DC">
            <w:r w:rsidRPr="006515DC">
              <w:t xml:space="preserve">108.18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A request to make a change from one tariff to another tariff - CT Metering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601.32 </w:t>
            </w:r>
          </w:p>
        </w:tc>
        <w:tc>
          <w:tcPr>
            <w:tcW w:w="1449" w:type="dxa"/>
            <w:noWrap/>
            <w:hideMark/>
          </w:tcPr>
          <w:p w:rsidR="006515DC" w:rsidRPr="006515DC" w:rsidRDefault="006515DC" w:rsidP="006515DC">
            <w:r w:rsidRPr="006515DC">
              <w:t xml:space="preserve">601.32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A request to make a change from one tariff to another tariff - No CT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108.18 </w:t>
            </w:r>
          </w:p>
        </w:tc>
        <w:tc>
          <w:tcPr>
            <w:tcW w:w="1449" w:type="dxa"/>
            <w:noWrap/>
            <w:hideMark/>
          </w:tcPr>
          <w:p w:rsidR="006515DC" w:rsidRPr="006515DC" w:rsidRDefault="006515DC" w:rsidP="006515DC">
            <w:r w:rsidRPr="006515DC">
              <w:t xml:space="preserve">108.18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Customer requested meter reconfiguration</w:t>
            </w:r>
          </w:p>
        </w:tc>
        <w:tc>
          <w:tcPr>
            <w:tcW w:w="1449" w:type="dxa"/>
            <w:hideMark/>
          </w:tcPr>
          <w:p w:rsidR="006515DC" w:rsidRPr="006515DC" w:rsidRDefault="006515DC" w:rsidP="006515DC">
            <w:r w:rsidRPr="006515DC">
              <w:t>A request to make a change from one tariff to another tariff - CT Metering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601.32 </w:t>
            </w:r>
          </w:p>
        </w:tc>
        <w:tc>
          <w:tcPr>
            <w:tcW w:w="1449" w:type="dxa"/>
            <w:noWrap/>
            <w:hideMark/>
          </w:tcPr>
          <w:p w:rsidR="006515DC" w:rsidRPr="006515DC" w:rsidRDefault="006515DC" w:rsidP="006515DC">
            <w:r w:rsidRPr="006515DC">
              <w:t xml:space="preserve">601.32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 xml:space="preserve">Integrity verification as a result of a meter alteration – meter is being relocated or meter wiring altered and requires DNSP to visit site to verify the integrity of the </w:t>
            </w:r>
            <w:r w:rsidRPr="006515DC">
              <w:lastRenderedPageBreak/>
              <w:t>metering equipment</w:t>
            </w:r>
          </w:p>
        </w:tc>
        <w:tc>
          <w:tcPr>
            <w:tcW w:w="1449" w:type="dxa"/>
            <w:hideMark/>
          </w:tcPr>
          <w:p w:rsidR="006515DC" w:rsidRPr="006515DC" w:rsidRDefault="006515DC" w:rsidP="006515DC">
            <w:r w:rsidRPr="006515DC">
              <w:lastRenderedPageBreak/>
              <w:t xml:space="preserve">Meter alteration – meter is being relocated or meter wiring altered and requires DNSP to visit site to verify the integrity of the metering equipment - No CT (business </w:t>
            </w:r>
            <w:r w:rsidRPr="006515DC">
              <w:lastRenderedPageBreak/>
              <w:t>hours)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128.00 </w:t>
            </w:r>
          </w:p>
        </w:tc>
        <w:tc>
          <w:tcPr>
            <w:tcW w:w="1449" w:type="dxa"/>
            <w:noWrap/>
            <w:hideMark/>
          </w:tcPr>
          <w:p w:rsidR="006515DC" w:rsidRPr="006515DC" w:rsidRDefault="006515DC" w:rsidP="006515DC">
            <w:r w:rsidRPr="006515DC">
              <w:t xml:space="preserve">128.00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Integrity verification as a result of a meter alteration – meter is being relocated or meter wiring altered and requires DNSP to visit site to verify the integrity of the metering equipment</w:t>
            </w:r>
          </w:p>
        </w:tc>
        <w:tc>
          <w:tcPr>
            <w:tcW w:w="1449" w:type="dxa"/>
            <w:hideMark/>
          </w:tcPr>
          <w:p w:rsidR="006515DC" w:rsidRPr="006515DC" w:rsidRDefault="006515DC" w:rsidP="006515DC">
            <w:r w:rsidRPr="006515DC">
              <w:t>Meter alteration – meter is being relocated or meter wiring altered and requires DNSP to visit site to verify the integrity of the metering equipment - CT Metering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793.15 </w:t>
            </w:r>
          </w:p>
        </w:tc>
        <w:tc>
          <w:tcPr>
            <w:tcW w:w="1449" w:type="dxa"/>
            <w:noWrap/>
            <w:hideMark/>
          </w:tcPr>
          <w:p w:rsidR="006515DC" w:rsidRPr="006515DC" w:rsidRDefault="006515DC" w:rsidP="006515DC">
            <w:r w:rsidRPr="006515DC">
              <w:t xml:space="preserve">793.15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Integrity verification as a result of a meter alteration – meter is being relocated or meter wiring altered and requires DNSP to visit site to verify the integrity of the metering equipment</w:t>
            </w:r>
          </w:p>
        </w:tc>
        <w:tc>
          <w:tcPr>
            <w:tcW w:w="1449" w:type="dxa"/>
            <w:hideMark/>
          </w:tcPr>
          <w:p w:rsidR="006515DC" w:rsidRPr="006515DC" w:rsidRDefault="006515DC" w:rsidP="006515DC">
            <w:r w:rsidRPr="006515DC">
              <w:t>Meter alteration – meter is being relocated or meter wiring altered and requires DNSP to visit site to verify the integrity of the metering equipment - No CT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183.04 </w:t>
            </w:r>
          </w:p>
        </w:tc>
        <w:tc>
          <w:tcPr>
            <w:tcW w:w="1449" w:type="dxa"/>
            <w:noWrap/>
            <w:hideMark/>
          </w:tcPr>
          <w:p w:rsidR="006515DC" w:rsidRPr="006515DC" w:rsidRDefault="006515DC" w:rsidP="006515DC">
            <w:r w:rsidRPr="006515DC">
              <w:t xml:space="preserve">183.04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Integrity verification as a result of a meter alteration – meter is being relocated or meter wiring altered and requires DNSP to visit site to verify the integrity of the metering equipment</w:t>
            </w:r>
          </w:p>
        </w:tc>
        <w:tc>
          <w:tcPr>
            <w:tcW w:w="1449" w:type="dxa"/>
            <w:hideMark/>
          </w:tcPr>
          <w:p w:rsidR="006515DC" w:rsidRPr="006515DC" w:rsidRDefault="006515DC" w:rsidP="006515DC">
            <w:r w:rsidRPr="006515DC">
              <w:t>Meter alteration – meter is being relocated or meter wiring altered and requires DNSP to visit site to verify the integrity of the metering equipment - CT Metering (after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1,131.87 </w:t>
            </w:r>
          </w:p>
        </w:tc>
        <w:tc>
          <w:tcPr>
            <w:tcW w:w="1449" w:type="dxa"/>
            <w:noWrap/>
            <w:hideMark/>
          </w:tcPr>
          <w:p w:rsidR="006515DC" w:rsidRPr="006515DC" w:rsidRDefault="006515DC" w:rsidP="006515DC">
            <w:r w:rsidRPr="006515DC">
              <w:t xml:space="preserve">1,131.87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 xml:space="preserve">Integrity verification as a result of a meter alteration – meter is being relocated or meter wiring altered and requires DNSP to visit site to verify the integrity of the </w:t>
            </w:r>
            <w:r w:rsidRPr="006515DC">
              <w:lastRenderedPageBreak/>
              <w:t>metering equipment</w:t>
            </w:r>
          </w:p>
        </w:tc>
        <w:tc>
          <w:tcPr>
            <w:tcW w:w="1449" w:type="dxa"/>
            <w:hideMark/>
          </w:tcPr>
          <w:p w:rsidR="006515DC" w:rsidRPr="006515DC" w:rsidRDefault="006515DC" w:rsidP="006515DC">
            <w:r w:rsidRPr="006515DC">
              <w:lastRenderedPageBreak/>
              <w:t>Meter alteration – meter is being relocated or meter wiring altered and requires DNSP to visit site to verify the integrity of the metering equipment - No CT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183.04 </w:t>
            </w:r>
          </w:p>
        </w:tc>
        <w:tc>
          <w:tcPr>
            <w:tcW w:w="1449" w:type="dxa"/>
            <w:noWrap/>
            <w:hideMark/>
          </w:tcPr>
          <w:p w:rsidR="006515DC" w:rsidRPr="006515DC" w:rsidRDefault="006515DC" w:rsidP="006515DC">
            <w:r w:rsidRPr="006515DC">
              <w:t xml:space="preserve">183.04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Integrity verification as a result of a meter alteration – meter is being relocated or meter wiring altered and requires DNSP to visit site to verify the integrity of the metering equipment</w:t>
            </w:r>
          </w:p>
        </w:tc>
        <w:tc>
          <w:tcPr>
            <w:tcW w:w="1449" w:type="dxa"/>
            <w:hideMark/>
          </w:tcPr>
          <w:p w:rsidR="006515DC" w:rsidRPr="006515DC" w:rsidRDefault="006515DC" w:rsidP="006515DC">
            <w:r w:rsidRPr="006515DC">
              <w:t>Meter alteration – meter is being relocated or meter wiring altered and requires DNSP to visit site to verify the integrity of the metering equipment - CT Metering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1,131.87 </w:t>
            </w:r>
          </w:p>
        </w:tc>
        <w:tc>
          <w:tcPr>
            <w:tcW w:w="1449" w:type="dxa"/>
            <w:noWrap/>
            <w:hideMark/>
          </w:tcPr>
          <w:p w:rsidR="006515DC" w:rsidRPr="006515DC" w:rsidRDefault="006515DC" w:rsidP="006515DC">
            <w:r w:rsidRPr="006515DC">
              <w:t xml:space="preserve">1,131.87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Replacement or removal of a type 5 or 6 meter instigated by a customer switching to a non-type 5 or 6 meter that is not covered by any other fee.</w:t>
            </w:r>
          </w:p>
        </w:tc>
        <w:tc>
          <w:tcPr>
            <w:tcW w:w="1449" w:type="dxa"/>
            <w:hideMark/>
          </w:tcPr>
          <w:p w:rsidR="006515DC" w:rsidRPr="006515DC" w:rsidRDefault="006515DC" w:rsidP="006515DC">
            <w:r w:rsidRPr="006515DC">
              <w:t>Replacement or removal of a type 5 or 6 meter instigated by a customer switching to a non-type 5 or 6 meter that is not covered by any other fee.</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Check Read</w:t>
            </w:r>
          </w:p>
        </w:tc>
        <w:tc>
          <w:tcPr>
            <w:tcW w:w="1449" w:type="dxa"/>
            <w:hideMark/>
          </w:tcPr>
          <w:p w:rsidR="006515DC" w:rsidRPr="006515DC" w:rsidRDefault="006515DC" w:rsidP="006515DC">
            <w:r w:rsidRPr="006515DC">
              <w:t>Customer requests a check read on the meter due to reported error in the meter reading. This is only used to check the accuracy of the meter reading.</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7.64 </w:t>
            </w:r>
          </w:p>
        </w:tc>
        <w:tc>
          <w:tcPr>
            <w:tcW w:w="1449" w:type="dxa"/>
            <w:noWrap/>
            <w:hideMark/>
          </w:tcPr>
          <w:p w:rsidR="006515DC" w:rsidRPr="006515DC" w:rsidRDefault="006515DC" w:rsidP="006515DC">
            <w:r w:rsidRPr="006515DC">
              <w:t xml:space="preserve">7.64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Final Read</w:t>
            </w:r>
          </w:p>
        </w:tc>
        <w:tc>
          <w:tcPr>
            <w:tcW w:w="1449" w:type="dxa"/>
            <w:hideMark/>
          </w:tcPr>
          <w:p w:rsidR="006515DC" w:rsidRPr="006515DC" w:rsidRDefault="006515DC" w:rsidP="006515DC">
            <w:r w:rsidRPr="006515DC">
              <w:t>Retailer requires a reading for preparing a final bill for customer.</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7.64 </w:t>
            </w:r>
          </w:p>
        </w:tc>
        <w:tc>
          <w:tcPr>
            <w:tcW w:w="1449" w:type="dxa"/>
            <w:noWrap/>
            <w:hideMark/>
          </w:tcPr>
          <w:p w:rsidR="006515DC" w:rsidRPr="006515DC" w:rsidRDefault="006515DC" w:rsidP="006515DC">
            <w:r w:rsidRPr="006515DC">
              <w:t xml:space="preserve">7.64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Transfer Read</w:t>
            </w:r>
          </w:p>
        </w:tc>
        <w:tc>
          <w:tcPr>
            <w:tcW w:w="1449" w:type="dxa"/>
            <w:hideMark/>
          </w:tcPr>
          <w:p w:rsidR="006515DC" w:rsidRPr="006515DC" w:rsidRDefault="006515DC" w:rsidP="006515DC">
            <w:r w:rsidRPr="006515DC">
              <w:t>Customer requests a transfer read, as a result of transferring to a different retailer during a billing period.</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7.64 </w:t>
            </w:r>
          </w:p>
        </w:tc>
        <w:tc>
          <w:tcPr>
            <w:tcW w:w="1449" w:type="dxa"/>
            <w:noWrap/>
            <w:hideMark/>
          </w:tcPr>
          <w:p w:rsidR="006515DC" w:rsidRPr="006515DC" w:rsidRDefault="006515DC" w:rsidP="006515DC">
            <w:r w:rsidRPr="006515DC">
              <w:t xml:space="preserve">7.64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Estimated Read</w:t>
            </w:r>
          </w:p>
        </w:tc>
        <w:tc>
          <w:tcPr>
            <w:tcW w:w="1449" w:type="dxa"/>
            <w:hideMark/>
          </w:tcPr>
          <w:p w:rsidR="006515DC" w:rsidRPr="006515DC" w:rsidRDefault="006515DC" w:rsidP="006515DC">
            <w:r w:rsidRPr="006515DC">
              <w:t>Estimated Read</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10.61 </w:t>
            </w:r>
          </w:p>
        </w:tc>
        <w:tc>
          <w:tcPr>
            <w:tcW w:w="1449" w:type="dxa"/>
            <w:noWrap/>
            <w:hideMark/>
          </w:tcPr>
          <w:p w:rsidR="006515DC" w:rsidRPr="006515DC" w:rsidRDefault="006515DC" w:rsidP="006515DC">
            <w:r w:rsidRPr="006515DC">
              <w:t xml:space="preserve">7.72 </w:t>
            </w:r>
          </w:p>
        </w:tc>
        <w:tc>
          <w:tcPr>
            <w:tcW w:w="1449" w:type="dxa"/>
            <w:noWrap/>
            <w:hideMark/>
          </w:tcPr>
          <w:p w:rsidR="006515DC" w:rsidRPr="006515DC" w:rsidRDefault="006515DC" w:rsidP="006515DC">
            <w:r w:rsidRPr="006515DC">
              <w:t>-27.2%</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200"/>
        </w:trPr>
        <w:tc>
          <w:tcPr>
            <w:tcW w:w="1449" w:type="dxa"/>
          </w:tcPr>
          <w:p w:rsidR="006515DC" w:rsidRPr="006515DC" w:rsidRDefault="006515DC" w:rsidP="006515DC">
            <w:r w:rsidRPr="006515DC">
              <w:lastRenderedPageBreak/>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(business hours)</w:t>
            </w:r>
            <w:r w:rsidRPr="006515DC">
              <w:br/>
              <w:t>First Unit</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127.90 </w:t>
            </w:r>
          </w:p>
        </w:tc>
        <w:tc>
          <w:tcPr>
            <w:tcW w:w="1449" w:type="dxa"/>
            <w:noWrap/>
            <w:hideMark/>
          </w:tcPr>
          <w:p w:rsidR="006515DC" w:rsidRPr="006515DC" w:rsidRDefault="006515DC" w:rsidP="006515DC">
            <w:r w:rsidRPr="006515DC">
              <w:t xml:space="preserve">127.90 </w:t>
            </w:r>
          </w:p>
        </w:tc>
        <w:tc>
          <w:tcPr>
            <w:tcW w:w="1449" w:type="dxa"/>
            <w:noWrap/>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(business hours)</w:t>
            </w:r>
            <w:r w:rsidRPr="006515DC">
              <w:br/>
            </w:r>
            <w:proofErr w:type="spellStart"/>
            <w:r w:rsidRPr="006515DC">
              <w:t>Additiional</w:t>
            </w:r>
            <w:proofErr w:type="spellEnd"/>
            <w:r w:rsidRPr="006515DC">
              <w:t xml:space="preserve"> Units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64.20 </w:t>
            </w:r>
          </w:p>
        </w:tc>
        <w:tc>
          <w:tcPr>
            <w:tcW w:w="1449" w:type="dxa"/>
            <w:noWrap/>
            <w:hideMark/>
          </w:tcPr>
          <w:p w:rsidR="006515DC" w:rsidRPr="006515DC" w:rsidRDefault="006515DC" w:rsidP="006515DC">
            <w:r w:rsidRPr="006515DC">
              <w:t xml:space="preserve">64.20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200"/>
        </w:trPr>
        <w:tc>
          <w:tcPr>
            <w:tcW w:w="1449" w:type="dxa"/>
          </w:tcPr>
          <w:p w:rsidR="006515DC" w:rsidRPr="006515DC" w:rsidRDefault="006515DC" w:rsidP="006515DC">
            <w:r w:rsidRPr="006515DC">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 xml:space="preserve">A request to conduct a site review of the state of the customer’s metering installation(s) (no </w:t>
            </w:r>
            <w:r w:rsidRPr="006515DC">
              <w:lastRenderedPageBreak/>
              <w:t>physical meter test), i.e. multiple premises.  Includes provision of meter data above the minimum requirements and meter inspection to check a reported or suspected fault.  Does not include provision of any hardware (after hours)</w:t>
            </w:r>
            <w:r w:rsidRPr="006515DC">
              <w:br/>
              <w:t>First Unit</w:t>
            </w:r>
          </w:p>
        </w:tc>
        <w:tc>
          <w:tcPr>
            <w:tcW w:w="1449" w:type="dxa"/>
          </w:tcPr>
          <w:p w:rsidR="006515DC" w:rsidRPr="006515DC" w:rsidRDefault="006515DC" w:rsidP="006515DC">
            <w:r w:rsidRPr="006515DC">
              <w:lastRenderedPageBreak/>
              <w:t>Price Cap</w:t>
            </w:r>
          </w:p>
        </w:tc>
        <w:tc>
          <w:tcPr>
            <w:tcW w:w="1448" w:type="dxa"/>
            <w:hideMark/>
          </w:tcPr>
          <w:p w:rsidR="006515DC" w:rsidRPr="006515DC" w:rsidRDefault="006515DC" w:rsidP="006515DC">
            <w:r w:rsidRPr="006515DC">
              <w:t xml:space="preserve">365.02 </w:t>
            </w:r>
          </w:p>
        </w:tc>
        <w:tc>
          <w:tcPr>
            <w:tcW w:w="1449" w:type="dxa"/>
            <w:hideMark/>
          </w:tcPr>
          <w:p w:rsidR="006515DC" w:rsidRPr="006515DC" w:rsidRDefault="006515DC" w:rsidP="006515DC">
            <w:r w:rsidRPr="006515DC">
              <w:t xml:space="preserve">365.02 </w:t>
            </w:r>
          </w:p>
        </w:tc>
        <w:tc>
          <w:tcPr>
            <w:tcW w:w="1449" w:type="dxa"/>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lastRenderedPageBreak/>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(after hours)</w:t>
            </w:r>
            <w:r w:rsidRPr="006515DC">
              <w:br/>
              <w:t>Additional Units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183.23 </w:t>
            </w:r>
          </w:p>
        </w:tc>
        <w:tc>
          <w:tcPr>
            <w:tcW w:w="1449" w:type="dxa"/>
            <w:noWrap/>
            <w:hideMark/>
          </w:tcPr>
          <w:p w:rsidR="006515DC" w:rsidRPr="006515DC" w:rsidRDefault="006515DC" w:rsidP="006515DC">
            <w:r w:rsidRPr="006515DC">
              <w:t xml:space="preserve">183.23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200"/>
        </w:trPr>
        <w:tc>
          <w:tcPr>
            <w:tcW w:w="1449" w:type="dxa"/>
          </w:tcPr>
          <w:p w:rsidR="006515DC" w:rsidRPr="006515DC" w:rsidRDefault="006515DC" w:rsidP="006515DC">
            <w:r w:rsidRPr="006515DC">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 xml:space="preserve">A request to conduct a site review of the state of the customer’s metering installation(s) (no physical meter test), i.e. multiple premises.  Includes provision of meter data above the minimum </w:t>
            </w:r>
            <w:r w:rsidRPr="006515DC">
              <w:lastRenderedPageBreak/>
              <w:t>requirements and meter inspection to check a reported or suspected fault.  Does not include provision of any hardware (anytime)</w:t>
            </w:r>
            <w:r w:rsidRPr="006515DC">
              <w:br/>
              <w:t>First Unit</w:t>
            </w:r>
          </w:p>
        </w:tc>
        <w:tc>
          <w:tcPr>
            <w:tcW w:w="1449" w:type="dxa"/>
          </w:tcPr>
          <w:p w:rsidR="006515DC" w:rsidRPr="006515DC" w:rsidRDefault="006515DC" w:rsidP="006515DC">
            <w:r w:rsidRPr="006515DC">
              <w:lastRenderedPageBreak/>
              <w:t>Price Cap</w:t>
            </w:r>
          </w:p>
        </w:tc>
        <w:tc>
          <w:tcPr>
            <w:tcW w:w="1448" w:type="dxa"/>
            <w:hideMark/>
          </w:tcPr>
          <w:p w:rsidR="006515DC" w:rsidRPr="006515DC" w:rsidRDefault="006515DC" w:rsidP="006515DC">
            <w:r w:rsidRPr="006515DC">
              <w:t xml:space="preserve">365.02 </w:t>
            </w:r>
          </w:p>
        </w:tc>
        <w:tc>
          <w:tcPr>
            <w:tcW w:w="1449" w:type="dxa"/>
            <w:hideMark/>
          </w:tcPr>
          <w:p w:rsidR="006515DC" w:rsidRPr="006515DC" w:rsidRDefault="006515DC" w:rsidP="006515DC">
            <w:r w:rsidRPr="006515DC">
              <w:t xml:space="preserve">365.02 </w:t>
            </w:r>
          </w:p>
        </w:tc>
        <w:tc>
          <w:tcPr>
            <w:tcW w:w="1449" w:type="dxa"/>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lastRenderedPageBreak/>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(anytime)</w:t>
            </w:r>
            <w:r w:rsidRPr="006515DC">
              <w:br/>
              <w:t>Additional Units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183.23 </w:t>
            </w:r>
          </w:p>
        </w:tc>
        <w:tc>
          <w:tcPr>
            <w:tcW w:w="1449" w:type="dxa"/>
            <w:noWrap/>
            <w:hideMark/>
          </w:tcPr>
          <w:p w:rsidR="006515DC" w:rsidRPr="006515DC" w:rsidRDefault="006515DC" w:rsidP="006515DC">
            <w:r w:rsidRPr="006515DC">
              <w:t xml:space="preserve">183.23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 xml:space="preserve">Provision of load profile data </w:t>
            </w:r>
            <w:proofErr w:type="spellStart"/>
            <w:r w:rsidRPr="006515DC">
              <w:t>where</w:t>
            </w:r>
            <w:proofErr w:type="spellEnd"/>
            <w:r w:rsidRPr="006515DC">
              <w:t xml:space="preserve"> available – Retailer requested. </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146.99 </w:t>
            </w:r>
          </w:p>
        </w:tc>
        <w:tc>
          <w:tcPr>
            <w:tcW w:w="1449" w:type="dxa"/>
            <w:noWrap/>
            <w:hideMark/>
          </w:tcPr>
          <w:p w:rsidR="006515DC" w:rsidRPr="006515DC" w:rsidRDefault="006515DC" w:rsidP="006515DC">
            <w:r w:rsidRPr="006515DC">
              <w:t xml:space="preserve">146.99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Provision of metering data above minimum regulatory requirements.</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 xml:space="preserve">Type 5-7 </w:t>
            </w:r>
            <w:proofErr w:type="spellStart"/>
            <w:r w:rsidRPr="006515DC">
              <w:t>non standard</w:t>
            </w:r>
            <w:proofErr w:type="spellEnd"/>
            <w:r w:rsidRPr="006515DC">
              <w:t xml:space="preserve"> metering data services</w:t>
            </w:r>
          </w:p>
        </w:tc>
        <w:tc>
          <w:tcPr>
            <w:tcW w:w="1449" w:type="dxa"/>
            <w:hideMark/>
          </w:tcPr>
          <w:p w:rsidR="006515DC" w:rsidRPr="006515DC" w:rsidRDefault="006515DC" w:rsidP="006515DC">
            <w:r w:rsidRPr="006515DC">
              <w:t>Collection, processing and transfer of higher standard energy data for customers than would otherwise be provided – Retailer requested.</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CT Metering</w:t>
            </w:r>
          </w:p>
        </w:tc>
        <w:tc>
          <w:tcPr>
            <w:tcW w:w="1449" w:type="dxa"/>
            <w:hideMark/>
          </w:tcPr>
          <w:p w:rsidR="006515DC" w:rsidRPr="006515DC" w:rsidRDefault="006515DC" w:rsidP="006515DC">
            <w:r w:rsidRPr="006515DC">
              <w:t>Provision, installation, testing and maintenance of instrument transformers for metering purposes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949.66 </w:t>
            </w:r>
          </w:p>
        </w:tc>
        <w:tc>
          <w:tcPr>
            <w:tcW w:w="1449" w:type="dxa"/>
            <w:noWrap/>
            <w:hideMark/>
          </w:tcPr>
          <w:p w:rsidR="006515DC" w:rsidRPr="006515DC" w:rsidRDefault="006515DC" w:rsidP="006515DC">
            <w:r w:rsidRPr="006515DC">
              <w:t xml:space="preserve">949.66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CT Metering</w:t>
            </w:r>
          </w:p>
        </w:tc>
        <w:tc>
          <w:tcPr>
            <w:tcW w:w="1449" w:type="dxa"/>
            <w:hideMark/>
          </w:tcPr>
          <w:p w:rsidR="006515DC" w:rsidRPr="006515DC" w:rsidRDefault="006515DC" w:rsidP="006515DC">
            <w:r w:rsidRPr="006515DC">
              <w:t>Testing and maintenance of instrument transformers for metering purposes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173.94 </w:t>
            </w:r>
          </w:p>
        </w:tc>
        <w:tc>
          <w:tcPr>
            <w:tcW w:w="1449" w:type="dxa"/>
            <w:noWrap/>
            <w:hideMark/>
          </w:tcPr>
          <w:p w:rsidR="006515DC" w:rsidRPr="006515DC" w:rsidRDefault="006515DC" w:rsidP="006515DC">
            <w:r w:rsidRPr="006515DC">
              <w:t xml:space="preserve">173.94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Metering Load Control</w:t>
            </w:r>
          </w:p>
        </w:tc>
        <w:tc>
          <w:tcPr>
            <w:tcW w:w="1449" w:type="dxa"/>
            <w:hideMark/>
          </w:tcPr>
          <w:p w:rsidR="006515DC" w:rsidRPr="006515DC" w:rsidRDefault="006515DC" w:rsidP="006515DC">
            <w:r w:rsidRPr="006515DC">
              <w:t>Install metering related load control</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Metering Load Control</w:t>
            </w:r>
          </w:p>
        </w:tc>
        <w:tc>
          <w:tcPr>
            <w:tcW w:w="1449" w:type="dxa"/>
            <w:hideMark/>
          </w:tcPr>
          <w:p w:rsidR="006515DC" w:rsidRPr="006515DC" w:rsidRDefault="006515DC" w:rsidP="006515DC">
            <w:r w:rsidRPr="006515DC">
              <w:t>Remove local control relay or time clock</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Metering Load Control</w:t>
            </w:r>
          </w:p>
        </w:tc>
        <w:tc>
          <w:tcPr>
            <w:tcW w:w="1449" w:type="dxa"/>
            <w:hideMark/>
          </w:tcPr>
          <w:p w:rsidR="006515DC" w:rsidRPr="006515DC" w:rsidRDefault="006515DC" w:rsidP="006515DC">
            <w:r w:rsidRPr="006515DC">
              <w:t>Change load control relay channel at retailer, customer or other third party request, that is not a part of initial load control installation, nor part of standard asset maintenance or replacement</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2640"/>
        </w:trPr>
        <w:tc>
          <w:tcPr>
            <w:tcW w:w="1449" w:type="dxa"/>
          </w:tcPr>
          <w:p w:rsidR="006515DC" w:rsidRPr="006515DC" w:rsidRDefault="006515DC" w:rsidP="006515DC">
            <w:r w:rsidRPr="006515DC">
              <w:t>Retailer of Last Resort (ROLR) event</w:t>
            </w:r>
          </w:p>
        </w:tc>
        <w:tc>
          <w:tcPr>
            <w:tcW w:w="1449" w:type="dxa"/>
            <w:hideMark/>
          </w:tcPr>
          <w:p w:rsidR="006515DC" w:rsidRPr="006515DC" w:rsidRDefault="006515DC" w:rsidP="006515DC">
            <w:r w:rsidRPr="006515DC">
              <w:t xml:space="preserve">Preparing lists of affected sites, and reconciling data with Australian Energy Market Operator listings; handling in-flight transfers; identifying open service orders raised by the failed retailer and determining actions to be taken in relation to those service orders; arranging estimate reads for the date of </w:t>
            </w:r>
            <w:r w:rsidRPr="006515DC">
              <w:lastRenderedPageBreak/>
              <w:t>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the retailer with the provision of network tariffs to be applied and the customer move in process; administration of any 'ROLR cost recovery scheme distributor payment determination'.</w:t>
            </w:r>
            <w:r w:rsidRPr="006515DC">
              <w:br/>
            </w:r>
            <w:r w:rsidRPr="006515DC">
              <w:br/>
              <w:t>This is an example cost of the insolvency of a retailer that of a size smaller than the big 3 (AGL)</w:t>
            </w:r>
          </w:p>
        </w:tc>
        <w:tc>
          <w:tcPr>
            <w:tcW w:w="1449" w:type="dxa"/>
          </w:tcPr>
          <w:p w:rsidR="006515DC" w:rsidRPr="006515DC" w:rsidRDefault="006515DC" w:rsidP="006515DC">
            <w:r w:rsidRPr="006515DC">
              <w:lastRenderedPageBreak/>
              <w:t>Quoted Example Only</w:t>
            </w:r>
          </w:p>
        </w:tc>
        <w:tc>
          <w:tcPr>
            <w:tcW w:w="1448" w:type="dxa"/>
            <w:noWrap/>
            <w:hideMark/>
          </w:tcPr>
          <w:p w:rsidR="006515DC" w:rsidRPr="006515DC" w:rsidRDefault="006515DC" w:rsidP="006515DC">
            <w:r w:rsidRPr="006515DC">
              <w:t xml:space="preserve">15,166.21 </w:t>
            </w:r>
          </w:p>
        </w:tc>
        <w:tc>
          <w:tcPr>
            <w:tcW w:w="1449" w:type="dxa"/>
            <w:noWrap/>
            <w:hideMark/>
          </w:tcPr>
          <w:p w:rsidR="006515DC" w:rsidRPr="006515DC" w:rsidRDefault="006515DC" w:rsidP="006515DC">
            <w:r w:rsidRPr="006515DC">
              <w:t xml:space="preserve">15,166.21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lastRenderedPageBreak/>
              <w:t>Customer requests the provision of electricity network data requiring customised investigation analysis or technical input</w:t>
            </w:r>
          </w:p>
        </w:tc>
        <w:tc>
          <w:tcPr>
            <w:tcW w:w="1449" w:type="dxa"/>
            <w:hideMark/>
          </w:tcPr>
          <w:p w:rsidR="006515DC" w:rsidRPr="006515DC" w:rsidRDefault="006515DC" w:rsidP="006515DC">
            <w:proofErr w:type="spellStart"/>
            <w:r w:rsidRPr="006515DC">
              <w:t>Eg</w:t>
            </w:r>
            <w:proofErr w:type="spellEnd"/>
            <w:r w:rsidRPr="006515DC">
              <w:t xml:space="preserve">. Provision of accumulation data </w:t>
            </w:r>
            <w:proofErr w:type="spellStart"/>
            <w:r w:rsidRPr="006515DC">
              <w:t>where</w:t>
            </w:r>
            <w:proofErr w:type="spellEnd"/>
            <w:r w:rsidRPr="006515DC">
              <w:t xml:space="preserve"> available on request from retailer</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135.20 </w:t>
            </w:r>
          </w:p>
        </w:tc>
        <w:tc>
          <w:tcPr>
            <w:tcW w:w="1449" w:type="dxa"/>
            <w:noWrap/>
            <w:hideMark/>
          </w:tcPr>
          <w:p w:rsidR="006515DC" w:rsidRPr="006515DC" w:rsidRDefault="006515DC" w:rsidP="006515DC">
            <w:r w:rsidRPr="006515DC">
              <w:t xml:space="preserve">135.20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680"/>
        </w:trPr>
        <w:tc>
          <w:tcPr>
            <w:tcW w:w="1449" w:type="dxa"/>
          </w:tcPr>
          <w:p w:rsidR="006515DC" w:rsidRPr="006515DC" w:rsidRDefault="006515DC" w:rsidP="006515DC">
            <w:r w:rsidRPr="006515DC">
              <w:lastRenderedPageBreak/>
              <w:t>Customer requests the provision of electricity network data requiring customised investigation analysis or technical input</w:t>
            </w:r>
          </w:p>
        </w:tc>
        <w:tc>
          <w:tcPr>
            <w:tcW w:w="1449" w:type="dxa"/>
            <w:hideMark/>
          </w:tcPr>
          <w:p w:rsidR="006515DC" w:rsidRPr="006515DC" w:rsidRDefault="006515DC" w:rsidP="006515DC">
            <w:proofErr w:type="spellStart"/>
            <w:r w:rsidRPr="006515DC">
              <w:t>Eg</w:t>
            </w:r>
            <w:proofErr w:type="spellEnd"/>
            <w:r w:rsidRPr="006515DC">
              <w:t>. Specific request for the provision of zone substation data (F&amp;A P78 V13) The following are the basic requirements for delivery for the half hour data requests.</w:t>
            </w:r>
            <w:r w:rsidRPr="006515DC">
              <w:br/>
              <w:t>Task Frequency Days Staff</w:t>
            </w:r>
            <w:r w:rsidRPr="006515DC">
              <w:br/>
              <w:t>Initial Extraction via Script Once 5 Para professional</w:t>
            </w:r>
            <w:r w:rsidRPr="006515DC">
              <w:br/>
              <w:t>Annual Update via Script Once per Year 2 Para professional</w:t>
            </w:r>
            <w:r w:rsidRPr="006515DC">
              <w:br/>
              <w:t>Burn to Discs As Required 2 Para professional</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162.44 </w:t>
            </w:r>
          </w:p>
        </w:tc>
        <w:tc>
          <w:tcPr>
            <w:tcW w:w="1449" w:type="dxa"/>
            <w:noWrap/>
            <w:hideMark/>
          </w:tcPr>
          <w:p w:rsidR="006515DC" w:rsidRPr="006515DC" w:rsidRDefault="006515DC" w:rsidP="006515DC">
            <w:r w:rsidRPr="006515DC">
              <w:t xml:space="preserve">162.44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Bundling (conversion) of cables carried out at the request of another party.</w:t>
            </w:r>
          </w:p>
        </w:tc>
        <w:tc>
          <w:tcPr>
            <w:tcW w:w="1449" w:type="dxa"/>
            <w:hideMark/>
          </w:tcPr>
          <w:p w:rsidR="006515DC" w:rsidRPr="006515DC" w:rsidRDefault="006515DC" w:rsidP="006515DC">
            <w:proofErr w:type="spellStart"/>
            <w:r w:rsidRPr="006515DC">
              <w:t>Eg</w:t>
            </w:r>
            <w:proofErr w:type="spellEnd"/>
            <w:r w:rsidRPr="006515DC">
              <w:t>. 1x40m span of open wire LV only replaced with LV bundled conductor. No pole replacement required.</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8,392.15 </w:t>
            </w:r>
          </w:p>
        </w:tc>
        <w:tc>
          <w:tcPr>
            <w:tcW w:w="1449" w:type="dxa"/>
            <w:noWrap/>
            <w:hideMark/>
          </w:tcPr>
          <w:p w:rsidR="006515DC" w:rsidRPr="006515DC" w:rsidRDefault="006515DC" w:rsidP="006515DC">
            <w:r w:rsidRPr="006515DC">
              <w:t xml:space="preserve">8,392.15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Provision of services to extend / augment the network, to make supply available for the connection of approved unmetered equipment, e.g. public telephones, streetlights, extension to the network to provide a point of supply for a billboard &amp; city cycle.</w:t>
            </w:r>
          </w:p>
        </w:tc>
        <w:tc>
          <w:tcPr>
            <w:tcW w:w="1449" w:type="dxa"/>
            <w:hideMark/>
          </w:tcPr>
          <w:p w:rsidR="006515DC" w:rsidRPr="006515DC" w:rsidRDefault="006515DC" w:rsidP="006515DC">
            <w:proofErr w:type="spellStart"/>
            <w:r w:rsidRPr="006515DC">
              <w:t>Eg</w:t>
            </w:r>
            <w:proofErr w:type="spellEnd"/>
            <w:r w:rsidRPr="006515DC">
              <w:t xml:space="preserve">. Installation of a x street pole to supply connection for R3 </w:t>
            </w:r>
            <w:proofErr w:type="spellStart"/>
            <w:r w:rsidRPr="006515DC">
              <w:t>streetlighting</w:t>
            </w:r>
            <w:proofErr w:type="spellEnd"/>
            <w:r w:rsidRPr="006515DC">
              <w:t xml:space="preserve"> to Railway crossing</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5,109.44 </w:t>
            </w:r>
          </w:p>
        </w:tc>
        <w:tc>
          <w:tcPr>
            <w:tcW w:w="1449" w:type="dxa"/>
            <w:noWrap/>
            <w:hideMark/>
          </w:tcPr>
          <w:p w:rsidR="006515DC" w:rsidRPr="006515DC" w:rsidRDefault="006515DC" w:rsidP="006515DC">
            <w:r w:rsidRPr="006515DC">
              <w:t xml:space="preserve">5,010.83 </w:t>
            </w:r>
          </w:p>
        </w:tc>
        <w:tc>
          <w:tcPr>
            <w:tcW w:w="1449" w:type="dxa"/>
            <w:noWrap/>
            <w:hideMark/>
          </w:tcPr>
          <w:p w:rsidR="006515DC" w:rsidRPr="006515DC" w:rsidRDefault="006515DC" w:rsidP="006515DC">
            <w:r w:rsidRPr="006515DC">
              <w:t>-1.9%</w:t>
            </w:r>
          </w:p>
        </w:tc>
      </w:tr>
      <w:tr w:rsidR="006515DC" w:rsidRPr="00D56EA3" w:rsidTr="009C1B5E">
        <w:trPr>
          <w:trHeight w:val="300"/>
        </w:trPr>
        <w:tc>
          <w:tcPr>
            <w:tcW w:w="1449" w:type="dxa"/>
          </w:tcPr>
          <w:p w:rsidR="006515DC" w:rsidRPr="006515DC" w:rsidRDefault="006515DC" w:rsidP="006515DC">
            <w:r w:rsidRPr="006515DC">
              <w:t>Customer requested appointments.</w:t>
            </w:r>
          </w:p>
        </w:tc>
        <w:tc>
          <w:tcPr>
            <w:tcW w:w="1449" w:type="dxa"/>
            <w:hideMark/>
          </w:tcPr>
          <w:p w:rsidR="006515DC" w:rsidRPr="006515DC" w:rsidRDefault="006515DC" w:rsidP="006515DC">
            <w:r w:rsidRPr="006515DC">
              <w:t>Customer requested appointments.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220.49 </w:t>
            </w:r>
          </w:p>
        </w:tc>
        <w:tc>
          <w:tcPr>
            <w:tcW w:w="1449" w:type="dxa"/>
            <w:noWrap/>
            <w:hideMark/>
          </w:tcPr>
          <w:p w:rsidR="006515DC" w:rsidRPr="006515DC" w:rsidRDefault="006515DC" w:rsidP="006515DC">
            <w:r w:rsidRPr="006515DC">
              <w:t xml:space="preserve">220.49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proofErr w:type="spellStart"/>
            <w:r w:rsidRPr="006515DC">
              <w:t>Rearrangment</w:t>
            </w:r>
            <w:proofErr w:type="spellEnd"/>
            <w:r w:rsidRPr="006515DC">
              <w:t xml:space="preserve"> of </w:t>
            </w:r>
            <w:r w:rsidRPr="006515DC">
              <w:lastRenderedPageBreak/>
              <w:t>network assets</w:t>
            </w:r>
          </w:p>
        </w:tc>
        <w:tc>
          <w:tcPr>
            <w:tcW w:w="1449" w:type="dxa"/>
            <w:hideMark/>
          </w:tcPr>
          <w:p w:rsidR="006515DC" w:rsidRPr="006515DC" w:rsidRDefault="006515DC" w:rsidP="006515DC">
            <w:proofErr w:type="spellStart"/>
            <w:r w:rsidRPr="006515DC">
              <w:lastRenderedPageBreak/>
              <w:t>Eg</w:t>
            </w:r>
            <w:proofErr w:type="spellEnd"/>
            <w:r w:rsidRPr="006515DC">
              <w:t xml:space="preserve">. Relocate LV </w:t>
            </w:r>
            <w:r w:rsidRPr="006515DC">
              <w:lastRenderedPageBreak/>
              <w:t>inline pole with pin construction &amp; concrete collar foundation</w:t>
            </w:r>
          </w:p>
        </w:tc>
        <w:tc>
          <w:tcPr>
            <w:tcW w:w="1449" w:type="dxa"/>
          </w:tcPr>
          <w:p w:rsidR="006515DC" w:rsidRPr="006515DC" w:rsidRDefault="006515DC" w:rsidP="006515DC">
            <w:r w:rsidRPr="006515DC">
              <w:lastRenderedPageBreak/>
              <w:t xml:space="preserve">Quoted Example </w:t>
            </w:r>
            <w:r w:rsidRPr="006515DC">
              <w:lastRenderedPageBreak/>
              <w:t>Only</w:t>
            </w:r>
          </w:p>
        </w:tc>
        <w:tc>
          <w:tcPr>
            <w:tcW w:w="1448" w:type="dxa"/>
            <w:noWrap/>
            <w:hideMark/>
          </w:tcPr>
          <w:p w:rsidR="006515DC" w:rsidRPr="006515DC" w:rsidRDefault="006515DC" w:rsidP="006515DC">
            <w:r w:rsidRPr="006515DC">
              <w:lastRenderedPageBreak/>
              <w:t xml:space="preserve">11,484.65 </w:t>
            </w:r>
          </w:p>
        </w:tc>
        <w:tc>
          <w:tcPr>
            <w:tcW w:w="1449" w:type="dxa"/>
            <w:noWrap/>
            <w:hideMark/>
          </w:tcPr>
          <w:p w:rsidR="006515DC" w:rsidRPr="006515DC" w:rsidRDefault="006515DC" w:rsidP="006515DC">
            <w:r w:rsidRPr="006515DC">
              <w:t xml:space="preserve">11,484.65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lastRenderedPageBreak/>
              <w:t>Customer requested disconnection and reconnection of supply, coverage of LV mains and/or switching to allow customer/contractor to work close.</w:t>
            </w:r>
          </w:p>
        </w:tc>
        <w:tc>
          <w:tcPr>
            <w:tcW w:w="1449" w:type="dxa"/>
            <w:hideMark/>
          </w:tcPr>
          <w:p w:rsidR="006515DC" w:rsidRPr="006515DC" w:rsidRDefault="006515DC" w:rsidP="006515DC">
            <w:proofErr w:type="spellStart"/>
            <w:r w:rsidRPr="006515DC">
              <w:t>Eg</w:t>
            </w:r>
            <w:proofErr w:type="spellEnd"/>
            <w:r w:rsidRPr="006515DC">
              <w:t xml:space="preserve"> Aerial Markers - Install &amp; recover marker flags - 70 marker flags for 1 month </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2,058.06 </w:t>
            </w:r>
          </w:p>
        </w:tc>
        <w:tc>
          <w:tcPr>
            <w:tcW w:w="1449" w:type="dxa"/>
            <w:noWrap/>
            <w:hideMark/>
          </w:tcPr>
          <w:p w:rsidR="006515DC" w:rsidRPr="006515DC" w:rsidRDefault="006515DC" w:rsidP="006515DC">
            <w:r w:rsidRPr="006515DC">
              <w:t xml:space="preserve">2,058.06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Customer requested disconnection and reconnection of supply, coverage of LV mains and/or switching to allow customer/contractor to work close.</w:t>
            </w:r>
          </w:p>
        </w:tc>
        <w:tc>
          <w:tcPr>
            <w:tcW w:w="1449" w:type="dxa"/>
            <w:hideMark/>
          </w:tcPr>
          <w:p w:rsidR="006515DC" w:rsidRPr="006515DC" w:rsidRDefault="006515DC" w:rsidP="006515DC">
            <w:proofErr w:type="spellStart"/>
            <w:r w:rsidRPr="006515DC">
              <w:t>Eg</w:t>
            </w:r>
            <w:proofErr w:type="spellEnd"/>
            <w:r w:rsidRPr="006515DC">
              <w:t xml:space="preserve"> Tiger Tails</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Assessment of parallel generator applications</w:t>
            </w:r>
          </w:p>
        </w:tc>
        <w:tc>
          <w:tcPr>
            <w:tcW w:w="1449" w:type="dxa"/>
            <w:hideMark/>
          </w:tcPr>
          <w:p w:rsidR="006515DC" w:rsidRPr="006515DC" w:rsidRDefault="006515DC" w:rsidP="006515DC">
            <w:r w:rsidRPr="006515DC">
              <w:t>Assessment of parallel generator applications</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t>Witness Testing</w:t>
            </w:r>
          </w:p>
        </w:tc>
        <w:tc>
          <w:tcPr>
            <w:tcW w:w="1449" w:type="dxa"/>
            <w:hideMark/>
          </w:tcPr>
          <w:p w:rsidR="006515DC" w:rsidRPr="006515DC" w:rsidRDefault="006515DC" w:rsidP="006515DC">
            <w:r w:rsidRPr="006515DC">
              <w:t>Witness Testing</w:t>
            </w:r>
          </w:p>
        </w:tc>
        <w:tc>
          <w:tcPr>
            <w:tcW w:w="1449" w:type="dxa"/>
          </w:tcPr>
          <w:p w:rsidR="006515DC" w:rsidRPr="006515DC" w:rsidRDefault="006515DC" w:rsidP="006515DC">
            <w:r w:rsidRPr="006515DC">
              <w:t>Quoted Example Only</w:t>
            </w:r>
          </w:p>
        </w:tc>
        <w:tc>
          <w:tcPr>
            <w:tcW w:w="1448" w:type="dxa"/>
            <w:hideMark/>
          </w:tcPr>
          <w:p w:rsidR="006515DC" w:rsidRPr="006515DC" w:rsidRDefault="006515DC" w:rsidP="006515DC">
            <w:r w:rsidRPr="006515DC">
              <w:t xml:space="preserve">3,033.24 </w:t>
            </w:r>
          </w:p>
        </w:tc>
        <w:tc>
          <w:tcPr>
            <w:tcW w:w="1449" w:type="dxa"/>
            <w:hideMark/>
          </w:tcPr>
          <w:p w:rsidR="006515DC" w:rsidRPr="006515DC" w:rsidRDefault="006515DC" w:rsidP="006515DC">
            <w:r w:rsidRPr="006515DC">
              <w:t xml:space="preserve">3,033.24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Attendance at customers premises to perform a statutory right where access is prevented</w:t>
            </w:r>
          </w:p>
        </w:tc>
        <w:tc>
          <w:tcPr>
            <w:tcW w:w="1449" w:type="dxa"/>
            <w:hideMark/>
          </w:tcPr>
          <w:p w:rsidR="006515DC" w:rsidRPr="006515DC" w:rsidRDefault="006515DC" w:rsidP="006515DC">
            <w:r w:rsidRPr="006515DC">
              <w:t xml:space="preserve">Energex attends a site at the </w:t>
            </w:r>
            <w:proofErr w:type="spellStart"/>
            <w:r w:rsidRPr="006515DC">
              <w:t>customers</w:t>
            </w:r>
            <w:proofErr w:type="spellEnd"/>
            <w:r w:rsidRPr="006515DC">
              <w:t xml:space="preserve"> request and is unable to perform job due to customers fault. (business hours)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88.20 </w:t>
            </w:r>
          </w:p>
        </w:tc>
        <w:tc>
          <w:tcPr>
            <w:tcW w:w="1449" w:type="dxa"/>
            <w:noWrap/>
            <w:hideMark/>
          </w:tcPr>
          <w:p w:rsidR="006515DC" w:rsidRPr="006515DC" w:rsidRDefault="006515DC" w:rsidP="006515DC">
            <w:r w:rsidRPr="006515DC">
              <w:t xml:space="preserve">88.20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Attendance at customers premises to perform a statutory right where access is prevented</w:t>
            </w:r>
          </w:p>
        </w:tc>
        <w:tc>
          <w:tcPr>
            <w:tcW w:w="1449" w:type="dxa"/>
            <w:hideMark/>
          </w:tcPr>
          <w:p w:rsidR="006515DC" w:rsidRPr="006515DC" w:rsidRDefault="006515DC" w:rsidP="006515DC">
            <w:r w:rsidRPr="006515DC">
              <w:t xml:space="preserve">Energex attends a site at the </w:t>
            </w:r>
            <w:proofErr w:type="spellStart"/>
            <w:r w:rsidRPr="006515DC">
              <w:t>customers</w:t>
            </w:r>
            <w:proofErr w:type="spellEnd"/>
            <w:r w:rsidRPr="006515DC">
              <w:t xml:space="preserve"> request and is unable to perform job due to customers fault. (after hours)</w:t>
            </w:r>
          </w:p>
        </w:tc>
        <w:tc>
          <w:tcPr>
            <w:tcW w:w="1449" w:type="dxa"/>
          </w:tcPr>
          <w:p w:rsidR="006515DC" w:rsidRPr="006515DC" w:rsidRDefault="006515DC" w:rsidP="006515DC">
            <w:r w:rsidRPr="006515DC">
              <w:t>Price Cap</w:t>
            </w:r>
          </w:p>
        </w:tc>
        <w:tc>
          <w:tcPr>
            <w:tcW w:w="1448" w:type="dxa"/>
            <w:hideMark/>
          </w:tcPr>
          <w:p w:rsidR="006515DC" w:rsidRPr="006515DC" w:rsidRDefault="006515DC" w:rsidP="006515DC">
            <w:r w:rsidRPr="006515DC">
              <w:t xml:space="preserve">125.86 </w:t>
            </w:r>
          </w:p>
        </w:tc>
        <w:tc>
          <w:tcPr>
            <w:tcW w:w="1449" w:type="dxa"/>
            <w:hideMark/>
          </w:tcPr>
          <w:p w:rsidR="006515DC" w:rsidRPr="006515DC" w:rsidRDefault="006515DC" w:rsidP="006515DC">
            <w:r w:rsidRPr="006515DC">
              <w:t xml:space="preserve">125.86 </w:t>
            </w:r>
          </w:p>
        </w:tc>
        <w:tc>
          <w:tcPr>
            <w:tcW w:w="1449" w:type="dxa"/>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 xml:space="preserve">Attendance at customers premises to </w:t>
            </w:r>
            <w:r w:rsidRPr="006515DC">
              <w:lastRenderedPageBreak/>
              <w:t>perform a statutory right where access is prevented</w:t>
            </w:r>
          </w:p>
        </w:tc>
        <w:tc>
          <w:tcPr>
            <w:tcW w:w="1449" w:type="dxa"/>
            <w:hideMark/>
          </w:tcPr>
          <w:p w:rsidR="006515DC" w:rsidRPr="006515DC" w:rsidRDefault="006515DC" w:rsidP="006515DC">
            <w:r w:rsidRPr="006515DC">
              <w:lastRenderedPageBreak/>
              <w:t>Energex (</w:t>
            </w:r>
            <w:proofErr w:type="spellStart"/>
            <w:r w:rsidRPr="006515DC">
              <w:t>non technical</w:t>
            </w:r>
            <w:proofErr w:type="spellEnd"/>
            <w:r w:rsidRPr="006515DC">
              <w:t xml:space="preserve">) attends a site at </w:t>
            </w:r>
            <w:r w:rsidRPr="006515DC">
              <w:lastRenderedPageBreak/>
              <w:t xml:space="preserve">the </w:t>
            </w:r>
            <w:proofErr w:type="spellStart"/>
            <w:r w:rsidRPr="006515DC">
              <w:t>customers</w:t>
            </w:r>
            <w:proofErr w:type="spellEnd"/>
            <w:r w:rsidRPr="006515DC">
              <w:t xml:space="preserve"> request and is unable to perform job due to customers fault (business hours)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10.52 </w:t>
            </w:r>
          </w:p>
        </w:tc>
        <w:tc>
          <w:tcPr>
            <w:tcW w:w="1449" w:type="dxa"/>
            <w:noWrap/>
            <w:hideMark/>
          </w:tcPr>
          <w:p w:rsidR="006515DC" w:rsidRPr="006515DC" w:rsidRDefault="006515DC" w:rsidP="006515DC">
            <w:r w:rsidRPr="006515DC">
              <w:t xml:space="preserve">10.52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Attendance at customers premises to perform a statutory right where access is prevented</w:t>
            </w:r>
          </w:p>
        </w:tc>
        <w:tc>
          <w:tcPr>
            <w:tcW w:w="1449" w:type="dxa"/>
            <w:hideMark/>
          </w:tcPr>
          <w:p w:rsidR="006515DC" w:rsidRPr="006515DC" w:rsidRDefault="006515DC" w:rsidP="006515DC">
            <w:r w:rsidRPr="006515DC">
              <w:t xml:space="preserve">Energex attends a site at the </w:t>
            </w:r>
            <w:proofErr w:type="spellStart"/>
            <w:r w:rsidRPr="006515DC">
              <w:t>customers</w:t>
            </w:r>
            <w:proofErr w:type="spellEnd"/>
            <w:r w:rsidRPr="006515DC">
              <w:t xml:space="preserve"> request and is unable to perform job due to customers fault (anytime)</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125.86 </w:t>
            </w:r>
          </w:p>
        </w:tc>
        <w:tc>
          <w:tcPr>
            <w:tcW w:w="1449" w:type="dxa"/>
            <w:noWrap/>
            <w:hideMark/>
          </w:tcPr>
          <w:p w:rsidR="006515DC" w:rsidRPr="006515DC" w:rsidRDefault="006515DC" w:rsidP="006515DC">
            <w:r w:rsidRPr="006515DC">
              <w:t xml:space="preserve">125.86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Attendance at customers premises to perform a statutory right where access is prevented</w:t>
            </w:r>
          </w:p>
        </w:tc>
        <w:tc>
          <w:tcPr>
            <w:tcW w:w="1449" w:type="dxa"/>
            <w:hideMark/>
          </w:tcPr>
          <w:p w:rsidR="006515DC" w:rsidRPr="006515DC" w:rsidRDefault="006515DC" w:rsidP="006515DC">
            <w:r w:rsidRPr="006515DC">
              <w:t>Energex (</w:t>
            </w:r>
            <w:proofErr w:type="spellStart"/>
            <w:r w:rsidRPr="006515DC">
              <w:t>non technical</w:t>
            </w:r>
            <w:proofErr w:type="spellEnd"/>
            <w:r w:rsidRPr="006515DC">
              <w:t xml:space="preserve">) attends a site at the </w:t>
            </w:r>
            <w:proofErr w:type="spellStart"/>
            <w:r w:rsidRPr="006515DC">
              <w:t>customers</w:t>
            </w:r>
            <w:proofErr w:type="spellEnd"/>
            <w:r w:rsidRPr="006515DC">
              <w:t xml:space="preserve"> request and is unable to perform job due to customers fault</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75.38 </w:t>
            </w:r>
          </w:p>
        </w:tc>
        <w:tc>
          <w:tcPr>
            <w:tcW w:w="1449" w:type="dxa"/>
            <w:noWrap/>
            <w:hideMark/>
          </w:tcPr>
          <w:p w:rsidR="006515DC" w:rsidRPr="006515DC" w:rsidRDefault="006515DC" w:rsidP="006515DC">
            <w:r w:rsidRPr="006515DC">
              <w:t xml:space="preserve">75.38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Attendance at customers premises to perform a statutory right where access is prevented</w:t>
            </w:r>
          </w:p>
        </w:tc>
        <w:tc>
          <w:tcPr>
            <w:tcW w:w="1449" w:type="dxa"/>
            <w:hideMark/>
          </w:tcPr>
          <w:p w:rsidR="006515DC" w:rsidRPr="006515DC" w:rsidRDefault="006515DC" w:rsidP="006515DC">
            <w:r w:rsidRPr="006515DC">
              <w:t>Energex (</w:t>
            </w:r>
            <w:proofErr w:type="spellStart"/>
            <w:r w:rsidRPr="006515DC">
              <w:t>non technical</w:t>
            </w:r>
            <w:proofErr w:type="spellEnd"/>
            <w:r w:rsidRPr="006515DC">
              <w:t xml:space="preserve">) attends a site at the </w:t>
            </w:r>
            <w:proofErr w:type="spellStart"/>
            <w:r w:rsidRPr="006515DC">
              <w:t>customers</w:t>
            </w:r>
            <w:proofErr w:type="spellEnd"/>
            <w:r w:rsidRPr="006515DC">
              <w:t xml:space="preserve"> request and is unable to perform job due to customers fault</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75.38 </w:t>
            </w:r>
          </w:p>
        </w:tc>
        <w:tc>
          <w:tcPr>
            <w:tcW w:w="1449" w:type="dxa"/>
            <w:noWrap/>
            <w:hideMark/>
          </w:tcPr>
          <w:p w:rsidR="006515DC" w:rsidRPr="006515DC" w:rsidRDefault="006515DC" w:rsidP="006515DC">
            <w:r w:rsidRPr="006515DC">
              <w:t xml:space="preserve">75.38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 xml:space="preserve">Overhead Service Connection - </w:t>
            </w:r>
            <w:proofErr w:type="spellStart"/>
            <w:r w:rsidRPr="006515DC">
              <w:t>non standard</w:t>
            </w:r>
            <w:proofErr w:type="spellEnd"/>
            <w:r w:rsidRPr="006515DC">
              <w:t xml:space="preserve"> installation</w:t>
            </w:r>
          </w:p>
          <w:p w:rsidR="006515DC" w:rsidRPr="006515DC" w:rsidRDefault="006515DC" w:rsidP="006515DC"/>
        </w:tc>
        <w:tc>
          <w:tcPr>
            <w:tcW w:w="1449" w:type="dxa"/>
            <w:hideMark/>
          </w:tcPr>
          <w:p w:rsidR="006515DC" w:rsidRPr="006515DC" w:rsidRDefault="006515DC" w:rsidP="006515DC">
            <w:r w:rsidRPr="006515DC">
              <w:t>Flying Fox (catenary) Overhead Connection</w:t>
            </w:r>
            <w:r w:rsidRPr="006515DC">
              <w:br/>
              <w:t>difference between the cost of a standard OH service and the cost of a flying fox service.</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2,938.16 </w:t>
            </w:r>
          </w:p>
        </w:tc>
        <w:tc>
          <w:tcPr>
            <w:tcW w:w="1449" w:type="dxa"/>
            <w:noWrap/>
            <w:hideMark/>
          </w:tcPr>
          <w:p w:rsidR="006515DC" w:rsidRPr="006515DC" w:rsidRDefault="006515DC" w:rsidP="006515DC">
            <w:r w:rsidRPr="006515DC">
              <w:t xml:space="preserve">2,825.46 </w:t>
            </w:r>
          </w:p>
        </w:tc>
        <w:tc>
          <w:tcPr>
            <w:tcW w:w="1449" w:type="dxa"/>
            <w:noWrap/>
            <w:hideMark/>
          </w:tcPr>
          <w:p w:rsidR="006515DC" w:rsidRPr="006515DC" w:rsidRDefault="006515DC" w:rsidP="006515DC">
            <w:r w:rsidRPr="006515DC">
              <w:t>-3.8%</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 xml:space="preserve">Overhead Service Connection - </w:t>
            </w:r>
            <w:proofErr w:type="spellStart"/>
            <w:r w:rsidRPr="006515DC">
              <w:t>non standard</w:t>
            </w:r>
            <w:proofErr w:type="spellEnd"/>
            <w:r w:rsidRPr="006515DC">
              <w:t xml:space="preserve"> installation</w:t>
            </w:r>
          </w:p>
          <w:p w:rsidR="006515DC" w:rsidRPr="006515DC" w:rsidRDefault="006515DC" w:rsidP="006515DC"/>
        </w:tc>
        <w:tc>
          <w:tcPr>
            <w:tcW w:w="1449" w:type="dxa"/>
            <w:hideMark/>
          </w:tcPr>
          <w:p w:rsidR="006515DC" w:rsidRPr="006515DC" w:rsidRDefault="006515DC" w:rsidP="006515DC">
            <w:r w:rsidRPr="006515DC">
              <w:t>Flying Fox (catenary) Overhead Connection</w:t>
            </w:r>
            <w:r w:rsidRPr="006515DC">
              <w:br/>
              <w:t>Existing Connection</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3,825.43 </w:t>
            </w:r>
          </w:p>
        </w:tc>
        <w:tc>
          <w:tcPr>
            <w:tcW w:w="1449" w:type="dxa"/>
            <w:noWrap/>
            <w:hideMark/>
          </w:tcPr>
          <w:p w:rsidR="006515DC" w:rsidRPr="006515DC" w:rsidRDefault="006515DC" w:rsidP="006515DC">
            <w:r w:rsidRPr="006515DC">
              <w:t xml:space="preserve">3,712.73 </w:t>
            </w:r>
          </w:p>
        </w:tc>
        <w:tc>
          <w:tcPr>
            <w:tcW w:w="1449" w:type="dxa"/>
            <w:noWrap/>
            <w:hideMark/>
          </w:tcPr>
          <w:p w:rsidR="006515DC" w:rsidRPr="006515DC" w:rsidRDefault="006515DC" w:rsidP="006515DC">
            <w:r w:rsidRPr="006515DC">
              <w:t>-2.9%</w:t>
            </w:r>
          </w:p>
        </w:tc>
      </w:tr>
      <w:tr w:rsidR="006515DC" w:rsidRPr="00D56EA3" w:rsidTr="009C1B5E">
        <w:trPr>
          <w:trHeight w:val="300"/>
        </w:trPr>
        <w:tc>
          <w:tcPr>
            <w:tcW w:w="1449" w:type="dxa"/>
          </w:tcPr>
          <w:p w:rsidR="006515DC" w:rsidRPr="006515DC" w:rsidRDefault="006515DC" w:rsidP="006515DC">
            <w:r w:rsidRPr="006515DC">
              <w:t xml:space="preserve">Provision of glare shields, vandal guards, luminaire replacement with </w:t>
            </w:r>
            <w:r w:rsidRPr="006515DC">
              <w:lastRenderedPageBreak/>
              <w:t>aero screens</w:t>
            </w:r>
          </w:p>
        </w:tc>
        <w:tc>
          <w:tcPr>
            <w:tcW w:w="1449" w:type="dxa"/>
            <w:hideMark/>
          </w:tcPr>
          <w:p w:rsidR="006515DC" w:rsidRPr="006515DC" w:rsidRDefault="006515DC" w:rsidP="006515DC">
            <w:r w:rsidRPr="006515DC">
              <w:lastRenderedPageBreak/>
              <w:t xml:space="preserve">Replacement of existing streetlight luminaries with aero screen low </w:t>
            </w:r>
            <w:r w:rsidRPr="006515DC">
              <w:lastRenderedPageBreak/>
              <w:t>glare luminaries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515.80 </w:t>
            </w:r>
          </w:p>
        </w:tc>
        <w:tc>
          <w:tcPr>
            <w:tcW w:w="1449" w:type="dxa"/>
            <w:noWrap/>
            <w:hideMark/>
          </w:tcPr>
          <w:p w:rsidR="006515DC" w:rsidRPr="006515DC" w:rsidRDefault="006515DC" w:rsidP="006515DC">
            <w:r w:rsidRPr="006515DC">
              <w:t xml:space="preserve">515.80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300"/>
        </w:trPr>
        <w:tc>
          <w:tcPr>
            <w:tcW w:w="1449" w:type="dxa"/>
          </w:tcPr>
          <w:p w:rsidR="006515DC" w:rsidRPr="006515DC" w:rsidRDefault="006515DC" w:rsidP="006515DC">
            <w:r w:rsidRPr="006515DC">
              <w:lastRenderedPageBreak/>
              <w:t>Provision of glare shields, vandal guards, luminaire replacement with aero screens</w:t>
            </w:r>
          </w:p>
        </w:tc>
        <w:tc>
          <w:tcPr>
            <w:tcW w:w="1449" w:type="dxa"/>
            <w:hideMark/>
          </w:tcPr>
          <w:p w:rsidR="006515DC" w:rsidRPr="006515DC" w:rsidRDefault="006515DC" w:rsidP="006515DC">
            <w:r w:rsidRPr="006515DC">
              <w:t>Customer requests the supply and installation of adhesive luminaire glare screen(s).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187.50 </w:t>
            </w:r>
          </w:p>
        </w:tc>
        <w:tc>
          <w:tcPr>
            <w:tcW w:w="1449" w:type="dxa"/>
            <w:noWrap/>
            <w:hideMark/>
          </w:tcPr>
          <w:p w:rsidR="006515DC" w:rsidRPr="006515DC" w:rsidRDefault="006515DC" w:rsidP="006515DC">
            <w:r w:rsidRPr="006515DC">
              <w:t xml:space="preserve">187.50 </w:t>
            </w:r>
          </w:p>
        </w:tc>
        <w:tc>
          <w:tcPr>
            <w:tcW w:w="1449" w:type="dxa"/>
            <w:noWrap/>
            <w:hideMark/>
          </w:tcPr>
          <w:p w:rsidR="006515DC" w:rsidRPr="006515DC" w:rsidRDefault="006515DC" w:rsidP="006515DC">
            <w:r w:rsidRPr="006515DC">
              <w:t xml:space="preserve">                   -  </w:t>
            </w:r>
          </w:p>
        </w:tc>
      </w:tr>
      <w:tr w:rsidR="006515DC" w:rsidRPr="00D56EA3" w:rsidTr="009C1B5E">
        <w:trPr>
          <w:trHeight w:val="300"/>
        </w:trPr>
        <w:tc>
          <w:tcPr>
            <w:tcW w:w="1449" w:type="dxa"/>
          </w:tcPr>
          <w:p w:rsidR="006515DC" w:rsidRPr="006515DC" w:rsidRDefault="006515DC" w:rsidP="006515DC">
            <w:r w:rsidRPr="006515DC">
              <w:t>Provision of glare shields, vandal guards, luminaire replacement with aero screens</w:t>
            </w:r>
          </w:p>
        </w:tc>
        <w:tc>
          <w:tcPr>
            <w:tcW w:w="1449" w:type="dxa"/>
            <w:hideMark/>
          </w:tcPr>
          <w:p w:rsidR="006515DC" w:rsidRPr="006515DC" w:rsidRDefault="006515DC" w:rsidP="006515DC">
            <w:r w:rsidRPr="006515DC">
              <w:t>Customer requests the supply and installation of standard luminaire glare screen(s) – internal.</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153.26 </w:t>
            </w:r>
          </w:p>
        </w:tc>
        <w:tc>
          <w:tcPr>
            <w:tcW w:w="1449" w:type="dxa"/>
            <w:noWrap/>
            <w:hideMark/>
          </w:tcPr>
          <w:p w:rsidR="006515DC" w:rsidRPr="006515DC" w:rsidRDefault="006515DC" w:rsidP="006515DC">
            <w:r w:rsidRPr="006515DC">
              <w:t xml:space="preserve">153.26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720"/>
        </w:trPr>
        <w:tc>
          <w:tcPr>
            <w:tcW w:w="1449" w:type="dxa"/>
          </w:tcPr>
          <w:p w:rsidR="006515DC" w:rsidRPr="006515DC" w:rsidRDefault="006515DC" w:rsidP="006515DC">
            <w:r w:rsidRPr="006515DC">
              <w:t xml:space="preserve">Provision, of glare </w:t>
            </w:r>
            <w:proofErr w:type="spellStart"/>
            <w:r w:rsidRPr="006515DC">
              <w:t>shiolds</w:t>
            </w:r>
            <w:proofErr w:type="spellEnd"/>
            <w:r w:rsidRPr="006515DC">
              <w:t xml:space="preserve">, vandal guards, luminaire replacement with </w:t>
            </w:r>
            <w:proofErr w:type="spellStart"/>
            <w:r w:rsidRPr="006515DC">
              <w:t>areo</w:t>
            </w:r>
            <w:proofErr w:type="spellEnd"/>
            <w:r w:rsidRPr="006515DC">
              <w:t xml:space="preserve"> screens</w:t>
            </w:r>
          </w:p>
        </w:tc>
        <w:tc>
          <w:tcPr>
            <w:tcW w:w="1449" w:type="dxa"/>
            <w:hideMark/>
          </w:tcPr>
          <w:p w:rsidR="006515DC" w:rsidRPr="006515DC" w:rsidRDefault="006515DC" w:rsidP="006515DC">
            <w:r w:rsidRPr="006515DC">
              <w:t>Provision of unique luminaries</w:t>
            </w:r>
            <w:r w:rsidRPr="006515DC">
              <w:br/>
            </w:r>
            <w:r w:rsidRPr="006515DC">
              <w:br/>
              <w:t>Supply and installation of custom external Glare screening</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2,168.90 </w:t>
            </w:r>
          </w:p>
        </w:tc>
        <w:tc>
          <w:tcPr>
            <w:tcW w:w="1449" w:type="dxa"/>
            <w:noWrap/>
            <w:hideMark/>
          </w:tcPr>
          <w:p w:rsidR="006515DC" w:rsidRPr="006515DC" w:rsidRDefault="006515DC" w:rsidP="006515DC">
            <w:r w:rsidRPr="006515DC">
              <w:t xml:space="preserve">2,168.90 </w:t>
            </w:r>
          </w:p>
        </w:tc>
        <w:tc>
          <w:tcPr>
            <w:tcW w:w="1449" w:type="dxa"/>
            <w:noWrap/>
            <w:hideMark/>
          </w:tcPr>
          <w:p w:rsidR="006515DC" w:rsidRPr="006515DC" w:rsidRDefault="006515DC" w:rsidP="006515DC">
            <w:r w:rsidRPr="006515DC">
              <w:t xml:space="preserve">                   -  </w:t>
            </w:r>
          </w:p>
        </w:tc>
      </w:tr>
      <w:tr w:rsidR="006515DC" w:rsidRPr="00D56EA3" w:rsidTr="009C1B5E">
        <w:trPr>
          <w:trHeight w:val="1440"/>
        </w:trPr>
        <w:tc>
          <w:tcPr>
            <w:tcW w:w="1449" w:type="dxa"/>
          </w:tcPr>
          <w:p w:rsidR="006515DC" w:rsidRPr="006515DC" w:rsidRDefault="006515DC" w:rsidP="006515DC">
            <w:r w:rsidRPr="006515DC">
              <w:t>Application assessment, design review and audit</w:t>
            </w:r>
          </w:p>
        </w:tc>
        <w:tc>
          <w:tcPr>
            <w:tcW w:w="1449" w:type="dxa"/>
            <w:hideMark/>
          </w:tcPr>
          <w:p w:rsidR="006515DC" w:rsidRPr="006515DC" w:rsidRDefault="006515DC" w:rsidP="006515DC">
            <w:r w:rsidRPr="006515DC">
              <w:t>Rate 2 Public Lighting services.</w:t>
            </w:r>
            <w:r w:rsidRPr="006515DC">
              <w:br/>
            </w:r>
            <w:r w:rsidRPr="006515DC">
              <w:br/>
              <w:t>Design Assessment and Preparation of Offer</w:t>
            </w:r>
            <w:r w:rsidRPr="006515DC">
              <w:br/>
              <w:t>Number of new, modified or recovered sites (i.e. stations numbers excluding street light pits and conduits)</w:t>
            </w:r>
            <w:r w:rsidRPr="006515DC">
              <w:br/>
              <w:t>7-30 Sites</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1,055.87 </w:t>
            </w:r>
          </w:p>
        </w:tc>
        <w:tc>
          <w:tcPr>
            <w:tcW w:w="1449" w:type="dxa"/>
            <w:noWrap/>
            <w:hideMark/>
          </w:tcPr>
          <w:p w:rsidR="006515DC" w:rsidRPr="006515DC" w:rsidRDefault="006515DC" w:rsidP="006515DC">
            <w:r w:rsidRPr="006515DC">
              <w:t xml:space="preserve">1,055.87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440"/>
        </w:trPr>
        <w:tc>
          <w:tcPr>
            <w:tcW w:w="1449" w:type="dxa"/>
          </w:tcPr>
          <w:p w:rsidR="006515DC" w:rsidRPr="006515DC" w:rsidRDefault="006515DC" w:rsidP="006515DC">
            <w:r w:rsidRPr="006515DC">
              <w:t>Application assessment, design review and audit</w:t>
            </w:r>
          </w:p>
        </w:tc>
        <w:tc>
          <w:tcPr>
            <w:tcW w:w="1449" w:type="dxa"/>
            <w:hideMark/>
          </w:tcPr>
          <w:p w:rsidR="006515DC" w:rsidRPr="006515DC" w:rsidRDefault="006515DC" w:rsidP="006515DC">
            <w:r w:rsidRPr="006515DC">
              <w:t>Rate 3 Public Lighting services.</w:t>
            </w:r>
            <w:r w:rsidRPr="006515DC">
              <w:br/>
            </w:r>
            <w:r w:rsidRPr="006515DC">
              <w:br/>
              <w:t>Design Assessment and Preparation of Offer</w:t>
            </w:r>
            <w:r w:rsidRPr="006515DC">
              <w:br/>
              <w:t xml:space="preserve">Number of new, modified or recovered sites (i.e. stations numbers excluding street </w:t>
            </w:r>
            <w:r w:rsidRPr="006515DC">
              <w:lastRenderedPageBreak/>
              <w:t>light pits and conduits)</w:t>
            </w:r>
            <w:r w:rsidRPr="006515DC">
              <w:br/>
              <w:t>0-6 Sites</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81.22 </w:t>
            </w:r>
          </w:p>
        </w:tc>
        <w:tc>
          <w:tcPr>
            <w:tcW w:w="1449" w:type="dxa"/>
            <w:noWrap/>
            <w:hideMark/>
          </w:tcPr>
          <w:p w:rsidR="006515DC" w:rsidRPr="006515DC" w:rsidRDefault="006515DC" w:rsidP="006515DC">
            <w:r w:rsidRPr="006515DC">
              <w:t xml:space="preserve">81.22 </w:t>
            </w:r>
          </w:p>
        </w:tc>
        <w:tc>
          <w:tcPr>
            <w:tcW w:w="1449" w:type="dxa"/>
            <w:noWrap/>
            <w:hideMark/>
          </w:tcPr>
          <w:p w:rsidR="006515DC" w:rsidRPr="006515DC" w:rsidRDefault="006515DC" w:rsidP="006515DC">
            <w:r w:rsidRPr="006515DC">
              <w:t xml:space="preserve">                   -  </w:t>
            </w:r>
          </w:p>
        </w:tc>
      </w:tr>
      <w:tr w:rsidR="006515DC" w:rsidRPr="00D56EA3" w:rsidTr="009C1B5E">
        <w:trPr>
          <w:trHeight w:val="1440"/>
        </w:trPr>
        <w:tc>
          <w:tcPr>
            <w:tcW w:w="1449" w:type="dxa"/>
          </w:tcPr>
          <w:p w:rsidR="006515DC" w:rsidRPr="006515DC" w:rsidRDefault="006515DC" w:rsidP="006515DC">
            <w:r w:rsidRPr="006515DC">
              <w:lastRenderedPageBreak/>
              <w:t>Application assessment, design review and audit</w:t>
            </w:r>
          </w:p>
        </w:tc>
        <w:tc>
          <w:tcPr>
            <w:tcW w:w="1449" w:type="dxa"/>
            <w:hideMark/>
          </w:tcPr>
          <w:p w:rsidR="006515DC" w:rsidRPr="006515DC" w:rsidRDefault="006515DC" w:rsidP="006515DC">
            <w:r w:rsidRPr="006515DC">
              <w:t>Rate 3 Public Lighting services.</w:t>
            </w:r>
            <w:r w:rsidRPr="006515DC">
              <w:br/>
            </w:r>
            <w:r w:rsidRPr="006515DC">
              <w:br/>
              <w:t>Design Assessment and Preparation of Offer</w:t>
            </w:r>
            <w:r w:rsidRPr="006515DC">
              <w:br/>
              <w:t>Number of new, modified or recovered sites (i.e. stations numbers excluding street light pits and conduits)</w:t>
            </w:r>
            <w:r w:rsidRPr="006515DC">
              <w:br/>
              <w:t>7-30 Sites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121.83 </w:t>
            </w:r>
          </w:p>
        </w:tc>
        <w:tc>
          <w:tcPr>
            <w:tcW w:w="1449" w:type="dxa"/>
            <w:noWrap/>
            <w:hideMark/>
          </w:tcPr>
          <w:p w:rsidR="006515DC" w:rsidRPr="006515DC" w:rsidRDefault="006515DC" w:rsidP="006515DC">
            <w:r w:rsidRPr="006515DC">
              <w:t xml:space="preserve">121.83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1440"/>
        </w:trPr>
        <w:tc>
          <w:tcPr>
            <w:tcW w:w="1449" w:type="dxa"/>
          </w:tcPr>
          <w:p w:rsidR="006515DC" w:rsidRPr="006515DC" w:rsidRDefault="006515DC" w:rsidP="006515DC">
            <w:r w:rsidRPr="006515DC">
              <w:t>Application assessment, design review and audit</w:t>
            </w:r>
          </w:p>
        </w:tc>
        <w:tc>
          <w:tcPr>
            <w:tcW w:w="1449" w:type="dxa"/>
            <w:hideMark/>
          </w:tcPr>
          <w:p w:rsidR="006515DC" w:rsidRPr="006515DC" w:rsidRDefault="006515DC" w:rsidP="006515DC">
            <w:r w:rsidRPr="006515DC">
              <w:t>Rate 3 Public Lighting services.</w:t>
            </w:r>
            <w:r w:rsidRPr="006515DC">
              <w:br/>
            </w:r>
            <w:r w:rsidRPr="006515DC">
              <w:br/>
              <w:t>Design Assessment and Preparation of Offer</w:t>
            </w:r>
            <w:r w:rsidRPr="006515DC">
              <w:br/>
              <w:t>Number of new, modified or recovered sites (i.e. stations numbers excluding street light pits and conduits)</w:t>
            </w:r>
            <w:r w:rsidRPr="006515DC">
              <w:br/>
              <w:t>31+ Sites</w:t>
            </w:r>
          </w:p>
        </w:tc>
        <w:tc>
          <w:tcPr>
            <w:tcW w:w="1449" w:type="dxa"/>
          </w:tcPr>
          <w:p w:rsidR="006515DC" w:rsidRPr="006515DC" w:rsidRDefault="006515DC" w:rsidP="006515DC">
            <w:r w:rsidRPr="006515DC">
              <w:t>Price Cap</w:t>
            </w:r>
          </w:p>
        </w:tc>
        <w:tc>
          <w:tcPr>
            <w:tcW w:w="1448" w:type="dxa"/>
            <w:noWrap/>
            <w:hideMark/>
          </w:tcPr>
          <w:p w:rsidR="006515DC" w:rsidRPr="006515DC" w:rsidRDefault="006515DC" w:rsidP="006515DC">
            <w:r w:rsidRPr="006515DC">
              <w:t xml:space="preserve">243.66 </w:t>
            </w:r>
          </w:p>
        </w:tc>
        <w:tc>
          <w:tcPr>
            <w:tcW w:w="1449" w:type="dxa"/>
            <w:noWrap/>
            <w:hideMark/>
          </w:tcPr>
          <w:p w:rsidR="006515DC" w:rsidRPr="006515DC" w:rsidRDefault="006515DC" w:rsidP="006515DC">
            <w:r w:rsidRPr="006515DC">
              <w:t xml:space="preserve">243.66 </w:t>
            </w:r>
          </w:p>
        </w:tc>
        <w:tc>
          <w:tcPr>
            <w:tcW w:w="1449" w:type="dxa"/>
            <w:noWrap/>
            <w:hideMark/>
          </w:tcPr>
          <w:p w:rsidR="006515DC" w:rsidRPr="006515DC" w:rsidRDefault="006515DC" w:rsidP="006515DC">
            <w:r w:rsidRPr="006515DC">
              <w:t xml:space="preserve">                   -  </w:t>
            </w:r>
          </w:p>
        </w:tc>
      </w:tr>
      <w:tr w:rsidR="006515DC" w:rsidRPr="00D56EA3" w:rsidTr="009C1B5E">
        <w:trPr>
          <w:trHeight w:val="1440"/>
        </w:trPr>
        <w:tc>
          <w:tcPr>
            <w:tcW w:w="1449" w:type="dxa"/>
          </w:tcPr>
          <w:p w:rsidR="006515DC" w:rsidRPr="006515DC" w:rsidRDefault="006515DC" w:rsidP="006515DC">
            <w:r w:rsidRPr="006515DC">
              <w:t>Application assessment, design review and audit</w:t>
            </w:r>
          </w:p>
        </w:tc>
        <w:tc>
          <w:tcPr>
            <w:tcW w:w="1449" w:type="dxa"/>
            <w:hideMark/>
          </w:tcPr>
          <w:p w:rsidR="006515DC" w:rsidRPr="006515DC" w:rsidRDefault="006515DC" w:rsidP="006515DC">
            <w:r w:rsidRPr="006515DC">
              <w:t>Rate 2 Public Lighting services.</w:t>
            </w:r>
            <w:r w:rsidRPr="006515DC">
              <w:br/>
            </w:r>
            <w:r w:rsidRPr="006515DC">
              <w:br/>
              <w:t>Design Assessment and Preparation of Offer</w:t>
            </w:r>
            <w:r w:rsidRPr="006515DC">
              <w:br/>
              <w:t>Number of new, modified or recovered sites (i.e. stations numbers excluding street light pits and conduits)</w:t>
            </w:r>
            <w:r w:rsidRPr="006515DC">
              <w:br/>
            </w:r>
            <w:r w:rsidRPr="006515DC">
              <w:lastRenderedPageBreak/>
              <w:t>Resubmission</w:t>
            </w:r>
          </w:p>
        </w:tc>
        <w:tc>
          <w:tcPr>
            <w:tcW w:w="1449" w:type="dxa"/>
          </w:tcPr>
          <w:p w:rsidR="006515DC" w:rsidRPr="006515DC" w:rsidRDefault="006515DC" w:rsidP="006515DC">
            <w:r w:rsidRPr="006515DC">
              <w:lastRenderedPageBreak/>
              <w:t>Price Cap</w:t>
            </w:r>
          </w:p>
        </w:tc>
        <w:tc>
          <w:tcPr>
            <w:tcW w:w="1448" w:type="dxa"/>
            <w:noWrap/>
            <w:hideMark/>
          </w:tcPr>
          <w:p w:rsidR="006515DC" w:rsidRPr="006515DC" w:rsidRDefault="006515DC" w:rsidP="006515DC">
            <w:r w:rsidRPr="006515DC">
              <w:t xml:space="preserve">162.44 </w:t>
            </w:r>
          </w:p>
        </w:tc>
        <w:tc>
          <w:tcPr>
            <w:tcW w:w="1449" w:type="dxa"/>
            <w:noWrap/>
            <w:hideMark/>
          </w:tcPr>
          <w:p w:rsidR="006515DC" w:rsidRPr="006515DC" w:rsidRDefault="006515DC" w:rsidP="006515DC">
            <w:r w:rsidRPr="006515DC">
              <w:t xml:space="preserve">162.44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lastRenderedPageBreak/>
              <w:t>Construction of new street lighting services (contributed)</w:t>
            </w:r>
          </w:p>
        </w:tc>
        <w:tc>
          <w:tcPr>
            <w:tcW w:w="1449" w:type="dxa"/>
            <w:hideMark/>
          </w:tcPr>
          <w:p w:rsidR="006515DC" w:rsidRPr="006515DC" w:rsidRDefault="006515DC" w:rsidP="006515DC">
            <w:r w:rsidRPr="006515DC">
              <w:t xml:space="preserve">Construction of new street lighting services </w:t>
            </w:r>
            <w:r w:rsidRPr="006515DC">
              <w:br/>
              <w:t>(contributed)</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480"/>
        </w:trPr>
        <w:tc>
          <w:tcPr>
            <w:tcW w:w="1449" w:type="dxa"/>
          </w:tcPr>
          <w:p w:rsidR="006515DC" w:rsidRPr="006515DC" w:rsidRDefault="006515DC" w:rsidP="006515DC">
            <w:r w:rsidRPr="006515DC">
              <w:t>Alteration, repair, relocation, rearrangement or removal of existing street light assets and energy efficient retrofit.</w:t>
            </w:r>
          </w:p>
        </w:tc>
        <w:tc>
          <w:tcPr>
            <w:tcW w:w="1449" w:type="dxa"/>
            <w:hideMark/>
          </w:tcPr>
          <w:p w:rsidR="006515DC" w:rsidRPr="006515DC" w:rsidRDefault="006515DC" w:rsidP="006515DC">
            <w:r w:rsidRPr="006515DC">
              <w:t>Alteration, repair, relocation, rearrangement or removal of existing street light assets and energy efficient retrofit.</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480"/>
        </w:trPr>
        <w:tc>
          <w:tcPr>
            <w:tcW w:w="1449" w:type="dxa"/>
          </w:tcPr>
          <w:p w:rsidR="006515DC" w:rsidRPr="006515DC" w:rsidRDefault="006515DC" w:rsidP="006515DC">
            <w:r w:rsidRPr="006515DC">
              <w:t>A fee for the residual asset value of non-contributed public lights when removed from service before the end of their useful life at the request of the customer.</w:t>
            </w:r>
          </w:p>
        </w:tc>
        <w:tc>
          <w:tcPr>
            <w:tcW w:w="1449" w:type="dxa"/>
            <w:hideMark/>
          </w:tcPr>
          <w:p w:rsidR="006515DC" w:rsidRPr="006515DC" w:rsidRDefault="006515DC" w:rsidP="006515DC">
            <w:r w:rsidRPr="006515DC">
              <w:t>A fee for the residual asset value of non-contributed public lights when removed from service before the end of their useful life at the request of the customer.</w:t>
            </w:r>
          </w:p>
        </w:tc>
        <w:tc>
          <w:tcPr>
            <w:tcW w:w="1449" w:type="dxa"/>
          </w:tcPr>
          <w:p w:rsidR="006515DC" w:rsidRPr="006515DC" w:rsidRDefault="006515DC" w:rsidP="006515DC">
            <w:r w:rsidRPr="006515DC">
              <w:t>Quoted Example not provided</w:t>
            </w:r>
          </w:p>
        </w:tc>
        <w:tc>
          <w:tcPr>
            <w:tcW w:w="1448"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0.00 </w:t>
            </w:r>
          </w:p>
        </w:tc>
        <w:tc>
          <w:tcPr>
            <w:tcW w:w="1449" w:type="dxa"/>
            <w:noWrap/>
            <w:hideMark/>
          </w:tcPr>
          <w:p w:rsidR="006515DC" w:rsidRPr="006515DC" w:rsidRDefault="006515DC" w:rsidP="006515DC">
            <w:r w:rsidRPr="006515DC">
              <w:t xml:space="preserve">                   -  </w:t>
            </w:r>
          </w:p>
        </w:tc>
      </w:tr>
      <w:tr w:rsidR="006515DC" w:rsidRPr="00D56EA3" w:rsidTr="009C1B5E">
        <w:trPr>
          <w:trHeight w:val="1200"/>
        </w:trPr>
        <w:tc>
          <w:tcPr>
            <w:tcW w:w="1449" w:type="dxa"/>
          </w:tcPr>
          <w:p w:rsidR="006515DC" w:rsidRPr="006515DC" w:rsidRDefault="006515DC" w:rsidP="006515DC">
            <w:r w:rsidRPr="006515DC">
              <w:t>New public lighting technologies, including trials</w:t>
            </w:r>
          </w:p>
        </w:tc>
        <w:tc>
          <w:tcPr>
            <w:tcW w:w="1449" w:type="dxa"/>
            <w:hideMark/>
          </w:tcPr>
          <w:p w:rsidR="006515DC" w:rsidRPr="006515DC" w:rsidRDefault="006515DC" w:rsidP="006515DC">
            <w:r w:rsidRPr="006515DC">
              <w:t xml:space="preserve">Trial of new public lighting technologies for consideration of standard product - Fixed costs associated with Trial Establishment and Administration. (Note: Costs per luminaire selected for trial are detailed </w:t>
            </w:r>
            <w:proofErr w:type="spellStart"/>
            <w:r w:rsidRPr="006515DC">
              <w:t>seperately</w:t>
            </w:r>
            <w:proofErr w:type="spellEnd"/>
            <w:r w:rsidRPr="006515DC">
              <w:t xml:space="preserve"> below)</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341,418.70 </w:t>
            </w:r>
          </w:p>
        </w:tc>
        <w:tc>
          <w:tcPr>
            <w:tcW w:w="1449" w:type="dxa"/>
            <w:noWrap/>
            <w:hideMark/>
          </w:tcPr>
          <w:p w:rsidR="006515DC" w:rsidRPr="006515DC" w:rsidRDefault="006515DC" w:rsidP="006515DC">
            <w:r w:rsidRPr="006515DC">
              <w:t xml:space="preserve">341,418.70 </w:t>
            </w:r>
          </w:p>
        </w:tc>
        <w:tc>
          <w:tcPr>
            <w:tcW w:w="1449" w:type="dxa"/>
            <w:noWrap/>
            <w:hideMark/>
          </w:tcPr>
          <w:p w:rsidR="006515DC" w:rsidRPr="006515DC" w:rsidRDefault="006515DC" w:rsidP="006515DC">
            <w:r w:rsidRPr="006515DC">
              <w:t xml:space="preserve">                   -  </w:t>
            </w:r>
          </w:p>
        </w:tc>
      </w:tr>
      <w:tr w:rsidR="006515DC" w:rsidRPr="00D56EA3" w:rsidTr="009C1B5E">
        <w:trPr>
          <w:cnfStyle w:val="000000010000" w:firstRow="0" w:lastRow="0" w:firstColumn="0" w:lastColumn="0" w:oddVBand="0" w:evenVBand="0" w:oddHBand="0" w:evenHBand="1" w:firstRowFirstColumn="0" w:firstRowLastColumn="0" w:lastRowFirstColumn="0" w:lastRowLastColumn="0"/>
          <w:trHeight w:val="960"/>
        </w:trPr>
        <w:tc>
          <w:tcPr>
            <w:tcW w:w="1449" w:type="dxa"/>
          </w:tcPr>
          <w:p w:rsidR="006515DC" w:rsidRPr="006515DC" w:rsidRDefault="006515DC" w:rsidP="006515DC">
            <w:r w:rsidRPr="006515DC">
              <w:t>New public lighting technologies, including trials</w:t>
            </w:r>
          </w:p>
        </w:tc>
        <w:tc>
          <w:tcPr>
            <w:tcW w:w="1449" w:type="dxa"/>
            <w:hideMark/>
          </w:tcPr>
          <w:p w:rsidR="006515DC" w:rsidRPr="006515DC" w:rsidRDefault="006515DC" w:rsidP="006515DC">
            <w:r w:rsidRPr="006515DC">
              <w:t xml:space="preserve">Trial of new public lighting technologies for consideration of standard product - Costs per luminaire selected for trial. (Note: Typically </w:t>
            </w:r>
            <w:r w:rsidRPr="006515DC">
              <w:lastRenderedPageBreak/>
              <w:t>at least 100 luminaires are minimum number for a trial.)</w:t>
            </w:r>
          </w:p>
        </w:tc>
        <w:tc>
          <w:tcPr>
            <w:tcW w:w="1449" w:type="dxa"/>
          </w:tcPr>
          <w:p w:rsidR="006515DC" w:rsidRPr="006515DC" w:rsidRDefault="006515DC" w:rsidP="006515DC">
            <w:r w:rsidRPr="006515DC">
              <w:lastRenderedPageBreak/>
              <w:t>Quoted Example Only</w:t>
            </w:r>
          </w:p>
        </w:tc>
        <w:tc>
          <w:tcPr>
            <w:tcW w:w="1448" w:type="dxa"/>
            <w:hideMark/>
          </w:tcPr>
          <w:p w:rsidR="006515DC" w:rsidRPr="006515DC" w:rsidRDefault="006515DC" w:rsidP="006515DC">
            <w:r w:rsidRPr="006515DC">
              <w:t xml:space="preserve">19,767.33 </w:t>
            </w:r>
          </w:p>
        </w:tc>
        <w:tc>
          <w:tcPr>
            <w:tcW w:w="1449" w:type="dxa"/>
            <w:hideMark/>
          </w:tcPr>
          <w:p w:rsidR="006515DC" w:rsidRPr="006515DC" w:rsidRDefault="006515DC" w:rsidP="006515DC">
            <w:r w:rsidRPr="006515DC">
              <w:t xml:space="preserve">19,767.33 </w:t>
            </w:r>
          </w:p>
        </w:tc>
        <w:tc>
          <w:tcPr>
            <w:tcW w:w="1449" w:type="dxa"/>
            <w:hideMark/>
          </w:tcPr>
          <w:p w:rsidR="006515DC" w:rsidRPr="006515DC" w:rsidRDefault="006515DC" w:rsidP="006515DC">
            <w:r w:rsidRPr="006515DC">
              <w:t xml:space="preserve">                   -  </w:t>
            </w:r>
          </w:p>
        </w:tc>
      </w:tr>
      <w:tr w:rsidR="006515DC" w:rsidRPr="00D56EA3" w:rsidTr="009C1B5E">
        <w:trPr>
          <w:trHeight w:val="495"/>
        </w:trPr>
        <w:tc>
          <w:tcPr>
            <w:tcW w:w="1449" w:type="dxa"/>
          </w:tcPr>
          <w:p w:rsidR="006515DC" w:rsidRPr="006515DC" w:rsidRDefault="006515DC" w:rsidP="006515DC">
            <w:r w:rsidRPr="006515DC">
              <w:lastRenderedPageBreak/>
              <w:t>Energy efficient retrofit (including where customer requests to retrofit existing assets before end of life)</w:t>
            </w:r>
          </w:p>
        </w:tc>
        <w:tc>
          <w:tcPr>
            <w:tcW w:w="1449" w:type="dxa"/>
            <w:hideMark/>
          </w:tcPr>
          <w:p w:rsidR="006515DC" w:rsidRPr="006515DC" w:rsidRDefault="006515DC" w:rsidP="006515DC">
            <w:r w:rsidRPr="006515DC">
              <w:t>Replace 1 x 50w Mercury Vapour luminaire with energy efficiency retrofit 32CFL</w:t>
            </w:r>
          </w:p>
        </w:tc>
        <w:tc>
          <w:tcPr>
            <w:tcW w:w="1449" w:type="dxa"/>
          </w:tcPr>
          <w:p w:rsidR="006515DC" w:rsidRPr="006515DC" w:rsidRDefault="006515DC" w:rsidP="006515DC">
            <w:r w:rsidRPr="006515DC">
              <w:t>Quoted Example Only</w:t>
            </w:r>
          </w:p>
        </w:tc>
        <w:tc>
          <w:tcPr>
            <w:tcW w:w="1448" w:type="dxa"/>
            <w:noWrap/>
            <w:hideMark/>
          </w:tcPr>
          <w:p w:rsidR="006515DC" w:rsidRPr="006515DC" w:rsidRDefault="006515DC" w:rsidP="006515DC">
            <w:r w:rsidRPr="006515DC">
              <w:t xml:space="preserve">349.28 </w:t>
            </w:r>
          </w:p>
        </w:tc>
        <w:tc>
          <w:tcPr>
            <w:tcW w:w="1449" w:type="dxa"/>
            <w:noWrap/>
            <w:hideMark/>
          </w:tcPr>
          <w:p w:rsidR="006515DC" w:rsidRPr="006515DC" w:rsidRDefault="006515DC" w:rsidP="006515DC">
            <w:r w:rsidRPr="006515DC">
              <w:t xml:space="preserve">349.28 </w:t>
            </w:r>
          </w:p>
        </w:tc>
        <w:tc>
          <w:tcPr>
            <w:tcW w:w="1449" w:type="dxa"/>
            <w:noWrap/>
            <w:hideMark/>
          </w:tcPr>
          <w:p w:rsidR="006515DC" w:rsidRPr="006515DC" w:rsidRDefault="006515DC" w:rsidP="006515DC">
            <w:r w:rsidRPr="006515DC">
              <w:t xml:space="preserve">                   -  </w:t>
            </w:r>
          </w:p>
        </w:tc>
      </w:tr>
    </w:tbl>
    <w:p w:rsidR="00DE563D" w:rsidRDefault="00DE563D" w:rsidP="00DE563D"/>
    <w:tbl>
      <w:tblPr>
        <w:tblStyle w:val="AERtable-numbers"/>
        <w:tblW w:w="0" w:type="auto"/>
        <w:tblLook w:val="04A0" w:firstRow="1" w:lastRow="0" w:firstColumn="1" w:lastColumn="0" w:noHBand="0" w:noVBand="1"/>
      </w:tblPr>
      <w:tblGrid>
        <w:gridCol w:w="2897"/>
        <w:gridCol w:w="2898"/>
        <w:gridCol w:w="2898"/>
      </w:tblGrid>
      <w:tr w:rsidR="009F0CD6" w:rsidRPr="00FF495B" w:rsidTr="009F0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9F0CD6" w:rsidRPr="00FF495B" w:rsidRDefault="009F0CD6" w:rsidP="00FF495B">
            <w:r w:rsidRPr="00FF495B">
              <w:t>Labour Category</w:t>
            </w:r>
          </w:p>
        </w:tc>
        <w:tc>
          <w:tcPr>
            <w:tcW w:w="2898" w:type="dxa"/>
          </w:tcPr>
          <w:p w:rsidR="009F0CD6" w:rsidRPr="00FF495B" w:rsidRDefault="009F0CD6" w:rsidP="00FF495B">
            <w:pPr>
              <w:cnfStyle w:val="100000000000" w:firstRow="1" w:lastRow="0" w:firstColumn="0" w:lastColumn="0" w:oddVBand="0" w:evenVBand="0" w:oddHBand="0" w:evenHBand="0" w:firstRowFirstColumn="0" w:firstRowLastColumn="0" w:lastRowFirstColumn="0" w:lastRowLastColumn="0"/>
            </w:pPr>
          </w:p>
        </w:tc>
        <w:tc>
          <w:tcPr>
            <w:tcW w:w="2898" w:type="dxa"/>
          </w:tcPr>
          <w:p w:rsidR="009F0CD6" w:rsidRPr="00FF495B" w:rsidRDefault="000860A2" w:rsidP="00FF495B">
            <w:pPr>
              <w:cnfStyle w:val="100000000000" w:firstRow="1" w:lastRow="0" w:firstColumn="0" w:lastColumn="0" w:oddVBand="0" w:evenVBand="0" w:oddHBand="0" w:evenHBand="0" w:firstRowFirstColumn="0" w:firstRowLastColumn="0" w:lastRowFirstColumn="0" w:lastRowLastColumn="0"/>
            </w:pPr>
            <w:r w:rsidRPr="00FF495B">
              <w:t>AER preliminary decision on maximum labour charge rates for quoted services, ($2014–15)</w:t>
            </w:r>
          </w:p>
        </w:tc>
      </w:tr>
      <w:tr w:rsidR="009F0CD6" w:rsidRPr="00FF495B" w:rsidTr="009F0CD6">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Apprentices</w:t>
            </w:r>
          </w:p>
        </w:tc>
        <w:tc>
          <w:tcPr>
            <w:tcW w:w="2898" w:type="dxa"/>
            <w:vAlign w:val="bottom"/>
          </w:tcPr>
          <w:p w:rsidR="009F0CD6" w:rsidRPr="00FF495B" w:rsidRDefault="009F0CD6" w:rsidP="00FF495B">
            <w:pPr>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9F0CD6" w:rsidRPr="00FF495B" w:rsidRDefault="009F0CD6" w:rsidP="00FF495B">
            <w:pPr>
              <w:cnfStyle w:val="000000000000" w:firstRow="0" w:lastRow="0" w:firstColumn="0" w:lastColumn="0" w:oddVBand="0" w:evenVBand="0" w:oddHBand="0" w:evenHBand="0" w:firstRowFirstColumn="0" w:firstRowLastColumn="0" w:lastRowFirstColumn="0" w:lastRowLastColumn="0"/>
            </w:pPr>
            <w:r w:rsidRPr="00FF495B">
              <w:t>N/A</w:t>
            </w:r>
          </w:p>
        </w:tc>
      </w:tr>
      <w:tr w:rsidR="009F0CD6" w:rsidRPr="00FF495B" w:rsidTr="009F0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Power Workers</w:t>
            </w:r>
          </w:p>
        </w:tc>
        <w:tc>
          <w:tcPr>
            <w:tcW w:w="2898" w:type="dxa"/>
            <w:vAlign w:val="bottom"/>
          </w:tcPr>
          <w:p w:rsidR="009F0CD6" w:rsidRPr="00FF495B" w:rsidRDefault="009F0CD6" w:rsidP="00FF495B">
            <w:pPr>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9F0CD6" w:rsidRPr="00FF495B" w:rsidRDefault="00FF495B" w:rsidP="00FF495B">
            <w:pPr>
              <w:cnfStyle w:val="000000010000" w:firstRow="0" w:lastRow="0" w:firstColumn="0" w:lastColumn="0" w:oddVBand="0" w:evenVBand="0" w:oddHBand="0" w:evenHBand="1" w:firstRowFirstColumn="0" w:firstRowLastColumn="0" w:lastRowFirstColumn="0" w:lastRowLastColumn="0"/>
            </w:pPr>
            <w:r w:rsidRPr="00FF495B">
              <w:t>Confidential</w:t>
            </w:r>
          </w:p>
        </w:tc>
      </w:tr>
      <w:tr w:rsidR="009F0CD6" w:rsidRPr="00FF495B" w:rsidTr="009F0CD6">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Administration/ Clerical</w:t>
            </w:r>
          </w:p>
        </w:tc>
        <w:tc>
          <w:tcPr>
            <w:tcW w:w="2898" w:type="dxa"/>
            <w:vAlign w:val="bottom"/>
          </w:tcPr>
          <w:p w:rsidR="009F0CD6" w:rsidRPr="00FF495B" w:rsidRDefault="009F0CD6" w:rsidP="00FF495B">
            <w:pPr>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9F0CD6" w:rsidRPr="00FF495B" w:rsidRDefault="00FF495B" w:rsidP="00FF495B">
            <w:pPr>
              <w:cnfStyle w:val="000000000000" w:firstRow="0" w:lastRow="0" w:firstColumn="0" w:lastColumn="0" w:oddVBand="0" w:evenVBand="0" w:oddHBand="0" w:evenHBand="0" w:firstRowFirstColumn="0" w:firstRowLastColumn="0" w:lastRowFirstColumn="0" w:lastRowLastColumn="0"/>
            </w:pPr>
            <w:r w:rsidRPr="00FF495B">
              <w:t>Confidential</w:t>
            </w:r>
          </w:p>
        </w:tc>
      </w:tr>
      <w:tr w:rsidR="009F0CD6" w:rsidRPr="00FF495B" w:rsidTr="009F0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Customer Connections Labour Rate</w:t>
            </w:r>
          </w:p>
        </w:tc>
        <w:tc>
          <w:tcPr>
            <w:tcW w:w="2898" w:type="dxa"/>
            <w:vAlign w:val="bottom"/>
          </w:tcPr>
          <w:p w:rsidR="009F0CD6" w:rsidRPr="00FF495B" w:rsidRDefault="009F0CD6" w:rsidP="00FF495B">
            <w:pPr>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9F0CD6" w:rsidRPr="00FF495B" w:rsidRDefault="009F0CD6" w:rsidP="00FF495B">
            <w:pPr>
              <w:cnfStyle w:val="000000010000" w:firstRow="0" w:lastRow="0" w:firstColumn="0" w:lastColumn="0" w:oddVBand="0" w:evenVBand="0" w:oddHBand="0" w:evenHBand="1" w:firstRowFirstColumn="0" w:firstRowLastColumn="0" w:lastRowFirstColumn="0" w:lastRowLastColumn="0"/>
            </w:pPr>
            <w:r w:rsidRPr="00FF495B">
              <w:t>N/A</w:t>
            </w:r>
          </w:p>
        </w:tc>
      </w:tr>
      <w:tr w:rsidR="009F0CD6" w:rsidRPr="00FF495B" w:rsidTr="009F0CD6">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Electrical System Design Advisors</w:t>
            </w:r>
          </w:p>
        </w:tc>
        <w:tc>
          <w:tcPr>
            <w:tcW w:w="2898" w:type="dxa"/>
            <w:vAlign w:val="bottom"/>
          </w:tcPr>
          <w:p w:rsidR="009F0CD6" w:rsidRPr="00FF495B" w:rsidRDefault="009F0CD6" w:rsidP="00FF495B">
            <w:pPr>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9F0CD6" w:rsidRPr="00FF495B" w:rsidRDefault="00FF495B" w:rsidP="00FF495B">
            <w:pPr>
              <w:cnfStyle w:val="000000000000" w:firstRow="0" w:lastRow="0" w:firstColumn="0" w:lastColumn="0" w:oddVBand="0" w:evenVBand="0" w:oddHBand="0" w:evenHBand="0" w:firstRowFirstColumn="0" w:firstRowLastColumn="0" w:lastRowFirstColumn="0" w:lastRowLastColumn="0"/>
            </w:pPr>
            <w:r w:rsidRPr="00FF495B">
              <w:t>Confidential</w:t>
            </w:r>
          </w:p>
        </w:tc>
      </w:tr>
      <w:tr w:rsidR="009F0CD6" w:rsidRPr="00FF495B" w:rsidTr="009F0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Technical/ Service Persons</w:t>
            </w:r>
          </w:p>
        </w:tc>
        <w:tc>
          <w:tcPr>
            <w:tcW w:w="2898" w:type="dxa"/>
            <w:vAlign w:val="bottom"/>
          </w:tcPr>
          <w:p w:rsidR="009F0CD6" w:rsidRPr="00FF495B" w:rsidRDefault="009F0CD6" w:rsidP="00FF495B">
            <w:pPr>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9F0CD6" w:rsidRPr="00FF495B" w:rsidRDefault="00FF495B" w:rsidP="00FF495B">
            <w:pPr>
              <w:cnfStyle w:val="000000010000" w:firstRow="0" w:lastRow="0" w:firstColumn="0" w:lastColumn="0" w:oddVBand="0" w:evenVBand="0" w:oddHBand="0" w:evenHBand="1" w:firstRowFirstColumn="0" w:firstRowLastColumn="0" w:lastRowFirstColumn="0" w:lastRowLastColumn="0"/>
            </w:pPr>
            <w:r w:rsidRPr="00FF495B">
              <w:t>Confidential</w:t>
            </w:r>
          </w:p>
        </w:tc>
      </w:tr>
      <w:tr w:rsidR="009F0CD6" w:rsidRPr="00FF495B" w:rsidTr="009F0CD6">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Para professional</w:t>
            </w:r>
          </w:p>
        </w:tc>
        <w:tc>
          <w:tcPr>
            <w:tcW w:w="2898" w:type="dxa"/>
            <w:vAlign w:val="bottom"/>
          </w:tcPr>
          <w:p w:rsidR="009F0CD6" w:rsidRPr="00FF495B" w:rsidRDefault="009F0CD6" w:rsidP="00FF495B">
            <w:pPr>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9F0CD6" w:rsidRPr="00FF495B" w:rsidRDefault="00FF495B" w:rsidP="00FF495B">
            <w:pPr>
              <w:cnfStyle w:val="000000000000" w:firstRow="0" w:lastRow="0" w:firstColumn="0" w:lastColumn="0" w:oddVBand="0" w:evenVBand="0" w:oddHBand="0" w:evenHBand="0" w:firstRowFirstColumn="0" w:firstRowLastColumn="0" w:lastRowFirstColumn="0" w:lastRowLastColumn="0"/>
            </w:pPr>
            <w:r w:rsidRPr="00FF495B">
              <w:t>Confidential</w:t>
            </w:r>
          </w:p>
        </w:tc>
      </w:tr>
      <w:tr w:rsidR="009F0CD6" w:rsidRPr="00FF495B" w:rsidTr="009F0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Supervisors</w:t>
            </w:r>
          </w:p>
        </w:tc>
        <w:tc>
          <w:tcPr>
            <w:tcW w:w="2898" w:type="dxa"/>
            <w:vAlign w:val="bottom"/>
          </w:tcPr>
          <w:p w:rsidR="009F0CD6" w:rsidRPr="00FF495B" w:rsidRDefault="009F0CD6" w:rsidP="00FF495B">
            <w:pPr>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9F0CD6" w:rsidRPr="00FF495B" w:rsidRDefault="00FF495B" w:rsidP="00FF495B">
            <w:pPr>
              <w:cnfStyle w:val="000000010000" w:firstRow="0" w:lastRow="0" w:firstColumn="0" w:lastColumn="0" w:oddVBand="0" w:evenVBand="0" w:oddHBand="0" w:evenHBand="1" w:firstRowFirstColumn="0" w:firstRowLastColumn="0" w:lastRowFirstColumn="0" w:lastRowLastColumn="0"/>
            </w:pPr>
            <w:r w:rsidRPr="00FF495B">
              <w:t>Confidential</w:t>
            </w:r>
          </w:p>
        </w:tc>
      </w:tr>
      <w:tr w:rsidR="009F0CD6" w:rsidRPr="00FF495B" w:rsidTr="009F0CD6">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Professional Managerial</w:t>
            </w:r>
          </w:p>
        </w:tc>
        <w:tc>
          <w:tcPr>
            <w:tcW w:w="2898" w:type="dxa"/>
            <w:vAlign w:val="bottom"/>
          </w:tcPr>
          <w:p w:rsidR="009F0CD6" w:rsidRPr="00FF495B" w:rsidRDefault="009F0CD6" w:rsidP="00FF495B">
            <w:pPr>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9F0CD6" w:rsidRPr="00FF495B" w:rsidRDefault="00FF495B" w:rsidP="00FF495B">
            <w:pPr>
              <w:cnfStyle w:val="000000000000" w:firstRow="0" w:lastRow="0" w:firstColumn="0" w:lastColumn="0" w:oddVBand="0" w:evenVBand="0" w:oddHBand="0" w:evenHBand="0" w:firstRowFirstColumn="0" w:firstRowLastColumn="0" w:lastRowFirstColumn="0" w:lastRowLastColumn="0"/>
            </w:pPr>
            <w:r w:rsidRPr="00FF495B">
              <w:t>Confidential</w:t>
            </w:r>
          </w:p>
        </w:tc>
      </w:tr>
      <w:tr w:rsidR="009F0CD6" w:rsidRPr="00FF495B" w:rsidTr="009F0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System Operators</w:t>
            </w:r>
          </w:p>
        </w:tc>
        <w:tc>
          <w:tcPr>
            <w:tcW w:w="2898" w:type="dxa"/>
            <w:vAlign w:val="bottom"/>
          </w:tcPr>
          <w:p w:rsidR="009F0CD6" w:rsidRPr="00FF495B" w:rsidRDefault="009F0CD6" w:rsidP="00FF495B">
            <w:pPr>
              <w:cnfStyle w:val="000000010000" w:firstRow="0" w:lastRow="0" w:firstColumn="0" w:lastColumn="0" w:oddVBand="0" w:evenVBand="0" w:oddHBand="0" w:evenHBand="1" w:firstRowFirstColumn="0" w:firstRowLastColumn="0" w:lastRowFirstColumn="0" w:lastRowLastColumn="0"/>
            </w:pPr>
          </w:p>
        </w:tc>
        <w:tc>
          <w:tcPr>
            <w:tcW w:w="2898" w:type="dxa"/>
            <w:vAlign w:val="bottom"/>
          </w:tcPr>
          <w:p w:rsidR="009F0CD6" w:rsidRPr="00FF495B" w:rsidRDefault="009F0CD6" w:rsidP="00FF495B">
            <w:pPr>
              <w:cnfStyle w:val="000000010000" w:firstRow="0" w:lastRow="0" w:firstColumn="0" w:lastColumn="0" w:oddVBand="0" w:evenVBand="0" w:oddHBand="0" w:evenHBand="1" w:firstRowFirstColumn="0" w:firstRowLastColumn="0" w:lastRowFirstColumn="0" w:lastRowLastColumn="0"/>
            </w:pPr>
            <w:r w:rsidRPr="00FF495B">
              <w:t>N/A</w:t>
            </w:r>
          </w:p>
        </w:tc>
      </w:tr>
      <w:tr w:rsidR="009F0CD6" w:rsidRPr="00FF495B" w:rsidTr="009F0CD6">
        <w:tc>
          <w:tcPr>
            <w:cnfStyle w:val="001000000000" w:firstRow="0" w:lastRow="0" w:firstColumn="1" w:lastColumn="0" w:oddVBand="0" w:evenVBand="0" w:oddHBand="0" w:evenHBand="0" w:firstRowFirstColumn="0" w:firstRowLastColumn="0" w:lastRowFirstColumn="0" w:lastRowLastColumn="0"/>
            <w:tcW w:w="2897" w:type="dxa"/>
            <w:vAlign w:val="bottom"/>
          </w:tcPr>
          <w:p w:rsidR="009F0CD6" w:rsidRPr="00FF495B" w:rsidRDefault="009F0CD6" w:rsidP="00FF495B">
            <w:r w:rsidRPr="00FF495B">
              <w:t>Senior Professional</w:t>
            </w:r>
          </w:p>
        </w:tc>
        <w:tc>
          <w:tcPr>
            <w:tcW w:w="2898" w:type="dxa"/>
            <w:vAlign w:val="bottom"/>
          </w:tcPr>
          <w:p w:rsidR="009F0CD6" w:rsidRPr="00FF495B" w:rsidRDefault="009F0CD6" w:rsidP="00FF495B">
            <w:pPr>
              <w:cnfStyle w:val="000000000000" w:firstRow="0" w:lastRow="0" w:firstColumn="0" w:lastColumn="0" w:oddVBand="0" w:evenVBand="0" w:oddHBand="0" w:evenHBand="0" w:firstRowFirstColumn="0" w:firstRowLastColumn="0" w:lastRowFirstColumn="0" w:lastRowLastColumn="0"/>
            </w:pPr>
          </w:p>
        </w:tc>
        <w:tc>
          <w:tcPr>
            <w:tcW w:w="2898" w:type="dxa"/>
            <w:vAlign w:val="bottom"/>
          </w:tcPr>
          <w:p w:rsidR="009F0CD6" w:rsidRPr="00FF495B" w:rsidRDefault="009F0CD6" w:rsidP="00FF495B">
            <w:pPr>
              <w:cnfStyle w:val="000000000000" w:firstRow="0" w:lastRow="0" w:firstColumn="0" w:lastColumn="0" w:oddVBand="0" w:evenVBand="0" w:oddHBand="0" w:evenHBand="0" w:firstRowFirstColumn="0" w:firstRowLastColumn="0" w:lastRowFirstColumn="0" w:lastRowLastColumn="0"/>
            </w:pPr>
            <w:r w:rsidRPr="00FF495B">
              <w:t>N/A</w:t>
            </w:r>
          </w:p>
        </w:tc>
      </w:tr>
    </w:tbl>
    <w:p w:rsidR="00DE563D" w:rsidRDefault="00B701C4" w:rsidP="00B701C4">
      <w:pPr>
        <w:pStyle w:val="AERtablesource"/>
      </w:pPr>
      <w:r>
        <w:t>Source: AER analysis.</w:t>
      </w:r>
    </w:p>
    <w:p w:rsidR="00106501" w:rsidRDefault="00106501" w:rsidP="008E00AC">
      <w:pPr>
        <w:pStyle w:val="AERtablesource"/>
        <w:sectPr w:rsidR="00106501" w:rsidSect="00DE563D">
          <w:pgSz w:w="11906" w:h="16838" w:code="9"/>
          <w:pgMar w:top="1440" w:right="1700" w:bottom="1582" w:left="1729" w:header="720" w:footer="0" w:gutter="0"/>
          <w:cols w:space="720"/>
          <w:docGrid w:linePitch="326"/>
        </w:sectPr>
      </w:pPr>
    </w:p>
    <w:p w:rsidR="005D7BA2" w:rsidRDefault="00795FC3" w:rsidP="00795FC3">
      <w:pPr>
        <w:pStyle w:val="Heading8"/>
      </w:pPr>
      <w:r>
        <w:lastRenderedPageBreak/>
        <w:t>Metering</w:t>
      </w:r>
    </w:p>
    <w:p w:rsidR="00795FC3" w:rsidRPr="00795FC3" w:rsidRDefault="00795FC3" w:rsidP="00795FC3">
      <w:pPr>
        <w:pStyle w:val="Caption"/>
      </w:pPr>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24</w:t>
        </w:r>
      </w:fldSimple>
      <w:r>
        <w:tab/>
      </w:r>
      <w:r>
        <w:tab/>
        <w:t xml:space="preserve">Annual metering charge – </w:t>
      </w:r>
      <w:r w:rsidR="0023449E">
        <w:t>Preliminary</w:t>
      </w:r>
      <w:r>
        <w:t xml:space="preserve"> decision ($ nominal)</w:t>
      </w:r>
    </w:p>
    <w:tbl>
      <w:tblPr>
        <w:tblStyle w:val="AERtable-numbers"/>
        <w:tblW w:w="14174" w:type="dxa"/>
        <w:tblLook w:val="04A0" w:firstRow="1" w:lastRow="0" w:firstColumn="1" w:lastColumn="0" w:noHBand="0" w:noVBand="1"/>
      </w:tblPr>
      <w:tblGrid>
        <w:gridCol w:w="2199"/>
        <w:gridCol w:w="2143"/>
        <w:gridCol w:w="2020"/>
        <w:gridCol w:w="2020"/>
        <w:gridCol w:w="2020"/>
        <w:gridCol w:w="1939"/>
        <w:gridCol w:w="1833"/>
      </w:tblGrid>
      <w:tr w:rsidR="00795FC3" w:rsidRPr="00B41392" w:rsidTr="00B701C4">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199" w:type="dxa"/>
          </w:tcPr>
          <w:p w:rsidR="00795FC3" w:rsidRPr="00795FC3" w:rsidRDefault="00795FC3" w:rsidP="00795FC3">
            <w:r w:rsidRPr="00795FC3">
              <w:t>Tariff class</w:t>
            </w:r>
          </w:p>
        </w:tc>
        <w:tc>
          <w:tcPr>
            <w:tcW w:w="2143"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Costs</w:t>
            </w:r>
          </w:p>
        </w:tc>
        <w:tc>
          <w:tcPr>
            <w:tcW w:w="2020"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2015/16</w:t>
            </w:r>
          </w:p>
        </w:tc>
        <w:tc>
          <w:tcPr>
            <w:tcW w:w="2020"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2016/17</w:t>
            </w:r>
          </w:p>
        </w:tc>
        <w:tc>
          <w:tcPr>
            <w:tcW w:w="2020"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2017/18</w:t>
            </w:r>
          </w:p>
        </w:tc>
        <w:tc>
          <w:tcPr>
            <w:tcW w:w="19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2018/19</w:t>
            </w:r>
          </w:p>
        </w:tc>
        <w:tc>
          <w:tcPr>
            <w:tcW w:w="1833"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2019–20</w:t>
            </w:r>
          </w:p>
        </w:tc>
      </w:tr>
      <w:tr w:rsidR="00795FC3" w:rsidRPr="001426BC" w:rsidTr="00B701C4">
        <w:trPr>
          <w:trHeight w:val="424"/>
        </w:trPr>
        <w:tc>
          <w:tcPr>
            <w:cnfStyle w:val="001000000000" w:firstRow="0" w:lastRow="0" w:firstColumn="1" w:lastColumn="0" w:oddVBand="0" w:evenVBand="0" w:oddHBand="0" w:evenHBand="0" w:firstRowFirstColumn="0" w:firstRowLastColumn="0" w:lastRowFirstColumn="0" w:lastRowLastColumn="0"/>
            <w:tcW w:w="2199" w:type="dxa"/>
            <w:vMerge w:val="restart"/>
          </w:tcPr>
          <w:p w:rsidR="00795FC3" w:rsidRPr="00795FC3" w:rsidRDefault="00795FC3" w:rsidP="00795FC3">
            <w:r w:rsidRPr="00795FC3">
              <w:t>Primary</w:t>
            </w:r>
          </w:p>
        </w:tc>
        <w:tc>
          <w:tcPr>
            <w:tcW w:w="2143" w:type="dxa"/>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Non–capital</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10.81</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10.65</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10.49</w:t>
            </w:r>
          </w:p>
        </w:tc>
        <w:tc>
          <w:tcPr>
            <w:tcW w:w="1939"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10.33</w:t>
            </w:r>
          </w:p>
        </w:tc>
        <w:tc>
          <w:tcPr>
            <w:tcW w:w="1833"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10.18</w:t>
            </w:r>
          </w:p>
        </w:tc>
      </w:tr>
      <w:tr w:rsidR="00795FC3" w:rsidRPr="001426BC" w:rsidTr="00B701C4">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199" w:type="dxa"/>
            <w:vMerge/>
          </w:tcPr>
          <w:p w:rsidR="00795FC3" w:rsidRPr="00795FC3" w:rsidRDefault="00795FC3" w:rsidP="00795FC3"/>
        </w:tc>
        <w:tc>
          <w:tcPr>
            <w:tcW w:w="2143" w:type="dxa"/>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Capital</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24.48</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24.12</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23.76</w:t>
            </w:r>
          </w:p>
        </w:tc>
        <w:tc>
          <w:tcPr>
            <w:tcW w:w="1939"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23.40</w:t>
            </w:r>
          </w:p>
        </w:tc>
        <w:tc>
          <w:tcPr>
            <w:tcW w:w="1833"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23.05</w:t>
            </w:r>
          </w:p>
        </w:tc>
      </w:tr>
      <w:tr w:rsidR="00795FC3" w:rsidRPr="001426BC" w:rsidTr="00B701C4">
        <w:trPr>
          <w:trHeight w:val="387"/>
        </w:trPr>
        <w:tc>
          <w:tcPr>
            <w:cnfStyle w:val="001000000000" w:firstRow="0" w:lastRow="0" w:firstColumn="1" w:lastColumn="0" w:oddVBand="0" w:evenVBand="0" w:oddHBand="0" w:evenHBand="0" w:firstRowFirstColumn="0" w:firstRowLastColumn="0" w:lastRowFirstColumn="0" w:lastRowLastColumn="0"/>
            <w:tcW w:w="2199" w:type="dxa"/>
            <w:vMerge w:val="restart"/>
          </w:tcPr>
          <w:p w:rsidR="00795FC3" w:rsidRPr="00795FC3" w:rsidRDefault="00795FC3" w:rsidP="00795FC3">
            <w:r w:rsidRPr="00795FC3">
              <w:t>Load control</w:t>
            </w:r>
          </w:p>
        </w:tc>
        <w:tc>
          <w:tcPr>
            <w:tcW w:w="2143" w:type="dxa"/>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Non–capital</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3.24</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3.19</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3.15</w:t>
            </w:r>
          </w:p>
        </w:tc>
        <w:tc>
          <w:tcPr>
            <w:tcW w:w="1939"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3.10</w:t>
            </w:r>
          </w:p>
        </w:tc>
        <w:tc>
          <w:tcPr>
            <w:tcW w:w="1833"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3.05</w:t>
            </w:r>
          </w:p>
        </w:tc>
      </w:tr>
      <w:tr w:rsidR="00795FC3" w:rsidRPr="001426BC" w:rsidTr="00B701C4">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199" w:type="dxa"/>
            <w:vMerge/>
          </w:tcPr>
          <w:p w:rsidR="00795FC3" w:rsidRPr="00795FC3" w:rsidRDefault="00795FC3" w:rsidP="00795FC3"/>
        </w:tc>
        <w:tc>
          <w:tcPr>
            <w:tcW w:w="2143" w:type="dxa"/>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Capital</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7.34</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7.23</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7.13</w:t>
            </w:r>
          </w:p>
        </w:tc>
        <w:tc>
          <w:tcPr>
            <w:tcW w:w="1939"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7.02</w:t>
            </w:r>
          </w:p>
        </w:tc>
        <w:tc>
          <w:tcPr>
            <w:tcW w:w="1833"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6.92</w:t>
            </w:r>
          </w:p>
        </w:tc>
      </w:tr>
      <w:tr w:rsidR="00795FC3" w:rsidRPr="001426BC" w:rsidTr="00B701C4">
        <w:trPr>
          <w:trHeight w:val="342"/>
        </w:trPr>
        <w:tc>
          <w:tcPr>
            <w:cnfStyle w:val="001000000000" w:firstRow="0" w:lastRow="0" w:firstColumn="1" w:lastColumn="0" w:oddVBand="0" w:evenVBand="0" w:oddHBand="0" w:evenHBand="0" w:firstRowFirstColumn="0" w:firstRowLastColumn="0" w:lastRowFirstColumn="0" w:lastRowLastColumn="0"/>
            <w:tcW w:w="2199" w:type="dxa"/>
            <w:vMerge w:val="restart"/>
          </w:tcPr>
          <w:p w:rsidR="00795FC3" w:rsidRPr="00795FC3" w:rsidRDefault="00795FC3" w:rsidP="00795FC3">
            <w:r w:rsidRPr="00795FC3">
              <w:t>Solar PV</w:t>
            </w:r>
          </w:p>
        </w:tc>
        <w:tc>
          <w:tcPr>
            <w:tcW w:w="2143" w:type="dxa"/>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Non–capital</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7.56</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7.45</w:t>
            </w:r>
          </w:p>
        </w:tc>
        <w:tc>
          <w:tcPr>
            <w:tcW w:w="2020"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7.34</w:t>
            </w:r>
          </w:p>
        </w:tc>
        <w:tc>
          <w:tcPr>
            <w:tcW w:w="1939"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7.23</w:t>
            </w:r>
          </w:p>
        </w:tc>
        <w:tc>
          <w:tcPr>
            <w:tcW w:w="1833" w:type="dxa"/>
            <w:vAlign w:val="bottom"/>
          </w:tcPr>
          <w:p w:rsidR="00795FC3" w:rsidRPr="00795FC3" w:rsidRDefault="00795FC3" w:rsidP="00795FC3">
            <w:pPr>
              <w:pStyle w:val="Tabletext-right"/>
              <w:cnfStyle w:val="000000000000" w:firstRow="0" w:lastRow="0" w:firstColumn="0" w:lastColumn="0" w:oddVBand="0" w:evenVBand="0" w:oddHBand="0" w:evenHBand="0" w:firstRowFirstColumn="0" w:firstRowLastColumn="0" w:lastRowFirstColumn="0" w:lastRowLastColumn="0"/>
            </w:pPr>
            <w:r w:rsidRPr="00795FC3">
              <w:t>7.12</w:t>
            </w:r>
          </w:p>
        </w:tc>
      </w:tr>
      <w:tr w:rsidR="00795FC3" w:rsidRPr="001426BC" w:rsidTr="00B701C4">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199" w:type="dxa"/>
            <w:vMerge/>
          </w:tcPr>
          <w:p w:rsidR="00795FC3" w:rsidRPr="00795FC3" w:rsidRDefault="00795FC3" w:rsidP="00795FC3"/>
        </w:tc>
        <w:tc>
          <w:tcPr>
            <w:tcW w:w="2143" w:type="dxa"/>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Capital</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17.14</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16.88</w:t>
            </w:r>
          </w:p>
        </w:tc>
        <w:tc>
          <w:tcPr>
            <w:tcW w:w="2020"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16.63</w:t>
            </w:r>
          </w:p>
        </w:tc>
        <w:tc>
          <w:tcPr>
            <w:tcW w:w="1939"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16.38</w:t>
            </w:r>
          </w:p>
        </w:tc>
        <w:tc>
          <w:tcPr>
            <w:tcW w:w="1833" w:type="dxa"/>
            <w:vAlign w:val="bottom"/>
          </w:tcPr>
          <w:p w:rsidR="00795FC3" w:rsidRPr="00795FC3" w:rsidRDefault="00795FC3" w:rsidP="00795FC3">
            <w:pPr>
              <w:pStyle w:val="Tabletext-right"/>
              <w:cnfStyle w:val="000000010000" w:firstRow="0" w:lastRow="0" w:firstColumn="0" w:lastColumn="0" w:oddVBand="0" w:evenVBand="0" w:oddHBand="0" w:evenHBand="1" w:firstRowFirstColumn="0" w:firstRowLastColumn="0" w:lastRowFirstColumn="0" w:lastRowLastColumn="0"/>
            </w:pPr>
            <w:r w:rsidRPr="00795FC3">
              <w:t>16.14</w:t>
            </w:r>
          </w:p>
        </w:tc>
      </w:tr>
    </w:tbl>
    <w:p w:rsidR="00106501" w:rsidRPr="00C74290" w:rsidRDefault="00106501" w:rsidP="00106501">
      <w:pPr>
        <w:pStyle w:val="AERtablesource"/>
      </w:pPr>
      <w:r w:rsidRPr="00C74290">
        <w:t>Source:</w:t>
      </w:r>
      <w:r w:rsidRPr="00C74290">
        <w:tab/>
        <w:t>AER analysis</w:t>
      </w:r>
      <w:r w:rsidRPr="00C74290">
        <w:tab/>
      </w:r>
    </w:p>
    <w:p w:rsidR="00795FC3" w:rsidRPr="00795FC3" w:rsidRDefault="00106501" w:rsidP="00106501">
      <w:pPr>
        <w:pStyle w:val="AERtablesource"/>
      </w:pPr>
      <w:r w:rsidRPr="00C74290">
        <w:t>Not</w:t>
      </w:r>
      <w:r>
        <w:t>e:</w:t>
      </w:r>
      <w:r>
        <w:tab/>
        <w:t>Prices for 2016–17 to 2019–20</w:t>
      </w:r>
      <w:r w:rsidRPr="00C74290">
        <w:t xml:space="preserve"> are indicative only and will be adjusted for actual CPI during the AER's annual pricing approval processes. </w:t>
      </w:r>
    </w:p>
    <w:p w:rsidR="00795FC3" w:rsidRPr="00795FC3" w:rsidRDefault="00795FC3" w:rsidP="00795FC3">
      <w:pPr>
        <w:pStyle w:val="Caption"/>
      </w:pPr>
      <w:r>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25</w:t>
        </w:r>
      </w:fldSimple>
      <w:r>
        <w:tab/>
      </w:r>
      <w:r>
        <w:tab/>
      </w:r>
      <w:r w:rsidRPr="00795FC3">
        <w:t xml:space="preserve">AER </w:t>
      </w:r>
      <w:r w:rsidR="0023449E">
        <w:t>preliminary</w:t>
      </w:r>
      <w:r w:rsidRPr="00795FC3">
        <w:t xml:space="preserve"> decision X factors for annual metering charges (per cent)</w:t>
      </w:r>
    </w:p>
    <w:tbl>
      <w:tblPr>
        <w:tblStyle w:val="AERtable-numbers"/>
        <w:tblW w:w="0" w:type="auto"/>
        <w:tblLook w:val="04A0" w:firstRow="1" w:lastRow="0" w:firstColumn="1" w:lastColumn="0" w:noHBand="0" w:noVBand="1"/>
      </w:tblPr>
      <w:tblGrid>
        <w:gridCol w:w="1738"/>
        <w:gridCol w:w="1739"/>
        <w:gridCol w:w="1739"/>
        <w:gridCol w:w="1739"/>
        <w:gridCol w:w="1739"/>
      </w:tblGrid>
      <w:tr w:rsidR="00795FC3" w:rsidRPr="00F65BC1" w:rsidTr="00B70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95FC3" w:rsidRPr="00795FC3" w:rsidRDefault="00795FC3" w:rsidP="00795FC3"/>
        </w:tc>
        <w:tc>
          <w:tcPr>
            <w:tcW w:w="17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2016–17</w:t>
            </w:r>
          </w:p>
        </w:tc>
        <w:tc>
          <w:tcPr>
            <w:tcW w:w="17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2017–18</w:t>
            </w:r>
          </w:p>
        </w:tc>
        <w:tc>
          <w:tcPr>
            <w:tcW w:w="17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2018–19</w:t>
            </w:r>
          </w:p>
        </w:tc>
        <w:tc>
          <w:tcPr>
            <w:tcW w:w="17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2019–20</w:t>
            </w:r>
          </w:p>
        </w:tc>
      </w:tr>
      <w:tr w:rsidR="00795FC3" w:rsidRPr="00F65BC1" w:rsidTr="00B701C4">
        <w:tc>
          <w:tcPr>
            <w:cnfStyle w:val="001000000000" w:firstRow="0" w:lastRow="0" w:firstColumn="1" w:lastColumn="0" w:oddVBand="0" w:evenVBand="0" w:oddHBand="0" w:evenHBand="0" w:firstRowFirstColumn="0" w:firstRowLastColumn="0" w:lastRowFirstColumn="0" w:lastRowLastColumn="0"/>
            <w:tcW w:w="1738" w:type="dxa"/>
          </w:tcPr>
          <w:p w:rsidR="00795FC3" w:rsidRPr="00795FC3" w:rsidRDefault="00795FC3" w:rsidP="00795FC3">
            <w:r w:rsidRPr="00795FC3">
              <w:t>X factor</w:t>
            </w:r>
          </w:p>
        </w:tc>
        <w:tc>
          <w:tcPr>
            <w:tcW w:w="1739" w:type="dxa"/>
            <w:vAlign w:val="bottom"/>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rsidRPr="00795FC3">
              <w:t>3.94</w:t>
            </w:r>
          </w:p>
        </w:tc>
        <w:tc>
          <w:tcPr>
            <w:tcW w:w="1739" w:type="dxa"/>
            <w:vAlign w:val="bottom"/>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rsidRPr="00795FC3">
              <w:t>3.94</w:t>
            </w:r>
          </w:p>
        </w:tc>
        <w:tc>
          <w:tcPr>
            <w:tcW w:w="1739" w:type="dxa"/>
            <w:vAlign w:val="bottom"/>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rsidRPr="00795FC3">
              <w:t>3.94</w:t>
            </w:r>
          </w:p>
        </w:tc>
        <w:tc>
          <w:tcPr>
            <w:tcW w:w="1739" w:type="dxa"/>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rsidRPr="00795FC3">
              <w:t>3.94</w:t>
            </w:r>
          </w:p>
        </w:tc>
      </w:tr>
    </w:tbl>
    <w:p w:rsidR="00106501" w:rsidRPr="00C74290" w:rsidRDefault="00106501" w:rsidP="00106501">
      <w:pPr>
        <w:pStyle w:val="AERtablesource"/>
      </w:pPr>
      <w:r w:rsidRPr="00C74290">
        <w:t>Source:</w:t>
      </w:r>
      <w:r w:rsidRPr="00C74290">
        <w:tab/>
        <w:t>AER analysis</w:t>
      </w:r>
      <w:r w:rsidRPr="00C74290">
        <w:tab/>
      </w:r>
    </w:p>
    <w:p w:rsidR="00795FC3" w:rsidRPr="00795FC3" w:rsidRDefault="00795FC3" w:rsidP="00795FC3"/>
    <w:p w:rsidR="00795FC3" w:rsidRPr="00795FC3" w:rsidRDefault="00795FC3" w:rsidP="00795FC3">
      <w:pPr>
        <w:pStyle w:val="Caption"/>
      </w:pPr>
      <w:r>
        <w:lastRenderedPageBreak/>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fldSimple w:instr=" SEQ Table \* ARABIC \s 1 ">
        <w:r w:rsidR="005E73B8">
          <w:rPr>
            <w:noProof/>
          </w:rPr>
          <w:t>26</w:t>
        </w:r>
      </w:fldSimple>
      <w:r>
        <w:tab/>
      </w:r>
      <w:r>
        <w:tab/>
      </w:r>
      <w:r w:rsidRPr="00795FC3">
        <w:t xml:space="preserve">Upfront capital charge – </w:t>
      </w:r>
      <w:r w:rsidR="0023449E">
        <w:t>Preliminary</w:t>
      </w:r>
      <w:r w:rsidRPr="00795FC3">
        <w:t xml:space="preserve"> decision</w:t>
      </w:r>
    </w:p>
    <w:tbl>
      <w:tblPr>
        <w:tblStyle w:val="AERtable-numbers"/>
        <w:tblW w:w="0" w:type="auto"/>
        <w:tblLook w:val="04A0" w:firstRow="1" w:lastRow="0" w:firstColumn="1" w:lastColumn="0" w:noHBand="0" w:noVBand="1"/>
      </w:tblPr>
      <w:tblGrid>
        <w:gridCol w:w="7016"/>
        <w:gridCol w:w="7014"/>
      </w:tblGrid>
      <w:tr w:rsidR="00795FC3" w:rsidTr="00106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795FC3" w:rsidRPr="00795FC3" w:rsidRDefault="00795FC3" w:rsidP="00795FC3">
            <w:r w:rsidRPr="00795FC3">
              <w:t>Meter</w:t>
            </w:r>
          </w:p>
        </w:tc>
        <w:tc>
          <w:tcPr>
            <w:tcW w:w="7014"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Upfront capital charge ($2014–15)</w:t>
            </w:r>
          </w:p>
        </w:tc>
      </w:tr>
      <w:tr w:rsidR="00795FC3" w:rsidTr="00106501">
        <w:tc>
          <w:tcPr>
            <w:cnfStyle w:val="001000000000" w:firstRow="0" w:lastRow="0" w:firstColumn="1" w:lastColumn="0" w:oddVBand="0" w:evenVBand="0" w:oddHBand="0" w:evenHBand="0" w:firstRowFirstColumn="0" w:firstRowLastColumn="0" w:lastRowFirstColumn="0" w:lastRowLastColumn="0"/>
            <w:tcW w:w="7016" w:type="dxa"/>
          </w:tcPr>
          <w:p w:rsidR="00795FC3" w:rsidRPr="00795FC3" w:rsidRDefault="00795FC3" w:rsidP="00795FC3">
            <w:r w:rsidRPr="00795FC3">
              <w:t>DC 1 Element Single Phase</w:t>
            </w:r>
          </w:p>
        </w:tc>
        <w:tc>
          <w:tcPr>
            <w:tcW w:w="7014" w:type="dxa"/>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rsidRPr="00795FC3">
              <w:t>297.84</w:t>
            </w:r>
          </w:p>
        </w:tc>
      </w:tr>
      <w:tr w:rsidR="00795FC3" w:rsidTr="001065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795FC3" w:rsidRPr="00795FC3" w:rsidRDefault="00795FC3" w:rsidP="00795FC3">
            <w:r w:rsidRPr="00795FC3">
              <w:t>DC 2 Element Single Phase</w:t>
            </w:r>
          </w:p>
        </w:tc>
        <w:tc>
          <w:tcPr>
            <w:tcW w:w="7014" w:type="dxa"/>
          </w:tcPr>
          <w:p w:rsidR="00795FC3" w:rsidRPr="00795FC3" w:rsidRDefault="00795FC3" w:rsidP="00795FC3">
            <w:pPr>
              <w:cnfStyle w:val="000000010000" w:firstRow="0" w:lastRow="0" w:firstColumn="0" w:lastColumn="0" w:oddVBand="0" w:evenVBand="0" w:oddHBand="0" w:evenHBand="1" w:firstRowFirstColumn="0" w:firstRowLastColumn="0" w:lastRowFirstColumn="0" w:lastRowLastColumn="0"/>
            </w:pPr>
            <w:r w:rsidRPr="00795FC3">
              <w:t>388.25</w:t>
            </w:r>
          </w:p>
        </w:tc>
      </w:tr>
      <w:tr w:rsidR="00795FC3" w:rsidTr="00106501">
        <w:tc>
          <w:tcPr>
            <w:cnfStyle w:val="001000000000" w:firstRow="0" w:lastRow="0" w:firstColumn="1" w:lastColumn="0" w:oddVBand="0" w:evenVBand="0" w:oddHBand="0" w:evenHBand="0" w:firstRowFirstColumn="0" w:firstRowLastColumn="0" w:lastRowFirstColumn="0" w:lastRowLastColumn="0"/>
            <w:tcW w:w="7016" w:type="dxa"/>
          </w:tcPr>
          <w:p w:rsidR="00795FC3" w:rsidRPr="00795FC3" w:rsidRDefault="00795FC3" w:rsidP="00795FC3">
            <w:r w:rsidRPr="00795FC3">
              <w:t>DC Polyphase</w:t>
            </w:r>
          </w:p>
        </w:tc>
        <w:tc>
          <w:tcPr>
            <w:tcW w:w="7014" w:type="dxa"/>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rsidRPr="00795FC3">
              <w:t>581.27</w:t>
            </w:r>
          </w:p>
        </w:tc>
      </w:tr>
      <w:tr w:rsidR="00795FC3" w:rsidTr="001065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795FC3" w:rsidRPr="00795FC3" w:rsidRDefault="00795FC3" w:rsidP="00795FC3">
            <w:r w:rsidRPr="00795FC3">
              <w:t>CT Polyphase</w:t>
            </w:r>
          </w:p>
        </w:tc>
        <w:tc>
          <w:tcPr>
            <w:tcW w:w="7014" w:type="dxa"/>
          </w:tcPr>
          <w:p w:rsidR="00795FC3" w:rsidRPr="00795FC3" w:rsidRDefault="00795FC3" w:rsidP="00795FC3">
            <w:pPr>
              <w:cnfStyle w:val="000000010000" w:firstRow="0" w:lastRow="0" w:firstColumn="0" w:lastColumn="0" w:oddVBand="0" w:evenVBand="0" w:oddHBand="0" w:evenHBand="1" w:firstRowFirstColumn="0" w:firstRowLastColumn="0" w:lastRowFirstColumn="0" w:lastRowLastColumn="0"/>
            </w:pPr>
            <w:r w:rsidRPr="00795FC3">
              <w:t>1639.27</w:t>
            </w:r>
          </w:p>
        </w:tc>
      </w:tr>
    </w:tbl>
    <w:p w:rsidR="00076BF6" w:rsidRDefault="00106501" w:rsidP="00106501">
      <w:pPr>
        <w:pStyle w:val="AERtablesource"/>
      </w:pPr>
      <w:r w:rsidRPr="00C74290">
        <w:t>Source:</w:t>
      </w:r>
      <w:r w:rsidRPr="00C74290">
        <w:tab/>
        <w:t>AER analysis</w:t>
      </w:r>
    </w:p>
    <w:p w:rsidR="00795FC3" w:rsidRDefault="00076BF6" w:rsidP="00106501">
      <w:pPr>
        <w:pStyle w:val="AERtablesource"/>
      </w:pPr>
      <w:r>
        <w:rPr>
          <w:rStyle w:val="CommentReference"/>
        </w:rPr>
        <w:tab/>
      </w:r>
    </w:p>
    <w:p w:rsidR="00795FC3" w:rsidRPr="00795FC3" w:rsidRDefault="00795FC3" w:rsidP="00795FC3">
      <w:pPr>
        <w:pStyle w:val="Caption"/>
      </w:pPr>
      <w:r w:rsidRPr="00795FC3">
        <w:t xml:space="preserve">Table </w:t>
      </w:r>
      <w:r w:rsidR="009D19E9">
        <w:fldChar w:fldCharType="begin"/>
      </w:r>
      <w:r w:rsidR="009D19E9">
        <w:instrText xml:space="preserve"> STYLEREF 1 \s </w:instrText>
      </w:r>
      <w:r w:rsidR="009D19E9">
        <w:fldChar w:fldCharType="separate"/>
      </w:r>
      <w:r w:rsidR="005E73B8">
        <w:rPr>
          <w:noProof/>
        </w:rPr>
        <w:t>16</w:t>
      </w:r>
      <w:r w:rsidR="009D19E9">
        <w:rPr>
          <w:noProof/>
        </w:rPr>
        <w:fldChar w:fldCharType="end"/>
      </w:r>
      <w:r w:rsidR="00691C1E">
        <w:t>.</w:t>
      </w:r>
      <w:r w:rsidR="009D19E9">
        <w:fldChar w:fldCharType="begin"/>
      </w:r>
      <w:r w:rsidR="009D19E9">
        <w:instrText xml:space="preserve"> SEQ Table \* ARABIC \s 1 </w:instrText>
      </w:r>
      <w:r w:rsidR="009D19E9">
        <w:fldChar w:fldCharType="separate"/>
      </w:r>
      <w:r w:rsidR="005E73B8">
        <w:rPr>
          <w:noProof/>
        </w:rPr>
        <w:t>27</w:t>
      </w:r>
      <w:r w:rsidR="009D19E9">
        <w:rPr>
          <w:noProof/>
        </w:rPr>
        <w:fldChar w:fldCharType="end"/>
      </w:r>
      <w:r w:rsidRPr="00795FC3">
        <w:tab/>
      </w:r>
      <w:r w:rsidRPr="00795FC3">
        <w:tab/>
        <w:t xml:space="preserve">AER </w:t>
      </w:r>
      <w:r w:rsidR="0023449E">
        <w:t xml:space="preserve">preliminary </w:t>
      </w:r>
      <w:r w:rsidRPr="00795FC3">
        <w:t xml:space="preserve">decision X factors for </w:t>
      </w:r>
      <w:r>
        <w:t>upfront charge</w:t>
      </w:r>
      <w:r w:rsidRPr="00795FC3">
        <w:t xml:space="preserve"> (per cent)</w:t>
      </w:r>
    </w:p>
    <w:tbl>
      <w:tblPr>
        <w:tblStyle w:val="AERtable-numbers"/>
        <w:tblW w:w="0" w:type="auto"/>
        <w:tblLook w:val="04A0" w:firstRow="1" w:lastRow="0" w:firstColumn="1" w:lastColumn="0" w:noHBand="0" w:noVBand="1"/>
      </w:tblPr>
      <w:tblGrid>
        <w:gridCol w:w="1738"/>
        <w:gridCol w:w="1739"/>
        <w:gridCol w:w="1739"/>
        <w:gridCol w:w="1739"/>
        <w:gridCol w:w="1739"/>
      </w:tblGrid>
      <w:tr w:rsidR="00795FC3" w:rsidRPr="00F65BC1" w:rsidTr="00B70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795FC3" w:rsidRPr="00795FC3" w:rsidRDefault="00795FC3" w:rsidP="00795FC3"/>
        </w:tc>
        <w:tc>
          <w:tcPr>
            <w:tcW w:w="17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2016–17</w:t>
            </w:r>
          </w:p>
        </w:tc>
        <w:tc>
          <w:tcPr>
            <w:tcW w:w="17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2017–18</w:t>
            </w:r>
          </w:p>
        </w:tc>
        <w:tc>
          <w:tcPr>
            <w:tcW w:w="17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2018–19</w:t>
            </w:r>
          </w:p>
        </w:tc>
        <w:tc>
          <w:tcPr>
            <w:tcW w:w="1739" w:type="dxa"/>
          </w:tcPr>
          <w:p w:rsidR="00795FC3" w:rsidRPr="00795FC3" w:rsidRDefault="00795FC3" w:rsidP="00795FC3">
            <w:pPr>
              <w:cnfStyle w:val="100000000000" w:firstRow="1" w:lastRow="0" w:firstColumn="0" w:lastColumn="0" w:oddVBand="0" w:evenVBand="0" w:oddHBand="0" w:evenHBand="0" w:firstRowFirstColumn="0" w:firstRowLastColumn="0" w:lastRowFirstColumn="0" w:lastRowLastColumn="0"/>
            </w:pPr>
            <w:r w:rsidRPr="00795FC3">
              <w:t>2019–20</w:t>
            </w:r>
          </w:p>
        </w:tc>
      </w:tr>
      <w:tr w:rsidR="00795FC3" w:rsidRPr="00F65BC1" w:rsidTr="00B701C4">
        <w:tc>
          <w:tcPr>
            <w:cnfStyle w:val="001000000000" w:firstRow="0" w:lastRow="0" w:firstColumn="1" w:lastColumn="0" w:oddVBand="0" w:evenVBand="0" w:oddHBand="0" w:evenHBand="0" w:firstRowFirstColumn="0" w:firstRowLastColumn="0" w:lastRowFirstColumn="0" w:lastRowLastColumn="0"/>
            <w:tcW w:w="1738" w:type="dxa"/>
          </w:tcPr>
          <w:p w:rsidR="00795FC3" w:rsidRPr="00795FC3" w:rsidRDefault="00795FC3" w:rsidP="00795FC3">
            <w:r w:rsidRPr="00795FC3">
              <w:t>X factor</w:t>
            </w:r>
          </w:p>
        </w:tc>
        <w:tc>
          <w:tcPr>
            <w:tcW w:w="1739" w:type="dxa"/>
            <w:vAlign w:val="bottom"/>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t>–0.22</w:t>
            </w:r>
          </w:p>
        </w:tc>
        <w:tc>
          <w:tcPr>
            <w:tcW w:w="1739" w:type="dxa"/>
            <w:vAlign w:val="bottom"/>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t>–0.44</w:t>
            </w:r>
          </w:p>
        </w:tc>
        <w:tc>
          <w:tcPr>
            <w:tcW w:w="1739" w:type="dxa"/>
            <w:vAlign w:val="bottom"/>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t>–0.43</w:t>
            </w:r>
          </w:p>
        </w:tc>
        <w:tc>
          <w:tcPr>
            <w:tcW w:w="1739" w:type="dxa"/>
          </w:tcPr>
          <w:p w:rsidR="00795FC3" w:rsidRPr="00795FC3" w:rsidRDefault="00795FC3" w:rsidP="00795FC3">
            <w:pPr>
              <w:cnfStyle w:val="000000000000" w:firstRow="0" w:lastRow="0" w:firstColumn="0" w:lastColumn="0" w:oddVBand="0" w:evenVBand="0" w:oddHBand="0" w:evenHBand="0" w:firstRowFirstColumn="0" w:firstRowLastColumn="0" w:lastRowFirstColumn="0" w:lastRowLastColumn="0"/>
            </w:pPr>
            <w:r>
              <w:t>–0.46</w:t>
            </w:r>
          </w:p>
        </w:tc>
      </w:tr>
    </w:tbl>
    <w:p w:rsidR="0023449E" w:rsidRDefault="00106501" w:rsidP="0023449E">
      <w:pPr>
        <w:pStyle w:val="AERtablesource"/>
      </w:pPr>
      <w:r w:rsidRPr="00C74290">
        <w:t>Source:</w:t>
      </w:r>
      <w:r w:rsidRPr="00C74290">
        <w:tab/>
        <w:t>AER analysis</w:t>
      </w:r>
      <w:r w:rsidR="0023449E">
        <w:t xml:space="preserve">. </w:t>
      </w:r>
    </w:p>
    <w:p w:rsidR="0023449E" w:rsidRPr="0023449E" w:rsidRDefault="0023449E" w:rsidP="0023449E">
      <w:pPr>
        <w:pStyle w:val="AERtablesource"/>
      </w:pPr>
      <w:r>
        <w:t xml:space="preserve">Note: </w:t>
      </w:r>
      <w:r>
        <w:tab/>
      </w:r>
      <w:r>
        <w:rPr>
          <w:rStyle w:val="CommentReference"/>
        </w:rPr>
        <w:t>T</w:t>
      </w:r>
      <w:r w:rsidRPr="00B701C4">
        <w:rPr>
          <w:rStyle w:val="CommentReference"/>
        </w:rPr>
        <w:t xml:space="preserve">o be clear, labour escalators themselves are positive for each year of the regulatory control period. However, the labour escalators in this table are operating as </w:t>
      </w:r>
      <w:proofErr w:type="spellStart"/>
      <w:r w:rsidRPr="00B701C4">
        <w:rPr>
          <w:rStyle w:val="CommentReference"/>
        </w:rPr>
        <w:t>defacto</w:t>
      </w:r>
      <w:proofErr w:type="spellEnd"/>
      <w:r w:rsidRPr="00B701C4">
        <w:rPr>
          <w:rStyle w:val="CommentReference"/>
        </w:rPr>
        <w:t xml:space="preserve"> X factors. Therefore, they are negative</w:t>
      </w:r>
      <w:r w:rsidRPr="00C74290">
        <w:tab/>
      </w:r>
    </w:p>
    <w:sectPr w:rsidR="0023449E" w:rsidRPr="0023449E" w:rsidSect="00106501">
      <w:pgSz w:w="16838" w:h="11906" w:orient="landscape" w:code="9"/>
      <w:pgMar w:top="1728" w:right="1440" w:bottom="1699" w:left="1584"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5E" w:rsidRPr="00290C63" w:rsidRDefault="009C1B5E" w:rsidP="00290C63">
      <w:r>
        <w:separator/>
      </w:r>
    </w:p>
    <w:p w:rsidR="009C1B5E" w:rsidRDefault="009C1B5E"/>
  </w:endnote>
  <w:endnote w:type="continuationSeparator" w:id="0">
    <w:p w:rsidR="009C1B5E" w:rsidRPr="00290C63" w:rsidRDefault="009C1B5E" w:rsidP="00290C63">
      <w:r>
        <w:continuationSeparator/>
      </w:r>
    </w:p>
    <w:p w:rsidR="009C1B5E" w:rsidRDefault="009C1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5E" w:rsidRPr="00290C63" w:rsidRDefault="009C1B5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C1B5E" w:rsidRDefault="009C1B5E"/>
  <w:p w:rsidR="009C1B5E" w:rsidRDefault="009C1B5E"/>
  <w:p w:rsidR="009C1B5E" w:rsidRDefault="009C1B5E"/>
  <w:p w:rsidR="009C1B5E" w:rsidRDefault="009C1B5E"/>
  <w:p w:rsidR="009C1B5E" w:rsidRDefault="009C1B5E"/>
  <w:p w:rsidR="009C1B5E" w:rsidRDefault="009C1B5E"/>
  <w:p w:rsidR="009C1B5E" w:rsidRDefault="009C1B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00028"/>
      <w:docPartObj>
        <w:docPartGallery w:val="Page Numbers (Bottom of Page)"/>
        <w:docPartUnique/>
      </w:docPartObj>
    </w:sdtPr>
    <w:sdtEndPr>
      <w:rPr>
        <w:noProof/>
      </w:rPr>
    </w:sdtEndPr>
    <w:sdtContent>
      <w:p w:rsidR="009C1B5E" w:rsidRDefault="009C1B5E">
        <w:pPr>
          <w:pStyle w:val="Footer"/>
        </w:pPr>
        <w:r>
          <w:t>16-</w:t>
        </w:r>
        <w:r>
          <w:fldChar w:fldCharType="begin"/>
        </w:r>
        <w:r>
          <w:instrText xml:space="preserve"> PAGE   \* MERGEFORMAT </w:instrText>
        </w:r>
        <w:r>
          <w:fldChar w:fldCharType="separate"/>
        </w:r>
        <w:r w:rsidR="009D19E9">
          <w:rPr>
            <w:noProof/>
          </w:rPr>
          <w:t>0</w:t>
        </w:r>
        <w:r>
          <w:rPr>
            <w:noProof/>
          </w:rPr>
          <w:fldChar w:fldCharType="end"/>
        </w:r>
        <w:r>
          <w:rPr>
            <w:noProof/>
          </w:rPr>
          <w:t xml:space="preserve">      </w:t>
        </w:r>
        <w:r>
          <w:t xml:space="preserve">           </w:t>
        </w:r>
        <w:r>
          <w:rPr>
            <w:noProof/>
          </w:rPr>
          <w:t xml:space="preserve">  Attachment 1</w:t>
        </w:r>
        <w:r>
          <w:t>6</w:t>
        </w:r>
        <w:r>
          <w:rPr>
            <w:noProof/>
          </w:rPr>
          <w:t xml:space="preserve"> </w:t>
        </w:r>
        <w:r>
          <w:rPr>
            <w:rFonts w:cs="Gautami"/>
            <w:noProof/>
          </w:rPr>
          <w:t xml:space="preserve">– </w:t>
        </w:r>
        <w:r>
          <w:t>Alternative control services</w:t>
        </w:r>
        <w:r>
          <w:rPr>
            <w:rFonts w:cs="Gautami"/>
            <w:noProof/>
          </w:rPr>
          <w:t xml:space="preserve"> | </w:t>
        </w:r>
        <w:r>
          <w:t>Energex</w:t>
        </w:r>
        <w:r>
          <w:rPr>
            <w:rFonts w:cs="Gautami"/>
            <w:noProof/>
          </w:rPr>
          <w:t xml:space="preserve"> determination 2015–20</w:t>
        </w:r>
      </w:p>
    </w:sdtContent>
  </w:sdt>
  <w:p w:rsidR="009C1B5E" w:rsidRDefault="009C1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5E" w:rsidRPr="00290C63" w:rsidRDefault="009C1B5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C1B5E" w:rsidRDefault="009C1B5E">
    <w:pPr>
      <w:pStyle w:val="Footer"/>
    </w:pPr>
  </w:p>
  <w:p w:rsidR="009C1B5E" w:rsidRDefault="009C1B5E"/>
  <w:p w:rsidR="009C1B5E" w:rsidRDefault="009C1B5E"/>
  <w:p w:rsidR="009C1B5E" w:rsidRDefault="009C1B5E"/>
  <w:p w:rsidR="009C1B5E" w:rsidRDefault="009C1B5E"/>
  <w:p w:rsidR="009C1B5E" w:rsidRDefault="009C1B5E"/>
  <w:p w:rsidR="009C1B5E" w:rsidRDefault="009C1B5E"/>
  <w:p w:rsidR="009C1B5E" w:rsidRDefault="009C1B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5E" w:rsidRPr="00290C63" w:rsidRDefault="009C1B5E" w:rsidP="00290C63">
      <w:r>
        <w:separator/>
      </w:r>
    </w:p>
    <w:p w:rsidR="009C1B5E" w:rsidRDefault="009C1B5E"/>
  </w:footnote>
  <w:footnote w:type="continuationSeparator" w:id="0">
    <w:p w:rsidR="009C1B5E" w:rsidRPr="00290C63" w:rsidRDefault="009C1B5E" w:rsidP="00290C63">
      <w:r>
        <w:continuationSeparator/>
      </w:r>
    </w:p>
    <w:p w:rsidR="009C1B5E" w:rsidRDefault="009C1B5E"/>
  </w:footnote>
  <w:footnote w:id="1">
    <w:p w:rsidR="009C1B5E" w:rsidRDefault="009C1B5E" w:rsidP="00A54CC2">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45.</w:t>
      </w:r>
    </w:p>
  </w:footnote>
  <w:footnote w:id="2">
    <w:p w:rsidR="009C1B5E" w:rsidRDefault="009C1B5E" w:rsidP="008C0D0C">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46.</w:t>
      </w:r>
    </w:p>
  </w:footnote>
  <w:footnote w:id="3">
    <w:p w:rsidR="009C1B5E" w:rsidRDefault="009C1B5E" w:rsidP="008C0D0C">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xml:space="preserve">, April 2014, p. 65; Energex, </w:t>
      </w:r>
      <w:r>
        <w:rPr>
          <w:rStyle w:val="AERtextitalic"/>
        </w:rPr>
        <w:t>Regulatory proposa</w:t>
      </w:r>
      <w:r w:rsidRPr="005B4158">
        <w:rPr>
          <w:rStyle w:val="AERtextitalic"/>
        </w:rPr>
        <w:t>l</w:t>
      </w:r>
      <w:r>
        <w:rPr>
          <w:rStyle w:val="AERtextitalic"/>
        </w:rPr>
        <w:t>: July 2015 to June 2020</w:t>
      </w:r>
      <w:r>
        <w:t>, October 2014, pp. 74-75.</w:t>
      </w:r>
    </w:p>
    <w:p w:rsidR="009C1B5E" w:rsidRDefault="009C1B5E" w:rsidP="008C0D0C">
      <w:pPr>
        <w:pStyle w:val="FootnoteText"/>
      </w:pPr>
    </w:p>
  </w:footnote>
  <w:footnote w:id="4">
    <w:p w:rsidR="009C1B5E" w:rsidRDefault="009C1B5E" w:rsidP="008C0D0C">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67.</w:t>
      </w:r>
    </w:p>
  </w:footnote>
  <w:footnote w:id="5">
    <w:p w:rsidR="009C1B5E" w:rsidRDefault="009C1B5E" w:rsidP="008C0D0C">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pp. 67–68.</w:t>
      </w:r>
    </w:p>
  </w:footnote>
  <w:footnote w:id="6">
    <w:p w:rsidR="009C1B5E" w:rsidRDefault="009C1B5E" w:rsidP="00A54CC2">
      <w:pPr>
        <w:pStyle w:val="FootnoteText"/>
      </w:pPr>
      <w:r>
        <w:rPr>
          <w:rStyle w:val="FootnoteReference"/>
        </w:rPr>
        <w:footnoteRef/>
      </w:r>
      <w:r>
        <w:t xml:space="preserve"> </w:t>
      </w:r>
      <w:r>
        <w:tab/>
        <w:t xml:space="preserve">The definition of X and </w:t>
      </w:r>
      <w:r>
        <w:rPr>
          <w:rFonts w:cs="Arial"/>
        </w:rPr>
        <w:t>∆</w:t>
      </w:r>
      <w:r>
        <w:t xml:space="preserve">CPI in </w:t>
      </w:r>
      <w:r>
        <w:fldChar w:fldCharType="begin"/>
      </w:r>
      <w:r>
        <w:instrText xml:space="preserve"> REF _Ref416342083 \h </w:instrText>
      </w:r>
      <w:r>
        <w:fldChar w:fldCharType="separate"/>
      </w:r>
      <w:r w:rsidRPr="008C0D0C">
        <w:t>Figure 16.2</w:t>
      </w:r>
      <w:r>
        <w:fldChar w:fldCharType="end"/>
      </w:r>
      <w:r>
        <w:t xml:space="preserve"> are the same as for </w:t>
      </w:r>
      <w:r>
        <w:fldChar w:fldCharType="begin"/>
      </w:r>
      <w:r>
        <w:instrText xml:space="preserve"> REF _Ref417046140 \h </w:instrText>
      </w:r>
      <w:r>
        <w:fldChar w:fldCharType="separate"/>
      </w:r>
      <w:r w:rsidRPr="008C0D0C">
        <w:t>Figure 16.1</w:t>
      </w:r>
      <w:r>
        <w:fldChar w:fldCharType="end"/>
      </w:r>
      <w:r>
        <w:t>.</w:t>
      </w:r>
    </w:p>
  </w:footnote>
  <w:footnote w:id="7">
    <w:p w:rsidR="009C1B5E" w:rsidRDefault="009C1B5E" w:rsidP="008C0D0C">
      <w:pPr>
        <w:pStyle w:val="FootnoteText"/>
      </w:pPr>
      <w:r>
        <w:rPr>
          <w:rStyle w:val="FootnoteReference"/>
        </w:rPr>
        <w:footnoteRef/>
      </w:r>
      <w:r>
        <w:t xml:space="preserve"> </w:t>
      </w:r>
      <w:r>
        <w:tab/>
        <w:t xml:space="preserve">Energex, </w:t>
      </w:r>
      <w:r>
        <w:rPr>
          <w:rStyle w:val="AERtextitalic"/>
        </w:rPr>
        <w:t>Regulatory proposa</w:t>
      </w:r>
      <w:r w:rsidRPr="005B4158">
        <w:rPr>
          <w:rStyle w:val="AERtextitalic"/>
        </w:rPr>
        <w:t>l</w:t>
      </w:r>
      <w:r>
        <w:rPr>
          <w:rStyle w:val="AERtextitalic"/>
        </w:rPr>
        <w:t>: July 2015 to June 2020</w:t>
      </w:r>
      <w:r>
        <w:t>, October 2014, p. 292.</w:t>
      </w:r>
    </w:p>
  </w:footnote>
  <w:footnote w:id="8">
    <w:p w:rsidR="009C1B5E" w:rsidRDefault="009C1B5E" w:rsidP="008C0D0C">
      <w:pPr>
        <w:pStyle w:val="FootnoteText"/>
      </w:pPr>
      <w:r>
        <w:rPr>
          <w:rStyle w:val="FootnoteReference"/>
        </w:rPr>
        <w:footnoteRef/>
      </w:r>
      <w:r>
        <w:t xml:space="preserve"> </w:t>
      </w:r>
      <w:r>
        <w:tab/>
        <w:t xml:space="preserve">Energex, </w:t>
      </w:r>
      <w:r>
        <w:rPr>
          <w:rStyle w:val="AERtextitalic"/>
        </w:rPr>
        <w:t>Regulatory proposa</w:t>
      </w:r>
      <w:r w:rsidRPr="005B4158">
        <w:rPr>
          <w:rStyle w:val="AERtextitalic"/>
        </w:rPr>
        <w:t>l</w:t>
      </w:r>
      <w:r>
        <w:rPr>
          <w:rStyle w:val="AERtextitalic"/>
        </w:rPr>
        <w:t>: July 2015 to June 2020</w:t>
      </w:r>
      <w:r>
        <w:t>, October 2014, pp. 258 -261.</w:t>
      </w:r>
    </w:p>
  </w:footnote>
  <w:footnote w:id="9">
    <w:p w:rsidR="009C1B5E" w:rsidRDefault="009C1B5E" w:rsidP="008C0D0C">
      <w:pPr>
        <w:pStyle w:val="FootnoteText"/>
      </w:pPr>
      <w:r>
        <w:rPr>
          <w:rStyle w:val="FootnoteReference"/>
        </w:rPr>
        <w:footnoteRef/>
      </w:r>
      <w:r>
        <w:t xml:space="preserve"> </w:t>
      </w:r>
      <w:r>
        <w:tab/>
        <w:t>Energex</w:t>
      </w:r>
      <w:r w:rsidRPr="009503B1">
        <w:t xml:space="preserve">, </w:t>
      </w:r>
      <w:r>
        <w:rPr>
          <w:rStyle w:val="AERtextitalic"/>
        </w:rPr>
        <w:t>Regulatory</w:t>
      </w:r>
      <w:r w:rsidRPr="00DA2343">
        <w:rPr>
          <w:rStyle w:val="AERtextitalic"/>
        </w:rPr>
        <w:t xml:space="preserve"> proposal 2015</w:t>
      </w:r>
      <w:r>
        <w:rPr>
          <w:rStyle w:val="AERtextitalic"/>
        </w:rPr>
        <w:t>–20</w:t>
      </w:r>
      <w:r w:rsidRPr="009503B1">
        <w:t xml:space="preserve">, </w:t>
      </w:r>
      <w:r>
        <w:t>31 October</w:t>
      </w:r>
      <w:r w:rsidRPr="009503B1">
        <w:t xml:space="preserve"> 2014, p</w:t>
      </w:r>
      <w:r>
        <w:t xml:space="preserve">p. 256–264, 278–281, 292–294; </w:t>
      </w:r>
      <w:r w:rsidRPr="008D29D6">
        <w:t xml:space="preserve">Energex, </w:t>
      </w:r>
      <w:r w:rsidRPr="008D29D6">
        <w:rPr>
          <w:rStyle w:val="AERtextitalic"/>
        </w:rPr>
        <w:t>Regulatory proposal 2015–20</w:t>
      </w:r>
      <w:r>
        <w:rPr>
          <w:rStyle w:val="AERtextitalic"/>
        </w:rPr>
        <w:t>: Appendix 54—Alternative control services—price cap services</w:t>
      </w:r>
      <w:r w:rsidRPr="008D29D6">
        <w:t xml:space="preserve">, 31 October 2014, pp. </w:t>
      </w:r>
      <w:r>
        <w:t xml:space="preserve">1–58; </w:t>
      </w:r>
      <w:r w:rsidRPr="008D29D6">
        <w:t xml:space="preserve">Energex, </w:t>
      </w:r>
      <w:r w:rsidRPr="008D29D6">
        <w:rPr>
          <w:rStyle w:val="AERtextitalic"/>
        </w:rPr>
        <w:t xml:space="preserve">Regulatory proposal 2015–20: Appendix </w:t>
      </w:r>
      <w:r>
        <w:rPr>
          <w:rStyle w:val="AERtextitalic"/>
        </w:rPr>
        <w:t>55</w:t>
      </w:r>
      <w:r w:rsidRPr="008D29D6">
        <w:rPr>
          <w:rStyle w:val="AERtextitalic"/>
        </w:rPr>
        <w:t>—Alternative control services</w:t>
      </w:r>
      <w:r>
        <w:rPr>
          <w:rStyle w:val="AERtextitalic"/>
        </w:rPr>
        <w:t xml:space="preserve"> provided on a quoted basis</w:t>
      </w:r>
      <w:r w:rsidRPr="008D29D6">
        <w:t xml:space="preserve">, 31 October 2014, pp. </w:t>
      </w:r>
      <w:r>
        <w:t>1–5.</w:t>
      </w:r>
    </w:p>
  </w:footnote>
  <w:footnote w:id="10">
    <w:p w:rsidR="009C1B5E" w:rsidRDefault="009C1B5E" w:rsidP="008C0D0C">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11">
    <w:p w:rsidR="009C1B5E" w:rsidRDefault="009C1B5E" w:rsidP="009B1D33">
      <w:pPr>
        <w:pStyle w:val="FootnoteText"/>
      </w:pPr>
      <w:r>
        <w:rPr>
          <w:rStyle w:val="FootnoteReference"/>
        </w:rPr>
        <w:footnoteRef/>
      </w:r>
      <w:r>
        <w:t xml:space="preserve"> </w:t>
      </w:r>
      <w:r>
        <w:tab/>
        <w:t>NEL, s7A and 16.</w:t>
      </w:r>
    </w:p>
  </w:footnote>
  <w:footnote w:id="12">
    <w:p w:rsidR="009C1B5E" w:rsidRDefault="009C1B5E" w:rsidP="008C0D0C">
      <w:pPr>
        <w:pStyle w:val="FootnoteText"/>
      </w:pPr>
      <w:r>
        <w:rPr>
          <w:rStyle w:val="FootnoteReference"/>
        </w:rPr>
        <w:footnoteRef/>
      </w:r>
      <w:r>
        <w:t xml:space="preserve"> </w:t>
      </w:r>
      <w:r>
        <w:tab/>
      </w:r>
      <w:r w:rsidRPr="009725BF">
        <w:t>Deloitte</w:t>
      </w:r>
      <w:r>
        <w:t xml:space="preserve"> Access Economics</w:t>
      </w:r>
      <w:r w:rsidRPr="009725BF">
        <w:t xml:space="preserve">, </w:t>
      </w:r>
      <w:r w:rsidRPr="009725BF">
        <w:rPr>
          <w:rStyle w:val="AERtextitalic"/>
        </w:rPr>
        <w:t>NSW distribution network service providers labour analysis–Addendum to 2014 report</w:t>
      </w:r>
      <w:r w:rsidRPr="009725BF">
        <w:t>, April 2015.</w:t>
      </w:r>
    </w:p>
  </w:footnote>
  <w:footnote w:id="13">
    <w:p w:rsidR="009C1B5E" w:rsidRDefault="009C1B5E" w:rsidP="008C0D0C">
      <w:pPr>
        <w:pStyle w:val="FootnoteText"/>
      </w:pPr>
      <w:r>
        <w:rPr>
          <w:rStyle w:val="FootnoteReference"/>
        </w:rPr>
        <w:footnoteRef/>
      </w:r>
      <w:r>
        <w:t xml:space="preserve"> </w:t>
      </w:r>
      <w:r>
        <w:tab/>
        <w:t xml:space="preserve">AGL, </w:t>
      </w:r>
      <w:r w:rsidRPr="00A83F50">
        <w:rPr>
          <w:rStyle w:val="Emphasis"/>
        </w:rPr>
        <w:t>AGL Submission to the Australian Energy Regulator</w:t>
      </w:r>
      <w:r>
        <w:t xml:space="preserve">, 30 January 2015, p. 26. </w:t>
      </w:r>
    </w:p>
  </w:footnote>
  <w:footnote w:id="14">
    <w:p w:rsidR="009C1B5E" w:rsidRDefault="009C1B5E" w:rsidP="008C0D0C">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1.</w:t>
      </w:r>
    </w:p>
  </w:footnote>
  <w:footnote w:id="15">
    <w:p w:rsidR="009C1B5E" w:rsidRDefault="009C1B5E" w:rsidP="0009032A">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r w:rsidRPr="0009032A">
        <w:rPr>
          <w:rStyle w:val="Hyperlink"/>
          <w:color w:val="auto"/>
          <w:sz w:val="16"/>
          <w:u w:val="none"/>
        </w:rPr>
        <w:t>.</w:t>
      </w:r>
    </w:p>
  </w:footnote>
  <w:footnote w:id="16">
    <w:p w:rsidR="009C1B5E" w:rsidRPr="00B87258" w:rsidRDefault="009C1B5E" w:rsidP="008C0D0C">
      <w:pPr>
        <w:pStyle w:val="FootnoteText"/>
        <w:rPr>
          <w:rStyle w:val="AERtextitalic"/>
        </w:rPr>
      </w:pPr>
      <w:r>
        <w:rPr>
          <w:rStyle w:val="FootnoteReference"/>
        </w:rPr>
        <w:footnoteRef/>
      </w:r>
      <w:r>
        <w:t xml:space="preserve"> </w:t>
      </w:r>
      <w:r>
        <w:tab/>
        <w:t xml:space="preserve">Marsden Jacob Associates, </w:t>
      </w:r>
      <w:r>
        <w:rPr>
          <w:rStyle w:val="AERtextitalic"/>
        </w:rPr>
        <w:t>MJA analysis.</w:t>
      </w:r>
    </w:p>
  </w:footnote>
  <w:footnote w:id="17">
    <w:p w:rsidR="009C1B5E" w:rsidRPr="00D33A91" w:rsidRDefault="009C1B5E" w:rsidP="008C0D0C">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18">
    <w:p w:rsidR="009C1B5E" w:rsidRPr="00D33A91" w:rsidRDefault="009C1B5E" w:rsidP="008C0D0C">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19">
    <w:p w:rsidR="009C1B5E" w:rsidRDefault="009C1B5E" w:rsidP="008C0D0C">
      <w:pPr>
        <w:pStyle w:val="FootnoteText"/>
      </w:pPr>
      <w:r>
        <w:rPr>
          <w:rStyle w:val="FootnoteReference"/>
        </w:rPr>
        <w:footnoteRef/>
      </w:r>
      <w:r>
        <w:t xml:space="preserve"> </w:t>
      </w:r>
      <w:r>
        <w:tab/>
      </w:r>
      <w:r w:rsidRPr="00207856">
        <w:rPr>
          <w:rStyle w:val="AERtexthighlight"/>
          <w:shd w:val="clear" w:color="auto" w:fill="auto"/>
        </w:rPr>
        <w:t>Energex</w:t>
      </w:r>
      <w:r w:rsidRPr="0047453D">
        <w:rPr>
          <w:rStyle w:val="AERtexthighlight"/>
          <w:shd w:val="clear" w:color="auto" w:fill="auto"/>
        </w:rPr>
        <w:t xml:space="preserve">, </w:t>
      </w:r>
      <w:r>
        <w:rPr>
          <w:rStyle w:val="Emphasis"/>
        </w:rPr>
        <w:t>Energex Union Collective Agreement</w:t>
      </w:r>
      <w:r w:rsidRPr="0047453D">
        <w:rPr>
          <w:rStyle w:val="AERtexthighlight"/>
          <w:shd w:val="clear" w:color="auto" w:fill="auto"/>
        </w:rPr>
        <w:t>, pp.</w:t>
      </w:r>
      <w:r w:rsidRPr="00207856">
        <w:rPr>
          <w:rStyle w:val="AERtexthighlight"/>
          <w:shd w:val="clear" w:color="auto" w:fill="auto"/>
        </w:rPr>
        <w:t xml:space="preserve"> 47-57.</w:t>
      </w:r>
    </w:p>
  </w:footnote>
  <w:footnote w:id="20">
    <w:p w:rsidR="009C1B5E" w:rsidRPr="0049041C" w:rsidRDefault="009C1B5E" w:rsidP="008C0D0C">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21">
    <w:p w:rsidR="009C1B5E" w:rsidRDefault="009C1B5E" w:rsidP="008C0D0C">
      <w:pPr>
        <w:pStyle w:val="FootnoteText"/>
      </w:pPr>
      <w:r>
        <w:rPr>
          <w:rStyle w:val="FootnoteReference"/>
        </w:rPr>
        <w:footnoteRef/>
      </w:r>
      <w:r>
        <w:t xml:space="preserve"> </w:t>
      </w:r>
      <w:r>
        <w:tab/>
        <w:t xml:space="preserve">Marsden Jacob Associates, </w:t>
      </w:r>
      <w:r w:rsidRPr="00A55B3A">
        <w:rPr>
          <w:rStyle w:val="AERtextitalic"/>
        </w:rPr>
        <w:t>Provision of advice in relation to alternative control services—advice prepared for the Australian Energy Regulator</w:t>
      </w:r>
      <w:r>
        <w:t>, 20 October 2014, p. 5.</w:t>
      </w:r>
    </w:p>
  </w:footnote>
  <w:footnote w:id="22">
    <w:p w:rsidR="009C1B5E" w:rsidRDefault="009C1B5E" w:rsidP="009B1D33">
      <w:pPr>
        <w:pStyle w:val="FootnoteText"/>
      </w:pPr>
      <w:r>
        <w:rPr>
          <w:rStyle w:val="FootnoteReference"/>
        </w:rPr>
        <w:footnoteRef/>
      </w:r>
      <w:r>
        <w:t xml:space="preserve"> </w:t>
      </w:r>
      <w:r>
        <w:tab/>
      </w:r>
      <w:r w:rsidRPr="00AB76E0">
        <w:t xml:space="preserve">Ergon Energy, </w:t>
      </w:r>
      <w:r w:rsidRPr="00AB76E0">
        <w:rPr>
          <w:rStyle w:val="AERtextitalic"/>
        </w:rPr>
        <w:t>Regulatory proposal 2015-20: 05.06.02—fixed fee services model</w:t>
      </w:r>
      <w:r w:rsidRPr="00AB76E0">
        <w:t xml:space="preserve">, 31 October 2014 (CONFIDENTIAL); Ergon Energy, </w:t>
      </w:r>
      <w:r w:rsidRPr="00AB76E0">
        <w:rPr>
          <w:rStyle w:val="AERtextitalic"/>
        </w:rPr>
        <w:t>Regulatory proposal 2015-20: 05.06.03—quoted price services model</w:t>
      </w:r>
      <w:r w:rsidRPr="00AB76E0">
        <w:t xml:space="preserve">, 31 October 2014 (CONFIDENTIAL); Energex, </w:t>
      </w:r>
      <w:r w:rsidRPr="00AB76E0">
        <w:rPr>
          <w:rStyle w:val="AERtextitalic"/>
        </w:rPr>
        <w:t>Regulatory proposal 2015-20: Alternative control services costing model</w:t>
      </w:r>
      <w:r w:rsidRPr="00AB76E0">
        <w:t>, 31 October 2014 (CONFIDENTIAL).</w:t>
      </w:r>
      <w:r w:rsidRPr="00AF6FDF">
        <w:rPr>
          <w:rStyle w:val="AERtexthighlight"/>
        </w:rPr>
        <w:t xml:space="preserve"> </w:t>
      </w:r>
    </w:p>
  </w:footnote>
  <w:footnote w:id="23">
    <w:p w:rsidR="009C1B5E" w:rsidRPr="0049041C" w:rsidRDefault="009C1B5E" w:rsidP="008C0D0C">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24">
    <w:p w:rsidR="009C1B5E" w:rsidRDefault="009C1B5E" w:rsidP="009B1D33">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25">
    <w:p w:rsidR="009C1B5E" w:rsidRDefault="009C1B5E" w:rsidP="009B1D33">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26">
    <w:p w:rsidR="009C1B5E" w:rsidRDefault="009C1B5E" w:rsidP="00DE752C">
      <w:pPr>
        <w:pStyle w:val="FootnoteText"/>
      </w:pPr>
      <w:r>
        <w:rPr>
          <w:rStyle w:val="FootnoteReference"/>
        </w:rPr>
        <w:footnoteRef/>
      </w:r>
      <w:r>
        <w:t xml:space="preserve"> </w:t>
      </w:r>
      <w:r>
        <w:tab/>
      </w:r>
      <w:r w:rsidRPr="009C43CC">
        <w:t>NER clause 7.2.3(a)</w:t>
      </w:r>
      <w:r>
        <w:t>. Small customers refers to any customer with less than 160MWh annual consumption (effectively all residential and small business customers fall into this category).</w:t>
      </w:r>
    </w:p>
  </w:footnote>
  <w:footnote w:id="27">
    <w:p w:rsidR="009C1B5E" w:rsidRDefault="009C1B5E" w:rsidP="00DE752C">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28">
    <w:p w:rsidR="009C1B5E" w:rsidRDefault="009C1B5E" w:rsidP="00DE752C">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29">
    <w:p w:rsidR="009C1B5E" w:rsidRDefault="009C1B5E" w:rsidP="00DE752C">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79.</w:t>
      </w:r>
    </w:p>
  </w:footnote>
  <w:footnote w:id="30">
    <w:p w:rsidR="009C1B5E" w:rsidRDefault="009C1B5E" w:rsidP="00DE752C">
      <w:pPr>
        <w:pStyle w:val="FootnoteText"/>
      </w:pPr>
      <w:r>
        <w:rPr>
          <w:rStyle w:val="FootnoteReference"/>
        </w:rPr>
        <w:footnoteRef/>
      </w:r>
      <w:r>
        <w:t xml:space="preserve"> </w:t>
      </w:r>
      <w:r>
        <w:tab/>
        <w:t xml:space="preserve">AER, </w:t>
      </w:r>
      <w:r w:rsidRPr="00F11476">
        <w:rPr>
          <w:rStyle w:val="AERtextitalic"/>
        </w:rPr>
        <w:t>Final framework and approach for Energex and Ergon Energy</w:t>
      </w:r>
      <w:r>
        <w:t>,</w:t>
      </w:r>
      <w:r w:rsidRPr="009164B7">
        <w:t xml:space="preserve"> April 2014</w:t>
      </w:r>
      <w:r>
        <w:t xml:space="preserve">. p. 21 </w:t>
      </w:r>
    </w:p>
  </w:footnote>
  <w:footnote w:id="31">
    <w:p w:rsidR="009C1B5E" w:rsidRDefault="009C1B5E" w:rsidP="00DE752C">
      <w:pPr>
        <w:pStyle w:val="FootnoteText"/>
      </w:pPr>
      <w:r>
        <w:rPr>
          <w:rStyle w:val="FootnoteReference"/>
        </w:rPr>
        <w:footnoteRef/>
      </w:r>
      <w:r>
        <w:t xml:space="preserve"> </w:t>
      </w:r>
      <w:r>
        <w:tab/>
      </w:r>
      <w:r w:rsidRPr="00F11476">
        <w:t xml:space="preserve">AER, </w:t>
      </w:r>
      <w:r w:rsidRPr="00F11476">
        <w:rPr>
          <w:rStyle w:val="AERtextitalic"/>
        </w:rPr>
        <w:t>Final framework and approach for Energex and Ergon Energy</w:t>
      </w:r>
      <w:r w:rsidRPr="00F11476">
        <w:t>, April 2014. p. 52</w:t>
      </w:r>
    </w:p>
  </w:footnote>
  <w:footnote w:id="32">
    <w:p w:rsidR="009C1B5E" w:rsidRDefault="009C1B5E" w:rsidP="00DE752C">
      <w:pPr>
        <w:pStyle w:val="FootnoteText"/>
      </w:pPr>
      <w:r>
        <w:rPr>
          <w:rStyle w:val="FootnoteReference"/>
        </w:rPr>
        <w:footnoteRef/>
      </w:r>
      <w:r>
        <w:t xml:space="preserve"> </w:t>
      </w:r>
      <w:r>
        <w:tab/>
        <w:t>The MAB is largely the undepreciated value of all existing meters. It will increase slightly in the 2015–20 regulatory control period to include forecast replacement capex. A meter has to be replaced if it suddenly fails or may have to be proactively replaced because the distributor must comply with AEMO's metrology procedures.</w:t>
      </w:r>
    </w:p>
  </w:footnote>
  <w:footnote w:id="33">
    <w:p w:rsidR="009C1B5E" w:rsidRDefault="009C1B5E" w:rsidP="00DE752C">
      <w:pPr>
        <w:pStyle w:val="FootnoteText"/>
      </w:pPr>
      <w:r>
        <w:rPr>
          <w:rStyle w:val="FootnoteReference"/>
        </w:rPr>
        <w:footnoteRef/>
      </w:r>
      <w:r>
        <w:t xml:space="preserve"> </w:t>
      </w:r>
      <w:r>
        <w:tab/>
      </w:r>
      <w:r w:rsidRPr="0086544B">
        <w:t>Energex, Regulatory Proposal for the 2015–20 regulatory control period, October 2014, p.</w:t>
      </w:r>
      <w:r>
        <w:t xml:space="preserve"> 272.</w:t>
      </w:r>
    </w:p>
  </w:footnote>
  <w:footnote w:id="34">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275.</w:t>
      </w:r>
    </w:p>
  </w:footnote>
  <w:footnote w:id="35">
    <w:p w:rsidR="009C1B5E" w:rsidRDefault="009C1B5E" w:rsidP="00DE752C">
      <w:pPr>
        <w:pStyle w:val="FootnoteText"/>
      </w:pPr>
      <w:r>
        <w:rPr>
          <w:rStyle w:val="FootnoteReference"/>
        </w:rPr>
        <w:footnoteRef/>
      </w:r>
      <w:r>
        <w:t xml:space="preserve"> </w:t>
      </w:r>
      <w:r>
        <w:tab/>
        <w:t>Energex</w:t>
      </w:r>
      <w:r w:rsidRPr="00840D40">
        <w:rPr>
          <w:rStyle w:val="AERtextitalic"/>
        </w:rPr>
        <w:t>, Regulatory proposal</w:t>
      </w:r>
      <w:r>
        <w:rPr>
          <w:rStyle w:val="AERtextitalic"/>
        </w:rPr>
        <w:t>: July 2015 to June 2020</w:t>
      </w:r>
      <w:r>
        <w:t>, October 2014, p. 275.</w:t>
      </w:r>
    </w:p>
  </w:footnote>
  <w:footnote w:id="36">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275.</w:t>
      </w:r>
    </w:p>
  </w:footnote>
  <w:footnote w:id="37">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272–3.</w:t>
      </w:r>
    </w:p>
  </w:footnote>
  <w:footnote w:id="38">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273.</w:t>
      </w:r>
    </w:p>
  </w:footnote>
  <w:footnote w:id="39">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273.</w:t>
      </w:r>
    </w:p>
  </w:footnote>
  <w:footnote w:id="40">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273.</w:t>
      </w:r>
    </w:p>
  </w:footnote>
  <w:footnote w:id="41">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273.</w:t>
      </w:r>
    </w:p>
  </w:footnote>
  <w:footnote w:id="42">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273.</w:t>
      </w:r>
    </w:p>
  </w:footnote>
  <w:footnote w:id="43">
    <w:p w:rsidR="009C1B5E" w:rsidRDefault="009C1B5E" w:rsidP="00DE752C">
      <w:pPr>
        <w:pStyle w:val="FootnoteText"/>
      </w:pPr>
      <w:r>
        <w:rPr>
          <w:rStyle w:val="FootnoteReference"/>
        </w:rPr>
        <w:footnoteRef/>
      </w:r>
      <w:r>
        <w:t xml:space="preserve"> </w:t>
      </w:r>
      <w:r>
        <w:tab/>
        <w:t>Energex</w:t>
      </w:r>
      <w:r w:rsidRPr="00840D40">
        <w:rPr>
          <w:rStyle w:val="AERtextitalic"/>
        </w:rPr>
        <w:t xml:space="preserve"> Regulatory proposal</w:t>
      </w:r>
      <w:r>
        <w:rPr>
          <w:rStyle w:val="AERtextitalic"/>
        </w:rPr>
        <w:t>: July 2015 to June 2020</w:t>
      </w:r>
      <w:r>
        <w:t>, October 2014, p. 273.</w:t>
      </w:r>
    </w:p>
  </w:footnote>
  <w:footnote w:id="44">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273.</w:t>
      </w:r>
    </w:p>
  </w:footnote>
  <w:footnote w:id="45">
    <w:p w:rsidR="009C1B5E" w:rsidRDefault="009C1B5E" w:rsidP="00DE752C">
      <w:pPr>
        <w:pStyle w:val="FootnoteText"/>
      </w:pPr>
      <w:r>
        <w:rPr>
          <w:rStyle w:val="FootnoteReference"/>
        </w:rPr>
        <w:footnoteRef/>
      </w:r>
      <w:r>
        <w:t xml:space="preserve"> </w:t>
      </w:r>
      <w:r>
        <w:tab/>
        <w:t xml:space="preserve">AER, </w:t>
      </w:r>
      <w:r w:rsidRPr="00F94A1F">
        <w:rPr>
          <w:rStyle w:val="AERtextitalic"/>
        </w:rPr>
        <w:t>Final framework for Energex and Ergon Energy</w:t>
      </w:r>
      <w:r>
        <w:t>, April 2014, p. 52.</w:t>
      </w:r>
    </w:p>
  </w:footnote>
  <w:footnote w:id="46">
    <w:p w:rsidR="009C1B5E" w:rsidRDefault="009C1B5E" w:rsidP="00DE752C">
      <w:pPr>
        <w:pStyle w:val="FootnoteText"/>
      </w:pPr>
      <w:r>
        <w:rPr>
          <w:rStyle w:val="FootnoteReference"/>
        </w:rPr>
        <w:footnoteRef/>
      </w:r>
      <w:r>
        <w:t xml:space="preserve"> </w:t>
      </w:r>
      <w:r>
        <w:tab/>
        <w:t xml:space="preserve">AER, </w:t>
      </w:r>
      <w:r w:rsidRPr="00F94A1F">
        <w:rPr>
          <w:rStyle w:val="AERtextitalic"/>
        </w:rPr>
        <w:t>Final framework for Energex and Ergon Energy</w:t>
      </w:r>
      <w:r>
        <w:t xml:space="preserve">, April 2014, p. 45. </w:t>
      </w:r>
    </w:p>
  </w:footnote>
  <w:footnote w:id="47">
    <w:p w:rsidR="009C1B5E" w:rsidRDefault="009C1B5E" w:rsidP="00DE752C">
      <w:pPr>
        <w:pStyle w:val="FootnoteText"/>
      </w:pPr>
      <w:r>
        <w:rPr>
          <w:rStyle w:val="FootnoteReference"/>
        </w:rPr>
        <w:footnoteRef/>
      </w:r>
      <w:r>
        <w:t xml:space="preserve"> </w:t>
      </w:r>
      <w:r>
        <w:tab/>
        <w:t xml:space="preserve">AEMC, </w:t>
      </w:r>
      <w:r w:rsidRPr="000377BF">
        <w:rPr>
          <w:rStyle w:val="AERtextitalic"/>
        </w:rPr>
        <w:t>Draft Rule Determination (Expanding competition in metering and related services)</w:t>
      </w:r>
      <w:r>
        <w:t>, 26 March 2015, p 225</w:t>
      </w:r>
    </w:p>
  </w:footnote>
  <w:footnote w:id="48">
    <w:p w:rsidR="009C1B5E" w:rsidRDefault="009C1B5E" w:rsidP="00DE752C">
      <w:pPr>
        <w:pStyle w:val="FootnoteText"/>
      </w:pPr>
      <w:r>
        <w:rPr>
          <w:rStyle w:val="FootnoteReference"/>
        </w:rPr>
        <w:footnoteRef/>
      </w:r>
      <w:r>
        <w:t xml:space="preserve"> </w:t>
      </w:r>
      <w:r>
        <w:tab/>
        <w:t>NER, cl. 6.2.2(c) and cl. 6.2.5(d).</w:t>
      </w:r>
    </w:p>
  </w:footnote>
  <w:footnote w:id="49">
    <w:p w:rsidR="009C1B5E" w:rsidRDefault="009C1B5E" w:rsidP="00DE752C">
      <w:pPr>
        <w:pStyle w:val="FootnoteText"/>
        <w:tabs>
          <w:tab w:val="left" w:pos="284"/>
        </w:tabs>
      </w:pPr>
      <w:r>
        <w:rPr>
          <w:rStyle w:val="FootnoteReference"/>
        </w:rPr>
        <w:footnoteRef/>
      </w:r>
      <w:r>
        <w:t xml:space="preserve"> </w:t>
      </w:r>
      <w:r>
        <w:tab/>
      </w:r>
      <w:r>
        <w:tab/>
        <w:t>NEL, Revenue and Pricing Principles, 7A (2).</w:t>
      </w:r>
    </w:p>
  </w:footnote>
  <w:footnote w:id="50">
    <w:p w:rsidR="009C1B5E" w:rsidRDefault="009C1B5E" w:rsidP="00DE752C">
      <w:pPr>
        <w:pStyle w:val="FootnoteText"/>
      </w:pPr>
      <w:r>
        <w:rPr>
          <w:rStyle w:val="FootnoteReference"/>
        </w:rPr>
        <w:footnoteRef/>
      </w:r>
      <w:r>
        <w:t xml:space="preserve"> </w:t>
      </w:r>
      <w:r>
        <w:tab/>
      </w:r>
      <w:r w:rsidRPr="001E6A18">
        <w:t>Material costs relate to the hardware used to provide metering services. Non–material costs relate t</w:t>
      </w:r>
      <w:r>
        <w:t>o the labour activities which Energex</w:t>
      </w:r>
      <w:r w:rsidRPr="001E6A18">
        <w:t xml:space="preserve"> must perform in order to replace a meter.</w:t>
      </w:r>
    </w:p>
  </w:footnote>
  <w:footnote w:id="51">
    <w:p w:rsidR="009C1B5E" w:rsidRDefault="009C1B5E" w:rsidP="00DE752C">
      <w:pPr>
        <w:pStyle w:val="FootnoteText"/>
      </w:pPr>
      <w:r>
        <w:rPr>
          <w:rStyle w:val="FootnoteReference"/>
        </w:rPr>
        <w:footnoteRef/>
      </w:r>
      <w:r>
        <w:t xml:space="preserve"> </w:t>
      </w:r>
      <w:r>
        <w:tab/>
        <w:t xml:space="preserve">AER, </w:t>
      </w:r>
      <w:r w:rsidRPr="00206B2F">
        <w:rPr>
          <w:rStyle w:val="AERtextitalic"/>
        </w:rPr>
        <w:t>Economic benchmarking RIN for distribution network service providers - Instructions and Definitions - Sample</w:t>
      </w:r>
      <w:r>
        <w:t>, November 2013.</w:t>
      </w:r>
    </w:p>
  </w:footnote>
  <w:footnote w:id="52">
    <w:p w:rsidR="009C1B5E" w:rsidRDefault="009C1B5E" w:rsidP="00DE752C">
      <w:pPr>
        <w:pStyle w:val="FootnoteText"/>
      </w:pPr>
      <w:r>
        <w:rPr>
          <w:rStyle w:val="FootnoteReference"/>
        </w:rPr>
        <w:footnoteRef/>
      </w:r>
      <w:r>
        <w:t xml:space="preserve"> </w:t>
      </w:r>
      <w:r>
        <w:tab/>
        <w:t xml:space="preserve">Victorian distributors rolled out advanced metering technology in the last regulatory period. These costs are not comparable to other distributors which have type 5 and 6 meters. </w:t>
      </w:r>
    </w:p>
  </w:footnote>
  <w:footnote w:id="53">
    <w:p w:rsidR="009C1B5E" w:rsidRDefault="009C1B5E" w:rsidP="00DE752C">
      <w:pPr>
        <w:pStyle w:val="FootnoteText"/>
      </w:pPr>
      <w:r>
        <w:rPr>
          <w:rStyle w:val="FootnoteReference"/>
        </w:rPr>
        <w:footnoteRef/>
      </w:r>
      <w:r>
        <w:t xml:space="preserve"> </w:t>
      </w:r>
      <w:r>
        <w:tab/>
        <w:t>NER, clause 6.5.6(c).</w:t>
      </w:r>
    </w:p>
  </w:footnote>
  <w:footnote w:id="54">
    <w:p w:rsidR="009C1B5E" w:rsidRDefault="009C1B5E" w:rsidP="00DE752C">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 p.11, 24.</w:t>
      </w:r>
    </w:p>
  </w:footnote>
  <w:footnote w:id="55">
    <w:p w:rsidR="009C1B5E" w:rsidRDefault="009C1B5E" w:rsidP="00DE752C">
      <w:pPr>
        <w:pStyle w:val="FootnoteText"/>
      </w:pPr>
      <w:r>
        <w:rPr>
          <w:rStyle w:val="FootnoteReference"/>
        </w:rPr>
        <w:footnoteRef/>
      </w:r>
      <w:r>
        <w:t xml:space="preserve"> </w:t>
      </w:r>
      <w:r>
        <w:tab/>
        <w:t xml:space="preserve">NER, </w:t>
      </w:r>
      <w:proofErr w:type="spellStart"/>
      <w:r>
        <w:t>cll</w:t>
      </w:r>
      <w:proofErr w:type="spellEnd"/>
      <w:r>
        <w:t>. 6.5.6 and 6.5.7.</w:t>
      </w:r>
    </w:p>
  </w:footnote>
  <w:footnote w:id="56">
    <w:p w:rsidR="009C1B5E" w:rsidRDefault="009C1B5E" w:rsidP="00DE752C">
      <w:pPr>
        <w:pStyle w:val="FootnoteText"/>
      </w:pPr>
      <w:r>
        <w:rPr>
          <w:rStyle w:val="FootnoteReference"/>
        </w:rPr>
        <w:footnoteRef/>
      </w:r>
      <w:r>
        <w:t xml:space="preserve"> </w:t>
      </w:r>
      <w:r>
        <w:tab/>
        <w:t xml:space="preserve">NER, </w:t>
      </w:r>
      <w:proofErr w:type="spellStart"/>
      <w:r>
        <w:t>cll</w:t>
      </w:r>
      <w:proofErr w:type="spellEnd"/>
      <w:r>
        <w:t>. 6.5.6(c) and 6.5.7(c).</w:t>
      </w:r>
    </w:p>
  </w:footnote>
  <w:footnote w:id="57">
    <w:p w:rsidR="009C1B5E" w:rsidRDefault="009C1B5E" w:rsidP="00DE752C">
      <w:pPr>
        <w:pStyle w:val="FootnoteText"/>
      </w:pPr>
      <w:r>
        <w:rPr>
          <w:rStyle w:val="FootnoteReference"/>
        </w:rPr>
        <w:footnoteRef/>
      </w:r>
      <w:r>
        <w:t xml:space="preserve"> </w:t>
      </w:r>
      <w:r>
        <w:tab/>
        <w:t>Energex, AER Energex 039, Email dated: 15 April 2015.</w:t>
      </w:r>
    </w:p>
  </w:footnote>
  <w:footnote w:id="58">
    <w:p w:rsidR="009C1B5E" w:rsidRDefault="009C1B5E" w:rsidP="00F10F02">
      <w:pPr>
        <w:pStyle w:val="FootnoteText"/>
      </w:pPr>
      <w:r>
        <w:rPr>
          <w:rStyle w:val="FootnoteReference"/>
        </w:rPr>
        <w:footnoteRef/>
      </w:r>
      <w:r>
        <w:t xml:space="preserve"> </w:t>
      </w:r>
      <w:r>
        <w:tab/>
        <w:t xml:space="preserve">Australian Energy Market Commission, Draft rule determination, </w:t>
      </w:r>
      <w:r w:rsidRPr="009F5337">
        <w:t>Expanding competition in metering and related services</w:t>
      </w:r>
      <w:r>
        <w:t>, 26 March 2015.</w:t>
      </w:r>
    </w:p>
  </w:footnote>
  <w:footnote w:id="59">
    <w:p w:rsidR="009C1B5E" w:rsidRDefault="009C1B5E" w:rsidP="00DE752C">
      <w:pPr>
        <w:pStyle w:val="FootnoteText"/>
      </w:pPr>
      <w:r>
        <w:rPr>
          <w:rStyle w:val="FootnoteReference"/>
        </w:rPr>
        <w:footnoteRef/>
      </w:r>
      <w:r>
        <w:t xml:space="preserve"> </w:t>
      </w:r>
      <w:r>
        <w:tab/>
        <w:t>NEL, Revenue and Pricing Principles, 7A (2).</w:t>
      </w:r>
    </w:p>
  </w:footnote>
  <w:footnote w:id="60">
    <w:p w:rsidR="009C1B5E" w:rsidRDefault="009C1B5E" w:rsidP="00DE752C">
      <w:pPr>
        <w:pStyle w:val="FootnoteText"/>
      </w:pPr>
      <w:r>
        <w:rPr>
          <w:rStyle w:val="FootnoteReference"/>
        </w:rPr>
        <w:footnoteRef/>
      </w:r>
      <w:r>
        <w:t xml:space="preserve"> </w:t>
      </w:r>
      <w:r>
        <w:tab/>
        <w:t>Direct control services include standard and alternative control services.</w:t>
      </w:r>
    </w:p>
  </w:footnote>
  <w:footnote w:id="61">
    <w:p w:rsidR="009C1B5E" w:rsidRDefault="009C1B5E" w:rsidP="00DE752C">
      <w:pPr>
        <w:pStyle w:val="FootnoteText"/>
      </w:pPr>
      <w:r>
        <w:rPr>
          <w:rStyle w:val="FootnoteReference"/>
        </w:rPr>
        <w:footnoteRef/>
      </w:r>
      <w:r>
        <w:t xml:space="preserve"> </w:t>
      </w:r>
      <w:r>
        <w:tab/>
        <w:t xml:space="preserve">Although the capital costs of the meter remain to be recovered by the distributor, there is no longer any need to read the meter, thus providing an </w:t>
      </w:r>
      <w:proofErr w:type="spellStart"/>
      <w:r>
        <w:t>opex</w:t>
      </w:r>
      <w:proofErr w:type="spellEnd"/>
      <w:r>
        <w:t xml:space="preserve"> saving.</w:t>
      </w:r>
    </w:p>
  </w:footnote>
  <w:footnote w:id="62">
    <w:p w:rsidR="009C1B5E" w:rsidRDefault="009C1B5E" w:rsidP="00DE752C">
      <w:pPr>
        <w:pStyle w:val="FootnoteText"/>
      </w:pPr>
      <w:r>
        <w:rPr>
          <w:rStyle w:val="FootnoteReference"/>
        </w:rPr>
        <w:footnoteRef/>
      </w:r>
      <w:r>
        <w:t xml:space="preserve"> </w:t>
      </w:r>
      <w:r>
        <w:tab/>
      </w:r>
      <w:r w:rsidRPr="00A7473C">
        <w:t>QCOSS</w:t>
      </w:r>
      <w:r>
        <w:t>,</w:t>
      </w:r>
      <w:r w:rsidRPr="00A7473C">
        <w:t xml:space="preserve"> </w:t>
      </w:r>
      <w:r w:rsidRPr="000377BF">
        <w:rPr>
          <w:rStyle w:val="AERtextitalic"/>
        </w:rPr>
        <w:t>Submission to AER Consultation Paper (Recovery of Residual Metering Costs)</w:t>
      </w:r>
      <w:r>
        <w:t xml:space="preserve">, </w:t>
      </w:r>
      <w:r w:rsidRPr="00A7473C">
        <w:t>31 March 2015</w:t>
      </w:r>
      <w:r>
        <w:t>, p 2</w:t>
      </w:r>
    </w:p>
  </w:footnote>
  <w:footnote w:id="63">
    <w:p w:rsidR="009C1B5E" w:rsidRDefault="009C1B5E" w:rsidP="00DE752C">
      <w:pPr>
        <w:pStyle w:val="FootnoteText"/>
      </w:pPr>
      <w:r>
        <w:rPr>
          <w:rStyle w:val="FootnoteReference"/>
        </w:rPr>
        <w:footnoteRef/>
      </w:r>
      <w:r>
        <w:t xml:space="preserve"> </w:t>
      </w:r>
      <w:r>
        <w:tab/>
      </w:r>
      <w:r w:rsidRPr="00F03511">
        <w:t xml:space="preserve">Consumer Challenge Panel, </w:t>
      </w:r>
      <w:r w:rsidRPr="000377BF">
        <w:rPr>
          <w:rStyle w:val="AERtextitalic"/>
        </w:rPr>
        <w:t>Updated submission on NSW DNSPs regulatory proposals 2014-19</w:t>
      </w:r>
      <w:r w:rsidRPr="00F03511">
        <w:t>, 15 August 2014, pp.</w:t>
      </w:r>
      <w:r>
        <w:t xml:space="preserve"> </w:t>
      </w:r>
      <w:r w:rsidRPr="00F03511">
        <w:t>36-7.</w:t>
      </w:r>
    </w:p>
    <w:p w:rsidR="009C1B5E" w:rsidRDefault="009C1B5E" w:rsidP="00DE752C">
      <w:pPr>
        <w:pStyle w:val="FootnoteText"/>
      </w:pPr>
      <w:r>
        <w:tab/>
        <w:t>Vector</w:t>
      </w:r>
      <w:r w:rsidRPr="00F03511">
        <w:t xml:space="preserve"> Limited</w:t>
      </w:r>
      <w:r>
        <w:t xml:space="preserve">, </w:t>
      </w:r>
      <w:r w:rsidRPr="000377BF">
        <w:rPr>
          <w:rStyle w:val="AERtextitalic"/>
        </w:rPr>
        <w:t>Submission on DNSPs regulatory proposals</w:t>
      </w:r>
      <w:r>
        <w:t>,</w:t>
      </w:r>
      <w:r w:rsidRPr="00F03511">
        <w:t xml:space="preserve"> 8 August 2014</w:t>
      </w:r>
      <w:r>
        <w:t xml:space="preserve"> p. 4.</w:t>
      </w:r>
    </w:p>
    <w:p w:rsidR="009C1B5E" w:rsidRDefault="009C1B5E" w:rsidP="00DE752C">
      <w:pPr>
        <w:pStyle w:val="FootnoteText"/>
      </w:pPr>
      <w:r>
        <w:tab/>
      </w:r>
      <w:r w:rsidRPr="00F03511">
        <w:t xml:space="preserve">ERAA, </w:t>
      </w:r>
      <w:r w:rsidRPr="000377BF">
        <w:rPr>
          <w:rStyle w:val="AERtextitalic"/>
        </w:rPr>
        <w:t>Submission on Issues paper NSW electricity distribution regulatory proposals</w:t>
      </w:r>
      <w:r w:rsidRPr="00F03511">
        <w:t>, 8 August 2014, p. 2.</w:t>
      </w:r>
    </w:p>
    <w:p w:rsidR="009C1B5E" w:rsidRDefault="009C1B5E" w:rsidP="00DE752C">
      <w:pPr>
        <w:pStyle w:val="FootnoteText"/>
      </w:pPr>
      <w:r>
        <w:tab/>
      </w:r>
      <w:r w:rsidRPr="00F03511">
        <w:t xml:space="preserve">Origin Energy, </w:t>
      </w:r>
      <w:r w:rsidRPr="000377BF">
        <w:rPr>
          <w:rStyle w:val="AERtextitalic"/>
        </w:rPr>
        <w:t>Submission on NSW electricity distributors regulatory proposal (attachment 1)</w:t>
      </w:r>
      <w:r>
        <w:t xml:space="preserve">, </w:t>
      </w:r>
      <w:r w:rsidRPr="00F03511">
        <w:t>8 August 2014, p. 33.</w:t>
      </w:r>
    </w:p>
    <w:p w:rsidR="009C1B5E" w:rsidRDefault="009C1B5E" w:rsidP="00DE752C">
      <w:pPr>
        <w:pStyle w:val="FootnoteText"/>
      </w:pPr>
      <w:r>
        <w:tab/>
      </w:r>
      <w:r w:rsidRPr="00F03511">
        <w:t xml:space="preserve">AGL, </w:t>
      </w:r>
      <w:r w:rsidRPr="000377BF">
        <w:rPr>
          <w:rStyle w:val="AERtextitalic"/>
        </w:rPr>
        <w:t>Submission on NSW electricity distribution networks regulatory proposals</w:t>
      </w:r>
      <w:r w:rsidRPr="00F03511">
        <w:t>, 8 August 2014, p. 21</w:t>
      </w:r>
      <w:r>
        <w:t>.</w:t>
      </w:r>
    </w:p>
    <w:p w:rsidR="009C1B5E" w:rsidRDefault="009C1B5E" w:rsidP="00DE752C">
      <w:pPr>
        <w:pStyle w:val="FootnoteText"/>
      </w:pPr>
      <w:r>
        <w:tab/>
      </w:r>
      <w:r w:rsidRPr="00F03511">
        <w:t xml:space="preserve">PIAC, </w:t>
      </w:r>
      <w:r w:rsidRPr="000377BF">
        <w:rPr>
          <w:rStyle w:val="AERtextitalic"/>
        </w:rPr>
        <w:t>Submission on NSW electricity distribution network price determination</w:t>
      </w:r>
      <w:r w:rsidRPr="00F03511">
        <w:t>, 8 August 2014, p. 105.</w:t>
      </w:r>
    </w:p>
  </w:footnote>
  <w:footnote w:id="64">
    <w:p w:rsidR="009C1B5E" w:rsidRDefault="009C1B5E" w:rsidP="00DE752C">
      <w:pPr>
        <w:pStyle w:val="FootnoteText"/>
      </w:pPr>
      <w:r>
        <w:rPr>
          <w:rStyle w:val="FootnoteReference"/>
        </w:rPr>
        <w:footnoteRef/>
      </w:r>
      <w:r>
        <w:t xml:space="preserve"> </w:t>
      </w:r>
      <w:r>
        <w:tab/>
        <w:t>Vector</w:t>
      </w:r>
      <w:r w:rsidRPr="00F03511">
        <w:t xml:space="preserve"> Limited</w:t>
      </w:r>
      <w:r>
        <w:t xml:space="preserve">, </w:t>
      </w:r>
      <w:r w:rsidRPr="000377BF">
        <w:rPr>
          <w:rStyle w:val="AERtextitalic"/>
        </w:rPr>
        <w:t>Submission on DNSPs regulatory proposals</w:t>
      </w:r>
      <w:r>
        <w:t>,</w:t>
      </w:r>
      <w:r w:rsidRPr="00F03511">
        <w:t xml:space="preserve"> 8 August 2014</w:t>
      </w:r>
      <w:r>
        <w:t xml:space="preserve"> p. 4. </w:t>
      </w:r>
    </w:p>
  </w:footnote>
  <w:footnote w:id="65">
    <w:p w:rsidR="009C1B5E" w:rsidRDefault="009C1B5E" w:rsidP="00DE752C">
      <w:pPr>
        <w:pStyle w:val="FootnoteText"/>
      </w:pPr>
      <w:r>
        <w:rPr>
          <w:rStyle w:val="FootnoteReference"/>
        </w:rPr>
        <w:footnoteRef/>
      </w:r>
      <w:r>
        <w:t xml:space="preserve"> </w:t>
      </w:r>
      <w:r>
        <w:tab/>
        <w:t xml:space="preserve">In addition to our normal consultative process which allows stakeholders to provide submissions on the distributor's proposal and our draft decision, we also held a metering workshop on </w:t>
      </w:r>
      <w:r w:rsidRPr="0026653C">
        <w:t>11 September 2014</w:t>
      </w:r>
      <w:r>
        <w:t xml:space="preserve"> and released a consultation paper (on the a</w:t>
      </w:r>
      <w:r w:rsidRPr="0026653C">
        <w:t>lternative approach to the recovery of the residual</w:t>
      </w:r>
      <w:r>
        <w:t xml:space="preserve"> </w:t>
      </w:r>
      <w:r w:rsidRPr="0026653C">
        <w:t>metering capital costs through an alternative control</w:t>
      </w:r>
      <w:r>
        <w:t xml:space="preserve"> </w:t>
      </w:r>
      <w:r w:rsidRPr="0026653C">
        <w:t>services annual charge</w:t>
      </w:r>
      <w:r>
        <w:t xml:space="preserve">) in March 2015. We received submissions from consumer groups, potential competitive metering providers, retailers and distributors. </w:t>
      </w:r>
    </w:p>
  </w:footnote>
  <w:footnote w:id="66">
    <w:p w:rsidR="009C1B5E" w:rsidRDefault="009C1B5E" w:rsidP="00DE752C">
      <w:pPr>
        <w:pStyle w:val="FootnoteText"/>
      </w:pPr>
      <w:r>
        <w:rPr>
          <w:rStyle w:val="FootnoteReference"/>
        </w:rPr>
        <w:footnoteRef/>
      </w:r>
      <w:r>
        <w:t xml:space="preserve"> </w:t>
      </w:r>
      <w:r>
        <w:tab/>
        <w:t xml:space="preserve">Capital expenditure related to replacement meters is added to the MAB and recovered from all metering customers through the annual charge, rather than charged upfront. We consider this is appropriate because replacement is not initiated or controlled by the customer. A meter has to be replaced if it suddenly fails or may have to be proactively replaced because the distributor must comply with AEMO's metrology procedures. </w:t>
      </w:r>
    </w:p>
  </w:footnote>
  <w:footnote w:id="67">
    <w:p w:rsidR="009C1B5E" w:rsidRDefault="009C1B5E" w:rsidP="00DE752C">
      <w:pPr>
        <w:pStyle w:val="FootnoteText"/>
      </w:pPr>
      <w:r>
        <w:rPr>
          <w:rStyle w:val="FootnoteReference"/>
        </w:rPr>
        <w:footnoteRef/>
      </w:r>
      <w:r>
        <w:t xml:space="preserve"> </w:t>
      </w:r>
      <w:r>
        <w:tab/>
        <w:t xml:space="preserve">AEMC, </w:t>
      </w:r>
      <w:r w:rsidRPr="00206B2F">
        <w:rPr>
          <w:rStyle w:val="AERtextitalic"/>
        </w:rPr>
        <w:t>Expanding competition in metering and related services, Draft Rule Determination</w:t>
      </w:r>
      <w:r>
        <w:t>, 26 March 2015, p. 79.</w:t>
      </w:r>
    </w:p>
  </w:footnote>
  <w:footnote w:id="68">
    <w:p w:rsidR="009C1B5E" w:rsidRDefault="009C1B5E" w:rsidP="00DE752C">
      <w:pPr>
        <w:pStyle w:val="FootnoteText"/>
      </w:pPr>
      <w:r>
        <w:rPr>
          <w:rStyle w:val="FootnoteReference"/>
        </w:rPr>
        <w:footnoteRef/>
      </w:r>
      <w:r>
        <w:t xml:space="preserve"> </w:t>
      </w:r>
      <w:r>
        <w:tab/>
        <w:t xml:space="preserve">AER, </w:t>
      </w:r>
      <w:r w:rsidRPr="004F62F1">
        <w:rPr>
          <w:rStyle w:val="AERtextitalic"/>
        </w:rPr>
        <w:t>Final framework and approach for Energex and Ergon Energy</w:t>
      </w:r>
      <w:r>
        <w:t>, April 2014, p. 54.</w:t>
      </w:r>
    </w:p>
  </w:footnote>
  <w:footnote w:id="69">
    <w:p w:rsidR="009C1B5E" w:rsidRDefault="009C1B5E" w:rsidP="00DE752C">
      <w:pPr>
        <w:pStyle w:val="FootnoteText"/>
      </w:pPr>
      <w:r>
        <w:rPr>
          <w:rStyle w:val="FootnoteReference"/>
        </w:rPr>
        <w:footnoteRef/>
      </w:r>
      <w:r>
        <w:t xml:space="preserve"> </w:t>
      </w:r>
      <w:r>
        <w:tab/>
        <w:t>QCOSS, Submission on QLD regulatory proposals 2015–20, January 2015, p. 86.</w:t>
      </w:r>
    </w:p>
  </w:footnote>
  <w:footnote w:id="70">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xml:space="preserve">, </w:t>
      </w:r>
      <w:r w:rsidRPr="007D169F">
        <w:rPr>
          <w:rStyle w:val="AERtextitalic"/>
        </w:rPr>
        <w:t>Attachment 59: MAB methodology</w:t>
      </w:r>
      <w:r w:rsidRPr="007D169F">
        <w:t xml:space="preserve">, </w:t>
      </w:r>
      <w:r>
        <w:t>October</w:t>
      </w:r>
      <w:r w:rsidRPr="007D169F">
        <w:t xml:space="preserve"> 2014</w:t>
      </w:r>
      <w:r>
        <w:t>, p. 4.</w:t>
      </w:r>
    </w:p>
  </w:footnote>
  <w:footnote w:id="71">
    <w:p w:rsidR="009C1B5E" w:rsidRDefault="009C1B5E" w:rsidP="00DE752C">
      <w:pPr>
        <w:pStyle w:val="FootnoteText"/>
      </w:pPr>
      <w:r>
        <w:rPr>
          <w:rStyle w:val="FootnoteReference"/>
        </w:rPr>
        <w:footnoteRef/>
      </w:r>
      <w:r>
        <w:t xml:space="preserve"> </w:t>
      </w:r>
      <w:r>
        <w:tab/>
        <w:t>QCOSS, Submission on QLD regulatory proposals 2015–20, January 2015, p. 86.</w:t>
      </w:r>
    </w:p>
  </w:footnote>
  <w:footnote w:id="72">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October 2014, p. 275.</w:t>
      </w:r>
    </w:p>
  </w:footnote>
  <w:footnote w:id="73">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xml:space="preserve">, </w:t>
      </w:r>
      <w:r w:rsidRPr="007D169F">
        <w:rPr>
          <w:rStyle w:val="AERtextitalic"/>
        </w:rPr>
        <w:t>Attachment 59: MAB methodology</w:t>
      </w:r>
      <w:r w:rsidRPr="007D169F">
        <w:t xml:space="preserve">, </w:t>
      </w:r>
      <w:r>
        <w:t>October</w:t>
      </w:r>
      <w:r w:rsidRPr="007D169F">
        <w:t xml:space="preserve"> 2014</w:t>
      </w:r>
      <w:r>
        <w:t>, p. 4.</w:t>
      </w:r>
    </w:p>
  </w:footnote>
  <w:footnote w:id="74">
    <w:p w:rsidR="009C1B5E" w:rsidRDefault="009C1B5E" w:rsidP="00DE752C">
      <w:pPr>
        <w:pStyle w:val="FootnoteText"/>
      </w:pPr>
      <w:r>
        <w:rPr>
          <w:rStyle w:val="FootnoteReference"/>
        </w:rPr>
        <w:footnoteRef/>
      </w:r>
      <w:r>
        <w:t xml:space="preserve"> </w:t>
      </w:r>
      <w:r>
        <w:tab/>
        <w:t xml:space="preserve">QCOSS, </w:t>
      </w:r>
      <w:r w:rsidRPr="000377BF">
        <w:rPr>
          <w:rStyle w:val="AERtextitalic"/>
        </w:rPr>
        <w:t>Submission on QLD regulatory proposals 2015–20</w:t>
      </w:r>
      <w:r>
        <w:t>, January 2015, p. 90.</w:t>
      </w:r>
    </w:p>
  </w:footnote>
  <w:footnote w:id="75">
    <w:p w:rsidR="009C1B5E" w:rsidRPr="00FB0E10" w:rsidRDefault="009C1B5E" w:rsidP="00DE752C">
      <w:pPr>
        <w:pStyle w:val="FootnoteText"/>
      </w:pPr>
      <w:r>
        <w:rPr>
          <w:rStyle w:val="FootnoteReference"/>
        </w:rPr>
        <w:footnoteRef/>
      </w:r>
      <w:r>
        <w:t xml:space="preserve"> </w:t>
      </w:r>
      <w:r>
        <w:tab/>
      </w:r>
      <w:r w:rsidRPr="007C2C76">
        <w:rPr>
          <w:rStyle w:val="AERtexthighlight"/>
          <w:shd w:val="clear" w:color="auto" w:fill="auto"/>
        </w:rPr>
        <w:t>AEMO, Metrology Procedure: Part A National Electricity Market, v3.20</w:t>
      </w:r>
      <w:r w:rsidRPr="00FB0E10">
        <w:rPr>
          <w:rStyle w:val="AERtexthighlight"/>
          <w:shd w:val="clear" w:color="auto" w:fill="auto"/>
        </w:rPr>
        <w:t>.</w:t>
      </w:r>
    </w:p>
  </w:footnote>
  <w:footnote w:id="76">
    <w:p w:rsidR="009C1B5E" w:rsidRDefault="009C1B5E" w:rsidP="00DE752C">
      <w:pPr>
        <w:pStyle w:val="FootnoteText"/>
      </w:pPr>
      <w:r>
        <w:rPr>
          <w:rStyle w:val="FootnoteReference"/>
        </w:rPr>
        <w:footnoteRef/>
      </w:r>
      <w:r>
        <w:t xml:space="preserve"> </w:t>
      </w:r>
      <w:r>
        <w:tab/>
        <w:t xml:space="preserve">Marsden Jacob Associates, </w:t>
      </w:r>
      <w:r w:rsidRPr="003B4DD5">
        <w:rPr>
          <w:rStyle w:val="AERtextitalic"/>
        </w:rPr>
        <w:t>Consultant report to the AER on Alternative Control Services</w:t>
      </w:r>
      <w:r>
        <w:t xml:space="preserve">, October 2014, section 2.1.1. </w:t>
      </w:r>
    </w:p>
  </w:footnote>
  <w:footnote w:id="77">
    <w:p w:rsidR="009C1B5E" w:rsidRDefault="009C1B5E" w:rsidP="00DE752C">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78">
    <w:p w:rsidR="009C1B5E" w:rsidRDefault="009C1B5E" w:rsidP="00DE752C">
      <w:pPr>
        <w:pStyle w:val="FootnoteText"/>
      </w:pPr>
      <w:r>
        <w:rPr>
          <w:rStyle w:val="FootnoteReference"/>
        </w:rPr>
        <w:footnoteRef/>
      </w:r>
      <w:r>
        <w:t xml:space="preserve"> </w:t>
      </w:r>
      <w:r>
        <w:tab/>
        <w:t xml:space="preserve">Marsden Jacob Associates, </w:t>
      </w:r>
      <w:r w:rsidRPr="00521C2D">
        <w:rPr>
          <w:i/>
        </w:rPr>
        <w:t>Consultant report to the AER on Alternative Control Services</w:t>
      </w:r>
      <w:r>
        <w:t>, October 2014, section 2.1.1.</w:t>
      </w:r>
    </w:p>
  </w:footnote>
  <w:footnote w:id="79">
    <w:p w:rsidR="009C1B5E" w:rsidRDefault="009C1B5E" w:rsidP="00DE752C">
      <w:pPr>
        <w:pStyle w:val="FootnoteText"/>
      </w:pPr>
      <w:r>
        <w:rPr>
          <w:rStyle w:val="FootnoteReference"/>
        </w:rPr>
        <w:footnoteRef/>
      </w:r>
      <w:r>
        <w:t xml:space="preserve"> </w:t>
      </w:r>
      <w:r>
        <w:tab/>
        <w:t xml:space="preserve">AER, </w:t>
      </w:r>
      <w:r w:rsidRPr="008618F1">
        <w:rPr>
          <w:rStyle w:val="AERtextitalic"/>
        </w:rPr>
        <w:t xml:space="preserve">Draft decision on </w:t>
      </w:r>
      <w:proofErr w:type="spellStart"/>
      <w:r w:rsidRPr="008618F1">
        <w:rPr>
          <w:rStyle w:val="AERtextitalic"/>
        </w:rPr>
        <w:t>ActewAGL's</w:t>
      </w:r>
      <w:proofErr w:type="spellEnd"/>
      <w:r w:rsidRPr="008618F1">
        <w:rPr>
          <w:rStyle w:val="AERtextitalic"/>
        </w:rPr>
        <w:t xml:space="preserve"> regulatory proposal: 2014–15 and 2015–19</w:t>
      </w:r>
      <w:r>
        <w:t xml:space="preserve">, November 2014; AER, </w:t>
      </w:r>
      <w:r w:rsidRPr="008618F1">
        <w:rPr>
          <w:rStyle w:val="AERtextitalic"/>
        </w:rPr>
        <w:t xml:space="preserve">Draft decision on </w:t>
      </w:r>
      <w:proofErr w:type="spellStart"/>
      <w:r>
        <w:rPr>
          <w:rStyle w:val="AERtextitalic"/>
        </w:rPr>
        <w:t>Ausgrid's</w:t>
      </w:r>
      <w:proofErr w:type="spellEnd"/>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Endeavour Energy's</w:t>
      </w:r>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Essential Energy's</w:t>
      </w:r>
      <w:r w:rsidRPr="008618F1">
        <w:rPr>
          <w:rStyle w:val="AERtextitalic"/>
        </w:rPr>
        <w:t xml:space="preserve"> regulatory proposal: 2014–15 and 2015–19</w:t>
      </w:r>
      <w:r>
        <w:t>, November 2014.</w:t>
      </w:r>
    </w:p>
  </w:footnote>
  <w:footnote w:id="80">
    <w:p w:rsidR="009C1B5E" w:rsidRDefault="009C1B5E" w:rsidP="00DE752C">
      <w:pPr>
        <w:pStyle w:val="FootnoteText"/>
      </w:pPr>
      <w:r>
        <w:rPr>
          <w:rStyle w:val="FootnoteReference"/>
        </w:rPr>
        <w:footnoteRef/>
      </w:r>
      <w:r>
        <w:t xml:space="preserve"> </w:t>
      </w:r>
      <w:r>
        <w:tab/>
        <w:t xml:space="preserve">AEMC, </w:t>
      </w:r>
      <w:r w:rsidRPr="00C8493D">
        <w:rPr>
          <w:rStyle w:val="AERtextitalic"/>
        </w:rPr>
        <w:t>Draft rule determination: National Electricity Amendment (Expanding competition in metering and related services) Rule 2015</w:t>
      </w:r>
      <w:r>
        <w:t>, 26 March 2015.</w:t>
      </w:r>
    </w:p>
  </w:footnote>
  <w:footnote w:id="81">
    <w:p w:rsidR="009C1B5E" w:rsidRDefault="009C1B5E" w:rsidP="00DE752C">
      <w:pPr>
        <w:pStyle w:val="FootnoteText"/>
      </w:pPr>
      <w:r>
        <w:rPr>
          <w:rStyle w:val="FootnoteReference"/>
        </w:rPr>
        <w:footnoteRef/>
      </w:r>
      <w:r>
        <w:t xml:space="preserve"> </w:t>
      </w:r>
      <w:r>
        <w:tab/>
        <w:t xml:space="preserve">Energex, </w:t>
      </w:r>
      <w:r w:rsidRPr="00E91AFD">
        <w:rPr>
          <w:rStyle w:val="AERtextitalic"/>
        </w:rPr>
        <w:t>Response to AER Energex 039</w:t>
      </w:r>
      <w:r>
        <w:t>, 9 February 2015, p. 2.</w:t>
      </w:r>
    </w:p>
  </w:footnote>
  <w:footnote w:id="82">
    <w:p w:rsidR="009C1B5E" w:rsidRDefault="009C1B5E" w:rsidP="00DE752C">
      <w:pPr>
        <w:pStyle w:val="FootnoteText"/>
      </w:pPr>
      <w:r>
        <w:rPr>
          <w:rStyle w:val="FootnoteReference"/>
        </w:rPr>
        <w:footnoteRef/>
      </w:r>
      <w:r>
        <w:t xml:space="preserve"> </w:t>
      </w:r>
      <w:r>
        <w:tab/>
        <w:t>NER, S7.2.3.1.</w:t>
      </w:r>
    </w:p>
  </w:footnote>
  <w:footnote w:id="83">
    <w:p w:rsidR="009C1B5E" w:rsidRDefault="009C1B5E" w:rsidP="00DE752C">
      <w:pPr>
        <w:pStyle w:val="FootnoteText"/>
      </w:pPr>
      <w:r>
        <w:rPr>
          <w:rStyle w:val="FootnoteReference"/>
        </w:rPr>
        <w:footnoteRef/>
      </w:r>
      <w:r>
        <w:t xml:space="preserve"> </w:t>
      </w:r>
      <w:r>
        <w:tab/>
        <w:t>NER, S7.2.3.1.</w:t>
      </w:r>
    </w:p>
  </w:footnote>
  <w:footnote w:id="84">
    <w:p w:rsidR="009C1B5E" w:rsidRDefault="009C1B5E" w:rsidP="00DE752C">
      <w:pPr>
        <w:pStyle w:val="FootnoteText"/>
      </w:pPr>
      <w:r>
        <w:rPr>
          <w:rStyle w:val="FootnoteReference"/>
        </w:rPr>
        <w:footnoteRef/>
      </w:r>
      <w:r>
        <w:t xml:space="preserve"> </w:t>
      </w:r>
      <w:r>
        <w:tab/>
        <w:t>NER, cl. 7.6.2.</w:t>
      </w:r>
    </w:p>
  </w:footnote>
  <w:footnote w:id="85">
    <w:p w:rsidR="009C1B5E" w:rsidRDefault="009C1B5E" w:rsidP="00DE752C">
      <w:pPr>
        <w:pStyle w:val="FootnoteText"/>
      </w:pPr>
      <w:r>
        <w:rPr>
          <w:rStyle w:val="FootnoteReference"/>
        </w:rPr>
        <w:footnoteRef/>
      </w:r>
      <w:r>
        <w:t xml:space="preserve"> </w:t>
      </w:r>
      <w:r>
        <w:tab/>
        <w:t>Energex, Regulatory proposal, Attachment 58, October 2014, p. 2.</w:t>
      </w:r>
    </w:p>
  </w:footnote>
  <w:footnote w:id="86">
    <w:p w:rsidR="009C1B5E" w:rsidRDefault="009C1B5E" w:rsidP="00DE752C">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xml:space="preserve">, </w:t>
      </w:r>
      <w:r w:rsidRPr="007D169F">
        <w:rPr>
          <w:rStyle w:val="AERtextitalic"/>
        </w:rPr>
        <w:t>Atta</w:t>
      </w:r>
      <w:r>
        <w:rPr>
          <w:rStyle w:val="AERtextitalic"/>
        </w:rPr>
        <w:t>chment 58</w:t>
      </w:r>
      <w:r>
        <w:t>, October 2014, p. 2.</w:t>
      </w:r>
    </w:p>
  </w:footnote>
  <w:footnote w:id="87">
    <w:p w:rsidR="009C1B5E" w:rsidRDefault="009C1B5E" w:rsidP="00DE752C">
      <w:pPr>
        <w:pStyle w:val="FootnoteText"/>
      </w:pPr>
      <w:r>
        <w:rPr>
          <w:rStyle w:val="FootnoteReference"/>
        </w:rPr>
        <w:footnoteRef/>
      </w:r>
      <w:r>
        <w:t xml:space="preserve"> </w:t>
      </w:r>
      <w:r>
        <w:tab/>
        <w:t xml:space="preserve">Energex, </w:t>
      </w:r>
      <w:r w:rsidRPr="00916321">
        <w:rPr>
          <w:rStyle w:val="AERtextitalic"/>
        </w:rPr>
        <w:t>Regulatory proposal, Attachment 58</w:t>
      </w:r>
      <w:r>
        <w:t>, October 2014, p. 3.</w:t>
      </w:r>
    </w:p>
  </w:footnote>
  <w:footnote w:id="88">
    <w:p w:rsidR="009C1B5E" w:rsidRDefault="009C1B5E" w:rsidP="00DE752C">
      <w:pPr>
        <w:pStyle w:val="FootnoteText"/>
      </w:pPr>
      <w:r>
        <w:rPr>
          <w:rStyle w:val="FootnoteReference"/>
        </w:rPr>
        <w:footnoteRef/>
      </w:r>
      <w:r>
        <w:t xml:space="preserve"> </w:t>
      </w:r>
      <w:r>
        <w:tab/>
        <w:t xml:space="preserve">Energex, </w:t>
      </w:r>
      <w:r w:rsidRPr="00222593">
        <w:rPr>
          <w:rStyle w:val="AERtextitalic"/>
        </w:rPr>
        <w:t>Response to AER Energex 0</w:t>
      </w:r>
      <w:r>
        <w:t>39, 9 February 2015, p. 3.</w:t>
      </w:r>
    </w:p>
  </w:footnote>
  <w:footnote w:id="89">
    <w:p w:rsidR="009C1B5E" w:rsidRDefault="009C1B5E" w:rsidP="00DE752C">
      <w:pPr>
        <w:pStyle w:val="FootnoteText"/>
      </w:pPr>
      <w:r>
        <w:rPr>
          <w:rStyle w:val="FootnoteReference"/>
        </w:rPr>
        <w:footnoteRef/>
      </w:r>
      <w:r>
        <w:t xml:space="preserve"> </w:t>
      </w:r>
      <w:r>
        <w:tab/>
        <w:t xml:space="preserve">Energex, </w:t>
      </w:r>
      <w:r w:rsidRPr="00916321">
        <w:rPr>
          <w:rStyle w:val="AERtextitalic"/>
        </w:rPr>
        <w:t>Regulatory proposal, Attachment 58</w:t>
      </w:r>
      <w:r>
        <w:t>, October 2014, p. 1.</w:t>
      </w:r>
    </w:p>
  </w:footnote>
  <w:footnote w:id="90">
    <w:p w:rsidR="009C1B5E" w:rsidRDefault="009C1B5E" w:rsidP="00DE752C">
      <w:pPr>
        <w:pStyle w:val="FootnoteText"/>
      </w:pPr>
      <w:r>
        <w:rPr>
          <w:rStyle w:val="FootnoteReference"/>
        </w:rPr>
        <w:footnoteRef/>
      </w:r>
      <w:r>
        <w:t xml:space="preserve"> </w:t>
      </w:r>
      <w:r>
        <w:tab/>
      </w:r>
      <w:r w:rsidRPr="000E12A0">
        <w:t xml:space="preserve">This not to say that </w:t>
      </w:r>
      <w:r>
        <w:t>Energex</w:t>
      </w:r>
      <w:r w:rsidRPr="000E12A0">
        <w:t xml:space="preserve"> is as efficient as it could be; benchmarking only shows the relative efficiency across firms.</w:t>
      </w:r>
    </w:p>
  </w:footnote>
  <w:footnote w:id="91">
    <w:p w:rsidR="009C1B5E" w:rsidRDefault="009C1B5E" w:rsidP="00DE752C">
      <w:pPr>
        <w:pStyle w:val="FootnoteText"/>
      </w:pPr>
      <w:r>
        <w:rPr>
          <w:rStyle w:val="FootnoteReference"/>
        </w:rPr>
        <w:footnoteRef/>
      </w:r>
      <w:r>
        <w:t xml:space="preserve"> </w:t>
      </w:r>
      <w:r>
        <w:tab/>
        <w:t>Energex,</w:t>
      </w:r>
      <w:r w:rsidRPr="00206B2F">
        <w:rPr>
          <w:rStyle w:val="AERtextitalic"/>
        </w:rPr>
        <w:t xml:space="preserve"> </w:t>
      </w:r>
      <w:r w:rsidRPr="00840D40">
        <w:rPr>
          <w:rStyle w:val="AERtextitalic"/>
        </w:rPr>
        <w:t>Regulatory proposal</w:t>
      </w:r>
      <w:r>
        <w:rPr>
          <w:rStyle w:val="AERtextitalic"/>
        </w:rPr>
        <w:t>: July 2015 to June 2020</w:t>
      </w:r>
      <w:r>
        <w:t>, October 2014, p. 273.</w:t>
      </w:r>
    </w:p>
  </w:footnote>
  <w:footnote w:id="92">
    <w:p w:rsidR="009C1B5E" w:rsidRDefault="009C1B5E" w:rsidP="00DE752C">
      <w:pPr>
        <w:pStyle w:val="FootnoteText"/>
      </w:pPr>
      <w:r>
        <w:rPr>
          <w:rStyle w:val="FootnoteReference"/>
        </w:rPr>
        <w:footnoteRef/>
      </w:r>
      <w:r>
        <w:t xml:space="preserve"> </w:t>
      </w:r>
      <w:r>
        <w:tab/>
        <w:t xml:space="preserve">AER, </w:t>
      </w:r>
      <w:r w:rsidRPr="008618F1">
        <w:rPr>
          <w:rStyle w:val="AERtextitalic"/>
        </w:rPr>
        <w:t xml:space="preserve">Draft decision on </w:t>
      </w:r>
      <w:proofErr w:type="spellStart"/>
      <w:r w:rsidRPr="008618F1">
        <w:rPr>
          <w:rStyle w:val="AERtextitalic"/>
        </w:rPr>
        <w:t>ActewAGL's</w:t>
      </w:r>
      <w:proofErr w:type="spellEnd"/>
      <w:r w:rsidRPr="008618F1">
        <w:rPr>
          <w:rStyle w:val="AERtextitalic"/>
        </w:rPr>
        <w:t xml:space="preserve"> regulatory proposal: 2014–15 and 2015–19</w:t>
      </w:r>
      <w:r>
        <w:t xml:space="preserve">, November 2014; AER, </w:t>
      </w:r>
      <w:r w:rsidRPr="008618F1">
        <w:rPr>
          <w:rStyle w:val="AERtextitalic"/>
        </w:rPr>
        <w:t xml:space="preserve">Draft decision on </w:t>
      </w:r>
      <w:proofErr w:type="spellStart"/>
      <w:r>
        <w:rPr>
          <w:rStyle w:val="AERtextitalic"/>
        </w:rPr>
        <w:t>Ausgrid's</w:t>
      </w:r>
      <w:proofErr w:type="spellEnd"/>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Endeavour Energy's</w:t>
      </w:r>
      <w:r w:rsidRPr="008618F1">
        <w:rPr>
          <w:rStyle w:val="AERtextitalic"/>
        </w:rPr>
        <w:t xml:space="preserve"> regulatory proposal: 2014–15 and 2015–19</w:t>
      </w:r>
      <w:r>
        <w:t xml:space="preserve">, November 2014; AER, </w:t>
      </w:r>
      <w:r w:rsidRPr="008618F1">
        <w:rPr>
          <w:rStyle w:val="AERtextitalic"/>
        </w:rPr>
        <w:t xml:space="preserve">Draft decision on </w:t>
      </w:r>
      <w:r>
        <w:rPr>
          <w:rStyle w:val="AERtextitalic"/>
        </w:rPr>
        <w:t>Essential Energy's</w:t>
      </w:r>
      <w:r w:rsidRPr="008618F1">
        <w:rPr>
          <w:rStyle w:val="AERtextitalic"/>
        </w:rPr>
        <w:t xml:space="preserve"> regulatory proposal: 2014–15 and 2015–19</w:t>
      </w:r>
      <w:r>
        <w:t>, November 2014.</w:t>
      </w:r>
    </w:p>
  </w:footnote>
  <w:footnote w:id="93">
    <w:p w:rsidR="009C1B5E" w:rsidRDefault="009C1B5E" w:rsidP="00DE752C">
      <w:pPr>
        <w:pStyle w:val="FootnoteText"/>
        <w:tabs>
          <w:tab w:val="left" w:pos="284"/>
        </w:tabs>
      </w:pPr>
      <w:r>
        <w:rPr>
          <w:rStyle w:val="FootnoteReference"/>
        </w:rPr>
        <w:footnoteRef/>
      </w:r>
      <w:r>
        <w:t xml:space="preserve"> </w:t>
      </w:r>
      <w:r>
        <w:tab/>
      </w:r>
      <w:r>
        <w:tab/>
        <w:t>NEL, Revenue and Pricing Principles, 7A (2).</w:t>
      </w:r>
    </w:p>
  </w:footnote>
  <w:footnote w:id="94">
    <w:p w:rsidR="009C1B5E" w:rsidRDefault="009C1B5E" w:rsidP="00DE752C">
      <w:pPr>
        <w:pStyle w:val="FootnoteText"/>
      </w:pPr>
      <w:r>
        <w:rPr>
          <w:rStyle w:val="FootnoteReference"/>
        </w:rPr>
        <w:footnoteRef/>
      </w:r>
      <w:r>
        <w:t xml:space="preserve"> </w:t>
      </w:r>
      <w:r>
        <w:tab/>
        <w:t>Energex, Email to the AER, 15 April 2015.</w:t>
      </w:r>
    </w:p>
  </w:footnote>
  <w:footnote w:id="95">
    <w:p w:rsidR="009C1B5E" w:rsidRDefault="009C1B5E" w:rsidP="00DE752C">
      <w:pPr>
        <w:pStyle w:val="FootnoteText"/>
      </w:pPr>
      <w:r>
        <w:rPr>
          <w:rStyle w:val="FootnoteReference"/>
        </w:rPr>
        <w:footnoteRef/>
      </w:r>
      <w:r>
        <w:t xml:space="preserve"> </w:t>
      </w:r>
      <w:r>
        <w:tab/>
      </w:r>
      <w:r w:rsidRPr="00080DC7">
        <w:t>Marsden Jacob Associates, Consultant report to the AER on Alternative Control Services, October 2014, section 2.1.1.</w:t>
      </w:r>
    </w:p>
  </w:footnote>
  <w:footnote w:id="96">
    <w:p w:rsidR="009C1B5E" w:rsidRDefault="009C1B5E" w:rsidP="00DE752C">
      <w:pPr>
        <w:pStyle w:val="FootnoteText"/>
      </w:pPr>
      <w:r>
        <w:rPr>
          <w:rStyle w:val="FootnoteReference"/>
        </w:rPr>
        <w:footnoteRef/>
      </w:r>
      <w:r>
        <w:t xml:space="preserve"> </w:t>
      </w:r>
      <w:r>
        <w:tab/>
      </w:r>
      <w:r w:rsidRPr="00080DC7">
        <w:t>Marsden Jacob Associates, Consultant report to the AER on Alternative Control Services, October 2014,</w:t>
      </w:r>
      <w:r>
        <w:t xml:space="preserve"> section 2.1.2.</w:t>
      </w:r>
    </w:p>
  </w:footnote>
  <w:footnote w:id="97">
    <w:p w:rsidR="009C1B5E" w:rsidRDefault="009C1B5E" w:rsidP="00DE752C">
      <w:pPr>
        <w:pStyle w:val="FootnoteText"/>
      </w:pPr>
      <w:r>
        <w:rPr>
          <w:rStyle w:val="FootnoteReference"/>
        </w:rPr>
        <w:footnoteRef/>
      </w:r>
      <w:r>
        <w:t xml:space="preserve"> </w:t>
      </w:r>
      <w:r>
        <w:tab/>
      </w:r>
      <w:r w:rsidRPr="00080DC7">
        <w:t>Marsden Jacob Associates, Consultant report to the AER on Alternative Control Services</w:t>
      </w:r>
      <w:r>
        <w:t>, October 2014, Appendix 2, Table 13.</w:t>
      </w:r>
    </w:p>
  </w:footnote>
  <w:footnote w:id="98">
    <w:p w:rsidR="009C1B5E" w:rsidRDefault="009C1B5E" w:rsidP="00DE752C">
      <w:pPr>
        <w:pStyle w:val="FootnoteText"/>
      </w:pPr>
      <w:r>
        <w:rPr>
          <w:rStyle w:val="FootnoteReference"/>
        </w:rPr>
        <w:footnoteRef/>
      </w:r>
      <w:r>
        <w:t xml:space="preserve"> </w:t>
      </w:r>
      <w:r>
        <w:tab/>
        <w:t>Energex, Cost allocation method, 1 July 2015, p. 18.</w:t>
      </w:r>
    </w:p>
  </w:footnote>
  <w:footnote w:id="99">
    <w:p w:rsidR="009C1B5E" w:rsidRDefault="009C1B5E" w:rsidP="00DE752C">
      <w:pPr>
        <w:pStyle w:val="FootnoteText"/>
      </w:pPr>
      <w:r>
        <w:rPr>
          <w:rStyle w:val="FootnoteReference"/>
        </w:rPr>
        <w:footnoteRef/>
      </w:r>
      <w:r>
        <w:t xml:space="preserve"> </w:t>
      </w:r>
      <w:r>
        <w:tab/>
        <w:t xml:space="preserve">See attachment 2 of this </w:t>
      </w:r>
      <w:r w:rsidR="00B5694C">
        <w:t xml:space="preserve">preliminary </w:t>
      </w:r>
      <w:r>
        <w:t>decision for more information on how changes in labour costs were forecast.</w:t>
      </w:r>
    </w:p>
  </w:footnote>
  <w:footnote w:id="100">
    <w:p w:rsidR="009C1B5E" w:rsidRDefault="009C1B5E" w:rsidP="00691C1E">
      <w:pPr>
        <w:pStyle w:val="FootnoteText"/>
      </w:pPr>
      <w:r>
        <w:rPr>
          <w:rStyle w:val="FootnoteReference"/>
        </w:rPr>
        <w:footnoteRef/>
      </w:r>
      <w:r>
        <w:t xml:space="preserve"> </w:t>
      </w:r>
      <w:r>
        <w:tab/>
        <w:t>Retailers in the National Electricity Market can and do provider metering services to the contestable elements of the market, namely the medium and large businesses. Distributors at this stage maintain a monopoly provision to household customers but this will change with advent of the AEMC competition in metering rule change.</w:t>
      </w:r>
    </w:p>
  </w:footnote>
  <w:footnote w:id="101">
    <w:p w:rsidR="009C1B5E" w:rsidRDefault="009C1B5E" w:rsidP="00691C1E">
      <w:pPr>
        <w:pStyle w:val="FootnoteText"/>
      </w:pPr>
      <w:r>
        <w:rPr>
          <w:rStyle w:val="FootnoteReference"/>
        </w:rPr>
        <w:footnoteRef/>
      </w:r>
      <w:r>
        <w:t xml:space="preserve"> </w:t>
      </w:r>
      <w:r>
        <w:tab/>
        <w:t>Vector Limited, submission on the AER’s draft decision on New South Wales and ACT Electricity Distributors’ Regulatory Proposals for 2015–16 to 2019–20, pp. 5, 6-8, 13 February 2015, p.p. 6-7; AGL, Alternative approach to the recovery of the residual metering capital costs through an alternative control service annual charge, 27 March 2015, p.2; AGL, email to AER staff, AGL Presentation to AER staff—metering regulation &amp; transition to competition, 13 March 2015.</w:t>
      </w:r>
    </w:p>
  </w:footnote>
  <w:footnote w:id="102">
    <w:p w:rsidR="009C1B5E" w:rsidRDefault="009C1B5E" w:rsidP="00691C1E">
      <w:pPr>
        <w:pStyle w:val="FootnoteText"/>
      </w:pPr>
      <w:r>
        <w:rPr>
          <w:rStyle w:val="FootnoteReference"/>
        </w:rPr>
        <w:footnoteRef/>
      </w:r>
      <w:r>
        <w:t xml:space="preserve"> </w:t>
      </w:r>
      <w:r>
        <w:tab/>
        <w:t>Oakley Greenwood, Review of NSW DBs Regulatory Submission, 8 August 2014, p. 7 in Origin Energy, Submission to NSW Electricity distributors' regulatory proposals, 8 August 2014, (attachment 2).</w:t>
      </w:r>
    </w:p>
  </w:footnote>
  <w:footnote w:id="103">
    <w:p w:rsidR="009C1B5E" w:rsidRPr="004F28DE" w:rsidRDefault="009C1B5E" w:rsidP="00691C1E">
      <w:pPr>
        <w:pStyle w:val="FootnoteText"/>
      </w:pPr>
      <w:r w:rsidRPr="004F28DE">
        <w:rPr>
          <w:rStyle w:val="FootnoteReference"/>
          <w:vertAlign w:val="baseline"/>
        </w:rPr>
        <w:footnoteRef/>
      </w:r>
      <w:r w:rsidRPr="004F28DE">
        <w:t xml:space="preserve"> </w:t>
      </w:r>
      <w:r w:rsidRPr="004F28DE">
        <w:tab/>
        <w:t xml:space="preserve">Origin Energy, </w:t>
      </w:r>
      <w:proofErr w:type="spellStart"/>
      <w:r w:rsidRPr="004F28DE">
        <w:t>Ausgrid</w:t>
      </w:r>
      <w:proofErr w:type="spellEnd"/>
      <w:r w:rsidRPr="004F28DE">
        <w:t>, Endeavour, Essential initial 2015–19 initial regulatory proposals, Origin submission, August 2014, (attachment 1)p. 36.</w:t>
      </w:r>
    </w:p>
  </w:footnote>
  <w:footnote w:id="104">
    <w:p w:rsidR="009C1B5E" w:rsidRDefault="009C1B5E" w:rsidP="00691C1E">
      <w:pPr>
        <w:pStyle w:val="FootnoteText"/>
      </w:pPr>
      <w:r>
        <w:rPr>
          <w:rStyle w:val="FootnoteReference"/>
        </w:rPr>
        <w:footnoteRef/>
      </w:r>
      <w:r>
        <w:t xml:space="preserve"> </w:t>
      </w:r>
      <w:r>
        <w:tab/>
        <w:t xml:space="preserve">Origin Energy, </w:t>
      </w:r>
      <w:proofErr w:type="spellStart"/>
      <w:r>
        <w:t>Ausgrid</w:t>
      </w:r>
      <w:proofErr w:type="spellEnd"/>
      <w:r>
        <w:t>, Endeavour, Essential initial 2015–19 initial regulatory proposals, Origin submission, August 2014, (attachment 2), p. 7.</w:t>
      </w:r>
    </w:p>
  </w:footnote>
  <w:footnote w:id="105">
    <w:p w:rsidR="009C1B5E" w:rsidRDefault="009C1B5E" w:rsidP="00691C1E">
      <w:pPr>
        <w:pStyle w:val="FootnoteText"/>
      </w:pPr>
      <w:r>
        <w:rPr>
          <w:rStyle w:val="FootnoteReference"/>
        </w:rPr>
        <w:footnoteRef/>
      </w:r>
      <w:r>
        <w:t xml:space="preserve"> </w:t>
      </w:r>
      <w:r>
        <w:tab/>
        <w:t>Meeting between respective staff of Simply Energy and AER on 16 March 2015.</w:t>
      </w:r>
    </w:p>
  </w:footnote>
  <w:footnote w:id="106">
    <w:p w:rsidR="009C1B5E" w:rsidRDefault="009C1B5E" w:rsidP="00691C1E">
      <w:pPr>
        <w:pStyle w:val="FootnoteText"/>
      </w:pPr>
      <w:r>
        <w:rPr>
          <w:rStyle w:val="FootnoteReference"/>
        </w:rPr>
        <w:footnoteRef/>
      </w:r>
      <w:r>
        <w:t xml:space="preserve"> </w:t>
      </w:r>
      <w:r>
        <w:tab/>
        <w:t>Simply Energy, metering question and churning, email to AER staff, 23 March 2015.</w:t>
      </w:r>
    </w:p>
  </w:footnote>
  <w:footnote w:id="107">
    <w:p w:rsidR="009C1B5E" w:rsidRDefault="009C1B5E" w:rsidP="00691C1E">
      <w:pPr>
        <w:pStyle w:val="FootnoteText"/>
      </w:pPr>
      <w:r>
        <w:rPr>
          <w:rStyle w:val="FootnoteReference"/>
        </w:rPr>
        <w:footnoteRef/>
      </w:r>
      <w:r>
        <w:t xml:space="preserve"> </w:t>
      </w:r>
      <w:r>
        <w:tab/>
        <w:t>Simply Energy, metering question and churning, email to AER staff, 23 March 2015.</w:t>
      </w:r>
    </w:p>
  </w:footnote>
  <w:footnote w:id="108">
    <w:p w:rsidR="009C1B5E" w:rsidRDefault="009C1B5E" w:rsidP="00691C1E">
      <w:pPr>
        <w:pStyle w:val="FootnoteText"/>
      </w:pPr>
      <w:r>
        <w:rPr>
          <w:rStyle w:val="FootnoteReference"/>
        </w:rPr>
        <w:footnoteRef/>
      </w:r>
      <w:r>
        <w:t xml:space="preserve"> </w:t>
      </w:r>
      <w:r>
        <w:tab/>
        <w:t>Simply Energy, metering question and churning, email to AER staff, 23 March 2015.</w:t>
      </w:r>
    </w:p>
  </w:footnote>
  <w:footnote w:id="109">
    <w:p w:rsidR="009C1B5E" w:rsidRDefault="009C1B5E" w:rsidP="00691C1E">
      <w:pPr>
        <w:pStyle w:val="FootnoteText"/>
      </w:pPr>
      <w:r>
        <w:rPr>
          <w:rStyle w:val="FootnoteReference"/>
        </w:rPr>
        <w:footnoteRef/>
      </w:r>
      <w:r>
        <w:t xml:space="preserve"> </w:t>
      </w:r>
      <w:r>
        <w:tab/>
        <w:t>See</w:t>
      </w:r>
      <w:r w:rsidRPr="00A66128">
        <w:t xml:space="preserve"> </w:t>
      </w:r>
      <w:hyperlink r:id="rId2" w:history="1">
        <w:r w:rsidRPr="00A66128">
          <w:rPr>
            <w:rStyle w:val="Hyperlink"/>
            <w:color w:val="auto"/>
            <w:sz w:val="16"/>
            <w:u w:val="none"/>
          </w:rPr>
          <w:t>http://www.aemo.com.au/Consultations/National-Electricity-Market/Second-Stage-Notice-of-Consultation--Meter-Churn-Package</w:t>
        </w:r>
      </w:hyperlink>
      <w:r>
        <w:t xml:space="preserve">, accessed 26 March 2015 and </w:t>
      </w:r>
      <w:hyperlink r:id="rId3" w:history="1">
        <w:r w:rsidRPr="00A66128">
          <w:rPr>
            <w:rStyle w:val="Hyperlink"/>
            <w:color w:val="auto"/>
            <w:sz w:val="16"/>
            <w:u w:val="none"/>
          </w:rPr>
          <w:t>http://www.aemo.com.au/Consultations/National-Electricity-Market/~/media/Files/Other/consultations/gas/Churn%20Package%202014/Meter%20Churn%20Procedure%20FRMP%20v10%20clean.ashx</w:t>
        </w:r>
      </w:hyperlink>
      <w:r>
        <w:t xml:space="preserve"> accessed 26 March 2015.</w:t>
      </w:r>
    </w:p>
  </w:footnote>
  <w:footnote w:id="110">
    <w:p w:rsidR="009C1B5E" w:rsidRDefault="009C1B5E" w:rsidP="00691C1E">
      <w:pPr>
        <w:pStyle w:val="FootnoteText"/>
      </w:pPr>
      <w:r>
        <w:rPr>
          <w:rStyle w:val="FootnoteReference"/>
        </w:rPr>
        <w:footnoteRef/>
      </w:r>
      <w:r>
        <w:t xml:space="preserve"> </w:t>
      </w:r>
      <w:r>
        <w:tab/>
        <w:t>We are aware of instances where some distributors are alleged to have deliberately stalled or frustrated attempts by large commercial users to switch meter provider. However, this is a separate issue of specific business conduct, rather than of efficient billing systems per se.</w:t>
      </w:r>
    </w:p>
  </w:footnote>
  <w:footnote w:id="111">
    <w:p w:rsidR="009C1B5E" w:rsidRDefault="009C1B5E" w:rsidP="00691C1E">
      <w:pPr>
        <w:pStyle w:val="FootnoteText"/>
      </w:pPr>
      <w:r>
        <w:rPr>
          <w:rStyle w:val="FootnoteReference"/>
        </w:rPr>
        <w:footnoteRef/>
      </w:r>
      <w:r>
        <w:t xml:space="preserve"> </w:t>
      </w:r>
      <w:r>
        <w:tab/>
        <w:t xml:space="preserve">Vector Limited, Urgent - meter churn procedures, email to AER staff, 20 April 2015. </w:t>
      </w:r>
    </w:p>
  </w:footnote>
  <w:footnote w:id="112">
    <w:p w:rsidR="009C1B5E" w:rsidRDefault="009C1B5E" w:rsidP="00691C1E">
      <w:pPr>
        <w:pStyle w:val="FootnoteText"/>
      </w:pPr>
      <w:r>
        <w:rPr>
          <w:rStyle w:val="FootnoteReference"/>
        </w:rPr>
        <w:footnoteRef/>
      </w:r>
      <w:r>
        <w:t xml:space="preserve"> </w:t>
      </w:r>
      <w:r>
        <w:tab/>
        <w:t>Vector Limited, Urgent - meter churn procedures, email to AER staff, 20 April 2015</w:t>
      </w:r>
    </w:p>
  </w:footnote>
  <w:footnote w:id="113">
    <w:p w:rsidR="009C1B5E" w:rsidRDefault="009C1B5E" w:rsidP="00DE752C">
      <w:pPr>
        <w:pStyle w:val="FootnoteText"/>
      </w:pPr>
      <w:r>
        <w:rPr>
          <w:rStyle w:val="FootnoteReference"/>
        </w:rPr>
        <w:footnoteRef/>
      </w:r>
      <w:r>
        <w:t xml:space="preserve"> </w:t>
      </w:r>
      <w:r>
        <w:tab/>
        <w:t xml:space="preserve">AER, </w:t>
      </w:r>
      <w:r w:rsidRPr="00BF22F0">
        <w:rPr>
          <w:rStyle w:val="AERtextitalic"/>
        </w:rPr>
        <w:t>Final Framework and Approach for Ergon Energy and Energex</w:t>
      </w:r>
      <w:r>
        <w:t>, April 2014, p. 96–97.</w:t>
      </w:r>
    </w:p>
  </w:footnote>
  <w:footnote w:id="114">
    <w:p w:rsidR="009C1B5E" w:rsidRDefault="009C1B5E" w:rsidP="00DE752C">
      <w:pPr>
        <w:pStyle w:val="FootnoteText"/>
      </w:pPr>
      <w:r>
        <w:rPr>
          <w:rStyle w:val="FootnoteReference"/>
        </w:rPr>
        <w:footnoteRef/>
      </w:r>
      <w:r>
        <w:t xml:space="preserve"> </w:t>
      </w:r>
      <w:r>
        <w:tab/>
        <w:t>AER, Final Framework and Approach for Ergon Energy and Energex, April 2014, p. 96–97.</w:t>
      </w:r>
    </w:p>
  </w:footnote>
  <w:footnote w:id="115">
    <w:p w:rsidR="009C1B5E" w:rsidRDefault="009C1B5E" w:rsidP="00DE752C">
      <w:pPr>
        <w:pStyle w:val="FootnoteText"/>
      </w:pPr>
      <w:r>
        <w:rPr>
          <w:rStyle w:val="FootnoteReference"/>
        </w:rPr>
        <w:footnoteRef/>
      </w:r>
      <w:r>
        <w:t xml:space="preserve"> </w:t>
      </w:r>
      <w:r>
        <w:tab/>
        <w:t xml:space="preserve">An A-factor could have been used to </w:t>
      </w:r>
      <w:r w:rsidRPr="005D782E">
        <w:t>increas</w:t>
      </w:r>
      <w:r>
        <w:t xml:space="preserve">e </w:t>
      </w:r>
      <w:r w:rsidRPr="005D782E">
        <w:t xml:space="preserve">the </w:t>
      </w:r>
      <w:r>
        <w:t xml:space="preserve">regulated </w:t>
      </w:r>
      <w:r w:rsidRPr="005D782E">
        <w:t xml:space="preserve">annual charge for remaining regulated customers to recover </w:t>
      </w:r>
      <w:r>
        <w:t xml:space="preserve">stranded assets arising from other customers switching to competitive providers. However, </w:t>
      </w:r>
      <w:r w:rsidRPr="005D782E">
        <w:t>our preliminary decision is for switched customers continue to pay the regulated annual charge (capital) until the MAB is fully depreciated.</w:t>
      </w:r>
      <w:r>
        <w:t xml:space="preserve"> This removes the need to make A-factor adjustments to the regulated annual charges of remaining customers.</w:t>
      </w:r>
    </w:p>
  </w:footnote>
  <w:footnote w:id="116">
    <w:p w:rsidR="009C1B5E" w:rsidRDefault="009C1B5E">
      <w:pPr>
        <w:pStyle w:val="FootnoteText"/>
      </w:pPr>
      <w:r>
        <w:rPr>
          <w:rStyle w:val="FootnoteReference"/>
        </w:rPr>
        <w:footnoteRef/>
      </w:r>
      <w:r>
        <w:t xml:space="preserve"> LGAQ Submission, 30 January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58B6084"/>
    <w:multiLevelType w:val="multilevel"/>
    <w:tmpl w:val="950A1C52"/>
    <w:numStyleLink w:val="AERHeadings"/>
  </w:abstractNum>
  <w:abstractNum w:abstractNumId="10">
    <w:nsid w:val="05DC09DF"/>
    <w:multiLevelType w:val="multilevel"/>
    <w:tmpl w:val="950A1C52"/>
    <w:numStyleLink w:val="AERHeadings"/>
  </w:abstractNum>
  <w:abstractNum w:abstractNumId="11">
    <w:nsid w:val="05F24431"/>
    <w:multiLevelType w:val="hybridMultilevel"/>
    <w:tmpl w:val="9C025DCE"/>
    <w:lvl w:ilvl="0" w:tplc="45867860">
      <w:start w:val="1"/>
      <w:numFmt w:val="bullet"/>
      <w:lvlText w:val="•"/>
      <w:lvlJc w:val="left"/>
      <w:pPr>
        <w:tabs>
          <w:tab w:val="num" w:pos="720"/>
        </w:tabs>
        <w:ind w:left="720" w:hanging="360"/>
      </w:pPr>
      <w:rPr>
        <w:rFonts w:ascii="Arial" w:hAnsi="Arial" w:hint="default"/>
      </w:rPr>
    </w:lvl>
    <w:lvl w:ilvl="1" w:tplc="871A6294" w:tentative="1">
      <w:start w:val="1"/>
      <w:numFmt w:val="bullet"/>
      <w:lvlText w:val="•"/>
      <w:lvlJc w:val="left"/>
      <w:pPr>
        <w:tabs>
          <w:tab w:val="num" w:pos="1440"/>
        </w:tabs>
        <w:ind w:left="1440" w:hanging="360"/>
      </w:pPr>
      <w:rPr>
        <w:rFonts w:ascii="Arial" w:hAnsi="Arial" w:hint="default"/>
      </w:rPr>
    </w:lvl>
    <w:lvl w:ilvl="2" w:tplc="388E0ED0" w:tentative="1">
      <w:start w:val="1"/>
      <w:numFmt w:val="bullet"/>
      <w:lvlText w:val="•"/>
      <w:lvlJc w:val="left"/>
      <w:pPr>
        <w:tabs>
          <w:tab w:val="num" w:pos="2160"/>
        </w:tabs>
        <w:ind w:left="2160" w:hanging="360"/>
      </w:pPr>
      <w:rPr>
        <w:rFonts w:ascii="Arial" w:hAnsi="Arial" w:hint="default"/>
      </w:rPr>
    </w:lvl>
    <w:lvl w:ilvl="3" w:tplc="8CD44334" w:tentative="1">
      <w:start w:val="1"/>
      <w:numFmt w:val="bullet"/>
      <w:lvlText w:val="•"/>
      <w:lvlJc w:val="left"/>
      <w:pPr>
        <w:tabs>
          <w:tab w:val="num" w:pos="2880"/>
        </w:tabs>
        <w:ind w:left="2880" w:hanging="360"/>
      </w:pPr>
      <w:rPr>
        <w:rFonts w:ascii="Arial" w:hAnsi="Arial" w:hint="default"/>
      </w:rPr>
    </w:lvl>
    <w:lvl w:ilvl="4" w:tplc="980CAF92" w:tentative="1">
      <w:start w:val="1"/>
      <w:numFmt w:val="bullet"/>
      <w:lvlText w:val="•"/>
      <w:lvlJc w:val="left"/>
      <w:pPr>
        <w:tabs>
          <w:tab w:val="num" w:pos="3600"/>
        </w:tabs>
        <w:ind w:left="3600" w:hanging="360"/>
      </w:pPr>
      <w:rPr>
        <w:rFonts w:ascii="Arial" w:hAnsi="Arial" w:hint="default"/>
      </w:rPr>
    </w:lvl>
    <w:lvl w:ilvl="5" w:tplc="2A16DC3E" w:tentative="1">
      <w:start w:val="1"/>
      <w:numFmt w:val="bullet"/>
      <w:lvlText w:val="•"/>
      <w:lvlJc w:val="left"/>
      <w:pPr>
        <w:tabs>
          <w:tab w:val="num" w:pos="4320"/>
        </w:tabs>
        <w:ind w:left="4320" w:hanging="360"/>
      </w:pPr>
      <w:rPr>
        <w:rFonts w:ascii="Arial" w:hAnsi="Arial" w:hint="default"/>
      </w:rPr>
    </w:lvl>
    <w:lvl w:ilvl="6" w:tplc="D1D44AAC" w:tentative="1">
      <w:start w:val="1"/>
      <w:numFmt w:val="bullet"/>
      <w:lvlText w:val="•"/>
      <w:lvlJc w:val="left"/>
      <w:pPr>
        <w:tabs>
          <w:tab w:val="num" w:pos="5040"/>
        </w:tabs>
        <w:ind w:left="5040" w:hanging="360"/>
      </w:pPr>
      <w:rPr>
        <w:rFonts w:ascii="Arial" w:hAnsi="Arial" w:hint="default"/>
      </w:rPr>
    </w:lvl>
    <w:lvl w:ilvl="7" w:tplc="0338B9B6" w:tentative="1">
      <w:start w:val="1"/>
      <w:numFmt w:val="bullet"/>
      <w:lvlText w:val="•"/>
      <w:lvlJc w:val="left"/>
      <w:pPr>
        <w:tabs>
          <w:tab w:val="num" w:pos="5760"/>
        </w:tabs>
        <w:ind w:left="5760" w:hanging="360"/>
      </w:pPr>
      <w:rPr>
        <w:rFonts w:ascii="Arial" w:hAnsi="Arial" w:hint="default"/>
      </w:rPr>
    </w:lvl>
    <w:lvl w:ilvl="8" w:tplc="2CB8D6B6" w:tentative="1">
      <w:start w:val="1"/>
      <w:numFmt w:val="bullet"/>
      <w:lvlText w:val="•"/>
      <w:lvlJc w:val="left"/>
      <w:pPr>
        <w:tabs>
          <w:tab w:val="num" w:pos="6480"/>
        </w:tabs>
        <w:ind w:left="6480" w:hanging="360"/>
      </w:pPr>
      <w:rPr>
        <w:rFonts w:ascii="Arial" w:hAnsi="Arial"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BB80823"/>
    <w:multiLevelType w:val="hybridMultilevel"/>
    <w:tmpl w:val="8A4282CE"/>
    <w:lvl w:ilvl="0" w:tplc="97089E90">
      <w:start w:val="1"/>
      <w:numFmt w:val="bullet"/>
      <w:lvlText w:val="•"/>
      <w:lvlJc w:val="left"/>
      <w:pPr>
        <w:tabs>
          <w:tab w:val="num" w:pos="720"/>
        </w:tabs>
        <w:ind w:left="720" w:hanging="360"/>
      </w:pPr>
      <w:rPr>
        <w:rFonts w:ascii="Arial" w:hAnsi="Arial" w:hint="default"/>
      </w:rPr>
    </w:lvl>
    <w:lvl w:ilvl="1" w:tplc="70EEB8D2" w:tentative="1">
      <w:start w:val="1"/>
      <w:numFmt w:val="bullet"/>
      <w:lvlText w:val="•"/>
      <w:lvlJc w:val="left"/>
      <w:pPr>
        <w:tabs>
          <w:tab w:val="num" w:pos="1440"/>
        </w:tabs>
        <w:ind w:left="1440" w:hanging="360"/>
      </w:pPr>
      <w:rPr>
        <w:rFonts w:ascii="Arial" w:hAnsi="Arial" w:hint="default"/>
      </w:rPr>
    </w:lvl>
    <w:lvl w:ilvl="2" w:tplc="CE564116" w:tentative="1">
      <w:start w:val="1"/>
      <w:numFmt w:val="bullet"/>
      <w:lvlText w:val="•"/>
      <w:lvlJc w:val="left"/>
      <w:pPr>
        <w:tabs>
          <w:tab w:val="num" w:pos="2160"/>
        </w:tabs>
        <w:ind w:left="2160" w:hanging="360"/>
      </w:pPr>
      <w:rPr>
        <w:rFonts w:ascii="Arial" w:hAnsi="Arial" w:hint="default"/>
      </w:rPr>
    </w:lvl>
    <w:lvl w:ilvl="3" w:tplc="38A6AD9C" w:tentative="1">
      <w:start w:val="1"/>
      <w:numFmt w:val="bullet"/>
      <w:lvlText w:val="•"/>
      <w:lvlJc w:val="left"/>
      <w:pPr>
        <w:tabs>
          <w:tab w:val="num" w:pos="2880"/>
        </w:tabs>
        <w:ind w:left="2880" w:hanging="360"/>
      </w:pPr>
      <w:rPr>
        <w:rFonts w:ascii="Arial" w:hAnsi="Arial" w:hint="default"/>
      </w:rPr>
    </w:lvl>
    <w:lvl w:ilvl="4" w:tplc="DFCC37D0" w:tentative="1">
      <w:start w:val="1"/>
      <w:numFmt w:val="bullet"/>
      <w:lvlText w:val="•"/>
      <w:lvlJc w:val="left"/>
      <w:pPr>
        <w:tabs>
          <w:tab w:val="num" w:pos="3600"/>
        </w:tabs>
        <w:ind w:left="3600" w:hanging="360"/>
      </w:pPr>
      <w:rPr>
        <w:rFonts w:ascii="Arial" w:hAnsi="Arial" w:hint="default"/>
      </w:rPr>
    </w:lvl>
    <w:lvl w:ilvl="5" w:tplc="9FA06034" w:tentative="1">
      <w:start w:val="1"/>
      <w:numFmt w:val="bullet"/>
      <w:lvlText w:val="•"/>
      <w:lvlJc w:val="left"/>
      <w:pPr>
        <w:tabs>
          <w:tab w:val="num" w:pos="4320"/>
        </w:tabs>
        <w:ind w:left="4320" w:hanging="360"/>
      </w:pPr>
      <w:rPr>
        <w:rFonts w:ascii="Arial" w:hAnsi="Arial" w:hint="default"/>
      </w:rPr>
    </w:lvl>
    <w:lvl w:ilvl="6" w:tplc="39A27204" w:tentative="1">
      <w:start w:val="1"/>
      <w:numFmt w:val="bullet"/>
      <w:lvlText w:val="•"/>
      <w:lvlJc w:val="left"/>
      <w:pPr>
        <w:tabs>
          <w:tab w:val="num" w:pos="5040"/>
        </w:tabs>
        <w:ind w:left="5040" w:hanging="360"/>
      </w:pPr>
      <w:rPr>
        <w:rFonts w:ascii="Arial" w:hAnsi="Arial" w:hint="default"/>
      </w:rPr>
    </w:lvl>
    <w:lvl w:ilvl="7" w:tplc="9BA80802" w:tentative="1">
      <w:start w:val="1"/>
      <w:numFmt w:val="bullet"/>
      <w:lvlText w:val="•"/>
      <w:lvlJc w:val="left"/>
      <w:pPr>
        <w:tabs>
          <w:tab w:val="num" w:pos="5760"/>
        </w:tabs>
        <w:ind w:left="5760" w:hanging="360"/>
      </w:pPr>
      <w:rPr>
        <w:rFonts w:ascii="Arial" w:hAnsi="Arial" w:hint="default"/>
      </w:rPr>
    </w:lvl>
    <w:lvl w:ilvl="8" w:tplc="8646D30E" w:tentative="1">
      <w:start w:val="1"/>
      <w:numFmt w:val="bullet"/>
      <w:lvlText w:val="•"/>
      <w:lvlJc w:val="left"/>
      <w:pPr>
        <w:tabs>
          <w:tab w:val="num" w:pos="6480"/>
        </w:tabs>
        <w:ind w:left="6480" w:hanging="360"/>
      </w:pPr>
      <w:rPr>
        <w:rFonts w:ascii="Arial" w:hAnsi="Arial" w:hint="default"/>
      </w:rPr>
    </w:lvl>
  </w:abstractNum>
  <w:abstractNum w:abstractNumId="16">
    <w:nsid w:val="1CA051F1"/>
    <w:multiLevelType w:val="hybridMultilevel"/>
    <w:tmpl w:val="A7282850"/>
    <w:lvl w:ilvl="0" w:tplc="E2845E7E">
      <w:start w:val="1"/>
      <w:numFmt w:val="bullet"/>
      <w:lvlText w:val="•"/>
      <w:lvlJc w:val="left"/>
      <w:pPr>
        <w:tabs>
          <w:tab w:val="num" w:pos="720"/>
        </w:tabs>
        <w:ind w:left="720" w:hanging="360"/>
      </w:pPr>
      <w:rPr>
        <w:rFonts w:ascii="Arial" w:hAnsi="Arial" w:hint="default"/>
      </w:rPr>
    </w:lvl>
    <w:lvl w:ilvl="1" w:tplc="5F9EBF1A" w:tentative="1">
      <w:start w:val="1"/>
      <w:numFmt w:val="bullet"/>
      <w:lvlText w:val="•"/>
      <w:lvlJc w:val="left"/>
      <w:pPr>
        <w:tabs>
          <w:tab w:val="num" w:pos="1440"/>
        </w:tabs>
        <w:ind w:left="1440" w:hanging="360"/>
      </w:pPr>
      <w:rPr>
        <w:rFonts w:ascii="Arial" w:hAnsi="Arial" w:hint="default"/>
      </w:rPr>
    </w:lvl>
    <w:lvl w:ilvl="2" w:tplc="CEC84B56" w:tentative="1">
      <w:start w:val="1"/>
      <w:numFmt w:val="bullet"/>
      <w:lvlText w:val="•"/>
      <w:lvlJc w:val="left"/>
      <w:pPr>
        <w:tabs>
          <w:tab w:val="num" w:pos="2160"/>
        </w:tabs>
        <w:ind w:left="2160" w:hanging="360"/>
      </w:pPr>
      <w:rPr>
        <w:rFonts w:ascii="Arial" w:hAnsi="Arial" w:hint="default"/>
      </w:rPr>
    </w:lvl>
    <w:lvl w:ilvl="3" w:tplc="95F67E1E" w:tentative="1">
      <w:start w:val="1"/>
      <w:numFmt w:val="bullet"/>
      <w:lvlText w:val="•"/>
      <w:lvlJc w:val="left"/>
      <w:pPr>
        <w:tabs>
          <w:tab w:val="num" w:pos="2880"/>
        </w:tabs>
        <w:ind w:left="2880" w:hanging="360"/>
      </w:pPr>
      <w:rPr>
        <w:rFonts w:ascii="Arial" w:hAnsi="Arial" w:hint="default"/>
      </w:rPr>
    </w:lvl>
    <w:lvl w:ilvl="4" w:tplc="A3BCDBA6" w:tentative="1">
      <w:start w:val="1"/>
      <w:numFmt w:val="bullet"/>
      <w:lvlText w:val="•"/>
      <w:lvlJc w:val="left"/>
      <w:pPr>
        <w:tabs>
          <w:tab w:val="num" w:pos="3600"/>
        </w:tabs>
        <w:ind w:left="3600" w:hanging="360"/>
      </w:pPr>
      <w:rPr>
        <w:rFonts w:ascii="Arial" w:hAnsi="Arial" w:hint="default"/>
      </w:rPr>
    </w:lvl>
    <w:lvl w:ilvl="5" w:tplc="F4A4CEBA" w:tentative="1">
      <w:start w:val="1"/>
      <w:numFmt w:val="bullet"/>
      <w:lvlText w:val="•"/>
      <w:lvlJc w:val="left"/>
      <w:pPr>
        <w:tabs>
          <w:tab w:val="num" w:pos="4320"/>
        </w:tabs>
        <w:ind w:left="4320" w:hanging="360"/>
      </w:pPr>
      <w:rPr>
        <w:rFonts w:ascii="Arial" w:hAnsi="Arial" w:hint="default"/>
      </w:rPr>
    </w:lvl>
    <w:lvl w:ilvl="6" w:tplc="55F613CA" w:tentative="1">
      <w:start w:val="1"/>
      <w:numFmt w:val="bullet"/>
      <w:lvlText w:val="•"/>
      <w:lvlJc w:val="left"/>
      <w:pPr>
        <w:tabs>
          <w:tab w:val="num" w:pos="5040"/>
        </w:tabs>
        <w:ind w:left="5040" w:hanging="360"/>
      </w:pPr>
      <w:rPr>
        <w:rFonts w:ascii="Arial" w:hAnsi="Arial" w:hint="default"/>
      </w:rPr>
    </w:lvl>
    <w:lvl w:ilvl="7" w:tplc="9B663CCC" w:tentative="1">
      <w:start w:val="1"/>
      <w:numFmt w:val="bullet"/>
      <w:lvlText w:val="•"/>
      <w:lvlJc w:val="left"/>
      <w:pPr>
        <w:tabs>
          <w:tab w:val="num" w:pos="5760"/>
        </w:tabs>
        <w:ind w:left="5760" w:hanging="360"/>
      </w:pPr>
      <w:rPr>
        <w:rFonts w:ascii="Arial" w:hAnsi="Arial" w:hint="default"/>
      </w:rPr>
    </w:lvl>
    <w:lvl w:ilvl="8" w:tplc="E0C47940" w:tentative="1">
      <w:start w:val="1"/>
      <w:numFmt w:val="bullet"/>
      <w:lvlText w:val="•"/>
      <w:lvlJc w:val="left"/>
      <w:pPr>
        <w:tabs>
          <w:tab w:val="num" w:pos="6480"/>
        </w:tabs>
        <w:ind w:left="6480" w:hanging="360"/>
      </w:pPr>
      <w:rPr>
        <w:rFonts w:ascii="Arial" w:hAnsi="Arial" w:hint="default"/>
      </w:rPr>
    </w:lvl>
  </w:abstractNum>
  <w:abstractNum w:abstractNumId="17">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0C02506"/>
    <w:multiLevelType w:val="hybridMultilevel"/>
    <w:tmpl w:val="44504176"/>
    <w:lvl w:ilvl="0" w:tplc="9C6ED7EE">
      <w:start w:val="1"/>
      <w:numFmt w:val="bullet"/>
      <w:lvlText w:val="•"/>
      <w:lvlJc w:val="left"/>
      <w:pPr>
        <w:tabs>
          <w:tab w:val="num" w:pos="720"/>
        </w:tabs>
        <w:ind w:left="720" w:hanging="360"/>
      </w:pPr>
      <w:rPr>
        <w:rFonts w:ascii="Arial" w:hAnsi="Arial" w:hint="default"/>
      </w:rPr>
    </w:lvl>
    <w:lvl w:ilvl="1" w:tplc="7C125810" w:tentative="1">
      <w:start w:val="1"/>
      <w:numFmt w:val="bullet"/>
      <w:lvlText w:val="•"/>
      <w:lvlJc w:val="left"/>
      <w:pPr>
        <w:tabs>
          <w:tab w:val="num" w:pos="1440"/>
        </w:tabs>
        <w:ind w:left="1440" w:hanging="360"/>
      </w:pPr>
      <w:rPr>
        <w:rFonts w:ascii="Arial" w:hAnsi="Arial" w:hint="default"/>
      </w:rPr>
    </w:lvl>
    <w:lvl w:ilvl="2" w:tplc="DF10E468" w:tentative="1">
      <w:start w:val="1"/>
      <w:numFmt w:val="bullet"/>
      <w:lvlText w:val="•"/>
      <w:lvlJc w:val="left"/>
      <w:pPr>
        <w:tabs>
          <w:tab w:val="num" w:pos="2160"/>
        </w:tabs>
        <w:ind w:left="2160" w:hanging="360"/>
      </w:pPr>
      <w:rPr>
        <w:rFonts w:ascii="Arial" w:hAnsi="Arial" w:hint="default"/>
      </w:rPr>
    </w:lvl>
    <w:lvl w:ilvl="3" w:tplc="05944F7E" w:tentative="1">
      <w:start w:val="1"/>
      <w:numFmt w:val="bullet"/>
      <w:lvlText w:val="•"/>
      <w:lvlJc w:val="left"/>
      <w:pPr>
        <w:tabs>
          <w:tab w:val="num" w:pos="2880"/>
        </w:tabs>
        <w:ind w:left="2880" w:hanging="360"/>
      </w:pPr>
      <w:rPr>
        <w:rFonts w:ascii="Arial" w:hAnsi="Arial" w:hint="default"/>
      </w:rPr>
    </w:lvl>
    <w:lvl w:ilvl="4" w:tplc="164CBC14" w:tentative="1">
      <w:start w:val="1"/>
      <w:numFmt w:val="bullet"/>
      <w:lvlText w:val="•"/>
      <w:lvlJc w:val="left"/>
      <w:pPr>
        <w:tabs>
          <w:tab w:val="num" w:pos="3600"/>
        </w:tabs>
        <w:ind w:left="3600" w:hanging="360"/>
      </w:pPr>
      <w:rPr>
        <w:rFonts w:ascii="Arial" w:hAnsi="Arial" w:hint="default"/>
      </w:rPr>
    </w:lvl>
    <w:lvl w:ilvl="5" w:tplc="F47E39AC" w:tentative="1">
      <w:start w:val="1"/>
      <w:numFmt w:val="bullet"/>
      <w:lvlText w:val="•"/>
      <w:lvlJc w:val="left"/>
      <w:pPr>
        <w:tabs>
          <w:tab w:val="num" w:pos="4320"/>
        </w:tabs>
        <w:ind w:left="4320" w:hanging="360"/>
      </w:pPr>
      <w:rPr>
        <w:rFonts w:ascii="Arial" w:hAnsi="Arial" w:hint="default"/>
      </w:rPr>
    </w:lvl>
    <w:lvl w:ilvl="6" w:tplc="EC587D50" w:tentative="1">
      <w:start w:val="1"/>
      <w:numFmt w:val="bullet"/>
      <w:lvlText w:val="•"/>
      <w:lvlJc w:val="left"/>
      <w:pPr>
        <w:tabs>
          <w:tab w:val="num" w:pos="5040"/>
        </w:tabs>
        <w:ind w:left="5040" w:hanging="360"/>
      </w:pPr>
      <w:rPr>
        <w:rFonts w:ascii="Arial" w:hAnsi="Arial" w:hint="default"/>
      </w:rPr>
    </w:lvl>
    <w:lvl w:ilvl="7" w:tplc="03B0FA7E" w:tentative="1">
      <w:start w:val="1"/>
      <w:numFmt w:val="bullet"/>
      <w:lvlText w:val="•"/>
      <w:lvlJc w:val="left"/>
      <w:pPr>
        <w:tabs>
          <w:tab w:val="num" w:pos="5760"/>
        </w:tabs>
        <w:ind w:left="5760" w:hanging="360"/>
      </w:pPr>
      <w:rPr>
        <w:rFonts w:ascii="Arial" w:hAnsi="Arial" w:hint="default"/>
      </w:rPr>
    </w:lvl>
    <w:lvl w:ilvl="8" w:tplc="599C352C" w:tentative="1">
      <w:start w:val="1"/>
      <w:numFmt w:val="bullet"/>
      <w:lvlText w:val="•"/>
      <w:lvlJc w:val="left"/>
      <w:pPr>
        <w:tabs>
          <w:tab w:val="num" w:pos="6480"/>
        </w:tabs>
        <w:ind w:left="6480" w:hanging="360"/>
      </w:pPr>
      <w:rPr>
        <w:rFonts w:ascii="Arial" w:hAnsi="Arial" w:hint="default"/>
      </w:rPr>
    </w:lvl>
  </w:abstractNum>
  <w:abstractNum w:abstractNumId="20">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2ECE5842"/>
    <w:multiLevelType w:val="hybridMultilevel"/>
    <w:tmpl w:val="6472C8C8"/>
    <w:lvl w:ilvl="0" w:tplc="3C841FB4">
      <w:start w:val="1"/>
      <w:numFmt w:val="bullet"/>
      <w:lvlText w:val="•"/>
      <w:lvlJc w:val="left"/>
      <w:pPr>
        <w:tabs>
          <w:tab w:val="num" w:pos="720"/>
        </w:tabs>
        <w:ind w:left="720" w:hanging="360"/>
      </w:pPr>
      <w:rPr>
        <w:rFonts w:ascii="Arial" w:hAnsi="Arial" w:hint="default"/>
      </w:rPr>
    </w:lvl>
    <w:lvl w:ilvl="1" w:tplc="A9E2EE94" w:tentative="1">
      <w:start w:val="1"/>
      <w:numFmt w:val="bullet"/>
      <w:lvlText w:val="•"/>
      <w:lvlJc w:val="left"/>
      <w:pPr>
        <w:tabs>
          <w:tab w:val="num" w:pos="1440"/>
        </w:tabs>
        <w:ind w:left="1440" w:hanging="360"/>
      </w:pPr>
      <w:rPr>
        <w:rFonts w:ascii="Arial" w:hAnsi="Arial" w:hint="default"/>
      </w:rPr>
    </w:lvl>
    <w:lvl w:ilvl="2" w:tplc="500E8D40" w:tentative="1">
      <w:start w:val="1"/>
      <w:numFmt w:val="bullet"/>
      <w:lvlText w:val="•"/>
      <w:lvlJc w:val="left"/>
      <w:pPr>
        <w:tabs>
          <w:tab w:val="num" w:pos="2160"/>
        </w:tabs>
        <w:ind w:left="2160" w:hanging="360"/>
      </w:pPr>
      <w:rPr>
        <w:rFonts w:ascii="Arial" w:hAnsi="Arial" w:hint="default"/>
      </w:rPr>
    </w:lvl>
    <w:lvl w:ilvl="3" w:tplc="6D7EDCEC" w:tentative="1">
      <w:start w:val="1"/>
      <w:numFmt w:val="bullet"/>
      <w:lvlText w:val="•"/>
      <w:lvlJc w:val="left"/>
      <w:pPr>
        <w:tabs>
          <w:tab w:val="num" w:pos="2880"/>
        </w:tabs>
        <w:ind w:left="2880" w:hanging="360"/>
      </w:pPr>
      <w:rPr>
        <w:rFonts w:ascii="Arial" w:hAnsi="Arial" w:hint="default"/>
      </w:rPr>
    </w:lvl>
    <w:lvl w:ilvl="4" w:tplc="EBC0CFBC" w:tentative="1">
      <w:start w:val="1"/>
      <w:numFmt w:val="bullet"/>
      <w:lvlText w:val="•"/>
      <w:lvlJc w:val="left"/>
      <w:pPr>
        <w:tabs>
          <w:tab w:val="num" w:pos="3600"/>
        </w:tabs>
        <w:ind w:left="3600" w:hanging="360"/>
      </w:pPr>
      <w:rPr>
        <w:rFonts w:ascii="Arial" w:hAnsi="Arial" w:hint="default"/>
      </w:rPr>
    </w:lvl>
    <w:lvl w:ilvl="5" w:tplc="DD2214C4" w:tentative="1">
      <w:start w:val="1"/>
      <w:numFmt w:val="bullet"/>
      <w:lvlText w:val="•"/>
      <w:lvlJc w:val="left"/>
      <w:pPr>
        <w:tabs>
          <w:tab w:val="num" w:pos="4320"/>
        </w:tabs>
        <w:ind w:left="4320" w:hanging="360"/>
      </w:pPr>
      <w:rPr>
        <w:rFonts w:ascii="Arial" w:hAnsi="Arial" w:hint="default"/>
      </w:rPr>
    </w:lvl>
    <w:lvl w:ilvl="6" w:tplc="FC329F3E" w:tentative="1">
      <w:start w:val="1"/>
      <w:numFmt w:val="bullet"/>
      <w:lvlText w:val="•"/>
      <w:lvlJc w:val="left"/>
      <w:pPr>
        <w:tabs>
          <w:tab w:val="num" w:pos="5040"/>
        </w:tabs>
        <w:ind w:left="5040" w:hanging="360"/>
      </w:pPr>
      <w:rPr>
        <w:rFonts w:ascii="Arial" w:hAnsi="Arial" w:hint="default"/>
      </w:rPr>
    </w:lvl>
    <w:lvl w:ilvl="7" w:tplc="77E28016" w:tentative="1">
      <w:start w:val="1"/>
      <w:numFmt w:val="bullet"/>
      <w:lvlText w:val="•"/>
      <w:lvlJc w:val="left"/>
      <w:pPr>
        <w:tabs>
          <w:tab w:val="num" w:pos="5760"/>
        </w:tabs>
        <w:ind w:left="5760" w:hanging="360"/>
      </w:pPr>
      <w:rPr>
        <w:rFonts w:ascii="Arial" w:hAnsi="Arial" w:hint="default"/>
      </w:rPr>
    </w:lvl>
    <w:lvl w:ilvl="8" w:tplc="2EA02DD4" w:tentative="1">
      <w:start w:val="1"/>
      <w:numFmt w:val="bullet"/>
      <w:lvlText w:val="•"/>
      <w:lvlJc w:val="left"/>
      <w:pPr>
        <w:tabs>
          <w:tab w:val="num" w:pos="6480"/>
        </w:tabs>
        <w:ind w:left="6480" w:hanging="360"/>
      </w:pPr>
      <w:rPr>
        <w:rFonts w:ascii="Arial" w:hAnsi="Arial" w:hint="default"/>
      </w:rPr>
    </w:lvl>
  </w:abstractNum>
  <w:abstractNum w:abstractNumId="2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6"/>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6">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D227448"/>
    <w:multiLevelType w:val="hybridMultilevel"/>
    <w:tmpl w:val="6846DF06"/>
    <w:lvl w:ilvl="0" w:tplc="8D7AF75C">
      <w:start w:val="1"/>
      <w:numFmt w:val="bullet"/>
      <w:lvlText w:val="•"/>
      <w:lvlJc w:val="left"/>
      <w:pPr>
        <w:tabs>
          <w:tab w:val="num" w:pos="720"/>
        </w:tabs>
        <w:ind w:left="720" w:hanging="360"/>
      </w:pPr>
      <w:rPr>
        <w:rFonts w:ascii="Arial" w:hAnsi="Arial" w:hint="default"/>
      </w:rPr>
    </w:lvl>
    <w:lvl w:ilvl="1" w:tplc="4B2C4B78" w:tentative="1">
      <w:start w:val="1"/>
      <w:numFmt w:val="bullet"/>
      <w:lvlText w:val="•"/>
      <w:lvlJc w:val="left"/>
      <w:pPr>
        <w:tabs>
          <w:tab w:val="num" w:pos="1440"/>
        </w:tabs>
        <w:ind w:left="1440" w:hanging="360"/>
      </w:pPr>
      <w:rPr>
        <w:rFonts w:ascii="Arial" w:hAnsi="Arial" w:hint="default"/>
      </w:rPr>
    </w:lvl>
    <w:lvl w:ilvl="2" w:tplc="BFCC9F1C" w:tentative="1">
      <w:start w:val="1"/>
      <w:numFmt w:val="bullet"/>
      <w:lvlText w:val="•"/>
      <w:lvlJc w:val="left"/>
      <w:pPr>
        <w:tabs>
          <w:tab w:val="num" w:pos="2160"/>
        </w:tabs>
        <w:ind w:left="2160" w:hanging="360"/>
      </w:pPr>
      <w:rPr>
        <w:rFonts w:ascii="Arial" w:hAnsi="Arial" w:hint="default"/>
      </w:rPr>
    </w:lvl>
    <w:lvl w:ilvl="3" w:tplc="5F4A0D86" w:tentative="1">
      <w:start w:val="1"/>
      <w:numFmt w:val="bullet"/>
      <w:lvlText w:val="•"/>
      <w:lvlJc w:val="left"/>
      <w:pPr>
        <w:tabs>
          <w:tab w:val="num" w:pos="2880"/>
        </w:tabs>
        <w:ind w:left="2880" w:hanging="360"/>
      </w:pPr>
      <w:rPr>
        <w:rFonts w:ascii="Arial" w:hAnsi="Arial" w:hint="default"/>
      </w:rPr>
    </w:lvl>
    <w:lvl w:ilvl="4" w:tplc="37B0E00E" w:tentative="1">
      <w:start w:val="1"/>
      <w:numFmt w:val="bullet"/>
      <w:lvlText w:val="•"/>
      <w:lvlJc w:val="left"/>
      <w:pPr>
        <w:tabs>
          <w:tab w:val="num" w:pos="3600"/>
        </w:tabs>
        <w:ind w:left="3600" w:hanging="360"/>
      </w:pPr>
      <w:rPr>
        <w:rFonts w:ascii="Arial" w:hAnsi="Arial" w:hint="default"/>
      </w:rPr>
    </w:lvl>
    <w:lvl w:ilvl="5" w:tplc="0B0C411E" w:tentative="1">
      <w:start w:val="1"/>
      <w:numFmt w:val="bullet"/>
      <w:lvlText w:val="•"/>
      <w:lvlJc w:val="left"/>
      <w:pPr>
        <w:tabs>
          <w:tab w:val="num" w:pos="4320"/>
        </w:tabs>
        <w:ind w:left="4320" w:hanging="360"/>
      </w:pPr>
      <w:rPr>
        <w:rFonts w:ascii="Arial" w:hAnsi="Arial" w:hint="default"/>
      </w:rPr>
    </w:lvl>
    <w:lvl w:ilvl="6" w:tplc="7C6A713C" w:tentative="1">
      <w:start w:val="1"/>
      <w:numFmt w:val="bullet"/>
      <w:lvlText w:val="•"/>
      <w:lvlJc w:val="left"/>
      <w:pPr>
        <w:tabs>
          <w:tab w:val="num" w:pos="5040"/>
        </w:tabs>
        <w:ind w:left="5040" w:hanging="360"/>
      </w:pPr>
      <w:rPr>
        <w:rFonts w:ascii="Arial" w:hAnsi="Arial" w:hint="default"/>
      </w:rPr>
    </w:lvl>
    <w:lvl w:ilvl="7" w:tplc="80FE1B72" w:tentative="1">
      <w:start w:val="1"/>
      <w:numFmt w:val="bullet"/>
      <w:lvlText w:val="•"/>
      <w:lvlJc w:val="left"/>
      <w:pPr>
        <w:tabs>
          <w:tab w:val="num" w:pos="5760"/>
        </w:tabs>
        <w:ind w:left="5760" w:hanging="360"/>
      </w:pPr>
      <w:rPr>
        <w:rFonts w:ascii="Arial" w:hAnsi="Arial" w:hint="default"/>
      </w:rPr>
    </w:lvl>
    <w:lvl w:ilvl="8" w:tplc="54B40EDA" w:tentative="1">
      <w:start w:val="1"/>
      <w:numFmt w:val="bullet"/>
      <w:lvlText w:val="•"/>
      <w:lvlJc w:val="left"/>
      <w:pPr>
        <w:tabs>
          <w:tab w:val="num" w:pos="6480"/>
        </w:tabs>
        <w:ind w:left="6480" w:hanging="360"/>
      </w:pPr>
      <w:rPr>
        <w:rFonts w:ascii="Arial" w:hAnsi="Arial" w:hint="default"/>
      </w:rPr>
    </w:lvl>
  </w:abstractNum>
  <w:abstractNum w:abstractNumId="3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5ECE4384"/>
    <w:multiLevelType w:val="multilevel"/>
    <w:tmpl w:val="4DD083C6"/>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0">
    <w:nsid w:val="6DE36827"/>
    <w:multiLevelType w:val="multilevel"/>
    <w:tmpl w:val="950A1C52"/>
    <w:numStyleLink w:val="AERHeadings"/>
  </w:abstractNum>
  <w:abstractNum w:abstractNumId="4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A70EE9"/>
    <w:multiLevelType w:val="hybridMultilevel"/>
    <w:tmpl w:val="8C9CB708"/>
    <w:lvl w:ilvl="0" w:tplc="64268F12">
      <w:start w:val="1"/>
      <w:numFmt w:val="bullet"/>
      <w:lvlText w:val="•"/>
      <w:lvlJc w:val="left"/>
      <w:pPr>
        <w:tabs>
          <w:tab w:val="num" w:pos="720"/>
        </w:tabs>
        <w:ind w:left="720" w:hanging="360"/>
      </w:pPr>
      <w:rPr>
        <w:rFonts w:ascii="Arial" w:hAnsi="Arial" w:hint="default"/>
      </w:rPr>
    </w:lvl>
    <w:lvl w:ilvl="1" w:tplc="4C2A6908" w:tentative="1">
      <w:start w:val="1"/>
      <w:numFmt w:val="bullet"/>
      <w:lvlText w:val="•"/>
      <w:lvlJc w:val="left"/>
      <w:pPr>
        <w:tabs>
          <w:tab w:val="num" w:pos="1440"/>
        </w:tabs>
        <w:ind w:left="1440" w:hanging="360"/>
      </w:pPr>
      <w:rPr>
        <w:rFonts w:ascii="Arial" w:hAnsi="Arial" w:hint="default"/>
      </w:rPr>
    </w:lvl>
    <w:lvl w:ilvl="2" w:tplc="BFDE4746" w:tentative="1">
      <w:start w:val="1"/>
      <w:numFmt w:val="bullet"/>
      <w:lvlText w:val="•"/>
      <w:lvlJc w:val="left"/>
      <w:pPr>
        <w:tabs>
          <w:tab w:val="num" w:pos="2160"/>
        </w:tabs>
        <w:ind w:left="2160" w:hanging="360"/>
      </w:pPr>
      <w:rPr>
        <w:rFonts w:ascii="Arial" w:hAnsi="Arial" w:hint="default"/>
      </w:rPr>
    </w:lvl>
    <w:lvl w:ilvl="3" w:tplc="C666E814" w:tentative="1">
      <w:start w:val="1"/>
      <w:numFmt w:val="bullet"/>
      <w:lvlText w:val="•"/>
      <w:lvlJc w:val="left"/>
      <w:pPr>
        <w:tabs>
          <w:tab w:val="num" w:pos="2880"/>
        </w:tabs>
        <w:ind w:left="2880" w:hanging="360"/>
      </w:pPr>
      <w:rPr>
        <w:rFonts w:ascii="Arial" w:hAnsi="Arial" w:hint="default"/>
      </w:rPr>
    </w:lvl>
    <w:lvl w:ilvl="4" w:tplc="D6DE920E" w:tentative="1">
      <w:start w:val="1"/>
      <w:numFmt w:val="bullet"/>
      <w:lvlText w:val="•"/>
      <w:lvlJc w:val="left"/>
      <w:pPr>
        <w:tabs>
          <w:tab w:val="num" w:pos="3600"/>
        </w:tabs>
        <w:ind w:left="3600" w:hanging="360"/>
      </w:pPr>
      <w:rPr>
        <w:rFonts w:ascii="Arial" w:hAnsi="Arial" w:hint="default"/>
      </w:rPr>
    </w:lvl>
    <w:lvl w:ilvl="5" w:tplc="ADB69722" w:tentative="1">
      <w:start w:val="1"/>
      <w:numFmt w:val="bullet"/>
      <w:lvlText w:val="•"/>
      <w:lvlJc w:val="left"/>
      <w:pPr>
        <w:tabs>
          <w:tab w:val="num" w:pos="4320"/>
        </w:tabs>
        <w:ind w:left="4320" w:hanging="360"/>
      </w:pPr>
      <w:rPr>
        <w:rFonts w:ascii="Arial" w:hAnsi="Arial" w:hint="default"/>
      </w:rPr>
    </w:lvl>
    <w:lvl w:ilvl="6" w:tplc="7CD2EB7A" w:tentative="1">
      <w:start w:val="1"/>
      <w:numFmt w:val="bullet"/>
      <w:lvlText w:val="•"/>
      <w:lvlJc w:val="left"/>
      <w:pPr>
        <w:tabs>
          <w:tab w:val="num" w:pos="5040"/>
        </w:tabs>
        <w:ind w:left="5040" w:hanging="360"/>
      </w:pPr>
      <w:rPr>
        <w:rFonts w:ascii="Arial" w:hAnsi="Arial" w:hint="default"/>
      </w:rPr>
    </w:lvl>
    <w:lvl w:ilvl="7" w:tplc="5CF6DAC4" w:tentative="1">
      <w:start w:val="1"/>
      <w:numFmt w:val="bullet"/>
      <w:lvlText w:val="•"/>
      <w:lvlJc w:val="left"/>
      <w:pPr>
        <w:tabs>
          <w:tab w:val="num" w:pos="5760"/>
        </w:tabs>
        <w:ind w:left="5760" w:hanging="360"/>
      </w:pPr>
      <w:rPr>
        <w:rFonts w:ascii="Arial" w:hAnsi="Arial" w:hint="default"/>
      </w:rPr>
    </w:lvl>
    <w:lvl w:ilvl="8" w:tplc="48A0B600" w:tentative="1">
      <w:start w:val="1"/>
      <w:numFmt w:val="bullet"/>
      <w:lvlText w:val="•"/>
      <w:lvlJc w:val="left"/>
      <w:pPr>
        <w:tabs>
          <w:tab w:val="num" w:pos="6480"/>
        </w:tabs>
        <w:ind w:left="6480" w:hanging="360"/>
      </w:pPr>
      <w:rPr>
        <w:rFonts w:ascii="Arial" w:hAnsi="Arial" w:hint="default"/>
      </w:rPr>
    </w:lvl>
  </w:abstractNum>
  <w:abstractNum w:abstractNumId="4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4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9"/>
  </w:num>
  <w:num w:numId="13">
    <w:abstractNumId w:val="28"/>
  </w:num>
  <w:num w:numId="14">
    <w:abstractNumId w:val="13"/>
  </w:num>
  <w:num w:numId="15">
    <w:abstractNumId w:val="17"/>
  </w:num>
  <w:num w:numId="16">
    <w:abstractNumId w:val="33"/>
  </w:num>
  <w:num w:numId="17">
    <w:abstractNumId w:val="12"/>
  </w:num>
  <w:num w:numId="18">
    <w:abstractNumId w:val="22"/>
  </w:num>
  <w:num w:numId="19">
    <w:abstractNumId w:val="34"/>
  </w:num>
  <w:num w:numId="20">
    <w:abstractNumId w:val="41"/>
  </w:num>
  <w:num w:numId="21">
    <w:abstractNumId w:val="18"/>
  </w:num>
  <w:num w:numId="22">
    <w:abstractNumId w:val="37"/>
  </w:num>
  <w:num w:numId="23">
    <w:abstractNumId w:val="35"/>
  </w:num>
  <w:num w:numId="24">
    <w:abstractNumId w:val="25"/>
  </w:num>
  <w:num w:numId="25">
    <w:abstractNumId w:val="36"/>
  </w:num>
  <w:num w:numId="26">
    <w:abstractNumId w:val="38"/>
  </w:num>
  <w:num w:numId="27">
    <w:abstractNumId w:val="27"/>
  </w:num>
  <w:num w:numId="28">
    <w:abstractNumId w:val="23"/>
  </w:num>
  <w:num w:numId="29">
    <w:abstractNumId w:val="21"/>
  </w:num>
  <w:num w:numId="30">
    <w:abstractNumId w:val="42"/>
  </w:num>
  <w:num w:numId="31">
    <w:abstractNumId w:val="20"/>
  </w:num>
  <w:num w:numId="32">
    <w:abstractNumId w:val="31"/>
  </w:num>
  <w:num w:numId="33">
    <w:abstractNumId w:val="25"/>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5"/>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5"/>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40"/>
  </w:num>
  <w:num w:numId="37">
    <w:abstractNumId w:val="10"/>
  </w:num>
  <w:num w:numId="38">
    <w:abstractNumId w:val="29"/>
  </w:num>
  <w:num w:numId="39">
    <w:abstractNumId w:val="26"/>
  </w:num>
  <w:num w:numId="40">
    <w:abstractNumId w:val="24"/>
  </w:num>
  <w:num w:numId="41">
    <w:abstractNumId w:val="43"/>
  </w:num>
  <w:num w:numId="42">
    <w:abstractNumId w:val="16"/>
  </w:num>
  <w:num w:numId="43">
    <w:abstractNumId w:val="11"/>
  </w:num>
  <w:num w:numId="44">
    <w:abstractNumId w:val="19"/>
  </w:num>
  <w:num w:numId="45">
    <w:abstractNumId w:val="30"/>
  </w:num>
  <w:num w:numId="46">
    <w:abstractNumId w:val="15"/>
  </w:num>
  <w:num w:numId="47">
    <w:abstractNumId w:val="9"/>
  </w:num>
  <w:num w:numId="4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Ci537ByzXoMI3hhk6+Cxks3UxC1arBH8qUrDIr6oWE=" w:saltValue="Vh0jmKxWb79cfK+Figuq7Q==" w:algorithmName="SHA-256"/>
  <w:defaultTabStop w:val="34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716\AER15 180  NEW - Energex - prelim decision - Attach 18 - Connection policy.DOCX"/>
  </w:docVars>
  <w:rsids>
    <w:rsidRoot w:val="00961A4A"/>
    <w:rsid w:val="00004F19"/>
    <w:rsid w:val="00005193"/>
    <w:rsid w:val="00010024"/>
    <w:rsid w:val="00021202"/>
    <w:rsid w:val="0002517F"/>
    <w:rsid w:val="0003578C"/>
    <w:rsid w:val="0005369A"/>
    <w:rsid w:val="00063247"/>
    <w:rsid w:val="00070F9F"/>
    <w:rsid w:val="0007137B"/>
    <w:rsid w:val="000755F5"/>
    <w:rsid w:val="00076BF6"/>
    <w:rsid w:val="00085663"/>
    <w:rsid w:val="00085EBF"/>
    <w:rsid w:val="000860A2"/>
    <w:rsid w:val="0009032A"/>
    <w:rsid w:val="00090D65"/>
    <w:rsid w:val="000A3020"/>
    <w:rsid w:val="000A6C7B"/>
    <w:rsid w:val="000D02A1"/>
    <w:rsid w:val="000D122C"/>
    <w:rsid w:val="000E1819"/>
    <w:rsid w:val="000E4821"/>
    <w:rsid w:val="000E6C72"/>
    <w:rsid w:val="00101B47"/>
    <w:rsid w:val="00106501"/>
    <w:rsid w:val="00116EB2"/>
    <w:rsid w:val="001201F1"/>
    <w:rsid w:val="00124609"/>
    <w:rsid w:val="00126A4C"/>
    <w:rsid w:val="001421F2"/>
    <w:rsid w:val="0014573B"/>
    <w:rsid w:val="001573E4"/>
    <w:rsid w:val="00160756"/>
    <w:rsid w:val="00166CF1"/>
    <w:rsid w:val="0017232E"/>
    <w:rsid w:val="00174102"/>
    <w:rsid w:val="00180157"/>
    <w:rsid w:val="00185CB9"/>
    <w:rsid w:val="00186F77"/>
    <w:rsid w:val="001926A4"/>
    <w:rsid w:val="00192AD5"/>
    <w:rsid w:val="001A0A8B"/>
    <w:rsid w:val="001B45A0"/>
    <w:rsid w:val="001D055E"/>
    <w:rsid w:val="001E3842"/>
    <w:rsid w:val="001F492E"/>
    <w:rsid w:val="001F6DA3"/>
    <w:rsid w:val="002010BC"/>
    <w:rsid w:val="00202E03"/>
    <w:rsid w:val="0020492C"/>
    <w:rsid w:val="00224DB9"/>
    <w:rsid w:val="00233775"/>
    <w:rsid w:val="0023449E"/>
    <w:rsid w:val="00251745"/>
    <w:rsid w:val="0026343A"/>
    <w:rsid w:val="00263AC0"/>
    <w:rsid w:val="00264264"/>
    <w:rsid w:val="0026772D"/>
    <w:rsid w:val="00285E63"/>
    <w:rsid w:val="00286874"/>
    <w:rsid w:val="00290C63"/>
    <w:rsid w:val="00296B65"/>
    <w:rsid w:val="002A7DEF"/>
    <w:rsid w:val="002B0550"/>
    <w:rsid w:val="002E4A3B"/>
    <w:rsid w:val="002E7B22"/>
    <w:rsid w:val="002F6223"/>
    <w:rsid w:val="002F7986"/>
    <w:rsid w:val="00301B40"/>
    <w:rsid w:val="00302985"/>
    <w:rsid w:val="003029EE"/>
    <w:rsid w:val="00303807"/>
    <w:rsid w:val="00305CC8"/>
    <w:rsid w:val="00307F6D"/>
    <w:rsid w:val="003177A2"/>
    <w:rsid w:val="00323720"/>
    <w:rsid w:val="003271B5"/>
    <w:rsid w:val="00327A1E"/>
    <w:rsid w:val="00331264"/>
    <w:rsid w:val="00334C8D"/>
    <w:rsid w:val="00343A18"/>
    <w:rsid w:val="003518B3"/>
    <w:rsid w:val="0037396F"/>
    <w:rsid w:val="003846F1"/>
    <w:rsid w:val="003B484F"/>
    <w:rsid w:val="003D5DD2"/>
    <w:rsid w:val="003E7412"/>
    <w:rsid w:val="003F174D"/>
    <w:rsid w:val="0045777E"/>
    <w:rsid w:val="00480B4B"/>
    <w:rsid w:val="004840C0"/>
    <w:rsid w:val="00485DC4"/>
    <w:rsid w:val="004957E6"/>
    <w:rsid w:val="004A43D1"/>
    <w:rsid w:val="004A5C52"/>
    <w:rsid w:val="004B4412"/>
    <w:rsid w:val="004C348C"/>
    <w:rsid w:val="004D36DE"/>
    <w:rsid w:val="004D55BA"/>
    <w:rsid w:val="004E22EC"/>
    <w:rsid w:val="004E47EE"/>
    <w:rsid w:val="00502AE4"/>
    <w:rsid w:val="0051318C"/>
    <w:rsid w:val="00530128"/>
    <w:rsid w:val="00531653"/>
    <w:rsid w:val="00532467"/>
    <w:rsid w:val="00534778"/>
    <w:rsid w:val="005578BD"/>
    <w:rsid w:val="00564A4D"/>
    <w:rsid w:val="00567BA5"/>
    <w:rsid w:val="00571B35"/>
    <w:rsid w:val="00571D57"/>
    <w:rsid w:val="00577A09"/>
    <w:rsid w:val="005829C2"/>
    <w:rsid w:val="00584D8F"/>
    <w:rsid w:val="005A404D"/>
    <w:rsid w:val="005B1E3C"/>
    <w:rsid w:val="005C26CC"/>
    <w:rsid w:val="005D7BA2"/>
    <w:rsid w:val="005E314E"/>
    <w:rsid w:val="005E36C2"/>
    <w:rsid w:val="005E39CE"/>
    <w:rsid w:val="005E4E5C"/>
    <w:rsid w:val="005E73B8"/>
    <w:rsid w:val="00603EAF"/>
    <w:rsid w:val="00613985"/>
    <w:rsid w:val="00615C6B"/>
    <w:rsid w:val="00621DCE"/>
    <w:rsid w:val="00632D6D"/>
    <w:rsid w:val="00642C3E"/>
    <w:rsid w:val="0064347B"/>
    <w:rsid w:val="006515DC"/>
    <w:rsid w:val="00653ABF"/>
    <w:rsid w:val="00656236"/>
    <w:rsid w:val="006576C5"/>
    <w:rsid w:val="0066104A"/>
    <w:rsid w:val="00663DAD"/>
    <w:rsid w:val="006712D5"/>
    <w:rsid w:val="00675E20"/>
    <w:rsid w:val="00676679"/>
    <w:rsid w:val="00683C89"/>
    <w:rsid w:val="00691C1E"/>
    <w:rsid w:val="006B16B5"/>
    <w:rsid w:val="006B2395"/>
    <w:rsid w:val="006B4CF9"/>
    <w:rsid w:val="006B664F"/>
    <w:rsid w:val="006B7AC8"/>
    <w:rsid w:val="006D550F"/>
    <w:rsid w:val="006F29D1"/>
    <w:rsid w:val="006F370C"/>
    <w:rsid w:val="00701CAB"/>
    <w:rsid w:val="00705F0B"/>
    <w:rsid w:val="00707563"/>
    <w:rsid w:val="007155B4"/>
    <w:rsid w:val="0072348C"/>
    <w:rsid w:val="00724A37"/>
    <w:rsid w:val="007303C3"/>
    <w:rsid w:val="007429BE"/>
    <w:rsid w:val="00743223"/>
    <w:rsid w:val="00746E01"/>
    <w:rsid w:val="00757BDF"/>
    <w:rsid w:val="00763E5D"/>
    <w:rsid w:val="00765F70"/>
    <w:rsid w:val="00767740"/>
    <w:rsid w:val="00770223"/>
    <w:rsid w:val="00777ECD"/>
    <w:rsid w:val="00777EE6"/>
    <w:rsid w:val="00782EEA"/>
    <w:rsid w:val="00792592"/>
    <w:rsid w:val="00795FC3"/>
    <w:rsid w:val="007B03F7"/>
    <w:rsid w:val="007B1639"/>
    <w:rsid w:val="007B2C72"/>
    <w:rsid w:val="007C1C53"/>
    <w:rsid w:val="007C74BB"/>
    <w:rsid w:val="007E21BB"/>
    <w:rsid w:val="007E4904"/>
    <w:rsid w:val="007E4CB5"/>
    <w:rsid w:val="007E6A04"/>
    <w:rsid w:val="007F066B"/>
    <w:rsid w:val="008033C4"/>
    <w:rsid w:val="00806C88"/>
    <w:rsid w:val="0081034E"/>
    <w:rsid w:val="00812A1D"/>
    <w:rsid w:val="008344F6"/>
    <w:rsid w:val="0083510F"/>
    <w:rsid w:val="008422F4"/>
    <w:rsid w:val="00851209"/>
    <w:rsid w:val="00864D3A"/>
    <w:rsid w:val="008837AC"/>
    <w:rsid w:val="008A587D"/>
    <w:rsid w:val="008A6FA5"/>
    <w:rsid w:val="008B35CD"/>
    <w:rsid w:val="008B5FCC"/>
    <w:rsid w:val="008B6E82"/>
    <w:rsid w:val="008C0D0C"/>
    <w:rsid w:val="008C5486"/>
    <w:rsid w:val="008D1661"/>
    <w:rsid w:val="008E00AC"/>
    <w:rsid w:val="008E0F52"/>
    <w:rsid w:val="008E7031"/>
    <w:rsid w:val="008E77DE"/>
    <w:rsid w:val="008F07A3"/>
    <w:rsid w:val="00900E1B"/>
    <w:rsid w:val="009233EE"/>
    <w:rsid w:val="0093765A"/>
    <w:rsid w:val="00943404"/>
    <w:rsid w:val="009460AA"/>
    <w:rsid w:val="00951978"/>
    <w:rsid w:val="009542F8"/>
    <w:rsid w:val="00961A4A"/>
    <w:rsid w:val="009661DE"/>
    <w:rsid w:val="009672BC"/>
    <w:rsid w:val="00977C6B"/>
    <w:rsid w:val="00983C25"/>
    <w:rsid w:val="009856B7"/>
    <w:rsid w:val="00985C86"/>
    <w:rsid w:val="009A5FC3"/>
    <w:rsid w:val="009B1D33"/>
    <w:rsid w:val="009B74B0"/>
    <w:rsid w:val="009C1B5E"/>
    <w:rsid w:val="009C2DA2"/>
    <w:rsid w:val="009D19E9"/>
    <w:rsid w:val="009D6B46"/>
    <w:rsid w:val="009F0CD6"/>
    <w:rsid w:val="009F2CD1"/>
    <w:rsid w:val="009F4940"/>
    <w:rsid w:val="009F5BA1"/>
    <w:rsid w:val="00A02A88"/>
    <w:rsid w:val="00A0562E"/>
    <w:rsid w:val="00A0726D"/>
    <w:rsid w:val="00A15F7D"/>
    <w:rsid w:val="00A32FBB"/>
    <w:rsid w:val="00A428EE"/>
    <w:rsid w:val="00A4478A"/>
    <w:rsid w:val="00A44852"/>
    <w:rsid w:val="00A44F13"/>
    <w:rsid w:val="00A4626F"/>
    <w:rsid w:val="00A54CC2"/>
    <w:rsid w:val="00A57D04"/>
    <w:rsid w:val="00A60A26"/>
    <w:rsid w:val="00A61598"/>
    <w:rsid w:val="00A6208B"/>
    <w:rsid w:val="00A84A99"/>
    <w:rsid w:val="00A84F46"/>
    <w:rsid w:val="00A871F4"/>
    <w:rsid w:val="00A95207"/>
    <w:rsid w:val="00AA5421"/>
    <w:rsid w:val="00AA6584"/>
    <w:rsid w:val="00AC185C"/>
    <w:rsid w:val="00AC1B2C"/>
    <w:rsid w:val="00AC3264"/>
    <w:rsid w:val="00AC4F12"/>
    <w:rsid w:val="00AD0034"/>
    <w:rsid w:val="00AE1BF1"/>
    <w:rsid w:val="00AF0CB8"/>
    <w:rsid w:val="00AF0DD2"/>
    <w:rsid w:val="00B07FA0"/>
    <w:rsid w:val="00B13048"/>
    <w:rsid w:val="00B169BD"/>
    <w:rsid w:val="00B17128"/>
    <w:rsid w:val="00B1716D"/>
    <w:rsid w:val="00B17A1D"/>
    <w:rsid w:val="00B207A0"/>
    <w:rsid w:val="00B34CEC"/>
    <w:rsid w:val="00B514DD"/>
    <w:rsid w:val="00B52AF0"/>
    <w:rsid w:val="00B54AA0"/>
    <w:rsid w:val="00B561BD"/>
    <w:rsid w:val="00B5694C"/>
    <w:rsid w:val="00B56E03"/>
    <w:rsid w:val="00B671BC"/>
    <w:rsid w:val="00B701C4"/>
    <w:rsid w:val="00B744DB"/>
    <w:rsid w:val="00B8080B"/>
    <w:rsid w:val="00B87BA5"/>
    <w:rsid w:val="00B87C39"/>
    <w:rsid w:val="00B930F1"/>
    <w:rsid w:val="00BA13D3"/>
    <w:rsid w:val="00BA4665"/>
    <w:rsid w:val="00BA6380"/>
    <w:rsid w:val="00BB2FB2"/>
    <w:rsid w:val="00BB3304"/>
    <w:rsid w:val="00BD1737"/>
    <w:rsid w:val="00BD3446"/>
    <w:rsid w:val="00BE1F1B"/>
    <w:rsid w:val="00BE47B5"/>
    <w:rsid w:val="00BF2924"/>
    <w:rsid w:val="00C038D0"/>
    <w:rsid w:val="00C04372"/>
    <w:rsid w:val="00C25FA6"/>
    <w:rsid w:val="00C42B85"/>
    <w:rsid w:val="00C538A9"/>
    <w:rsid w:val="00C53B5A"/>
    <w:rsid w:val="00C54F5A"/>
    <w:rsid w:val="00C569B4"/>
    <w:rsid w:val="00C67A92"/>
    <w:rsid w:val="00C72D8F"/>
    <w:rsid w:val="00C86679"/>
    <w:rsid w:val="00CA489E"/>
    <w:rsid w:val="00CA4BA9"/>
    <w:rsid w:val="00CA60DA"/>
    <w:rsid w:val="00CB0279"/>
    <w:rsid w:val="00CB666B"/>
    <w:rsid w:val="00CC3582"/>
    <w:rsid w:val="00CC7F1D"/>
    <w:rsid w:val="00CD7AF9"/>
    <w:rsid w:val="00CE20E1"/>
    <w:rsid w:val="00CF21A7"/>
    <w:rsid w:val="00CF3FEE"/>
    <w:rsid w:val="00CF6223"/>
    <w:rsid w:val="00CF6341"/>
    <w:rsid w:val="00D006AE"/>
    <w:rsid w:val="00D01CF0"/>
    <w:rsid w:val="00D0442A"/>
    <w:rsid w:val="00D44495"/>
    <w:rsid w:val="00D61388"/>
    <w:rsid w:val="00D615C0"/>
    <w:rsid w:val="00D61A54"/>
    <w:rsid w:val="00D64DEA"/>
    <w:rsid w:val="00D7168E"/>
    <w:rsid w:val="00D71E57"/>
    <w:rsid w:val="00D80893"/>
    <w:rsid w:val="00D84113"/>
    <w:rsid w:val="00D84854"/>
    <w:rsid w:val="00D85909"/>
    <w:rsid w:val="00D92CF1"/>
    <w:rsid w:val="00D92D38"/>
    <w:rsid w:val="00D94521"/>
    <w:rsid w:val="00D950F5"/>
    <w:rsid w:val="00DA1D13"/>
    <w:rsid w:val="00DA4752"/>
    <w:rsid w:val="00DA61F3"/>
    <w:rsid w:val="00DB0F93"/>
    <w:rsid w:val="00DB1A67"/>
    <w:rsid w:val="00DB5074"/>
    <w:rsid w:val="00DC1067"/>
    <w:rsid w:val="00DC7981"/>
    <w:rsid w:val="00DE1093"/>
    <w:rsid w:val="00DE4EFA"/>
    <w:rsid w:val="00DE5520"/>
    <w:rsid w:val="00DE563D"/>
    <w:rsid w:val="00DE752C"/>
    <w:rsid w:val="00E04818"/>
    <w:rsid w:val="00E05406"/>
    <w:rsid w:val="00E06442"/>
    <w:rsid w:val="00E22ED5"/>
    <w:rsid w:val="00E23993"/>
    <w:rsid w:val="00E25B8C"/>
    <w:rsid w:val="00E65C85"/>
    <w:rsid w:val="00E66199"/>
    <w:rsid w:val="00E755EC"/>
    <w:rsid w:val="00E7624D"/>
    <w:rsid w:val="00EA3D42"/>
    <w:rsid w:val="00EA6B1B"/>
    <w:rsid w:val="00EB2C62"/>
    <w:rsid w:val="00ED7323"/>
    <w:rsid w:val="00EE28F3"/>
    <w:rsid w:val="00EF5110"/>
    <w:rsid w:val="00F06B2D"/>
    <w:rsid w:val="00F10411"/>
    <w:rsid w:val="00F10F02"/>
    <w:rsid w:val="00F1564A"/>
    <w:rsid w:val="00F15882"/>
    <w:rsid w:val="00F171E0"/>
    <w:rsid w:val="00F20BD3"/>
    <w:rsid w:val="00F24A32"/>
    <w:rsid w:val="00F25C84"/>
    <w:rsid w:val="00F373A5"/>
    <w:rsid w:val="00F46C76"/>
    <w:rsid w:val="00F47559"/>
    <w:rsid w:val="00F64C7B"/>
    <w:rsid w:val="00F65125"/>
    <w:rsid w:val="00F676DD"/>
    <w:rsid w:val="00F71B2F"/>
    <w:rsid w:val="00F75A26"/>
    <w:rsid w:val="00F76706"/>
    <w:rsid w:val="00F83FAD"/>
    <w:rsid w:val="00F952A0"/>
    <w:rsid w:val="00FA3C7F"/>
    <w:rsid w:val="00FB74E2"/>
    <w:rsid w:val="00FB7B0D"/>
    <w:rsid w:val="00FC06A6"/>
    <w:rsid w:val="00FC10C4"/>
    <w:rsid w:val="00FD430D"/>
    <w:rsid w:val="00FD5614"/>
    <w:rsid w:val="00FE0BE1"/>
    <w:rsid w:val="00FE1DE9"/>
    <w:rsid w:val="00FE36AF"/>
    <w:rsid w:val="00FE39C2"/>
    <w:rsid w:val="00FE3C32"/>
    <w:rsid w:val="00FE4A73"/>
    <w:rsid w:val="00FE64AE"/>
    <w:rsid w:val="00FF4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4449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E20E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4449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E20E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94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6534535">
      <w:bodyDiv w:val="1"/>
      <w:marLeft w:val="0"/>
      <w:marRight w:val="0"/>
      <w:marTop w:val="0"/>
      <w:marBottom w:val="0"/>
      <w:divBdr>
        <w:top w:val="none" w:sz="0" w:space="0" w:color="auto"/>
        <w:left w:val="none" w:sz="0" w:space="0" w:color="auto"/>
        <w:bottom w:val="none" w:sz="0" w:space="0" w:color="auto"/>
        <w:right w:val="none" w:sz="0" w:space="0" w:color="auto"/>
      </w:divBdr>
    </w:div>
    <w:div w:id="1737703272">
      <w:bodyDiv w:val="1"/>
      <w:marLeft w:val="0"/>
      <w:marRight w:val="0"/>
      <w:marTop w:val="0"/>
      <w:marBottom w:val="0"/>
      <w:divBdr>
        <w:top w:val="none" w:sz="0" w:space="0" w:color="auto"/>
        <w:left w:val="none" w:sz="0" w:space="0" w:color="auto"/>
        <w:bottom w:val="none" w:sz="0" w:space="0" w:color="auto"/>
        <w:right w:val="none" w:sz="0" w:space="0" w:color="auto"/>
      </w:divBdr>
    </w:div>
    <w:div w:id="18723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Consultations/National-Electricity-Market/~/media/Files/Other/consultations/gas/Churn%20Package%202014/Meter%20Churn%20Procedure%20FRMP%20v10%20clean.ashx" TargetMode="External"/><Relationship Id="rId2" Type="http://schemas.openxmlformats.org/officeDocument/2006/relationships/hyperlink" Target="http://www.aemo.com.au/Consultations/National-Electricity-Market/Second-Stage-Notice-of-Consultation--Meter-Churn-Package" TargetMode="External"/><Relationship Id="rId1" Type="http://schemas.openxmlformats.org/officeDocument/2006/relationships/hyperlink" Target="http://www.hays.com.au/salary-guide/HAYS_37507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91907261592301"/>
          <c:y val="7.9062773403324571E-2"/>
          <c:w val="0.78813495188101501"/>
          <c:h val="0.69359179060950715"/>
        </c:manualLayout>
      </c:layout>
      <c:lineChart>
        <c:grouping val="standard"/>
        <c:varyColors val="0"/>
        <c:ser>
          <c:idx val="0"/>
          <c:order val="0"/>
          <c:tx>
            <c:strRef>
              <c:f>Sheet1!$E$6</c:f>
              <c:strCache>
                <c:ptCount val="1"/>
                <c:pt idx="0">
                  <c:v>Proportion error &gt;2%</c:v>
                </c:pt>
              </c:strCache>
            </c:strRef>
          </c:tx>
          <c:dLbls>
            <c:dLbl>
              <c:idx val="0"/>
              <c:layout>
                <c:manualLayout>
                  <c:x val="0"/>
                  <c:y val="-2.777777777777779E-2"/>
                </c:manualLayout>
              </c:layout>
              <c:showLegendKey val="0"/>
              <c:showVal val="1"/>
              <c:showCatName val="0"/>
              <c:showSerName val="0"/>
              <c:showPercent val="0"/>
              <c:showBubbleSize val="0"/>
            </c:dLbl>
            <c:dLbl>
              <c:idx val="1"/>
              <c:layout>
                <c:manualLayout>
                  <c:x val="0"/>
                  <c:y val="2.7777777777777801E-2"/>
                </c:manualLayout>
              </c:layout>
              <c:showLegendKey val="0"/>
              <c:showVal val="1"/>
              <c:showCatName val="0"/>
              <c:showSerName val="0"/>
              <c:showPercent val="0"/>
              <c:showBubbleSize val="0"/>
            </c:dLbl>
            <c:dLbl>
              <c:idx val="3"/>
              <c:layout>
                <c:manualLayout>
                  <c:x val="-0.125"/>
                  <c:y val="2.3148148148148234E-2"/>
                </c:manualLayout>
              </c:layout>
              <c:showLegendKey val="0"/>
              <c:showVal val="1"/>
              <c:showCatName val="0"/>
              <c:showSerName val="0"/>
              <c:showPercent val="0"/>
              <c:showBubbleSize val="0"/>
            </c:dLbl>
            <c:dLbl>
              <c:idx val="5"/>
              <c:layout>
                <c:manualLayout>
                  <c:x val="-6.1111111111111109E-2"/>
                  <c:y val="-6.9444444444444448E-2"/>
                </c:manualLayout>
              </c:layout>
              <c:showLegendKey val="0"/>
              <c:showVal val="1"/>
              <c:showCatName val="0"/>
              <c:showSerName val="0"/>
              <c:showPercent val="0"/>
              <c:showBubbleSize val="0"/>
            </c:dLbl>
            <c:dLbl>
              <c:idx val="6"/>
              <c:layout>
                <c:manualLayout>
                  <c:x val="0"/>
                  <c:y val="-1.3888888888888805E-2"/>
                </c:manualLayout>
              </c:layout>
              <c:showLegendKey val="0"/>
              <c:showVal val="1"/>
              <c:showCatName val="0"/>
              <c:showSerName val="0"/>
              <c:showPercent val="0"/>
              <c:showBubbleSize val="0"/>
            </c:dLbl>
            <c:dLbl>
              <c:idx val="8"/>
              <c:layout>
                <c:manualLayout>
                  <c:x val="2.7777777777777779E-3"/>
                  <c:y val="-4.1666666666666664E-2"/>
                </c:manualLayout>
              </c:layout>
              <c:showLegendKey val="0"/>
              <c:showVal val="1"/>
              <c:showCatName val="0"/>
              <c:showSerName val="0"/>
              <c:showPercent val="0"/>
              <c:showBubbleSize val="0"/>
            </c:dLbl>
            <c:dLbl>
              <c:idx val="9"/>
              <c:layout>
                <c:manualLayout>
                  <c:x val="1.0185067526415994E-16"/>
                  <c:y val="-3.7037037037037035E-2"/>
                </c:manualLayout>
              </c:layout>
              <c:showLegendKey val="0"/>
              <c:showVal val="1"/>
              <c:showCatName val="0"/>
              <c:showSerName val="0"/>
              <c:showPercent val="0"/>
              <c:showBubbleSize val="0"/>
            </c:dLbl>
            <c:dLbl>
              <c:idx val="10"/>
              <c:layout>
                <c:manualLayout>
                  <c:x val="-8.3333333333333332E-3"/>
                  <c:y val="-6.0185185185185182E-2"/>
                </c:manualLayout>
              </c:layout>
              <c:showLegendKey val="0"/>
              <c:showVal val="1"/>
              <c:showCatName val="0"/>
              <c:showSerName val="0"/>
              <c:showPercent val="0"/>
              <c:showBubbleSize val="0"/>
            </c:dLbl>
            <c:dLbl>
              <c:idx val="11"/>
              <c:layout>
                <c:manualLayout>
                  <c:x val="-1.6666666666666566E-2"/>
                  <c:y val="-0.1111111111111111"/>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Sheet1!$B$7:$B$18</c:f>
              <c:strCache>
                <c:ptCount val="12"/>
                <c:pt idx="0">
                  <c:v>65-70</c:v>
                </c:pt>
                <c:pt idx="1">
                  <c:v>60-65</c:v>
                </c:pt>
                <c:pt idx="2">
                  <c:v>55-60</c:v>
                </c:pt>
                <c:pt idx="3">
                  <c:v>50-55</c:v>
                </c:pt>
                <c:pt idx="4">
                  <c:v>45-50</c:v>
                </c:pt>
                <c:pt idx="5">
                  <c:v>40-45</c:v>
                </c:pt>
                <c:pt idx="6">
                  <c:v>35-40</c:v>
                </c:pt>
                <c:pt idx="7">
                  <c:v>30–35</c:v>
                </c:pt>
                <c:pt idx="8">
                  <c:v>25–30</c:v>
                </c:pt>
                <c:pt idx="9">
                  <c:v>20–25</c:v>
                </c:pt>
                <c:pt idx="10">
                  <c:v>15–20</c:v>
                </c:pt>
                <c:pt idx="11">
                  <c:v>10–15</c:v>
                </c:pt>
              </c:strCache>
            </c:strRef>
          </c:cat>
          <c:val>
            <c:numRef>
              <c:f>Sheet1!$E$7:$E$18</c:f>
              <c:numCache>
                <c:formatCode>0.00%</c:formatCode>
                <c:ptCount val="12"/>
                <c:pt idx="0">
                  <c:v>0.31809999999999999</c:v>
                </c:pt>
                <c:pt idx="1">
                  <c:v>0.30669999999999997</c:v>
                </c:pt>
                <c:pt idx="2">
                  <c:v>0.25230000000000002</c:v>
                </c:pt>
                <c:pt idx="3">
                  <c:v>8.3299999999999999E-2</c:v>
                </c:pt>
                <c:pt idx="4">
                  <c:v>0.16109999999999999</c:v>
                </c:pt>
                <c:pt idx="5">
                  <c:v>3.8899999999999997E-2</c:v>
                </c:pt>
                <c:pt idx="6">
                  <c:v>5.4300000000000001E-2</c:v>
                </c:pt>
                <c:pt idx="7">
                  <c:v>3.49E-2</c:v>
                </c:pt>
                <c:pt idx="8">
                  <c:v>7.0000000000000001E-3</c:v>
                </c:pt>
                <c:pt idx="9">
                  <c:v>2.7000000000000001E-3</c:v>
                </c:pt>
                <c:pt idx="10">
                  <c:v>5.5999999999999999E-3</c:v>
                </c:pt>
                <c:pt idx="11">
                  <c:v>1.0800000000000001E-2</c:v>
                </c:pt>
              </c:numCache>
            </c:numRef>
          </c:val>
          <c:smooth val="0"/>
        </c:ser>
        <c:dLbls>
          <c:showLegendKey val="0"/>
          <c:showVal val="0"/>
          <c:showCatName val="0"/>
          <c:showSerName val="0"/>
          <c:showPercent val="0"/>
          <c:showBubbleSize val="0"/>
        </c:dLbls>
        <c:marker val="1"/>
        <c:smooth val="0"/>
        <c:axId val="269930496"/>
        <c:axId val="269932416"/>
      </c:lineChart>
      <c:catAx>
        <c:axId val="269930496"/>
        <c:scaling>
          <c:orientation val="minMax"/>
        </c:scaling>
        <c:delete val="0"/>
        <c:axPos val="b"/>
        <c:title>
          <c:tx>
            <c:rich>
              <a:bodyPr/>
              <a:lstStyle/>
              <a:p>
                <a:pPr>
                  <a:defRPr/>
                </a:pPr>
                <a:r>
                  <a:rPr lang="en-US"/>
                  <a:t>Age of meters (years)</a:t>
                </a:r>
              </a:p>
            </c:rich>
          </c:tx>
          <c:overlay val="0"/>
        </c:title>
        <c:majorTickMark val="out"/>
        <c:minorTickMark val="none"/>
        <c:tickLblPos val="nextTo"/>
        <c:crossAx val="269932416"/>
        <c:crosses val="autoZero"/>
        <c:auto val="1"/>
        <c:lblAlgn val="ctr"/>
        <c:lblOffset val="100"/>
        <c:noMultiLvlLbl val="0"/>
      </c:catAx>
      <c:valAx>
        <c:axId val="269932416"/>
        <c:scaling>
          <c:orientation val="minMax"/>
        </c:scaling>
        <c:delete val="0"/>
        <c:axPos val="l"/>
        <c:majorGridlines/>
        <c:title>
          <c:tx>
            <c:rich>
              <a:bodyPr rot="-5400000" vert="horz"/>
              <a:lstStyle/>
              <a:p>
                <a:pPr>
                  <a:defRPr/>
                </a:pPr>
                <a:r>
                  <a:rPr lang="en-US"/>
                  <a:t>Error</a:t>
                </a:r>
                <a:r>
                  <a:rPr lang="en-US" baseline="0"/>
                  <a:t> reading &gt; 2%</a:t>
                </a:r>
                <a:endParaRPr lang="en-US"/>
              </a:p>
            </c:rich>
          </c:tx>
          <c:overlay val="0"/>
        </c:title>
        <c:numFmt formatCode="0.00%" sourceLinked="1"/>
        <c:majorTickMark val="out"/>
        <c:minorTickMark val="none"/>
        <c:tickLblPos val="nextTo"/>
        <c:crossAx val="269930496"/>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pPr>
              <a:solidFill>
                <a:schemeClr val="tx1"/>
              </a:solidFill>
              <a:ln>
                <a:noFill/>
              </a:ln>
            </c:spPr>
          </c:marker>
          <c:dLbls>
            <c:dLbl>
              <c:idx val="0"/>
              <c:tx>
                <c:rich>
                  <a:bodyPr/>
                  <a:lstStyle/>
                  <a:p>
                    <a:r>
                      <a:rPr lang="en-US"/>
                      <a:t>ActewAGL</a:t>
                    </a:r>
                  </a:p>
                  <a:p>
                    <a:r>
                      <a:rPr lang="en-US"/>
                      <a:t>$8</a:t>
                    </a:r>
                  </a:p>
                </c:rich>
              </c:tx>
              <c:showLegendKey val="0"/>
              <c:showVal val="1"/>
              <c:showCatName val="0"/>
              <c:showSerName val="0"/>
              <c:showPercent val="0"/>
              <c:showBubbleSize val="0"/>
            </c:dLbl>
            <c:dLbl>
              <c:idx val="1"/>
              <c:tx>
                <c:rich>
                  <a:bodyPr/>
                  <a:lstStyle/>
                  <a:p>
                    <a:r>
                      <a:rPr lang="en-US"/>
                      <a:t>Ausgrid </a:t>
                    </a:r>
                  </a:p>
                  <a:p>
                    <a:r>
                      <a:rPr lang="en-US"/>
                      <a:t>$13</a:t>
                    </a:r>
                  </a:p>
                </c:rich>
              </c:tx>
              <c:showLegendKey val="0"/>
              <c:showVal val="1"/>
              <c:showCatName val="0"/>
              <c:showSerName val="0"/>
              <c:showPercent val="0"/>
              <c:showBubbleSize val="0"/>
            </c:dLbl>
            <c:dLbl>
              <c:idx val="2"/>
              <c:layout>
                <c:manualLayout>
                  <c:x val="-1.3311148086522463E-2"/>
                  <c:y val="-2.3718760071801941E-2"/>
                </c:manualLayout>
              </c:layout>
              <c:tx>
                <c:rich>
                  <a:bodyPr/>
                  <a:lstStyle/>
                  <a:p>
                    <a:r>
                      <a:rPr lang="en-US"/>
                      <a:t>Endeavour</a:t>
                    </a:r>
                  </a:p>
                  <a:p>
                    <a:r>
                      <a:rPr lang="en-US"/>
                      <a:t>$15</a:t>
                    </a:r>
                  </a:p>
                </c:rich>
              </c:tx>
              <c:showLegendKey val="0"/>
              <c:showVal val="1"/>
              <c:showCatName val="0"/>
              <c:showSerName val="0"/>
              <c:showPercent val="0"/>
              <c:showBubbleSize val="0"/>
            </c:dLbl>
            <c:dLbl>
              <c:idx val="3"/>
              <c:layout>
                <c:manualLayout>
                  <c:x val="-1.3311148086522544E-2"/>
                  <c:y val="3.7272337255688764E-2"/>
                </c:manualLayout>
              </c:layout>
              <c:tx>
                <c:rich>
                  <a:bodyPr/>
                  <a:lstStyle/>
                  <a:p>
                    <a:r>
                      <a:rPr lang="en-US"/>
                      <a:t>Energex</a:t>
                    </a:r>
                  </a:p>
                  <a:p>
                    <a:r>
                      <a:rPr lang="en-US"/>
                      <a:t>$13</a:t>
                    </a:r>
                  </a:p>
                </c:rich>
              </c:tx>
              <c:showLegendKey val="0"/>
              <c:showVal val="1"/>
              <c:showCatName val="0"/>
              <c:showSerName val="0"/>
              <c:showPercent val="0"/>
              <c:showBubbleSize val="0"/>
            </c:dLbl>
            <c:dLbl>
              <c:idx val="4"/>
              <c:tx>
                <c:rich>
                  <a:bodyPr/>
                  <a:lstStyle/>
                  <a:p>
                    <a:r>
                      <a:rPr lang="en-US"/>
                      <a:t>Ergon</a:t>
                    </a:r>
                    <a:r>
                      <a:rPr lang="en-US" baseline="0"/>
                      <a:t> Energy </a:t>
                    </a:r>
                  </a:p>
                  <a:p>
                    <a:r>
                      <a:rPr lang="en-US" baseline="0"/>
                      <a:t>$</a:t>
                    </a:r>
                    <a:r>
                      <a:rPr lang="en-US"/>
                      <a:t>32</a:t>
                    </a:r>
                  </a:p>
                </c:rich>
              </c:tx>
              <c:showLegendKey val="0"/>
              <c:showVal val="1"/>
              <c:showCatName val="0"/>
              <c:showSerName val="0"/>
              <c:showPercent val="0"/>
              <c:showBubbleSize val="0"/>
            </c:dLbl>
            <c:dLbl>
              <c:idx val="5"/>
              <c:tx>
                <c:rich>
                  <a:bodyPr/>
                  <a:lstStyle/>
                  <a:p>
                    <a:r>
                      <a:rPr lang="en-US"/>
                      <a:t>Essential Energy </a:t>
                    </a:r>
                  </a:p>
                  <a:p>
                    <a:r>
                      <a:rPr lang="en-US"/>
                      <a:t>$45</a:t>
                    </a:r>
                  </a:p>
                </c:rich>
              </c:tx>
              <c:showLegendKey val="0"/>
              <c:showVal val="1"/>
              <c:showCatName val="0"/>
              <c:showSerName val="0"/>
              <c:showPercent val="0"/>
              <c:showBubbleSize val="0"/>
            </c:dLbl>
            <c:dLbl>
              <c:idx val="6"/>
              <c:tx>
                <c:rich>
                  <a:bodyPr/>
                  <a:lstStyle/>
                  <a:p>
                    <a:r>
                      <a:rPr lang="en-US"/>
                      <a:t>SA Power</a:t>
                    </a:r>
                    <a:r>
                      <a:rPr lang="en-US" baseline="0"/>
                      <a:t> Networks $</a:t>
                    </a:r>
                    <a:r>
                      <a:rPr lang="en-US"/>
                      <a:t>8</a:t>
                    </a:r>
                  </a:p>
                </c:rich>
              </c:tx>
              <c:showLegendKey val="0"/>
              <c:showVal val="1"/>
              <c:showCatName val="0"/>
              <c:showSerName val="0"/>
              <c:showPercent val="0"/>
              <c:showBubbleSize val="0"/>
            </c:dLbl>
            <c:dLbl>
              <c:idx val="7"/>
              <c:tx>
                <c:rich>
                  <a:bodyPr/>
                  <a:lstStyle/>
                  <a:p>
                    <a:r>
                      <a:rPr lang="en-US"/>
                      <a:t>TasNetworks </a:t>
                    </a:r>
                  </a:p>
                  <a:p>
                    <a:r>
                      <a:rPr lang="en-US"/>
                      <a:t>$26</a:t>
                    </a:r>
                  </a:p>
                </c:rich>
              </c:tx>
              <c:showLegendKey val="0"/>
              <c:showVal val="1"/>
              <c:showCatName val="0"/>
              <c:showSerName val="0"/>
              <c:showPercent val="0"/>
              <c:showBubbleSize val="0"/>
            </c:dLbl>
            <c:showLegendKey val="0"/>
            <c:showVal val="1"/>
            <c:showCatName val="0"/>
            <c:showSerName val="0"/>
            <c:showPercent val="0"/>
            <c:showBubbleSize val="0"/>
            <c:showLeaderLines val="0"/>
          </c:dLbls>
          <c:xVal>
            <c:numRef>
              <c:f>benchmarking!$C$3:$C$10</c:f>
              <c:numCache>
                <c:formatCode>0</c:formatCode>
                <c:ptCount val="8"/>
                <c:pt idx="0">
                  <c:v>42.611847608753791</c:v>
                </c:pt>
                <c:pt idx="1">
                  <c:v>44.481789524517922</c:v>
                </c:pt>
                <c:pt idx="2">
                  <c:v>34.143268853410241</c:v>
                </c:pt>
                <c:pt idx="3">
                  <c:v>31.840231499261574</c:v>
                </c:pt>
                <c:pt idx="4">
                  <c:v>4.8588000000000005</c:v>
                </c:pt>
                <c:pt idx="5">
                  <c:v>4.6241278100073897</c:v>
                </c:pt>
                <c:pt idx="6">
                  <c:v>10.275725073775622</c:v>
                </c:pt>
                <c:pt idx="7">
                  <c:v>12.86</c:v>
                </c:pt>
              </c:numCache>
            </c:numRef>
          </c:xVal>
          <c:yVal>
            <c:numRef>
              <c:f>benchmarking!$D$3:$D$10</c:f>
              <c:numCache>
                <c:formatCode>0</c:formatCode>
                <c:ptCount val="8"/>
                <c:pt idx="0">
                  <c:v>7.9391909263089646</c:v>
                </c:pt>
                <c:pt idx="1">
                  <c:v>13.181509905702246</c:v>
                </c:pt>
                <c:pt idx="2">
                  <c:v>14.729443533743225</c:v>
                </c:pt>
                <c:pt idx="3">
                  <c:v>13.312813588790988</c:v>
                </c:pt>
                <c:pt idx="4">
                  <c:v>31.906255734995266</c:v>
                </c:pt>
                <c:pt idx="5">
                  <c:v>44.772829745197086</c:v>
                </c:pt>
                <c:pt idx="6">
                  <c:v>7.921875361619362</c:v>
                </c:pt>
                <c:pt idx="7">
                  <c:v>26.103607633888924</c:v>
                </c:pt>
              </c:numCache>
            </c:numRef>
          </c:yVal>
          <c:smooth val="0"/>
        </c:ser>
        <c:dLbls>
          <c:showLegendKey val="0"/>
          <c:showVal val="0"/>
          <c:showCatName val="0"/>
          <c:showSerName val="0"/>
          <c:showPercent val="0"/>
          <c:showBubbleSize val="0"/>
        </c:dLbls>
        <c:axId val="284963584"/>
        <c:axId val="291164160"/>
      </c:scatterChart>
      <c:valAx>
        <c:axId val="284963584"/>
        <c:scaling>
          <c:orientation val="minMax"/>
        </c:scaling>
        <c:delete val="0"/>
        <c:axPos val="b"/>
        <c:title>
          <c:tx>
            <c:rich>
              <a:bodyPr/>
              <a:lstStyle/>
              <a:p>
                <a:pPr>
                  <a:defRPr/>
                </a:pPr>
                <a:r>
                  <a:rPr lang="en-AU"/>
                  <a:t>Customer density</a:t>
                </a:r>
                <a:r>
                  <a:rPr lang="en-AU" baseline="0"/>
                  <a:t> </a:t>
                </a:r>
              </a:p>
              <a:p>
                <a:pPr>
                  <a:defRPr/>
                </a:pPr>
                <a:r>
                  <a:rPr lang="en-AU" baseline="0"/>
                  <a:t>(customer per km of line length)</a:t>
                </a:r>
                <a:endParaRPr lang="en-AU"/>
              </a:p>
            </c:rich>
          </c:tx>
          <c:overlay val="0"/>
        </c:title>
        <c:numFmt formatCode="0" sourceLinked="1"/>
        <c:majorTickMark val="out"/>
        <c:minorTickMark val="none"/>
        <c:tickLblPos val="nextTo"/>
        <c:crossAx val="291164160"/>
        <c:crosses val="autoZero"/>
        <c:crossBetween val="midCat"/>
      </c:valAx>
      <c:valAx>
        <c:axId val="291164160"/>
        <c:scaling>
          <c:orientation val="minMax"/>
        </c:scaling>
        <c:delete val="0"/>
        <c:axPos val="l"/>
        <c:title>
          <c:tx>
            <c:rich>
              <a:bodyPr rot="-5400000" vert="horz"/>
              <a:lstStyle/>
              <a:p>
                <a:pPr>
                  <a:defRPr/>
                </a:pPr>
                <a:r>
                  <a:rPr lang="en-AU"/>
                  <a:t>Base annual opex per customer </a:t>
                </a:r>
              </a:p>
              <a:p>
                <a:pPr>
                  <a:defRPr/>
                </a:pPr>
                <a:r>
                  <a:rPr lang="en-AU"/>
                  <a:t>($2014-15)</a:t>
                </a:r>
              </a:p>
            </c:rich>
          </c:tx>
          <c:overlay val="0"/>
        </c:title>
        <c:numFmt formatCode="0" sourceLinked="1"/>
        <c:majorTickMark val="out"/>
        <c:minorTickMark val="none"/>
        <c:tickLblPos val="nextTo"/>
        <c:crossAx val="284963584"/>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3EF3FE-1667-4B45-BE24-04EA87E3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8CEE6D0C</Template>
  <TotalTime>0</TotalTime>
  <Pages>114</Pages>
  <Words>27441</Words>
  <Characters>156416</Characters>
  <Application>Microsoft Office Word</Application>
  <DocSecurity>0</DocSecurity>
  <Lines>1303</Lines>
  <Paragraphs>366</Paragraphs>
  <ScaleCrop>false</ScaleCrop>
  <Company/>
  <LinksUpToDate>false</LinksUpToDate>
  <CharactersWithSpaces>183491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2015-04-28T05:39:00Z</dcterms:created>
  <dcterms:modified xsi:type="dcterms:W3CDTF">2015-04-28T05:39:00Z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8355311</vt:lpwstr>
  </property>
</Properties>
</file>