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4DEF7809" wp14:editId="76DCDA04">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DA4752" w:rsidP="008F07A3">
          <w:pPr>
            <w:pStyle w:val="ReportSubtitle"/>
          </w:pPr>
          <w:r>
            <w:t>PRELIMINARY DECISION</w:t>
          </w:r>
        </w:p>
        <w:p w:rsidR="000A6C7B" w:rsidRDefault="001201F1" w:rsidP="008F07A3">
          <w:pPr>
            <w:pStyle w:val="ReportSubtitle"/>
          </w:pPr>
          <w:r>
            <w:t>Energex</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DA4752" w:rsidP="008F07A3">
          <w:pPr>
            <w:pStyle w:val="ReportSubtitle"/>
          </w:pPr>
          <w:r>
            <w:t xml:space="preserve">Attachment 18 </w:t>
          </w:r>
          <w:r>
            <w:rPr>
              <w:rFonts w:cs="Arial"/>
            </w:rPr>
            <w:t>−</w:t>
          </w:r>
          <w:r>
            <w:t xml:space="preserve"> Connection policy</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0" w:history="1">
        <w:r w:rsidRPr="00D64888">
          <w:rPr>
            <w:rStyle w:val="Hyperlink"/>
          </w:rPr>
          <w:t>AERInquiry@aer.gov.au</w:t>
        </w:r>
      </w:hyperlink>
      <w:r w:rsidR="00951978">
        <w:rPr>
          <w:rStyle w:val="Hyperlink"/>
        </w:rPr>
        <w:br/>
      </w:r>
    </w:p>
    <w:p w:rsidR="008F07A3" w:rsidRDefault="008F07A3" w:rsidP="008F07A3"/>
    <w:p w:rsidR="001201F1" w:rsidRDefault="001201F1">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16707619"/>
      <w:r>
        <w:lastRenderedPageBreak/>
        <w:t>N</w:t>
      </w:r>
      <w:r w:rsidR="008F07A3">
        <w:t>ote</w:t>
      </w:r>
      <w:bookmarkEnd w:id="1"/>
      <w:bookmarkEnd w:id="2"/>
      <w:bookmarkEnd w:id="3"/>
      <w:bookmarkEnd w:id="4"/>
      <w:bookmarkEnd w:id="5"/>
    </w:p>
    <w:p w:rsidR="008F07A3" w:rsidRDefault="008F07A3" w:rsidP="008F07A3">
      <w:pPr>
        <w:numPr>
          <w:ilvl w:val="0"/>
          <w:numId w:val="25"/>
        </w:numPr>
      </w:pPr>
      <w:r>
        <w:t xml:space="preserve">This attachment forms part of the AER's preliminary decision on </w:t>
      </w:r>
      <w:r w:rsidR="001201F1">
        <w:t>Energex's</w:t>
      </w:r>
      <w:r>
        <w:t xml:space="preserve"> 2015–20 distribution determination. It should be read with </w:t>
      </w:r>
      <w:r w:rsidR="002139E9">
        <w:t xml:space="preserve">all </w:t>
      </w:r>
      <w:r>
        <w:t>other parts of the preliminary decision.</w:t>
      </w:r>
    </w:p>
    <w:p w:rsidR="008F07A3" w:rsidRDefault="008F07A3" w:rsidP="008F07A3">
      <w:pPr>
        <w:numPr>
          <w:ilvl w:val="0"/>
          <w:numId w:val="25"/>
        </w:numPr>
      </w:pPr>
      <w:r>
        <w:t>The preliminary decision includes the following documents:</w:t>
      </w:r>
    </w:p>
    <w:p w:rsidR="008F07A3" w:rsidRDefault="008F07A3" w:rsidP="008F07A3">
      <w:pPr>
        <w:numPr>
          <w:ilvl w:val="0"/>
          <w:numId w:val="25"/>
        </w:numPr>
      </w:pPr>
      <w:r>
        <w:t>Overview</w:t>
      </w:r>
    </w:p>
    <w:p w:rsidR="008F07A3" w:rsidRDefault="008F07A3" w:rsidP="008F07A3">
      <w:pPr>
        <w:numPr>
          <w:ilvl w:val="0"/>
          <w:numId w:val="25"/>
        </w:numPr>
      </w:pPr>
      <w:r>
        <w:t>Attachment 1 – Annual revenue requirement</w:t>
      </w:r>
    </w:p>
    <w:p w:rsidR="008F07A3" w:rsidRDefault="008F07A3" w:rsidP="008F07A3">
      <w:pPr>
        <w:numPr>
          <w:ilvl w:val="0"/>
          <w:numId w:val="25"/>
        </w:numPr>
      </w:pPr>
      <w:r>
        <w:t>Attachment 2 – Regulatory asset base</w:t>
      </w:r>
    </w:p>
    <w:p w:rsidR="008F07A3" w:rsidRDefault="008F07A3" w:rsidP="008F07A3">
      <w:pPr>
        <w:numPr>
          <w:ilvl w:val="0"/>
          <w:numId w:val="25"/>
        </w:numPr>
      </w:pPr>
      <w:r>
        <w:t>Attachment 3 – Rate of return</w:t>
      </w:r>
    </w:p>
    <w:p w:rsidR="008F07A3" w:rsidRDefault="008F07A3" w:rsidP="008F07A3">
      <w:pPr>
        <w:numPr>
          <w:ilvl w:val="0"/>
          <w:numId w:val="25"/>
        </w:numPr>
      </w:pPr>
      <w:r>
        <w:t>Attachment 4 – Value of imputation credits</w:t>
      </w:r>
    </w:p>
    <w:p w:rsidR="008F07A3" w:rsidRDefault="008F07A3" w:rsidP="008F07A3">
      <w:pPr>
        <w:numPr>
          <w:ilvl w:val="0"/>
          <w:numId w:val="25"/>
        </w:numPr>
      </w:pPr>
      <w:r>
        <w:t>Attachment 5 – Regulatory depreciation</w:t>
      </w:r>
    </w:p>
    <w:p w:rsidR="008F07A3" w:rsidRDefault="008F07A3" w:rsidP="008F07A3">
      <w:pPr>
        <w:numPr>
          <w:ilvl w:val="0"/>
          <w:numId w:val="25"/>
        </w:numPr>
      </w:pPr>
      <w:r>
        <w:t xml:space="preserve">Attachment 6 – Capital expenditure </w:t>
      </w:r>
    </w:p>
    <w:p w:rsidR="008F07A3" w:rsidRDefault="008F07A3" w:rsidP="008F07A3">
      <w:pPr>
        <w:numPr>
          <w:ilvl w:val="0"/>
          <w:numId w:val="25"/>
        </w:numPr>
      </w:pPr>
      <w:r>
        <w:t>Attachment 7 – Operating expenditure</w:t>
      </w:r>
    </w:p>
    <w:p w:rsidR="008F07A3" w:rsidRDefault="008F07A3" w:rsidP="008F07A3">
      <w:pPr>
        <w:numPr>
          <w:ilvl w:val="0"/>
          <w:numId w:val="25"/>
        </w:numPr>
      </w:pPr>
      <w:r>
        <w:t>Attachment 8 – Corporate income tax</w:t>
      </w:r>
    </w:p>
    <w:p w:rsidR="008F07A3" w:rsidRDefault="008F07A3" w:rsidP="008F07A3">
      <w:pPr>
        <w:numPr>
          <w:ilvl w:val="0"/>
          <w:numId w:val="25"/>
        </w:numPr>
      </w:pPr>
      <w:r>
        <w:t>Attachment 9 – Efficiency benefit sharing scheme</w:t>
      </w:r>
    </w:p>
    <w:p w:rsidR="008F07A3" w:rsidRDefault="008F07A3" w:rsidP="008F07A3">
      <w:pPr>
        <w:numPr>
          <w:ilvl w:val="0"/>
          <w:numId w:val="25"/>
        </w:numPr>
      </w:pPr>
      <w:r>
        <w:t>Attachment 10 – Capital expenditure sharing scheme</w:t>
      </w:r>
    </w:p>
    <w:p w:rsidR="008F07A3" w:rsidRDefault="008F07A3" w:rsidP="008F07A3">
      <w:pPr>
        <w:numPr>
          <w:ilvl w:val="0"/>
          <w:numId w:val="25"/>
        </w:numPr>
      </w:pPr>
      <w:r>
        <w:t>Attachment 11 – Service target performance incentive scheme</w:t>
      </w:r>
    </w:p>
    <w:p w:rsidR="008F07A3" w:rsidRDefault="008F07A3" w:rsidP="008F07A3">
      <w:pPr>
        <w:numPr>
          <w:ilvl w:val="0"/>
          <w:numId w:val="25"/>
        </w:numPr>
      </w:pPr>
      <w:r>
        <w:t>Attachment 12 – Demand management incentive scheme</w:t>
      </w:r>
    </w:p>
    <w:p w:rsidR="008F07A3" w:rsidRDefault="008F07A3" w:rsidP="008F07A3">
      <w:pPr>
        <w:numPr>
          <w:ilvl w:val="0"/>
          <w:numId w:val="25"/>
        </w:numPr>
      </w:pPr>
      <w:r>
        <w:t>Attachment 13 – Classification of services</w:t>
      </w:r>
    </w:p>
    <w:p w:rsidR="008F07A3" w:rsidRDefault="008F07A3" w:rsidP="008F07A3">
      <w:pPr>
        <w:numPr>
          <w:ilvl w:val="0"/>
          <w:numId w:val="25"/>
        </w:numPr>
      </w:pPr>
      <w:r>
        <w:t>Attachment 14 – Control mechanism</w:t>
      </w:r>
    </w:p>
    <w:p w:rsidR="008F07A3" w:rsidRDefault="008F07A3" w:rsidP="008F07A3">
      <w:pPr>
        <w:numPr>
          <w:ilvl w:val="0"/>
          <w:numId w:val="25"/>
        </w:numPr>
      </w:pPr>
      <w:r>
        <w:t>Attachment 15 – Pass through events</w:t>
      </w:r>
    </w:p>
    <w:p w:rsidR="008F07A3" w:rsidRDefault="008F07A3" w:rsidP="008F07A3">
      <w:pPr>
        <w:numPr>
          <w:ilvl w:val="0"/>
          <w:numId w:val="25"/>
        </w:numPr>
      </w:pPr>
      <w:r>
        <w:t>Attachment 16 – Alternative control services</w:t>
      </w:r>
    </w:p>
    <w:p w:rsidR="008F07A3" w:rsidRDefault="008F07A3" w:rsidP="008F07A3">
      <w:pPr>
        <w:numPr>
          <w:ilvl w:val="0"/>
          <w:numId w:val="25"/>
        </w:numPr>
      </w:pPr>
      <w:r>
        <w:t>Attachment 17 – Negotiated services framework and criteria</w:t>
      </w:r>
    </w:p>
    <w:p w:rsidR="008F07A3" w:rsidRPr="008B6C33" w:rsidRDefault="008F07A3" w:rsidP="008F07A3">
      <w:pPr>
        <w:numPr>
          <w:ilvl w:val="0"/>
          <w:numId w:val="25"/>
        </w:numPr>
      </w:pPr>
      <w:r>
        <w:t xml:space="preserve">Attachment 18 – Connection </w:t>
      </w:r>
      <w:r w:rsidR="00BD0808">
        <w:t>policy</w:t>
      </w:r>
    </w:p>
    <w:p w:rsidR="008F07A3" w:rsidRPr="008F07A3" w:rsidRDefault="008F07A3" w:rsidP="008F07A3">
      <w:pPr>
        <w:sectPr w:rsidR="008F07A3" w:rsidRPr="008F07A3" w:rsidSect="00DE563D">
          <w:footerReference w:type="even" r:id="rId11"/>
          <w:footerReference w:type="default" r:id="rId12"/>
          <w:footerReference w:type="first" r:id="rId13"/>
          <w:pgSz w:w="11906" w:h="16838" w:code="9"/>
          <w:pgMar w:top="1440" w:right="1700" w:bottom="1582" w:left="1729" w:header="720" w:footer="0" w:gutter="0"/>
          <w:pgNumType w:start="0"/>
          <w:cols w:space="720"/>
          <w:docGrid w:linePitch="326"/>
        </w:sectPr>
      </w:pPr>
    </w:p>
    <w:p w:rsidR="00DE563D" w:rsidRPr="00A72B34" w:rsidRDefault="00DE563D" w:rsidP="00DE563D">
      <w:pPr>
        <w:pStyle w:val="UnnumberedHeading"/>
        <w:numPr>
          <w:ilvl w:val="0"/>
          <w:numId w:val="24"/>
        </w:numPr>
      </w:pPr>
      <w:bookmarkStart w:id="6" w:name="_Toc403144133"/>
      <w:bookmarkStart w:id="7" w:name="_Toc416707620"/>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sdtContent>
        <w:p w:rsidR="0020107C" w:rsidRDefault="00DE563D">
          <w:pPr>
            <w:pStyle w:val="TOC1"/>
            <w:rPr>
              <w:rFonts w:asciiTheme="minorHAnsi" w:eastAsiaTheme="minorEastAsia" w:hAnsiTheme="minorHAnsi"/>
              <w:b w:val="0"/>
              <w:color w:val="auto"/>
              <w:sz w:val="22"/>
              <w:lang w:val="en-AU" w:eastAsia="en-AU"/>
            </w:rPr>
          </w:pPr>
          <w:r>
            <w:rPr>
              <w:color w:val="auto"/>
              <w:sz w:val="22"/>
            </w:rPr>
            <w:fldChar w:fldCharType="begin"/>
          </w:r>
          <w:r>
            <w:instrText xml:space="preserve"> TOC \o \h \z \u </w:instrText>
          </w:r>
          <w:r>
            <w:rPr>
              <w:color w:val="auto"/>
              <w:sz w:val="22"/>
            </w:rPr>
            <w:fldChar w:fldCharType="separate"/>
          </w:r>
          <w:hyperlink w:anchor="_Toc416707619" w:history="1">
            <w:r w:rsidR="0020107C" w:rsidRPr="00C72AB3">
              <w:rPr>
                <w:rStyle w:val="Hyperlink"/>
              </w:rPr>
              <w:t>Note</w:t>
            </w:r>
            <w:r w:rsidR="0020107C">
              <w:rPr>
                <w:webHidden/>
              </w:rPr>
              <w:tab/>
            </w:r>
            <w:r w:rsidR="002139E9">
              <w:rPr>
                <w:webHidden/>
              </w:rPr>
              <w:t>18-</w:t>
            </w:r>
            <w:r w:rsidR="0020107C">
              <w:rPr>
                <w:webHidden/>
              </w:rPr>
              <w:fldChar w:fldCharType="begin"/>
            </w:r>
            <w:r w:rsidR="0020107C">
              <w:rPr>
                <w:webHidden/>
              </w:rPr>
              <w:instrText xml:space="preserve"> PAGEREF _Toc416707619 \h </w:instrText>
            </w:r>
            <w:r w:rsidR="0020107C">
              <w:rPr>
                <w:webHidden/>
              </w:rPr>
            </w:r>
            <w:r w:rsidR="0020107C">
              <w:rPr>
                <w:webHidden/>
              </w:rPr>
              <w:fldChar w:fldCharType="separate"/>
            </w:r>
            <w:r w:rsidR="00A30EBC">
              <w:rPr>
                <w:webHidden/>
              </w:rPr>
              <w:t>2</w:t>
            </w:r>
            <w:r w:rsidR="0020107C">
              <w:rPr>
                <w:webHidden/>
              </w:rPr>
              <w:fldChar w:fldCharType="end"/>
            </w:r>
          </w:hyperlink>
        </w:p>
        <w:p w:rsidR="0020107C" w:rsidRDefault="000D2E19">
          <w:pPr>
            <w:pStyle w:val="TOC1"/>
            <w:rPr>
              <w:rFonts w:asciiTheme="minorHAnsi" w:eastAsiaTheme="minorEastAsia" w:hAnsiTheme="minorHAnsi"/>
              <w:b w:val="0"/>
              <w:color w:val="auto"/>
              <w:sz w:val="22"/>
              <w:lang w:val="en-AU" w:eastAsia="en-AU"/>
            </w:rPr>
          </w:pPr>
          <w:hyperlink w:anchor="_Toc416707620" w:history="1">
            <w:r w:rsidR="0020107C" w:rsidRPr="00C72AB3">
              <w:rPr>
                <w:rStyle w:val="Hyperlink"/>
              </w:rPr>
              <w:t>Contents</w:t>
            </w:r>
            <w:r w:rsidR="0020107C">
              <w:rPr>
                <w:webHidden/>
              </w:rPr>
              <w:tab/>
            </w:r>
            <w:r w:rsidR="002139E9">
              <w:rPr>
                <w:webHidden/>
              </w:rPr>
              <w:t>18-</w:t>
            </w:r>
            <w:r w:rsidR="0020107C">
              <w:rPr>
                <w:webHidden/>
              </w:rPr>
              <w:fldChar w:fldCharType="begin"/>
            </w:r>
            <w:r w:rsidR="0020107C">
              <w:rPr>
                <w:webHidden/>
              </w:rPr>
              <w:instrText xml:space="preserve"> PAGEREF _Toc416707620 \h </w:instrText>
            </w:r>
            <w:r w:rsidR="0020107C">
              <w:rPr>
                <w:webHidden/>
              </w:rPr>
            </w:r>
            <w:r w:rsidR="0020107C">
              <w:rPr>
                <w:webHidden/>
              </w:rPr>
              <w:fldChar w:fldCharType="separate"/>
            </w:r>
            <w:r w:rsidR="00A30EBC">
              <w:rPr>
                <w:webHidden/>
              </w:rPr>
              <w:t>3</w:t>
            </w:r>
            <w:r w:rsidR="0020107C">
              <w:rPr>
                <w:webHidden/>
              </w:rPr>
              <w:fldChar w:fldCharType="end"/>
            </w:r>
          </w:hyperlink>
        </w:p>
        <w:p w:rsidR="0020107C" w:rsidRDefault="000D2E19">
          <w:pPr>
            <w:pStyle w:val="TOC1"/>
            <w:rPr>
              <w:rFonts w:asciiTheme="minorHAnsi" w:eastAsiaTheme="minorEastAsia" w:hAnsiTheme="minorHAnsi"/>
              <w:b w:val="0"/>
              <w:color w:val="auto"/>
              <w:sz w:val="22"/>
              <w:lang w:val="en-AU" w:eastAsia="en-AU"/>
            </w:rPr>
          </w:pPr>
          <w:hyperlink w:anchor="_Toc416707621" w:history="1">
            <w:r w:rsidR="0020107C" w:rsidRPr="00C72AB3">
              <w:rPr>
                <w:rStyle w:val="Hyperlink"/>
              </w:rPr>
              <w:t>Shortened forms</w:t>
            </w:r>
            <w:r w:rsidR="0020107C">
              <w:rPr>
                <w:webHidden/>
              </w:rPr>
              <w:tab/>
            </w:r>
            <w:r w:rsidR="002139E9">
              <w:rPr>
                <w:webHidden/>
              </w:rPr>
              <w:t>18-</w:t>
            </w:r>
            <w:r w:rsidR="0020107C">
              <w:rPr>
                <w:webHidden/>
              </w:rPr>
              <w:fldChar w:fldCharType="begin"/>
            </w:r>
            <w:r w:rsidR="0020107C">
              <w:rPr>
                <w:webHidden/>
              </w:rPr>
              <w:instrText xml:space="preserve"> PAGEREF _Toc416707621 \h </w:instrText>
            </w:r>
            <w:r w:rsidR="0020107C">
              <w:rPr>
                <w:webHidden/>
              </w:rPr>
            </w:r>
            <w:r w:rsidR="0020107C">
              <w:rPr>
                <w:webHidden/>
              </w:rPr>
              <w:fldChar w:fldCharType="separate"/>
            </w:r>
            <w:r w:rsidR="00A30EBC">
              <w:rPr>
                <w:webHidden/>
              </w:rPr>
              <w:t>4</w:t>
            </w:r>
            <w:r w:rsidR="0020107C">
              <w:rPr>
                <w:webHidden/>
              </w:rPr>
              <w:fldChar w:fldCharType="end"/>
            </w:r>
          </w:hyperlink>
        </w:p>
        <w:p w:rsidR="0020107C" w:rsidRDefault="000D2E19">
          <w:pPr>
            <w:pStyle w:val="TOC1"/>
            <w:rPr>
              <w:rFonts w:asciiTheme="minorHAnsi" w:eastAsiaTheme="minorEastAsia" w:hAnsiTheme="minorHAnsi"/>
              <w:b w:val="0"/>
              <w:color w:val="auto"/>
              <w:sz w:val="22"/>
              <w:lang w:val="en-AU" w:eastAsia="en-AU"/>
            </w:rPr>
          </w:pPr>
          <w:hyperlink w:anchor="_Toc416707622" w:history="1">
            <w:r w:rsidR="0020107C" w:rsidRPr="00C72AB3">
              <w:rPr>
                <w:rStyle w:val="Hyperlink"/>
              </w:rPr>
              <w:t>18</w:t>
            </w:r>
            <w:r w:rsidR="0020107C">
              <w:rPr>
                <w:rFonts w:asciiTheme="minorHAnsi" w:eastAsiaTheme="minorEastAsia" w:hAnsiTheme="minorHAnsi"/>
                <w:b w:val="0"/>
                <w:color w:val="auto"/>
                <w:sz w:val="22"/>
                <w:lang w:val="en-AU" w:eastAsia="en-AU"/>
              </w:rPr>
              <w:tab/>
            </w:r>
            <w:r w:rsidR="0020107C" w:rsidRPr="00C72AB3">
              <w:rPr>
                <w:rStyle w:val="Hyperlink"/>
              </w:rPr>
              <w:t>Connection policy</w:t>
            </w:r>
            <w:r w:rsidR="0020107C">
              <w:rPr>
                <w:webHidden/>
              </w:rPr>
              <w:tab/>
            </w:r>
            <w:r w:rsidR="002139E9">
              <w:rPr>
                <w:webHidden/>
              </w:rPr>
              <w:t>18-</w:t>
            </w:r>
            <w:r w:rsidR="0020107C">
              <w:rPr>
                <w:webHidden/>
              </w:rPr>
              <w:fldChar w:fldCharType="begin"/>
            </w:r>
            <w:r w:rsidR="0020107C">
              <w:rPr>
                <w:webHidden/>
              </w:rPr>
              <w:instrText xml:space="preserve"> PAGEREF _Toc416707622 \h </w:instrText>
            </w:r>
            <w:r w:rsidR="0020107C">
              <w:rPr>
                <w:webHidden/>
              </w:rPr>
            </w:r>
            <w:r w:rsidR="0020107C">
              <w:rPr>
                <w:webHidden/>
              </w:rPr>
              <w:fldChar w:fldCharType="separate"/>
            </w:r>
            <w:r w:rsidR="00A30EBC">
              <w:rPr>
                <w:webHidden/>
              </w:rPr>
              <w:t>6</w:t>
            </w:r>
            <w:r w:rsidR="0020107C">
              <w:rPr>
                <w:webHidden/>
              </w:rPr>
              <w:fldChar w:fldCharType="end"/>
            </w:r>
          </w:hyperlink>
        </w:p>
        <w:p w:rsidR="0020107C" w:rsidRDefault="000D2E19">
          <w:pPr>
            <w:pStyle w:val="TOC2"/>
            <w:tabs>
              <w:tab w:val="left" w:pos="1276"/>
            </w:tabs>
            <w:rPr>
              <w:rFonts w:asciiTheme="minorHAnsi" w:eastAsiaTheme="minorEastAsia" w:hAnsiTheme="minorHAnsi"/>
              <w:b w:val="0"/>
              <w:color w:val="auto"/>
              <w:sz w:val="22"/>
              <w:lang w:eastAsia="en-AU"/>
            </w:rPr>
          </w:pPr>
          <w:hyperlink w:anchor="_Toc416707623" w:history="1">
            <w:r w:rsidR="0020107C" w:rsidRPr="00C72AB3">
              <w:rPr>
                <w:rStyle w:val="Hyperlink"/>
              </w:rPr>
              <w:t>18.1</w:t>
            </w:r>
            <w:r w:rsidR="0020107C">
              <w:rPr>
                <w:rFonts w:asciiTheme="minorHAnsi" w:eastAsiaTheme="minorEastAsia" w:hAnsiTheme="minorHAnsi"/>
                <w:b w:val="0"/>
                <w:color w:val="auto"/>
                <w:sz w:val="22"/>
                <w:lang w:eastAsia="en-AU"/>
              </w:rPr>
              <w:tab/>
            </w:r>
            <w:r w:rsidR="0020107C" w:rsidRPr="00C72AB3">
              <w:rPr>
                <w:rStyle w:val="Hyperlink"/>
              </w:rPr>
              <w:t>Preliminary decision</w:t>
            </w:r>
            <w:r w:rsidR="0020107C">
              <w:rPr>
                <w:webHidden/>
              </w:rPr>
              <w:tab/>
            </w:r>
            <w:r w:rsidR="002139E9">
              <w:rPr>
                <w:webHidden/>
              </w:rPr>
              <w:t>18-</w:t>
            </w:r>
            <w:r w:rsidR="0020107C">
              <w:rPr>
                <w:webHidden/>
              </w:rPr>
              <w:fldChar w:fldCharType="begin"/>
            </w:r>
            <w:r w:rsidR="0020107C">
              <w:rPr>
                <w:webHidden/>
              </w:rPr>
              <w:instrText xml:space="preserve"> PAGEREF _Toc416707623 \h </w:instrText>
            </w:r>
            <w:r w:rsidR="0020107C">
              <w:rPr>
                <w:webHidden/>
              </w:rPr>
            </w:r>
            <w:r w:rsidR="0020107C">
              <w:rPr>
                <w:webHidden/>
              </w:rPr>
              <w:fldChar w:fldCharType="separate"/>
            </w:r>
            <w:r w:rsidR="00A30EBC">
              <w:rPr>
                <w:webHidden/>
              </w:rPr>
              <w:t>7</w:t>
            </w:r>
            <w:r w:rsidR="0020107C">
              <w:rPr>
                <w:webHidden/>
              </w:rPr>
              <w:fldChar w:fldCharType="end"/>
            </w:r>
          </w:hyperlink>
        </w:p>
        <w:p w:rsidR="0020107C" w:rsidRDefault="000D2E19">
          <w:pPr>
            <w:pStyle w:val="TOC2"/>
            <w:tabs>
              <w:tab w:val="left" w:pos="1276"/>
            </w:tabs>
            <w:rPr>
              <w:rFonts w:asciiTheme="minorHAnsi" w:eastAsiaTheme="minorEastAsia" w:hAnsiTheme="minorHAnsi"/>
              <w:b w:val="0"/>
              <w:color w:val="auto"/>
              <w:sz w:val="22"/>
              <w:lang w:eastAsia="en-AU"/>
            </w:rPr>
          </w:pPr>
          <w:hyperlink w:anchor="_Toc416707624" w:history="1">
            <w:r w:rsidR="0020107C" w:rsidRPr="00C72AB3">
              <w:rPr>
                <w:rStyle w:val="Hyperlink"/>
              </w:rPr>
              <w:t>18.2</w:t>
            </w:r>
            <w:r w:rsidR="0020107C">
              <w:rPr>
                <w:rFonts w:asciiTheme="minorHAnsi" w:eastAsiaTheme="minorEastAsia" w:hAnsiTheme="minorHAnsi"/>
                <w:b w:val="0"/>
                <w:color w:val="auto"/>
                <w:sz w:val="22"/>
                <w:lang w:eastAsia="en-AU"/>
              </w:rPr>
              <w:tab/>
            </w:r>
            <w:r w:rsidR="0020107C" w:rsidRPr="00C72AB3">
              <w:rPr>
                <w:rStyle w:val="Hyperlink"/>
              </w:rPr>
              <w:t>Energex's proposal</w:t>
            </w:r>
            <w:r w:rsidR="0020107C">
              <w:rPr>
                <w:webHidden/>
              </w:rPr>
              <w:tab/>
            </w:r>
            <w:r w:rsidR="002139E9">
              <w:rPr>
                <w:webHidden/>
              </w:rPr>
              <w:t>18-</w:t>
            </w:r>
            <w:r w:rsidR="0020107C">
              <w:rPr>
                <w:webHidden/>
              </w:rPr>
              <w:fldChar w:fldCharType="begin"/>
            </w:r>
            <w:r w:rsidR="0020107C">
              <w:rPr>
                <w:webHidden/>
              </w:rPr>
              <w:instrText xml:space="preserve"> PAGEREF _Toc416707624 \h </w:instrText>
            </w:r>
            <w:r w:rsidR="0020107C">
              <w:rPr>
                <w:webHidden/>
              </w:rPr>
            </w:r>
            <w:r w:rsidR="0020107C">
              <w:rPr>
                <w:webHidden/>
              </w:rPr>
              <w:fldChar w:fldCharType="separate"/>
            </w:r>
            <w:r w:rsidR="00A30EBC">
              <w:rPr>
                <w:webHidden/>
              </w:rPr>
              <w:t>7</w:t>
            </w:r>
            <w:r w:rsidR="0020107C">
              <w:rPr>
                <w:webHidden/>
              </w:rPr>
              <w:fldChar w:fldCharType="end"/>
            </w:r>
          </w:hyperlink>
        </w:p>
        <w:p w:rsidR="0020107C" w:rsidRDefault="000D2E19">
          <w:pPr>
            <w:pStyle w:val="TOC2"/>
            <w:tabs>
              <w:tab w:val="left" w:pos="1276"/>
            </w:tabs>
            <w:rPr>
              <w:rFonts w:asciiTheme="minorHAnsi" w:eastAsiaTheme="minorEastAsia" w:hAnsiTheme="minorHAnsi"/>
              <w:b w:val="0"/>
              <w:color w:val="auto"/>
              <w:sz w:val="22"/>
              <w:lang w:eastAsia="en-AU"/>
            </w:rPr>
          </w:pPr>
          <w:hyperlink w:anchor="_Toc416707625" w:history="1">
            <w:r w:rsidR="0020107C" w:rsidRPr="00C72AB3">
              <w:rPr>
                <w:rStyle w:val="Hyperlink"/>
              </w:rPr>
              <w:t>18.3</w:t>
            </w:r>
            <w:r w:rsidR="0020107C">
              <w:rPr>
                <w:rFonts w:asciiTheme="minorHAnsi" w:eastAsiaTheme="minorEastAsia" w:hAnsiTheme="minorHAnsi"/>
                <w:b w:val="0"/>
                <w:color w:val="auto"/>
                <w:sz w:val="22"/>
                <w:lang w:eastAsia="en-AU"/>
              </w:rPr>
              <w:tab/>
            </w:r>
            <w:r w:rsidR="0020107C" w:rsidRPr="00C72AB3">
              <w:rPr>
                <w:rStyle w:val="Hyperlink"/>
              </w:rPr>
              <w:t>AER’s assessment approach</w:t>
            </w:r>
            <w:r w:rsidR="0020107C">
              <w:rPr>
                <w:webHidden/>
              </w:rPr>
              <w:tab/>
            </w:r>
            <w:r w:rsidR="002139E9">
              <w:rPr>
                <w:webHidden/>
              </w:rPr>
              <w:t>18-</w:t>
            </w:r>
            <w:r w:rsidR="0020107C">
              <w:rPr>
                <w:webHidden/>
              </w:rPr>
              <w:fldChar w:fldCharType="begin"/>
            </w:r>
            <w:r w:rsidR="0020107C">
              <w:rPr>
                <w:webHidden/>
              </w:rPr>
              <w:instrText xml:space="preserve"> PAGEREF _Toc416707625 \h </w:instrText>
            </w:r>
            <w:r w:rsidR="0020107C">
              <w:rPr>
                <w:webHidden/>
              </w:rPr>
            </w:r>
            <w:r w:rsidR="0020107C">
              <w:rPr>
                <w:webHidden/>
              </w:rPr>
              <w:fldChar w:fldCharType="separate"/>
            </w:r>
            <w:r w:rsidR="00A30EBC">
              <w:rPr>
                <w:webHidden/>
              </w:rPr>
              <w:t>7</w:t>
            </w:r>
            <w:r w:rsidR="0020107C">
              <w:rPr>
                <w:webHidden/>
              </w:rPr>
              <w:fldChar w:fldCharType="end"/>
            </w:r>
          </w:hyperlink>
        </w:p>
        <w:p w:rsidR="0020107C" w:rsidRDefault="000D2E19">
          <w:pPr>
            <w:pStyle w:val="TOC2"/>
            <w:tabs>
              <w:tab w:val="left" w:pos="1276"/>
            </w:tabs>
            <w:rPr>
              <w:rFonts w:asciiTheme="minorHAnsi" w:eastAsiaTheme="minorEastAsia" w:hAnsiTheme="minorHAnsi"/>
              <w:b w:val="0"/>
              <w:color w:val="auto"/>
              <w:sz w:val="22"/>
              <w:lang w:eastAsia="en-AU"/>
            </w:rPr>
          </w:pPr>
          <w:hyperlink w:anchor="_Toc416707626" w:history="1">
            <w:r w:rsidR="0020107C" w:rsidRPr="00C72AB3">
              <w:rPr>
                <w:rStyle w:val="Hyperlink"/>
              </w:rPr>
              <w:t>18.4</w:t>
            </w:r>
            <w:r w:rsidR="0020107C">
              <w:rPr>
                <w:rFonts w:asciiTheme="minorHAnsi" w:eastAsiaTheme="minorEastAsia" w:hAnsiTheme="minorHAnsi"/>
                <w:b w:val="0"/>
                <w:color w:val="auto"/>
                <w:sz w:val="22"/>
                <w:lang w:eastAsia="en-AU"/>
              </w:rPr>
              <w:tab/>
            </w:r>
            <w:r w:rsidR="0020107C" w:rsidRPr="00C72AB3">
              <w:rPr>
                <w:rStyle w:val="Hyperlink"/>
              </w:rPr>
              <w:t>Reasons for preliminary decision</w:t>
            </w:r>
            <w:r w:rsidR="0020107C">
              <w:rPr>
                <w:webHidden/>
              </w:rPr>
              <w:tab/>
            </w:r>
            <w:r w:rsidR="002139E9">
              <w:rPr>
                <w:webHidden/>
              </w:rPr>
              <w:t>18-</w:t>
            </w:r>
            <w:r w:rsidR="0020107C">
              <w:rPr>
                <w:webHidden/>
              </w:rPr>
              <w:fldChar w:fldCharType="begin"/>
            </w:r>
            <w:r w:rsidR="0020107C">
              <w:rPr>
                <w:webHidden/>
              </w:rPr>
              <w:instrText xml:space="preserve"> PAGEREF _Toc416707626 \h </w:instrText>
            </w:r>
            <w:r w:rsidR="0020107C">
              <w:rPr>
                <w:webHidden/>
              </w:rPr>
            </w:r>
            <w:r w:rsidR="0020107C">
              <w:rPr>
                <w:webHidden/>
              </w:rPr>
              <w:fldChar w:fldCharType="separate"/>
            </w:r>
            <w:r w:rsidR="00A30EBC">
              <w:rPr>
                <w:webHidden/>
              </w:rPr>
              <w:t>7</w:t>
            </w:r>
            <w:r w:rsidR="0020107C">
              <w:rPr>
                <w:webHidden/>
              </w:rPr>
              <w:fldChar w:fldCharType="end"/>
            </w:r>
          </w:hyperlink>
        </w:p>
        <w:p w:rsidR="00DE563D" w:rsidRDefault="00DE563D">
          <w:pPr>
            <w:spacing w:line="240" w:lineRule="auto"/>
          </w:pPr>
          <w: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8" w:name="_Toc404700925"/>
      <w:bookmarkStart w:id="9" w:name="_Toc416707621"/>
      <w:r>
        <w:lastRenderedPageBreak/>
        <w:t>Shortened forms</w:t>
      </w:r>
      <w:bookmarkEnd w:id="8"/>
      <w:bookmarkEnd w:id="9"/>
    </w:p>
    <w:tbl>
      <w:tblPr>
        <w:tblStyle w:val="AERtable-numbers"/>
        <w:tblW w:w="0" w:type="auto"/>
        <w:tblLook w:val="04A0" w:firstRow="1" w:lastRow="0" w:firstColumn="1" w:lastColumn="0" w:noHBand="0" w:noVBand="1"/>
      </w:tblPr>
      <w:tblGrid>
        <w:gridCol w:w="4346"/>
        <w:gridCol w:w="4347"/>
      </w:tblGrid>
      <w:tr w:rsidR="00DE563D" w:rsidTr="002139E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Shortened form</w:t>
            </w:r>
          </w:p>
        </w:tc>
        <w:tc>
          <w:tcPr>
            <w:tcW w:w="4347" w:type="dxa"/>
          </w:tcPr>
          <w:p w:rsidR="00DE563D" w:rsidRDefault="00DE563D" w:rsidP="00DE563D">
            <w:pPr>
              <w:pStyle w:val="AERtabletextleft"/>
              <w:jc w:val="left"/>
              <w:cnfStyle w:val="100000000000" w:firstRow="1" w:lastRow="0" w:firstColumn="0" w:lastColumn="0" w:oddVBand="0" w:evenVBand="0" w:oddHBand="0" w:evenHBand="0" w:firstRowFirstColumn="0" w:firstRowLastColumn="0" w:lastRowFirstColumn="0" w:lastRowLastColumn="0"/>
            </w:pPr>
            <w:r>
              <w:t>Extended form</w:t>
            </w:r>
          </w:p>
        </w:tc>
      </w:tr>
      <w:tr w:rsidR="00DE563D" w:rsidTr="002139E9">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AEMC</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Market Commission</w:t>
            </w:r>
          </w:p>
        </w:tc>
      </w:tr>
      <w:tr w:rsidR="00DE563D" w:rsidTr="002139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AEMO</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Australian Energy Market Operator</w:t>
            </w:r>
          </w:p>
        </w:tc>
      </w:tr>
      <w:tr w:rsidR="00DE563D" w:rsidTr="002139E9">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AER</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Regulator</w:t>
            </w:r>
          </w:p>
        </w:tc>
      </w:tr>
      <w:tr w:rsidR="00DE563D" w:rsidTr="002139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740CAB" w:rsidP="00DE563D">
            <w:pPr>
              <w:pStyle w:val="AERtabletextleft"/>
            </w:pPr>
            <w:proofErr w:type="spellStart"/>
            <w:r>
              <w:t>augex</w:t>
            </w:r>
            <w:proofErr w:type="spellEnd"/>
          </w:p>
        </w:tc>
        <w:tc>
          <w:tcPr>
            <w:tcW w:w="4347" w:type="dxa"/>
          </w:tcPr>
          <w:p w:rsidR="00DE563D" w:rsidRDefault="00740CAB"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augmentation expenditure</w:t>
            </w:r>
          </w:p>
        </w:tc>
      </w:tr>
      <w:tr w:rsidR="00DE563D" w:rsidTr="002139E9">
        <w:tc>
          <w:tcPr>
            <w:cnfStyle w:val="001000000000" w:firstRow="0" w:lastRow="0" w:firstColumn="1" w:lastColumn="0" w:oddVBand="0" w:evenVBand="0" w:oddHBand="0" w:evenHBand="0" w:firstRowFirstColumn="0" w:firstRowLastColumn="0" w:lastRowFirstColumn="0" w:lastRowLastColumn="0"/>
            <w:tcW w:w="4346" w:type="dxa"/>
          </w:tcPr>
          <w:p w:rsidR="00DE563D" w:rsidRDefault="00740CAB" w:rsidP="00DE563D">
            <w:pPr>
              <w:pStyle w:val="AERtabletextleft"/>
            </w:pPr>
            <w:r>
              <w:t>capex</w:t>
            </w:r>
          </w:p>
        </w:tc>
        <w:tc>
          <w:tcPr>
            <w:tcW w:w="4347" w:type="dxa"/>
          </w:tcPr>
          <w:p w:rsidR="00DE563D" w:rsidRDefault="00740CAB">
            <w:pPr>
              <w:pStyle w:val="AERtabletextleft"/>
              <w:jc w:val="left"/>
              <w:cnfStyle w:val="000000000000" w:firstRow="0" w:lastRow="0" w:firstColumn="0" w:lastColumn="0" w:oddVBand="0" w:evenVBand="0" w:oddHBand="0" w:evenHBand="0" w:firstRowFirstColumn="0" w:firstRowLastColumn="0" w:lastRowFirstColumn="0" w:lastRowLastColumn="0"/>
            </w:pPr>
            <w:r>
              <w:t xml:space="preserve">capital </w:t>
            </w:r>
            <w:r w:rsidR="00DE563D">
              <w:t>expenditure</w:t>
            </w:r>
          </w:p>
        </w:tc>
      </w:tr>
      <w:tr w:rsidR="00DE563D" w:rsidTr="002139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740CAB" w:rsidP="00DE563D">
            <w:pPr>
              <w:pStyle w:val="AERtabletextleft"/>
            </w:pPr>
            <w:r>
              <w:t>CCP</w:t>
            </w:r>
          </w:p>
        </w:tc>
        <w:tc>
          <w:tcPr>
            <w:tcW w:w="4347" w:type="dxa"/>
          </w:tcPr>
          <w:p w:rsidR="00DE563D" w:rsidRDefault="00740CAB"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Challenge Panel</w:t>
            </w:r>
          </w:p>
        </w:tc>
      </w:tr>
      <w:tr w:rsidR="00DE563D" w:rsidTr="002139E9">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pPr>
              <w:pStyle w:val="AERtabletextleft"/>
            </w:pPr>
            <w:r>
              <w:t>C</w:t>
            </w:r>
            <w:r w:rsidR="00740CAB">
              <w:t>ESS</w:t>
            </w:r>
          </w:p>
        </w:tc>
        <w:tc>
          <w:tcPr>
            <w:tcW w:w="4347" w:type="dxa"/>
          </w:tcPr>
          <w:p w:rsidR="00DE563D" w:rsidRDefault="00740CAB"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DE563D" w:rsidTr="002139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740CAB">
            <w:pPr>
              <w:pStyle w:val="AERtabletextleft"/>
            </w:pPr>
            <w:r>
              <w:t>CPI</w:t>
            </w:r>
          </w:p>
        </w:tc>
        <w:tc>
          <w:tcPr>
            <w:tcW w:w="4347" w:type="dxa"/>
          </w:tcPr>
          <w:p w:rsidR="00DE563D" w:rsidRDefault="00740CAB"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price index</w:t>
            </w:r>
          </w:p>
        </w:tc>
      </w:tr>
      <w:tr w:rsidR="00DE563D" w:rsidTr="002139E9">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DRP</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debt risk premium</w:t>
            </w:r>
          </w:p>
        </w:tc>
      </w:tr>
      <w:tr w:rsidR="00DE563D" w:rsidTr="002139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DMIA</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demand management innovation allowance</w:t>
            </w:r>
          </w:p>
        </w:tc>
      </w:tr>
      <w:tr w:rsidR="00DE563D" w:rsidTr="002139E9">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DMIS</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demand management incentive scheme</w:t>
            </w:r>
          </w:p>
        </w:tc>
      </w:tr>
      <w:tr w:rsidR="00DE563D" w:rsidTr="002139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distributor</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distribution network service provider</w:t>
            </w:r>
          </w:p>
        </w:tc>
      </w:tr>
      <w:tr w:rsidR="00DE563D" w:rsidTr="002139E9">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DUoS</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distribution use of system</w:t>
            </w:r>
          </w:p>
        </w:tc>
      </w:tr>
      <w:tr w:rsidR="00DE563D" w:rsidTr="002139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EBSS</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efficiency benefit sharing scheme</w:t>
            </w:r>
          </w:p>
        </w:tc>
      </w:tr>
      <w:tr w:rsidR="00DE563D" w:rsidTr="002139E9">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ERP</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equity risk premium</w:t>
            </w:r>
          </w:p>
        </w:tc>
      </w:tr>
      <w:tr w:rsidR="00DE563D" w:rsidTr="002139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3C15F7" w:rsidP="003C15F7">
            <w:pPr>
              <w:pStyle w:val="AERtabletextleft"/>
            </w:pPr>
            <w:r>
              <w:t>E</w:t>
            </w:r>
            <w:r w:rsidR="00DE563D">
              <w:t xml:space="preserve">xpenditure </w:t>
            </w:r>
            <w:r>
              <w:t>A</w:t>
            </w:r>
            <w:r w:rsidR="00DE563D">
              <w:t xml:space="preserve">ssessment </w:t>
            </w:r>
            <w:r>
              <w:t>G</w:t>
            </w:r>
            <w:r w:rsidR="00DE563D">
              <w:t>uideline</w:t>
            </w:r>
          </w:p>
        </w:tc>
        <w:tc>
          <w:tcPr>
            <w:tcW w:w="4347" w:type="dxa"/>
          </w:tcPr>
          <w:p w:rsidR="00DE563D" w:rsidRDefault="002139E9" w:rsidP="003C15F7">
            <w:pPr>
              <w:pStyle w:val="AERtabletextleft"/>
              <w:jc w:val="left"/>
              <w:cnfStyle w:val="000000010000" w:firstRow="0" w:lastRow="0" w:firstColumn="0" w:lastColumn="0" w:oddVBand="0" w:evenVBand="0" w:oddHBand="0" w:evenHBand="1" w:firstRowFirstColumn="0" w:firstRowLastColumn="0" w:lastRowFirstColumn="0" w:lastRowLastColumn="0"/>
            </w:pPr>
            <w:r>
              <w:t>Expenditure Forecast A</w:t>
            </w:r>
            <w:r w:rsidR="00DE563D">
              <w:t xml:space="preserve">ssessment </w:t>
            </w:r>
            <w:r w:rsidR="003C15F7">
              <w:t>G</w:t>
            </w:r>
            <w:r w:rsidR="00DE563D">
              <w:t>uideline for electricity distribution</w:t>
            </w:r>
          </w:p>
        </w:tc>
      </w:tr>
      <w:tr w:rsidR="00DE563D" w:rsidTr="002139E9">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F&amp;A</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framework and approach</w:t>
            </w:r>
          </w:p>
        </w:tc>
      </w:tr>
      <w:tr w:rsidR="00DE563D" w:rsidTr="002139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MRP</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market risk premium</w:t>
            </w:r>
          </w:p>
        </w:tc>
      </w:tr>
      <w:tr w:rsidR="00DE563D" w:rsidTr="002139E9">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NEL</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law</w:t>
            </w:r>
          </w:p>
        </w:tc>
      </w:tr>
      <w:tr w:rsidR="00DE563D" w:rsidTr="002139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NEM</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market</w:t>
            </w:r>
          </w:p>
        </w:tc>
      </w:tr>
      <w:tr w:rsidR="00DE563D" w:rsidTr="002139E9">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NEO</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objective</w:t>
            </w:r>
          </w:p>
        </w:tc>
      </w:tr>
      <w:tr w:rsidR="00DE563D" w:rsidTr="002139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NER</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rules</w:t>
            </w:r>
          </w:p>
        </w:tc>
      </w:tr>
      <w:tr w:rsidR="00DE563D" w:rsidTr="002139E9">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NSP</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network service provider</w:t>
            </w:r>
          </w:p>
        </w:tc>
      </w:tr>
      <w:tr w:rsidR="00DE563D" w:rsidTr="002139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opex</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operating expenditure</w:t>
            </w:r>
          </w:p>
        </w:tc>
      </w:tr>
      <w:tr w:rsidR="00DE563D" w:rsidTr="002139E9">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PPI</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partial performance indicators</w:t>
            </w:r>
          </w:p>
        </w:tc>
      </w:tr>
      <w:tr w:rsidR="00DE563D" w:rsidTr="002139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lastRenderedPageBreak/>
              <w:t>PTRM</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post-tax revenue model</w:t>
            </w:r>
          </w:p>
        </w:tc>
      </w:tr>
      <w:tr w:rsidR="00DE563D" w:rsidTr="002139E9">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RAB</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asset base</w:t>
            </w:r>
          </w:p>
        </w:tc>
      </w:tr>
      <w:tr w:rsidR="00DE563D" w:rsidTr="002139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RBA</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Reserve Bank of Australia</w:t>
            </w:r>
          </w:p>
        </w:tc>
      </w:tr>
      <w:tr w:rsidR="00DE563D" w:rsidTr="002139E9">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repex</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replacement expenditure</w:t>
            </w:r>
          </w:p>
        </w:tc>
      </w:tr>
      <w:tr w:rsidR="00DE563D" w:rsidTr="002139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RFM</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roll forward model</w:t>
            </w:r>
          </w:p>
        </w:tc>
      </w:tr>
      <w:tr w:rsidR="00DE563D" w:rsidTr="002139E9">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RIN</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information notice</w:t>
            </w:r>
          </w:p>
        </w:tc>
      </w:tr>
      <w:tr w:rsidR="00DE563D" w:rsidTr="002139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RPP</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 xml:space="preserve">revenue </w:t>
            </w:r>
            <w:r w:rsidR="003C15F7">
              <w:t xml:space="preserve">and </w:t>
            </w:r>
            <w:r>
              <w:t>pricing principles</w:t>
            </w:r>
          </w:p>
        </w:tc>
      </w:tr>
      <w:tr w:rsidR="00DE563D" w:rsidTr="002139E9">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SAIDI</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system average interruption duration index</w:t>
            </w:r>
          </w:p>
        </w:tc>
      </w:tr>
      <w:tr w:rsidR="00DE563D" w:rsidTr="002139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SAIFI</w:t>
            </w:r>
          </w:p>
        </w:tc>
        <w:tc>
          <w:tcPr>
            <w:tcW w:w="4347" w:type="dxa"/>
          </w:tcPr>
          <w:p w:rsidR="00DE563D" w:rsidRDefault="00DE563D" w:rsidP="00DE563D">
            <w:pPr>
              <w:pStyle w:val="AERtabletextleft"/>
              <w:jc w:val="center"/>
              <w:cnfStyle w:val="000000010000" w:firstRow="0" w:lastRow="0" w:firstColumn="0" w:lastColumn="0" w:oddVBand="0" w:evenVBand="0" w:oddHBand="0" w:evenHBand="1" w:firstRowFirstColumn="0" w:firstRowLastColumn="0" w:lastRowFirstColumn="0" w:lastRowLastColumn="0"/>
            </w:pPr>
            <w:r>
              <w:t>system average interruption frequency index</w:t>
            </w:r>
          </w:p>
        </w:tc>
      </w:tr>
      <w:tr w:rsidR="00DE563D" w:rsidTr="002139E9">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SLCAPM</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DE563D" w:rsidTr="002139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STPIS</w:t>
            </w:r>
          </w:p>
        </w:tc>
        <w:tc>
          <w:tcPr>
            <w:tcW w:w="4347" w:type="dxa"/>
          </w:tcPr>
          <w:p w:rsidR="00DE563D" w:rsidRDefault="00DE563D" w:rsidP="00DE563D">
            <w:pPr>
              <w:pStyle w:val="AERtabletextleft"/>
              <w:jc w:val="center"/>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DE563D" w:rsidTr="002139E9">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WACC</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DE563D" w:rsidRPr="00271F7C" w:rsidRDefault="00DE563D" w:rsidP="00DE563D">
      <w:pPr>
        <w:numPr>
          <w:ilvl w:val="0"/>
          <w:numId w:val="25"/>
        </w:numPr>
      </w:pPr>
    </w:p>
    <w:p w:rsidR="00DE563D" w:rsidRPr="00436A39" w:rsidRDefault="00DE563D" w:rsidP="00DE563D">
      <w:pPr>
        <w:numPr>
          <w:ilvl w:val="0"/>
          <w:numId w:val="25"/>
        </w:numPr>
      </w:pPr>
    </w:p>
    <w:p w:rsidR="00DE563D" w:rsidRDefault="00DE563D" w:rsidP="00DE563D"/>
    <w:p w:rsidR="00DE563D" w:rsidRPr="0074565D" w:rsidRDefault="00DE563D" w:rsidP="0074565D">
      <w:pPr>
        <w:pStyle w:val="Heading1"/>
      </w:pPr>
      <w:bookmarkStart w:id="10" w:name="_Toc403144135"/>
      <w:bookmarkStart w:id="11" w:name="_Toc416707622"/>
      <w:r w:rsidRPr="0074565D">
        <w:lastRenderedPageBreak/>
        <w:t>Connection policy</w:t>
      </w:r>
      <w:bookmarkEnd w:id="10"/>
      <w:bookmarkEnd w:id="11"/>
    </w:p>
    <w:p w:rsidR="000338D9" w:rsidRDefault="000338D9" w:rsidP="000338D9">
      <w:pPr>
        <w:numPr>
          <w:ilvl w:val="0"/>
          <w:numId w:val="25"/>
        </w:numPr>
      </w:pPr>
      <w:r>
        <w:t>We are required to approve a connection policy prepared by a distribut</w:t>
      </w:r>
      <w:r w:rsidR="000A2B7E">
        <w:t>or</w:t>
      </w:r>
      <w:r>
        <w:t xml:space="preserve"> under the National Electricity Rules (NER).</w:t>
      </w:r>
      <w:r w:rsidR="005D0936">
        <w:rPr>
          <w:rStyle w:val="FootnoteReference"/>
        </w:rPr>
        <w:footnoteReference w:id="1"/>
      </w:r>
      <w:r>
        <w:t xml:space="preserve"> </w:t>
      </w:r>
    </w:p>
    <w:p w:rsidR="000338D9" w:rsidRDefault="000338D9" w:rsidP="000338D9">
      <w:pPr>
        <w:numPr>
          <w:ilvl w:val="0"/>
          <w:numId w:val="25"/>
        </w:numPr>
      </w:pPr>
      <w:r>
        <w:t xml:space="preserve">A </w:t>
      </w:r>
      <w:r w:rsidRPr="00A868C4">
        <w:rPr>
          <w:rStyle w:val="AERbody"/>
        </w:rPr>
        <w:t>connection policy set</w:t>
      </w:r>
      <w:r>
        <w:rPr>
          <w:rStyle w:val="AERbody"/>
        </w:rPr>
        <w:t>s</w:t>
      </w:r>
      <w:r w:rsidRPr="00A868C4">
        <w:rPr>
          <w:rStyle w:val="AERbody"/>
        </w:rPr>
        <w:t xml:space="preserve"> out</w:t>
      </w:r>
      <w:r>
        <w:rPr>
          <w:rStyle w:val="AERbody"/>
        </w:rPr>
        <w:t xml:space="preserve"> the nature of connection services offered by </w:t>
      </w:r>
      <w:r w:rsidR="00BD0808">
        <w:rPr>
          <w:rStyle w:val="AERbody"/>
        </w:rPr>
        <w:t>a</w:t>
      </w:r>
      <w:r>
        <w:rPr>
          <w:rStyle w:val="AERbody"/>
        </w:rPr>
        <w:t xml:space="preserve"> </w:t>
      </w:r>
      <w:r w:rsidR="00C44FE6">
        <w:rPr>
          <w:rStyle w:val="AERbody"/>
        </w:rPr>
        <w:t>distributor</w:t>
      </w:r>
      <w:r w:rsidR="00070FFD">
        <w:rPr>
          <w:rStyle w:val="AERbody"/>
        </w:rPr>
        <w:t>, when connection charge</w:t>
      </w:r>
      <w:r w:rsidR="00BD0808">
        <w:rPr>
          <w:rStyle w:val="AERbody"/>
        </w:rPr>
        <w:t>s</w:t>
      </w:r>
      <w:r w:rsidR="00070FFD">
        <w:rPr>
          <w:rStyle w:val="AERbody"/>
        </w:rPr>
        <w:t xml:space="preserve"> may be payable</w:t>
      </w:r>
      <w:r w:rsidR="00C44FE6">
        <w:rPr>
          <w:rStyle w:val="AERbody"/>
        </w:rPr>
        <w:t xml:space="preserve"> by</w:t>
      </w:r>
      <w:r w:rsidR="00070FFD">
        <w:rPr>
          <w:rStyle w:val="AERbody"/>
        </w:rPr>
        <w:t xml:space="preserve"> retail customers and how those charges are calculated. </w:t>
      </w:r>
      <w:r w:rsidR="00DE4269">
        <w:rPr>
          <w:rStyle w:val="AERbody"/>
        </w:rPr>
        <w:t>A connection policy</w:t>
      </w:r>
      <w:r>
        <w:t>:</w:t>
      </w:r>
      <w:r w:rsidRPr="00EA0A07">
        <w:rPr>
          <w:rStyle w:val="AERsuperscript"/>
        </w:rPr>
        <w:footnoteReference w:id="2"/>
      </w:r>
      <w:r w:rsidRPr="00EA0A07">
        <w:rPr>
          <w:rStyle w:val="AERsuperscript"/>
        </w:rPr>
        <w:t xml:space="preserve"> </w:t>
      </w:r>
    </w:p>
    <w:p w:rsidR="000338D9" w:rsidRPr="000338D9" w:rsidRDefault="000338D9" w:rsidP="000338D9">
      <w:pPr>
        <w:pStyle w:val="AERbulletlistfirststyle"/>
      </w:pPr>
      <w:r>
        <w:t>must</w:t>
      </w:r>
      <w:r w:rsidRPr="000338D9">
        <w:t xml:space="preserve"> be consistent with:</w:t>
      </w:r>
    </w:p>
    <w:p w:rsidR="000338D9" w:rsidRDefault="000338D9" w:rsidP="000338D9">
      <w:pPr>
        <w:pStyle w:val="AERbulletlistsecondstyle"/>
      </w:pPr>
      <w:r>
        <w:t>the connection charge principles set out in chapter 5A of the NER</w:t>
      </w:r>
    </w:p>
    <w:p w:rsidR="00823E51" w:rsidRPr="000338D9" w:rsidRDefault="00823E51" w:rsidP="00823E51">
      <w:pPr>
        <w:pStyle w:val="AERbulletlistsecondstyle"/>
      </w:pPr>
      <w:r>
        <w:t xml:space="preserve">the connection policy requirements set out in part DA of </w:t>
      </w:r>
      <w:r w:rsidR="00DE4269">
        <w:t xml:space="preserve">chapter 6 of </w:t>
      </w:r>
      <w:r>
        <w:t>the NER</w:t>
      </w:r>
    </w:p>
    <w:p w:rsidR="00DE4269" w:rsidRDefault="00C44FE6" w:rsidP="000338D9">
      <w:pPr>
        <w:pStyle w:val="AERbulletlistsecondstyle"/>
      </w:pPr>
      <w:r>
        <w:t xml:space="preserve">our </w:t>
      </w:r>
      <w:r w:rsidR="000338D9">
        <w:t>connection charge guidelines published under chapter 5A</w:t>
      </w:r>
      <w:r w:rsidR="004B55E0">
        <w:t>,</w:t>
      </w:r>
      <w:r w:rsidR="000338D9" w:rsidRPr="000338D9">
        <w:rPr>
          <w:rStyle w:val="FootnoteReference"/>
        </w:rPr>
        <w:footnoteReference w:id="3"/>
      </w:r>
      <w:r w:rsidR="000A2B7E">
        <w:t xml:space="preserve"> and</w:t>
      </w:r>
      <w:r>
        <w:t xml:space="preserve"> </w:t>
      </w:r>
    </w:p>
    <w:p w:rsidR="000338D9" w:rsidRPr="000338D9" w:rsidRDefault="000338D9" w:rsidP="000338D9">
      <w:pPr>
        <w:pStyle w:val="AERbulletlistfirststyle"/>
      </w:pPr>
      <w:r>
        <w:t xml:space="preserve">must </w:t>
      </w:r>
      <w:r w:rsidR="00BD0808">
        <w:t>detail</w:t>
      </w:r>
      <w:r>
        <w:t>:</w:t>
      </w:r>
    </w:p>
    <w:p w:rsidR="000338D9" w:rsidRPr="000338D9" w:rsidRDefault="000338D9" w:rsidP="000338D9">
      <w:pPr>
        <w:pStyle w:val="AERbulletlistsecondstyle"/>
      </w:pPr>
      <w:r w:rsidRPr="00EA0A07">
        <w:t xml:space="preserve">the categories of persons that may be required to pay a connection charge and the </w:t>
      </w:r>
      <w:r w:rsidRPr="000338D9">
        <w:t>circumstances in which such a requirement may be imposed</w:t>
      </w:r>
    </w:p>
    <w:p w:rsidR="000338D9" w:rsidRPr="000338D9" w:rsidRDefault="000338D9" w:rsidP="000338D9">
      <w:pPr>
        <w:pStyle w:val="AERbulletlistsecondstyle"/>
      </w:pPr>
      <w:r w:rsidRPr="00EA0A07">
        <w:t>the aspects of a connection service for which a connection charge may be made</w:t>
      </w:r>
    </w:p>
    <w:p w:rsidR="000338D9" w:rsidRPr="000338D9" w:rsidRDefault="000338D9" w:rsidP="000338D9">
      <w:pPr>
        <w:pStyle w:val="AERbulletlistsecondstyle"/>
      </w:pPr>
      <w:r w:rsidRPr="00EA0A07">
        <w:t>the basis on which connec</w:t>
      </w:r>
      <w:r w:rsidRPr="000338D9">
        <w:t>tion charges are determined</w:t>
      </w:r>
    </w:p>
    <w:p w:rsidR="000338D9" w:rsidRPr="000338D9" w:rsidRDefault="000338D9" w:rsidP="000338D9">
      <w:pPr>
        <w:pStyle w:val="AERbulletlistsecondstyle"/>
      </w:pPr>
      <w:r w:rsidRPr="00EA0A07">
        <w:t>the manner in which connection charges are to be paid (or equivalent co</w:t>
      </w:r>
      <w:r w:rsidRPr="000338D9">
        <w:t>nsideration is to be given)</w:t>
      </w:r>
    </w:p>
    <w:p w:rsidR="000338D9" w:rsidRDefault="000338D9" w:rsidP="000338D9">
      <w:pPr>
        <w:pStyle w:val="AERbulletlistsecondstyle"/>
      </w:pPr>
      <w:r w:rsidRPr="00EA0A07">
        <w:t>a threshold (based on capacity or any other measure identified in the connection charge guidelines) below which a retail customer (not being  non-registered embedded generator or a real estate developer) will not be liable for a connection charge for an augmentation other than an extension.</w:t>
      </w:r>
    </w:p>
    <w:p w:rsidR="000338D9" w:rsidRPr="002139E9" w:rsidRDefault="000338D9" w:rsidP="002139E9">
      <w:pPr>
        <w:pStyle w:val="HeadingBoldItalic"/>
      </w:pPr>
      <w:r w:rsidRPr="002139E9">
        <w:t>The AER's connection charge guidelines for electricity retail customers</w:t>
      </w:r>
    </w:p>
    <w:p w:rsidR="000338D9" w:rsidRPr="00E30446" w:rsidRDefault="000338D9" w:rsidP="000338D9">
      <w:pPr>
        <w:numPr>
          <w:ilvl w:val="0"/>
          <w:numId w:val="25"/>
        </w:numPr>
        <w:rPr>
          <w:rStyle w:val="AERbody"/>
        </w:rPr>
      </w:pPr>
      <w:r>
        <w:rPr>
          <w:rStyle w:val="AERbody"/>
        </w:rPr>
        <w:t>A connection policy must be consistent with our connection charge guidelines for electricity retail customers to ensure that connection charges</w:t>
      </w:r>
      <w:r w:rsidRPr="00E30446">
        <w:rPr>
          <w:rStyle w:val="AERbody"/>
        </w:rPr>
        <w:t>:</w:t>
      </w:r>
    </w:p>
    <w:p w:rsidR="000338D9" w:rsidRPr="000338D9" w:rsidRDefault="000338D9" w:rsidP="000338D9">
      <w:pPr>
        <w:pStyle w:val="AERbulletlistfirststyle"/>
        <w:rPr>
          <w:rStyle w:val="AERbody"/>
        </w:rPr>
      </w:pPr>
      <w:r w:rsidRPr="00E30446">
        <w:rPr>
          <w:rStyle w:val="AERbody"/>
        </w:rPr>
        <w:t>are reasonable</w:t>
      </w:r>
      <w:r w:rsidR="00823E51">
        <w:rPr>
          <w:rStyle w:val="AERbody"/>
        </w:rPr>
        <w:t xml:space="preserve"> and</w:t>
      </w:r>
      <w:r w:rsidRPr="00E30446">
        <w:rPr>
          <w:rStyle w:val="AERbody"/>
        </w:rPr>
        <w:t xml:space="preserve"> </w:t>
      </w:r>
      <w:r w:rsidR="006214E6">
        <w:rPr>
          <w:rStyle w:val="AERbody"/>
        </w:rPr>
        <w:t>take</w:t>
      </w:r>
      <w:r w:rsidR="006214E6" w:rsidRPr="00E30446">
        <w:rPr>
          <w:rStyle w:val="AERbody"/>
        </w:rPr>
        <w:t xml:space="preserve"> </w:t>
      </w:r>
      <w:r w:rsidRPr="00E30446">
        <w:rPr>
          <w:rStyle w:val="AERbody"/>
        </w:rPr>
        <w:t xml:space="preserve">into account the efficient costs of providing the connection services arising from the new connection or connection alteration </w:t>
      </w:r>
    </w:p>
    <w:p w:rsidR="000338D9" w:rsidRPr="000338D9" w:rsidRDefault="000338D9" w:rsidP="000338D9">
      <w:pPr>
        <w:pStyle w:val="AERbulletlistfirststyle"/>
        <w:rPr>
          <w:rStyle w:val="AERbody"/>
        </w:rPr>
      </w:pPr>
      <w:r w:rsidRPr="00E30446">
        <w:rPr>
          <w:rStyle w:val="AERbody"/>
        </w:rPr>
        <w:t xml:space="preserve">provide, without undue administrative cost, a user-pays </w:t>
      </w:r>
      <w:r w:rsidR="009359BB">
        <w:rPr>
          <w:rStyle w:val="AERbody"/>
        </w:rPr>
        <w:t xml:space="preserve">price </w:t>
      </w:r>
      <w:r w:rsidRPr="00E30446">
        <w:rPr>
          <w:rStyle w:val="AERbody"/>
        </w:rPr>
        <w:t>signal to reflect the efficient cost</w:t>
      </w:r>
      <w:r w:rsidR="00823E51">
        <w:rPr>
          <w:rStyle w:val="AERbody"/>
        </w:rPr>
        <w:t>s</w:t>
      </w:r>
      <w:r w:rsidRPr="00E30446">
        <w:rPr>
          <w:rStyle w:val="AERbody"/>
        </w:rPr>
        <w:t xml:space="preserve"> of providing the connection services</w:t>
      </w:r>
    </w:p>
    <w:p w:rsidR="000338D9" w:rsidRPr="000338D9" w:rsidRDefault="000338D9" w:rsidP="000338D9">
      <w:pPr>
        <w:pStyle w:val="AERbulletlistfirststyle"/>
        <w:rPr>
          <w:rStyle w:val="AERbody"/>
        </w:rPr>
      </w:pPr>
      <w:r w:rsidRPr="00E30446">
        <w:rPr>
          <w:rStyle w:val="AERbody"/>
        </w:rPr>
        <w:lastRenderedPageBreak/>
        <w:t>limit cross-subsidisation of connection costs between different classes (or subclasses) of retail customer</w:t>
      </w:r>
      <w:r w:rsidR="00823E51">
        <w:rPr>
          <w:rStyle w:val="AERbody"/>
        </w:rPr>
        <w:t>s</w:t>
      </w:r>
    </w:p>
    <w:p w:rsidR="000338D9" w:rsidRPr="000338D9" w:rsidRDefault="000338D9" w:rsidP="000338D9">
      <w:pPr>
        <w:pStyle w:val="AERbulletlistfirststyle"/>
        <w:rPr>
          <w:rStyle w:val="AERbody"/>
        </w:rPr>
      </w:pPr>
      <w:r w:rsidRPr="00E30446">
        <w:rPr>
          <w:rStyle w:val="AERbody"/>
        </w:rPr>
        <w:t>are competitively neutral, if the connection services are contestable.</w:t>
      </w:r>
    </w:p>
    <w:p w:rsidR="00DE563D" w:rsidRPr="0074565D" w:rsidRDefault="00DE563D" w:rsidP="0074565D">
      <w:pPr>
        <w:pStyle w:val="Heading2"/>
      </w:pPr>
      <w:bookmarkStart w:id="12" w:name="_Toc403144136"/>
      <w:bookmarkStart w:id="13" w:name="_Toc416707623"/>
      <w:r w:rsidRPr="0074565D">
        <w:t>Preliminary decision</w:t>
      </w:r>
      <w:bookmarkEnd w:id="12"/>
      <w:bookmarkEnd w:id="13"/>
    </w:p>
    <w:p w:rsidR="00823E51" w:rsidRDefault="000338D9" w:rsidP="000338D9">
      <w:pPr>
        <w:numPr>
          <w:ilvl w:val="0"/>
          <w:numId w:val="24"/>
        </w:numPr>
      </w:pPr>
      <w:r>
        <w:t>We approve Energex’s connection policy because it</w:t>
      </w:r>
      <w:r w:rsidR="00823E51">
        <w:t>:</w:t>
      </w:r>
    </w:p>
    <w:p w:rsidR="00823E51" w:rsidRDefault="000338D9" w:rsidP="0070645A">
      <w:pPr>
        <w:pStyle w:val="ListNumber"/>
        <w:rPr>
          <w:rStyle w:val="AERbody"/>
        </w:rPr>
      </w:pPr>
      <w:r>
        <w:t xml:space="preserve">meets </w:t>
      </w:r>
      <w:r w:rsidRPr="0015441B">
        <w:rPr>
          <w:rStyle w:val="AERbody"/>
        </w:rPr>
        <w:t xml:space="preserve">the requirements </w:t>
      </w:r>
      <w:r>
        <w:rPr>
          <w:rStyle w:val="AERbody"/>
        </w:rPr>
        <w:t>of</w:t>
      </w:r>
      <w:r w:rsidRPr="0015441B">
        <w:rPr>
          <w:rStyle w:val="AERbody"/>
        </w:rPr>
        <w:t xml:space="preserve"> Part DA of Chapter 6 of the NER</w:t>
      </w:r>
    </w:p>
    <w:p w:rsidR="00823E51" w:rsidRDefault="000338D9" w:rsidP="0070645A">
      <w:pPr>
        <w:pStyle w:val="ListNumber"/>
        <w:rPr>
          <w:rStyle w:val="AERbody"/>
        </w:rPr>
      </w:pPr>
      <w:r>
        <w:rPr>
          <w:rStyle w:val="AERbody"/>
        </w:rPr>
        <w:t xml:space="preserve">is </w:t>
      </w:r>
      <w:r w:rsidRPr="0015441B">
        <w:rPr>
          <w:rStyle w:val="AERbody"/>
        </w:rPr>
        <w:t>consistent with the connection charge principles</w:t>
      </w:r>
      <w:r w:rsidR="00823E51">
        <w:rPr>
          <w:rStyle w:val="AERbody"/>
        </w:rPr>
        <w:t>,</w:t>
      </w:r>
      <w:r w:rsidRPr="0015441B">
        <w:rPr>
          <w:rStyle w:val="AERbody"/>
        </w:rPr>
        <w:t xml:space="preserve"> and </w:t>
      </w:r>
    </w:p>
    <w:p w:rsidR="000338D9" w:rsidRPr="00FE49D1" w:rsidRDefault="00E44B45" w:rsidP="0070645A">
      <w:pPr>
        <w:pStyle w:val="ListNumber"/>
      </w:pPr>
      <w:r>
        <w:rPr>
          <w:rStyle w:val="AERbody"/>
        </w:rPr>
        <w:t xml:space="preserve">is consistent </w:t>
      </w:r>
      <w:r w:rsidR="000338D9">
        <w:rPr>
          <w:rStyle w:val="AERbody"/>
        </w:rPr>
        <w:t>our</w:t>
      </w:r>
      <w:r w:rsidR="000338D9" w:rsidRPr="0015441B">
        <w:rPr>
          <w:rStyle w:val="AERbody"/>
        </w:rPr>
        <w:t xml:space="preserve"> </w:t>
      </w:r>
      <w:r w:rsidR="000338D9" w:rsidRPr="0035701D">
        <w:rPr>
          <w:rStyle w:val="AERbody"/>
        </w:rPr>
        <w:t xml:space="preserve">connection charge guidelines for electricity </w:t>
      </w:r>
      <w:r w:rsidR="000338D9">
        <w:rPr>
          <w:rStyle w:val="AERbody"/>
        </w:rPr>
        <w:t xml:space="preserve">retail </w:t>
      </w:r>
      <w:r w:rsidR="000338D9" w:rsidRPr="0035701D">
        <w:rPr>
          <w:rStyle w:val="AERbody"/>
        </w:rPr>
        <w:t>customers</w:t>
      </w:r>
      <w:r w:rsidR="000338D9">
        <w:rPr>
          <w:rStyle w:val="AERbody"/>
        </w:rPr>
        <w:t>.</w:t>
      </w:r>
    </w:p>
    <w:p w:rsidR="00DE563D" w:rsidRPr="0074565D" w:rsidRDefault="001201F1" w:rsidP="0074565D">
      <w:pPr>
        <w:pStyle w:val="Heading2"/>
      </w:pPr>
      <w:bookmarkStart w:id="14" w:name="_Toc403144137"/>
      <w:bookmarkStart w:id="15" w:name="_Toc416707624"/>
      <w:r w:rsidRPr="0074565D">
        <w:t>Energex's</w:t>
      </w:r>
      <w:r w:rsidR="00DE563D" w:rsidRPr="0074565D">
        <w:t xml:space="preserve"> proposal</w:t>
      </w:r>
      <w:bookmarkEnd w:id="14"/>
      <w:bookmarkEnd w:id="15"/>
    </w:p>
    <w:p w:rsidR="000338D9" w:rsidRPr="000338D9" w:rsidRDefault="000338D9" w:rsidP="000338D9">
      <w:pPr>
        <w:pStyle w:val="ListParagraph"/>
        <w:numPr>
          <w:ilvl w:val="0"/>
          <w:numId w:val="24"/>
        </w:numPr>
      </w:pPr>
      <w:r>
        <w:t>Energex</w:t>
      </w:r>
      <w:r w:rsidR="006A6525">
        <w:t>'s</w:t>
      </w:r>
      <w:r w:rsidRPr="000338D9">
        <w:t xml:space="preserve"> </w:t>
      </w:r>
      <w:r w:rsidR="00015B40">
        <w:t xml:space="preserve">connection policy provides an outline of its connection services, when connection charges may be payable by </w:t>
      </w:r>
      <w:r w:rsidR="00823E51">
        <w:t xml:space="preserve">its retail </w:t>
      </w:r>
      <w:r w:rsidR="00015B40">
        <w:t>customers and how those charges are calculated</w:t>
      </w:r>
      <w:r w:rsidRPr="000338D9">
        <w:t>.</w:t>
      </w:r>
      <w:r w:rsidRPr="000338D9">
        <w:rPr>
          <w:rStyle w:val="FootnoteReference"/>
        </w:rPr>
        <w:footnoteReference w:id="4"/>
      </w:r>
    </w:p>
    <w:p w:rsidR="00DE563D" w:rsidRPr="0074565D" w:rsidRDefault="00DE563D" w:rsidP="0074565D">
      <w:pPr>
        <w:pStyle w:val="Heading2"/>
      </w:pPr>
      <w:bookmarkStart w:id="16" w:name="_Toc403144138"/>
      <w:bookmarkStart w:id="17" w:name="_Toc416707625"/>
      <w:r w:rsidRPr="0074565D">
        <w:t>AER’s assessment approach</w:t>
      </w:r>
      <w:bookmarkEnd w:id="16"/>
      <w:bookmarkEnd w:id="17"/>
    </w:p>
    <w:p w:rsidR="00A43041" w:rsidRPr="00A43041" w:rsidRDefault="00A43041" w:rsidP="00A43041">
      <w:r w:rsidRPr="00A43041">
        <w:t>We examined the proposed connection policy against the requirements of Part DA of chapter 6 as stated above––whether it:</w:t>
      </w:r>
    </w:p>
    <w:p w:rsidR="00A43041" w:rsidRPr="00A43041" w:rsidRDefault="00A43041" w:rsidP="00A43041">
      <w:pPr>
        <w:pStyle w:val="AERbulletlistfirststyle"/>
      </w:pPr>
      <w:r w:rsidRPr="00A43041">
        <w:tab/>
        <w:t>is consistent with the connection charge principles set out in chapter 5A of the NER, and our connection charge guidelines</w:t>
      </w:r>
    </w:p>
    <w:p w:rsidR="00A43041" w:rsidRPr="00A43041" w:rsidRDefault="00A43041" w:rsidP="00A43041">
      <w:pPr>
        <w:pStyle w:val="AERbulletlistfirststyle"/>
      </w:pPr>
      <w:r w:rsidRPr="00A43041">
        <w:tab/>
        <w:t>contains all the information for new customers as prescribed by the NER.</w:t>
      </w:r>
    </w:p>
    <w:p w:rsidR="00A43041" w:rsidRPr="00A43041" w:rsidRDefault="00A43041" w:rsidP="00A43041">
      <w:r w:rsidRPr="00A43041">
        <w:t>In addition, we also examined whether:</w:t>
      </w:r>
    </w:p>
    <w:p w:rsidR="00A43041" w:rsidRPr="00A43041" w:rsidRDefault="00A43041" w:rsidP="00A43041">
      <w:pPr>
        <w:pStyle w:val="AERbulletlistfirststyle"/>
      </w:pPr>
      <w:r w:rsidRPr="00A43041">
        <w:tab/>
        <w:t xml:space="preserve">other connection related charges included in the connection policy, such as metering installation charges, are consistent with the service classification of this </w:t>
      </w:r>
      <w:r w:rsidR="001D5929">
        <w:t>preliminary</w:t>
      </w:r>
      <w:r w:rsidR="001D5929" w:rsidRPr="00A43041">
        <w:t xml:space="preserve"> </w:t>
      </w:r>
      <w:r w:rsidRPr="00A43041">
        <w:t>determination</w:t>
      </w:r>
    </w:p>
    <w:p w:rsidR="00A43041" w:rsidRDefault="00A43041" w:rsidP="00A43041">
      <w:pPr>
        <w:pStyle w:val="AERbulletlistfirststyle"/>
      </w:pPr>
      <w:r w:rsidRPr="00A43041">
        <w:tab/>
        <w:t>the connection policy contains terms that are not fair and reasonable.</w:t>
      </w:r>
    </w:p>
    <w:p w:rsidR="00DE563D" w:rsidRPr="0074565D" w:rsidRDefault="00DE563D" w:rsidP="0074565D">
      <w:pPr>
        <w:pStyle w:val="Heading2"/>
      </w:pPr>
      <w:bookmarkStart w:id="18" w:name="_Toc403144140"/>
      <w:bookmarkStart w:id="19" w:name="_Toc416707626"/>
      <w:r w:rsidRPr="0074565D">
        <w:t>Reasons for preliminary decision</w:t>
      </w:r>
      <w:bookmarkEnd w:id="18"/>
      <w:bookmarkEnd w:id="19"/>
      <w:r w:rsidRPr="0074565D">
        <w:t xml:space="preserve"> </w:t>
      </w:r>
    </w:p>
    <w:p w:rsidR="000338D9" w:rsidRDefault="000338D9" w:rsidP="000338D9">
      <w:pPr>
        <w:numPr>
          <w:ilvl w:val="0"/>
          <w:numId w:val="25"/>
        </w:numPr>
      </w:pPr>
      <w:r>
        <w:t xml:space="preserve">We approve </w:t>
      </w:r>
      <w:r w:rsidR="00BD0808">
        <w:t>Energex</w:t>
      </w:r>
      <w:r>
        <w:t>’s connection policy because we found that:</w:t>
      </w:r>
    </w:p>
    <w:p w:rsidR="000338D9" w:rsidRPr="000338D9" w:rsidRDefault="00BD0808" w:rsidP="000338D9">
      <w:pPr>
        <w:pStyle w:val="AERbulletlistfirststyle"/>
        <w:rPr>
          <w:rStyle w:val="AERbody"/>
        </w:rPr>
      </w:pPr>
      <w:r>
        <w:t xml:space="preserve">It </w:t>
      </w:r>
      <w:r w:rsidR="000338D9" w:rsidRPr="000338D9">
        <w:t>is</w:t>
      </w:r>
      <w:r w:rsidR="000338D9" w:rsidRPr="000338D9">
        <w:rPr>
          <w:rStyle w:val="AERbody"/>
        </w:rPr>
        <w:t xml:space="preserve"> consistent with the connection charge principles of chapter 5A of the NER and our connection charge guidelines for electricity retail customers</w:t>
      </w:r>
      <w:r>
        <w:rPr>
          <w:rStyle w:val="AERbody"/>
        </w:rPr>
        <w:t xml:space="preserve"> published under chapter 5A.</w:t>
      </w:r>
      <w:r w:rsidR="00F60DDC">
        <w:rPr>
          <w:rStyle w:val="AERbody"/>
        </w:rPr>
        <w:t xml:space="preserve"> </w:t>
      </w:r>
    </w:p>
    <w:p w:rsidR="000338D9" w:rsidRPr="000338D9" w:rsidRDefault="00BD0808" w:rsidP="000338D9">
      <w:pPr>
        <w:pStyle w:val="AERbulletlistfirststyle"/>
        <w:rPr>
          <w:rStyle w:val="AERbody"/>
        </w:rPr>
      </w:pPr>
      <w:r>
        <w:rPr>
          <w:rStyle w:val="AERbody"/>
        </w:rPr>
        <w:t xml:space="preserve">It </w:t>
      </w:r>
      <w:r w:rsidR="000338D9" w:rsidRPr="000338D9">
        <w:rPr>
          <w:rStyle w:val="AERbody"/>
        </w:rPr>
        <w:t xml:space="preserve">contains all the necessary information </w:t>
      </w:r>
      <w:r w:rsidR="00D619C9">
        <w:rPr>
          <w:rStyle w:val="AERbody"/>
        </w:rPr>
        <w:t xml:space="preserve">required </w:t>
      </w:r>
      <w:r w:rsidR="000338D9" w:rsidRPr="000338D9">
        <w:rPr>
          <w:rStyle w:val="AERbody"/>
        </w:rPr>
        <w:t>by Part DA of chapter 6 of the NER.</w:t>
      </w:r>
    </w:p>
    <w:p w:rsidR="000338D9" w:rsidRPr="000338D9" w:rsidRDefault="000338D9" w:rsidP="000338D9">
      <w:pPr>
        <w:pStyle w:val="AERbulletlistfirststyle"/>
      </w:pPr>
      <w:r>
        <w:lastRenderedPageBreak/>
        <w:t xml:space="preserve">All </w:t>
      </w:r>
      <w:r w:rsidRPr="000338D9">
        <w:t xml:space="preserve">other connection related charges included in the connection policy, such as metering installation charges, are consistent with the service classification of this </w:t>
      </w:r>
      <w:r w:rsidR="00D619C9">
        <w:t>preliminary decision</w:t>
      </w:r>
      <w:r w:rsidRPr="000338D9">
        <w:t>.</w:t>
      </w:r>
    </w:p>
    <w:p w:rsidR="000338D9" w:rsidRDefault="000338D9" w:rsidP="000338D9">
      <w:pPr>
        <w:pStyle w:val="AERbulletlistfirststyle"/>
        <w:rPr>
          <w:rStyle w:val="AERbody"/>
        </w:rPr>
      </w:pPr>
      <w:r>
        <w:rPr>
          <w:rStyle w:val="AERbody"/>
        </w:rPr>
        <w:t>It does not have terms and conditions that are unfair or unreasonable</w:t>
      </w:r>
      <w:r w:rsidRPr="000338D9">
        <w:rPr>
          <w:rStyle w:val="AERbody"/>
        </w:rPr>
        <w:t>.</w:t>
      </w:r>
    </w:p>
    <w:p w:rsidR="00F15B22" w:rsidRDefault="0070645A" w:rsidP="00F15B22">
      <w:pPr>
        <w:pStyle w:val="AERbulletlistfirststyle"/>
      </w:pPr>
      <w:r>
        <w:rPr>
          <w:rStyle w:val="AERbody"/>
        </w:rPr>
        <w:t>The</w:t>
      </w:r>
      <w:r w:rsidRPr="001E61DC">
        <w:t xml:space="preserve"> </w:t>
      </w:r>
      <w:r>
        <w:t xml:space="preserve">per unit upstream </w:t>
      </w:r>
      <w:r w:rsidR="007F2231">
        <w:t xml:space="preserve">shared network asset </w:t>
      </w:r>
      <w:r>
        <w:t>augmentation charge rate</w:t>
      </w:r>
      <w:r w:rsidR="00F60DDC">
        <w:t>s</w:t>
      </w:r>
      <w:r w:rsidR="007550FE">
        <w:rPr>
          <w:rStyle w:val="FootnoteReference"/>
        </w:rPr>
        <w:footnoteReference w:id="5"/>
      </w:r>
      <w:r w:rsidR="00F15B22" w:rsidRPr="00F15B22">
        <w:t xml:space="preserve"> </w:t>
      </w:r>
      <w:r w:rsidR="00F60DDC">
        <w:t xml:space="preserve">of </w:t>
      </w:r>
      <w:r w:rsidR="00F15B22" w:rsidRPr="00F15B22">
        <w:t>$164 and $157 per kVA for low voltage (LV) and high voltage (HV) customers respectively</w:t>
      </w:r>
      <w:r w:rsidR="00F15B22">
        <w:t>,</w:t>
      </w:r>
      <w:r>
        <w:t xml:space="preserve"> </w:t>
      </w:r>
      <w:r w:rsidR="00F60DDC">
        <w:t>are</w:t>
      </w:r>
      <w:r>
        <w:t xml:space="preserve"> reasonable</w:t>
      </w:r>
      <w:r w:rsidR="005D0936">
        <w:t>, because</w:t>
      </w:r>
      <w:r w:rsidR="00F15B22">
        <w:t>:</w:t>
      </w:r>
    </w:p>
    <w:p w:rsidR="00F15B22" w:rsidRDefault="005D0936" w:rsidP="007550FE">
      <w:pPr>
        <w:pStyle w:val="AERbulletlistsecondstyle"/>
      </w:pPr>
      <w:r>
        <w:t>th</w:t>
      </w:r>
      <w:r w:rsidR="00F60DDC">
        <w:t>ese</w:t>
      </w:r>
      <w:r>
        <w:t xml:space="preserve"> rate</w:t>
      </w:r>
      <w:r w:rsidR="00F60DDC">
        <w:t>s</w:t>
      </w:r>
      <w:r>
        <w:t xml:space="preserve"> </w:t>
      </w:r>
      <w:r w:rsidR="00F60DDC">
        <w:t>are</w:t>
      </w:r>
      <w:r>
        <w:t xml:space="preserve"> </w:t>
      </w:r>
      <w:r w:rsidR="00191AE6">
        <w:t xml:space="preserve">significantly lower than </w:t>
      </w:r>
      <w:r w:rsidR="009359BB">
        <w:t xml:space="preserve">the </w:t>
      </w:r>
      <w:r>
        <w:t xml:space="preserve">Productivity </w:t>
      </w:r>
      <w:r w:rsidR="00D709CC">
        <w:t>Commission</w:t>
      </w:r>
      <w:r>
        <w:t>'s finding</w:t>
      </w:r>
      <w:r w:rsidR="00F60DDC">
        <w:t>s</w:t>
      </w:r>
      <w:r>
        <w:t xml:space="preserve"> in 2013 that the </w:t>
      </w:r>
      <w:r w:rsidRPr="005D0936">
        <w:t>long-run marginal cost</w:t>
      </w:r>
      <w:r w:rsidR="005A0C2F">
        <w:rPr>
          <w:rStyle w:val="FootnoteReference"/>
        </w:rPr>
        <w:footnoteReference w:id="6"/>
      </w:r>
      <w:r w:rsidRPr="005D0936">
        <w:t xml:space="preserve"> of delivering an additional kW to an end user during peak periods</w:t>
      </w:r>
      <w:r>
        <w:t xml:space="preserve"> </w:t>
      </w:r>
      <w:r w:rsidR="00F60DDC">
        <w:t xml:space="preserve">was </w:t>
      </w:r>
      <w:r w:rsidR="00F15B22">
        <w:t>in the rang</w:t>
      </w:r>
      <w:r w:rsidR="00B621F0">
        <w:t>e</w:t>
      </w:r>
      <w:r w:rsidR="00F15B22">
        <w:t xml:space="preserve"> of</w:t>
      </w:r>
      <w:r>
        <w:t xml:space="preserve"> </w:t>
      </w:r>
      <w:r w:rsidRPr="005D0936">
        <w:t>$</w:t>
      </w:r>
      <w:r w:rsidRPr="00191AE6">
        <w:rPr>
          <w:rStyle w:val="AERtextunderline"/>
        </w:rPr>
        <w:t xml:space="preserve">150 to $220 </w:t>
      </w:r>
      <w:r w:rsidR="00F15B22" w:rsidRPr="00191AE6">
        <w:rPr>
          <w:rStyle w:val="AERtextunderline"/>
        </w:rPr>
        <w:t>per year</w:t>
      </w:r>
      <w:r w:rsidR="00F15B22">
        <w:t xml:space="preserve"> for</w:t>
      </w:r>
      <w:r w:rsidRPr="005D0936">
        <w:t xml:space="preserve"> distribution infrastructure costs</w:t>
      </w:r>
      <w:r w:rsidR="00F15B22">
        <w:t>.</w:t>
      </w:r>
      <w:r w:rsidR="00F15B22">
        <w:rPr>
          <w:rStyle w:val="FootnoteReference"/>
        </w:rPr>
        <w:footnoteReference w:id="7"/>
      </w:r>
      <w:r w:rsidR="00F15B22">
        <w:t xml:space="preserve"> </w:t>
      </w:r>
    </w:p>
    <w:p w:rsidR="00F15B22" w:rsidRPr="00F15B22" w:rsidRDefault="00F60DDC" w:rsidP="007550FE">
      <w:pPr>
        <w:pStyle w:val="AERbulletlistsecondstyle"/>
        <w:rPr>
          <w:rStyle w:val="AERbody"/>
        </w:rPr>
      </w:pPr>
      <w:r>
        <w:t xml:space="preserve">they are </w:t>
      </w:r>
      <w:r w:rsidR="00F15B22" w:rsidRPr="00B621F0">
        <w:t>significantly lower than similar rates for CitiPower in Victoria (at $655 and $470 for low voltage residential and business customers respectively; and $265 and $190 for high voltage residential and business customers respectively)</w:t>
      </w:r>
      <w:r w:rsidR="00F15B22" w:rsidRPr="00F15B22">
        <w:rPr>
          <w:rStyle w:val="AERbody"/>
        </w:rPr>
        <w:t>.</w:t>
      </w:r>
      <w:r w:rsidR="00F15B22" w:rsidRPr="00F15B22">
        <w:rPr>
          <w:rStyle w:val="FootnoteReference"/>
        </w:rPr>
        <w:footnoteReference w:id="8"/>
      </w:r>
      <w:r w:rsidR="00F15B22" w:rsidRPr="00F15B22">
        <w:rPr>
          <w:rStyle w:val="AERbody"/>
        </w:rPr>
        <w:t xml:space="preserve"> </w:t>
      </w:r>
    </w:p>
    <w:p w:rsidR="0070645A" w:rsidRDefault="00F60DDC" w:rsidP="007550FE">
      <w:pPr>
        <w:pStyle w:val="AERbulletlistsecondstyle"/>
      </w:pPr>
      <w:r>
        <w:t>they are comparable</w:t>
      </w:r>
      <w:r w:rsidR="00F15B22">
        <w:t xml:space="preserve"> to the current charge </w:t>
      </w:r>
      <w:r w:rsidR="00464093">
        <w:t xml:space="preserve">rate of $154/kVA </w:t>
      </w:r>
      <w:r w:rsidR="0070645A">
        <w:t>in South Australia.</w:t>
      </w:r>
      <w:r w:rsidR="0070645A">
        <w:rPr>
          <w:rStyle w:val="FootnoteReference"/>
        </w:rPr>
        <w:footnoteReference w:id="9"/>
      </w:r>
    </w:p>
    <w:p w:rsidR="00D619C9" w:rsidRDefault="00D619C9" w:rsidP="0070645A">
      <w:pPr>
        <w:pStyle w:val="AERbulletlistfirststyle"/>
        <w:numPr>
          <w:ilvl w:val="0"/>
          <w:numId w:val="0"/>
        </w:numPr>
      </w:pPr>
    </w:p>
    <w:p w:rsidR="00C23613" w:rsidRPr="000338D9" w:rsidRDefault="00C23613" w:rsidP="0070645A">
      <w:pPr>
        <w:pStyle w:val="AERbulletlistfirststyle"/>
        <w:numPr>
          <w:ilvl w:val="0"/>
          <w:numId w:val="0"/>
        </w:numPr>
      </w:pPr>
    </w:p>
    <w:p w:rsidR="000338D9" w:rsidRPr="00D27423" w:rsidRDefault="000338D9" w:rsidP="000338D9">
      <w:pPr>
        <w:numPr>
          <w:ilvl w:val="0"/>
          <w:numId w:val="25"/>
        </w:numPr>
      </w:pPr>
    </w:p>
    <w:p w:rsidR="000338D9" w:rsidRPr="00D27423" w:rsidRDefault="000338D9" w:rsidP="000338D9">
      <w:pPr>
        <w:numPr>
          <w:ilvl w:val="0"/>
          <w:numId w:val="25"/>
        </w:numPr>
      </w:pPr>
    </w:p>
    <w:p w:rsidR="000338D9" w:rsidRPr="00D27423" w:rsidRDefault="000338D9" w:rsidP="000338D9"/>
    <w:p w:rsidR="00DE563D" w:rsidRDefault="00DE563D" w:rsidP="00DE563D"/>
    <w:p w:rsidR="00DE563D" w:rsidRDefault="00DE563D">
      <w:pPr>
        <w:spacing w:line="240" w:lineRule="auto"/>
      </w:pPr>
    </w:p>
    <w:p w:rsidR="005D7BA2" w:rsidRDefault="005D7BA2" w:rsidP="00DB5074"/>
    <w:p w:rsidR="00CB0279" w:rsidRPr="00290C63" w:rsidRDefault="00CB0279" w:rsidP="00290C63"/>
    <w:sectPr w:rsidR="00CB0279" w:rsidRPr="00290C63" w:rsidSect="00DE563D">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4A" w:rsidRPr="00290C63" w:rsidRDefault="00961A4A" w:rsidP="00290C63">
      <w:r>
        <w:separator/>
      </w:r>
    </w:p>
    <w:p w:rsidR="00961A4A" w:rsidRDefault="00961A4A"/>
  </w:endnote>
  <w:endnote w:type="continuationSeparator" w:id="0">
    <w:p w:rsidR="00961A4A" w:rsidRPr="00290C63" w:rsidRDefault="00961A4A" w:rsidP="00290C63">
      <w:r>
        <w:continuationSeparator/>
      </w:r>
    </w:p>
    <w:p w:rsidR="00961A4A" w:rsidRDefault="00961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DE563D" w:rsidRDefault="00DE563D">
        <w:pPr>
          <w:pStyle w:val="Footer"/>
        </w:pPr>
        <w:r>
          <w:t>18-</w:t>
        </w:r>
        <w:r>
          <w:fldChar w:fldCharType="begin"/>
        </w:r>
        <w:r>
          <w:instrText xml:space="preserve"> PAGE   \* MERGEFORMAT </w:instrText>
        </w:r>
        <w:r>
          <w:fldChar w:fldCharType="separate"/>
        </w:r>
        <w:r w:rsidR="000D2E19">
          <w:rPr>
            <w:noProof/>
          </w:rPr>
          <w:t>5</w:t>
        </w:r>
        <w:r>
          <w:rPr>
            <w:noProof/>
          </w:rPr>
          <w:fldChar w:fldCharType="end"/>
        </w:r>
        <w:r w:rsidR="00DA61F3">
          <w:rPr>
            <w:noProof/>
          </w:rPr>
          <w:t xml:space="preserve">      </w:t>
        </w:r>
        <w:r w:rsidR="00DA61F3">
          <w:t xml:space="preserve">           </w:t>
        </w:r>
        <w:r w:rsidR="00DA61F3">
          <w:rPr>
            <w:noProof/>
          </w:rPr>
          <w:t xml:space="preserve"> </w:t>
        </w:r>
        <w:r>
          <w:rPr>
            <w:noProof/>
          </w:rPr>
          <w:t xml:space="preserve"> Attachment 18 </w:t>
        </w:r>
        <w:r>
          <w:rPr>
            <w:rFonts w:cs="Gautami"/>
            <w:noProof/>
          </w:rPr>
          <w:t xml:space="preserve">– Connection policy | </w:t>
        </w:r>
        <w:r w:rsidR="001201F1">
          <w:t>Energex</w:t>
        </w:r>
        <w:r>
          <w:rPr>
            <w:rFonts w:cs="Gautami"/>
            <w:noProof/>
          </w:rPr>
          <w:t xml:space="preserve"> determination 2015–20</w:t>
        </w:r>
      </w:p>
    </w:sdtContent>
  </w:sdt>
  <w:p w:rsidR="00DE563D" w:rsidRDefault="00DE5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66104A" w:rsidRDefault="0066104A">
    <w:pPr>
      <w:pStyle w:val="Footer"/>
    </w:pP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4A" w:rsidRPr="00290C63" w:rsidRDefault="00961A4A" w:rsidP="00290C63">
      <w:r>
        <w:separator/>
      </w:r>
    </w:p>
    <w:p w:rsidR="00961A4A" w:rsidRDefault="00961A4A"/>
  </w:footnote>
  <w:footnote w:type="continuationSeparator" w:id="0">
    <w:p w:rsidR="00961A4A" w:rsidRPr="00290C63" w:rsidRDefault="00961A4A" w:rsidP="00290C63">
      <w:r>
        <w:continuationSeparator/>
      </w:r>
    </w:p>
    <w:p w:rsidR="00961A4A" w:rsidRDefault="00961A4A"/>
  </w:footnote>
  <w:footnote w:id="1">
    <w:p w:rsidR="005D0936" w:rsidRDefault="005D0936" w:rsidP="005D0936">
      <w:pPr>
        <w:pStyle w:val="FootnoteText"/>
      </w:pPr>
      <w:r>
        <w:rPr>
          <w:rStyle w:val="FootnoteReference"/>
        </w:rPr>
        <w:footnoteRef/>
      </w:r>
      <w:r>
        <w:t xml:space="preserve"> </w:t>
      </w:r>
      <w:r>
        <w:tab/>
        <w:t xml:space="preserve">NER, </w:t>
      </w:r>
      <w:r w:rsidRPr="00C44FE6">
        <w:t>Part DA of chapter 6</w:t>
      </w:r>
      <w:r w:rsidR="000A2B7E">
        <w:t>.</w:t>
      </w:r>
    </w:p>
  </w:footnote>
  <w:footnote w:id="2">
    <w:p w:rsidR="000338D9" w:rsidRDefault="000338D9" w:rsidP="000338D9">
      <w:pPr>
        <w:pStyle w:val="FootnoteText"/>
      </w:pPr>
      <w:r>
        <w:rPr>
          <w:rStyle w:val="FootnoteReference"/>
        </w:rPr>
        <w:footnoteRef/>
      </w:r>
      <w:r>
        <w:t xml:space="preserve"> </w:t>
      </w:r>
      <w:r>
        <w:tab/>
        <w:t>NER, cl. 6.7A.1(b).</w:t>
      </w:r>
    </w:p>
  </w:footnote>
  <w:footnote w:id="3">
    <w:p w:rsidR="000338D9" w:rsidRDefault="000338D9" w:rsidP="000338D9">
      <w:pPr>
        <w:pStyle w:val="FootnoteText"/>
      </w:pPr>
      <w:r>
        <w:rPr>
          <w:rStyle w:val="FootnoteReference"/>
        </w:rPr>
        <w:footnoteRef/>
      </w:r>
      <w:r>
        <w:t xml:space="preserve"> </w:t>
      </w:r>
      <w:r>
        <w:tab/>
      </w:r>
      <w:r w:rsidRPr="001D0C7F">
        <w:t xml:space="preserve">AER, </w:t>
      </w:r>
      <w:r w:rsidRPr="00DA1375">
        <w:rPr>
          <w:rStyle w:val="AERtextitalic"/>
        </w:rPr>
        <w:t>Connection charge guideline for electricity retail customers, Under chapter 5A of the National Electricity Rules Version 1.0</w:t>
      </w:r>
      <w:r w:rsidRPr="001D0C7F">
        <w:t>, June 2012</w:t>
      </w:r>
      <w:r>
        <w:t>.</w:t>
      </w:r>
    </w:p>
  </w:footnote>
  <w:footnote w:id="4">
    <w:p w:rsidR="000338D9" w:rsidRDefault="000338D9" w:rsidP="000338D9">
      <w:pPr>
        <w:pStyle w:val="FootnoteText"/>
      </w:pPr>
      <w:r>
        <w:rPr>
          <w:rStyle w:val="FootnoteReference"/>
        </w:rPr>
        <w:footnoteRef/>
      </w:r>
      <w:r>
        <w:t xml:space="preserve"> </w:t>
      </w:r>
      <w:r>
        <w:tab/>
      </w:r>
      <w:r w:rsidR="00BD0808">
        <w:t xml:space="preserve">Energex, </w:t>
      </w:r>
      <w:r w:rsidR="00BD0808" w:rsidRPr="00BD0808">
        <w:rPr>
          <w:rStyle w:val="Emphasis"/>
        </w:rPr>
        <w:t>A</w:t>
      </w:r>
      <w:r w:rsidR="00FA3457">
        <w:rPr>
          <w:rStyle w:val="Emphasis"/>
        </w:rPr>
        <w:t>ttachment</w:t>
      </w:r>
      <w:r w:rsidR="00BD0808" w:rsidRPr="00BD0808">
        <w:rPr>
          <w:rStyle w:val="Emphasis"/>
        </w:rPr>
        <w:t xml:space="preserve"> 11</w:t>
      </w:r>
      <w:r w:rsidR="00BD0808">
        <w:rPr>
          <w:rStyle w:val="Emphasis"/>
        </w:rPr>
        <w:t>:</w:t>
      </w:r>
      <w:r w:rsidR="00BD0808" w:rsidRPr="00BD0808">
        <w:rPr>
          <w:rStyle w:val="Emphasis"/>
        </w:rPr>
        <w:t xml:space="preserve"> Energex connection policy</w:t>
      </w:r>
      <w:r w:rsidR="00BD0808">
        <w:t xml:space="preserve">, </w:t>
      </w:r>
      <w:r w:rsidR="00FA3457">
        <w:t>October 2014</w:t>
      </w:r>
      <w:r>
        <w:t>.</w:t>
      </w:r>
    </w:p>
  </w:footnote>
  <w:footnote w:id="5">
    <w:p w:rsidR="007550FE" w:rsidRDefault="007550FE">
      <w:pPr>
        <w:pStyle w:val="FootnoteText"/>
      </w:pPr>
      <w:r>
        <w:rPr>
          <w:rStyle w:val="FootnoteReference"/>
        </w:rPr>
        <w:footnoteRef/>
      </w:r>
      <w:r>
        <w:t xml:space="preserve"> </w:t>
      </w:r>
      <w:r>
        <w:tab/>
        <w:t>This charge only appl</w:t>
      </w:r>
      <w:r w:rsidR="005A0C2F">
        <w:t>ies</w:t>
      </w:r>
      <w:r>
        <w:t xml:space="preserve"> to new customers above </w:t>
      </w:r>
      <w:r w:rsidR="000960BB">
        <w:t>certain</w:t>
      </w:r>
      <w:r>
        <w:t xml:space="preserve"> threshold level</w:t>
      </w:r>
      <w:r w:rsidR="00E87B62">
        <w:t>s</w:t>
      </w:r>
      <w:r>
        <w:t xml:space="preserve"> </w:t>
      </w:r>
      <w:r w:rsidR="00D770EA">
        <w:t>specified in the connection policy</w:t>
      </w:r>
      <w:r w:rsidR="000960BB">
        <w:t>,</w:t>
      </w:r>
      <w:r w:rsidR="00D770EA">
        <w:t xml:space="preserve"> for</w:t>
      </w:r>
      <w:r w:rsidR="000960BB">
        <w:t xml:space="preserve"> such larger customers' share of use of the upstream network.</w:t>
      </w:r>
    </w:p>
  </w:footnote>
  <w:footnote w:id="6">
    <w:p w:rsidR="005A0C2F" w:rsidRDefault="005A0C2F">
      <w:pPr>
        <w:pStyle w:val="FootnoteText"/>
      </w:pPr>
      <w:r>
        <w:rPr>
          <w:rStyle w:val="FootnoteReference"/>
        </w:rPr>
        <w:footnoteRef/>
      </w:r>
      <w:r>
        <w:t xml:space="preserve"> </w:t>
      </w:r>
      <w:r>
        <w:tab/>
      </w:r>
      <w:r w:rsidR="0085276F">
        <w:t>I</w:t>
      </w:r>
      <w:r w:rsidRPr="005A0C2F">
        <w:t>t measures the annualised cost of supplying the required capacity over the life of the asset</w:t>
      </w:r>
      <w:r>
        <w:t>.</w:t>
      </w:r>
    </w:p>
  </w:footnote>
  <w:footnote w:id="7">
    <w:p w:rsidR="00F15B22" w:rsidRDefault="00F15B22">
      <w:pPr>
        <w:pStyle w:val="FootnoteText"/>
      </w:pPr>
      <w:r>
        <w:rPr>
          <w:rStyle w:val="FootnoteReference"/>
        </w:rPr>
        <w:footnoteRef/>
      </w:r>
      <w:r>
        <w:t xml:space="preserve"> </w:t>
      </w:r>
      <w:r>
        <w:tab/>
      </w:r>
      <w:r w:rsidRPr="00F15B22">
        <w:t xml:space="preserve">Productivity Commission 2013, </w:t>
      </w:r>
      <w:r w:rsidR="00005BBB">
        <w:rPr>
          <w:rStyle w:val="AERtextitalic"/>
        </w:rPr>
        <w:t>t</w:t>
      </w:r>
      <w:r w:rsidRPr="00437163">
        <w:rPr>
          <w:rStyle w:val="AERtextitalic"/>
        </w:rPr>
        <w:t>he costs and benefits of demand management for households, Supplement to inquiry report on Electricity Network Regulatory Frameworks, 9 April 2013</w:t>
      </w:r>
      <w:r>
        <w:t>, p</w:t>
      </w:r>
      <w:r w:rsidR="005A0C2F">
        <w:t xml:space="preserve">. </w:t>
      </w:r>
      <w:r>
        <w:t>22</w:t>
      </w:r>
      <w:r w:rsidRPr="00F15B22">
        <w:t xml:space="preserve">.  </w:t>
      </w:r>
      <w:r w:rsidR="00A02F22" w:rsidRPr="00A02F22">
        <w:t>The</w:t>
      </w:r>
      <w:r w:rsidR="00A02F22">
        <w:t>se</w:t>
      </w:r>
      <w:r w:rsidR="00A02F22" w:rsidRPr="00A02F22">
        <w:t xml:space="preserve"> rate</w:t>
      </w:r>
      <w:r w:rsidR="00A02F22">
        <w:t>s</w:t>
      </w:r>
      <w:r w:rsidR="00A02F22" w:rsidRPr="00A02F22">
        <w:t xml:space="preserve"> </w:t>
      </w:r>
      <w:r w:rsidR="00A02F22">
        <w:t>are</w:t>
      </w:r>
      <w:r w:rsidR="00A02F22" w:rsidRPr="00A02F22">
        <w:t xml:space="preserve"> equivalent to about $1</w:t>
      </w:r>
      <w:r w:rsidR="007E4FE6">
        <w:t>910</w:t>
      </w:r>
      <w:r w:rsidR="00A02F22" w:rsidRPr="00A02F22">
        <w:t>-$2</w:t>
      </w:r>
      <w:r w:rsidR="007E4FE6">
        <w:t>8</w:t>
      </w:r>
      <w:r w:rsidR="00A02F22" w:rsidRPr="00A02F22">
        <w:t xml:space="preserve">00 per kVA </w:t>
      </w:r>
      <w:r w:rsidR="00A02F22">
        <w:t xml:space="preserve">asset cost </w:t>
      </w:r>
      <w:r w:rsidR="00A02F22" w:rsidRPr="00A02F22">
        <w:t xml:space="preserve">based on </w:t>
      </w:r>
      <w:r w:rsidR="007E4FE6">
        <w:t>5.85</w:t>
      </w:r>
      <w:r w:rsidR="00740CAB">
        <w:t xml:space="preserve"> per</w:t>
      </w:r>
      <w:r w:rsidR="00024859">
        <w:t xml:space="preserve"> </w:t>
      </w:r>
      <w:r w:rsidR="00740CAB">
        <w:t>cent</w:t>
      </w:r>
      <w:r w:rsidR="00A02F22" w:rsidRPr="00A02F22">
        <w:t xml:space="preserve"> WACC and 50 years asset life</w:t>
      </w:r>
      <w:r w:rsidR="00A02F22">
        <w:t>.</w:t>
      </w:r>
    </w:p>
  </w:footnote>
  <w:footnote w:id="8">
    <w:p w:rsidR="00F15B22" w:rsidRPr="007C0626" w:rsidRDefault="00F15B22">
      <w:pPr>
        <w:pStyle w:val="FootnoteText"/>
      </w:pPr>
      <w:r w:rsidRPr="007C0626">
        <w:rPr>
          <w:rStyle w:val="FootnoteReference"/>
          <w:rFonts w:ascii="Times New Roman" w:hAnsi="Times New Roman"/>
        </w:rPr>
        <w:footnoteRef/>
      </w:r>
      <w:r w:rsidRPr="007C0626">
        <w:t xml:space="preserve"> </w:t>
      </w:r>
      <w:r>
        <w:tab/>
      </w:r>
      <w:r w:rsidRPr="00437163">
        <w:t>AER</w:t>
      </w:r>
      <w:r w:rsidRPr="007C0626">
        <w:t xml:space="preserve">, </w:t>
      </w:r>
      <w:r w:rsidRPr="00437163">
        <w:rPr>
          <w:rStyle w:val="AERtextitalic"/>
        </w:rPr>
        <w:t>Guidance Paper: The AER’S Conclusion On The Benchmark Upstream Augmentation Charge Rates for CitiPower’s Network, 25 June 2010</w:t>
      </w:r>
      <w:r w:rsidRPr="007C0626">
        <w:t>, p.</w:t>
      </w:r>
      <w:r w:rsidR="005A0C2F">
        <w:t xml:space="preserve"> </w:t>
      </w:r>
      <w:r w:rsidRPr="007C0626">
        <w:t>5</w:t>
      </w:r>
      <w:r w:rsidR="005A0C2F">
        <w:t>.</w:t>
      </w:r>
    </w:p>
  </w:footnote>
  <w:footnote w:id="9">
    <w:p w:rsidR="0070645A" w:rsidRDefault="0070645A" w:rsidP="0070645A">
      <w:pPr>
        <w:pStyle w:val="FootnoteText"/>
      </w:pPr>
      <w:r>
        <w:rPr>
          <w:rStyle w:val="FootnoteReference"/>
        </w:rPr>
        <w:footnoteRef/>
      </w:r>
      <w:r>
        <w:t xml:space="preserve"> </w:t>
      </w:r>
      <w:r>
        <w:tab/>
        <w:t>Essential Services Commission of South Australia,</w:t>
      </w:r>
      <w:r w:rsidRPr="008B29D4">
        <w:t xml:space="preserve"> </w:t>
      </w:r>
      <w:r w:rsidRPr="00AB379E">
        <w:rPr>
          <w:rStyle w:val="AERtextitalic"/>
        </w:rPr>
        <w:t>Application of Chapter 3 of The Electricity Distribution Code Electricity Industry Guideline No. 13</w:t>
      </w:r>
      <w:r w:rsidR="00AB379E">
        <w:t xml:space="preserve">, </w:t>
      </w:r>
      <w:r w:rsidR="00464093">
        <w:t>adjusted to 201</w:t>
      </w:r>
      <w:r w:rsidR="005A0C2F">
        <w:t>4</w:t>
      </w:r>
      <w:r w:rsidR="00464093">
        <w:t xml:space="preserve"> dollar value</w:t>
      </w:r>
      <w:r w:rsidR="00AB379E">
        <w:t>.</w:t>
      </w:r>
      <w:r w:rsidR="00AB379E">
        <w:b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2E83E63"/>
    <w:multiLevelType w:val="multilevel"/>
    <w:tmpl w:val="950A1C52"/>
    <w:numStyleLink w:val="AERHeadings"/>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70243AA"/>
    <w:multiLevelType w:val="hybridMultilevel"/>
    <w:tmpl w:val="580402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8"/>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1">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7">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0">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2">
    <w:nsid w:val="5ECE4384"/>
    <w:multiLevelType w:val="multilevel"/>
    <w:tmpl w:val="14EAD540"/>
    <w:lvl w:ilvl="0">
      <w:start w:val="18"/>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4">
    <w:nsid w:val="6DE36827"/>
    <w:multiLevelType w:val="multilevel"/>
    <w:tmpl w:val="950A1C52"/>
    <w:numStyleLink w:val="AERHeadings"/>
  </w:abstractNum>
  <w:abstractNum w:abstractNumId="3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3"/>
  </w:num>
  <w:num w:numId="13">
    <w:abstractNumId w:val="23"/>
  </w:num>
  <w:num w:numId="14">
    <w:abstractNumId w:val="11"/>
  </w:num>
  <w:num w:numId="15">
    <w:abstractNumId w:val="13"/>
  </w:num>
  <w:num w:numId="16">
    <w:abstractNumId w:val="27"/>
  </w:num>
  <w:num w:numId="17">
    <w:abstractNumId w:val="10"/>
  </w:num>
  <w:num w:numId="18">
    <w:abstractNumId w:val="18"/>
  </w:num>
  <w:num w:numId="19">
    <w:abstractNumId w:val="28"/>
  </w:num>
  <w:num w:numId="20">
    <w:abstractNumId w:val="35"/>
  </w:num>
  <w:num w:numId="21">
    <w:abstractNumId w:val="14"/>
  </w:num>
  <w:num w:numId="22">
    <w:abstractNumId w:val="31"/>
  </w:num>
  <w:num w:numId="23">
    <w:abstractNumId w:val="29"/>
  </w:num>
  <w:num w:numId="24">
    <w:abstractNumId w:val="20"/>
  </w:num>
  <w:num w:numId="25">
    <w:abstractNumId w:val="30"/>
  </w:num>
  <w:num w:numId="26">
    <w:abstractNumId w:val="32"/>
  </w:num>
  <w:num w:numId="27">
    <w:abstractNumId w:val="22"/>
  </w:num>
  <w:num w:numId="28">
    <w:abstractNumId w:val="19"/>
  </w:num>
  <w:num w:numId="29">
    <w:abstractNumId w:val="16"/>
  </w:num>
  <w:num w:numId="30">
    <w:abstractNumId w:val="36"/>
  </w:num>
  <w:num w:numId="31">
    <w:abstractNumId w:val="15"/>
  </w:num>
  <w:num w:numId="32">
    <w:abstractNumId w:val="25"/>
  </w:num>
  <w:num w:numId="33">
    <w:abstractNumId w:val="20"/>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4"/>
  </w:num>
  <w:num w:numId="37">
    <w:abstractNumId w:val="24"/>
  </w:num>
  <w:num w:numId="38">
    <w:abstractNumId w:val="21"/>
  </w:num>
  <w:num w:numId="39">
    <w:abstractNumId w:val="26"/>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MuLgSgCQGcyHRMwm1vPZfUTG+Eh9EsSl5/yZVkziw/k=" w:saltValue="2jMzGGqgP9KPDiOoI51zwQ==" w:algorithmName="SHA-256"/>
  <w:defaultTabStop w:val="34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2740\AER15 149  NEW - SAPN - prelim decision - Attach 18 - Connection policy.DOCX"/>
  </w:docVars>
  <w:rsids>
    <w:rsidRoot w:val="00961A4A"/>
    <w:rsid w:val="00005BBB"/>
    <w:rsid w:val="00015B40"/>
    <w:rsid w:val="00021202"/>
    <w:rsid w:val="00024859"/>
    <w:rsid w:val="0002517F"/>
    <w:rsid w:val="000338D9"/>
    <w:rsid w:val="0003578C"/>
    <w:rsid w:val="00063247"/>
    <w:rsid w:val="00070F9F"/>
    <w:rsid w:val="00070FFD"/>
    <w:rsid w:val="0007137B"/>
    <w:rsid w:val="00085663"/>
    <w:rsid w:val="00085EBF"/>
    <w:rsid w:val="000960BB"/>
    <w:rsid w:val="000A2B7E"/>
    <w:rsid w:val="000A3020"/>
    <w:rsid w:val="000A6C7B"/>
    <w:rsid w:val="000B4E8A"/>
    <w:rsid w:val="000D122C"/>
    <w:rsid w:val="000D2E19"/>
    <w:rsid w:val="000E1819"/>
    <w:rsid w:val="000E4821"/>
    <w:rsid w:val="000E6C72"/>
    <w:rsid w:val="00101C6D"/>
    <w:rsid w:val="00116EB2"/>
    <w:rsid w:val="001201F1"/>
    <w:rsid w:val="00124609"/>
    <w:rsid w:val="00126A4C"/>
    <w:rsid w:val="0014573B"/>
    <w:rsid w:val="001573E4"/>
    <w:rsid w:val="00160756"/>
    <w:rsid w:val="00163CC7"/>
    <w:rsid w:val="0017232E"/>
    <w:rsid w:val="00174102"/>
    <w:rsid w:val="00180157"/>
    <w:rsid w:val="00185CB9"/>
    <w:rsid w:val="00186F77"/>
    <w:rsid w:val="00191AE6"/>
    <w:rsid w:val="001926A4"/>
    <w:rsid w:val="00192AD5"/>
    <w:rsid w:val="001B45A0"/>
    <w:rsid w:val="001D055E"/>
    <w:rsid w:val="001D5929"/>
    <w:rsid w:val="001E6D56"/>
    <w:rsid w:val="001F492E"/>
    <w:rsid w:val="001F6DA3"/>
    <w:rsid w:val="0020107C"/>
    <w:rsid w:val="002010BC"/>
    <w:rsid w:val="00202E03"/>
    <w:rsid w:val="0020492C"/>
    <w:rsid w:val="002139E9"/>
    <w:rsid w:val="00224DB9"/>
    <w:rsid w:val="00233775"/>
    <w:rsid w:val="00251745"/>
    <w:rsid w:val="00263AC0"/>
    <w:rsid w:val="00264264"/>
    <w:rsid w:val="0026772D"/>
    <w:rsid w:val="00286874"/>
    <w:rsid w:val="00290C63"/>
    <w:rsid w:val="00296B65"/>
    <w:rsid w:val="002A7DEF"/>
    <w:rsid w:val="002E7B22"/>
    <w:rsid w:val="002F7986"/>
    <w:rsid w:val="00301B40"/>
    <w:rsid w:val="003029EE"/>
    <w:rsid w:val="00305CC8"/>
    <w:rsid w:val="00307F6D"/>
    <w:rsid w:val="003177A2"/>
    <w:rsid w:val="003271B5"/>
    <w:rsid w:val="00327A1E"/>
    <w:rsid w:val="00331264"/>
    <w:rsid w:val="00334C8D"/>
    <w:rsid w:val="00343A18"/>
    <w:rsid w:val="003518B3"/>
    <w:rsid w:val="003846F1"/>
    <w:rsid w:val="00395EF3"/>
    <w:rsid w:val="003B484F"/>
    <w:rsid w:val="003C15F7"/>
    <w:rsid w:val="003F174D"/>
    <w:rsid w:val="00437163"/>
    <w:rsid w:val="0045777E"/>
    <w:rsid w:val="00464093"/>
    <w:rsid w:val="00480B4B"/>
    <w:rsid w:val="00485DC4"/>
    <w:rsid w:val="004A43D1"/>
    <w:rsid w:val="004B4412"/>
    <w:rsid w:val="004B55E0"/>
    <w:rsid w:val="004C348C"/>
    <w:rsid w:val="004D55BA"/>
    <w:rsid w:val="004E22EC"/>
    <w:rsid w:val="00524960"/>
    <w:rsid w:val="00530128"/>
    <w:rsid w:val="00532467"/>
    <w:rsid w:val="00564A4D"/>
    <w:rsid w:val="00567BA5"/>
    <w:rsid w:val="00571B35"/>
    <w:rsid w:val="00571D57"/>
    <w:rsid w:val="00577A09"/>
    <w:rsid w:val="00581BA8"/>
    <w:rsid w:val="005829C2"/>
    <w:rsid w:val="00584D8F"/>
    <w:rsid w:val="005A0C2F"/>
    <w:rsid w:val="005A404D"/>
    <w:rsid w:val="005B1E3C"/>
    <w:rsid w:val="005C26CC"/>
    <w:rsid w:val="005D0936"/>
    <w:rsid w:val="005D7BA2"/>
    <w:rsid w:val="005E36C2"/>
    <w:rsid w:val="00600F83"/>
    <w:rsid w:val="00615C6B"/>
    <w:rsid w:val="006214E6"/>
    <w:rsid w:val="00621DCE"/>
    <w:rsid w:val="00632D6D"/>
    <w:rsid w:val="00642C3E"/>
    <w:rsid w:val="0066104A"/>
    <w:rsid w:val="00663DAD"/>
    <w:rsid w:val="00675E20"/>
    <w:rsid w:val="00676679"/>
    <w:rsid w:val="00683C89"/>
    <w:rsid w:val="006A6525"/>
    <w:rsid w:val="006B2395"/>
    <w:rsid w:val="006B4CF9"/>
    <w:rsid w:val="006B7AC8"/>
    <w:rsid w:val="006D550F"/>
    <w:rsid w:val="00701CAB"/>
    <w:rsid w:val="0070645A"/>
    <w:rsid w:val="00707563"/>
    <w:rsid w:val="0072348C"/>
    <w:rsid w:val="00724A37"/>
    <w:rsid w:val="007303C3"/>
    <w:rsid w:val="00740CAB"/>
    <w:rsid w:val="007429BE"/>
    <w:rsid w:val="00743223"/>
    <w:rsid w:val="0074565D"/>
    <w:rsid w:val="00746E01"/>
    <w:rsid w:val="007550FE"/>
    <w:rsid w:val="00757BDF"/>
    <w:rsid w:val="00763E5D"/>
    <w:rsid w:val="00767740"/>
    <w:rsid w:val="00777EE6"/>
    <w:rsid w:val="00782EEA"/>
    <w:rsid w:val="007B2C72"/>
    <w:rsid w:val="007C1C53"/>
    <w:rsid w:val="007C74BB"/>
    <w:rsid w:val="007E4904"/>
    <w:rsid w:val="007E4CB5"/>
    <w:rsid w:val="007E4FE6"/>
    <w:rsid w:val="007F066B"/>
    <w:rsid w:val="007F2231"/>
    <w:rsid w:val="008033C4"/>
    <w:rsid w:val="00806C88"/>
    <w:rsid w:val="0081034E"/>
    <w:rsid w:val="00823E51"/>
    <w:rsid w:val="008344F6"/>
    <w:rsid w:val="0083510F"/>
    <w:rsid w:val="00851209"/>
    <w:rsid w:val="0085276F"/>
    <w:rsid w:val="008837AC"/>
    <w:rsid w:val="00892511"/>
    <w:rsid w:val="008A587D"/>
    <w:rsid w:val="008B32D4"/>
    <w:rsid w:val="008B35CD"/>
    <w:rsid w:val="008B5FCC"/>
    <w:rsid w:val="008C5486"/>
    <w:rsid w:val="008D1661"/>
    <w:rsid w:val="008E7031"/>
    <w:rsid w:val="008E77DE"/>
    <w:rsid w:val="008F07A3"/>
    <w:rsid w:val="00900E1B"/>
    <w:rsid w:val="009233EE"/>
    <w:rsid w:val="009359BB"/>
    <w:rsid w:val="009460AA"/>
    <w:rsid w:val="00951978"/>
    <w:rsid w:val="00961A4A"/>
    <w:rsid w:val="009661DE"/>
    <w:rsid w:val="00983C25"/>
    <w:rsid w:val="009856B7"/>
    <w:rsid w:val="00985C86"/>
    <w:rsid w:val="0098719E"/>
    <w:rsid w:val="009A5FC3"/>
    <w:rsid w:val="009B74B0"/>
    <w:rsid w:val="009D6B46"/>
    <w:rsid w:val="009F4940"/>
    <w:rsid w:val="009F5BA1"/>
    <w:rsid w:val="00A02A88"/>
    <w:rsid w:val="00A02F22"/>
    <w:rsid w:val="00A0562E"/>
    <w:rsid w:val="00A0726D"/>
    <w:rsid w:val="00A30EBC"/>
    <w:rsid w:val="00A32FBB"/>
    <w:rsid w:val="00A428EE"/>
    <w:rsid w:val="00A43041"/>
    <w:rsid w:val="00A4478A"/>
    <w:rsid w:val="00A44852"/>
    <w:rsid w:val="00A57D04"/>
    <w:rsid w:val="00A60A26"/>
    <w:rsid w:val="00A61598"/>
    <w:rsid w:val="00A84A99"/>
    <w:rsid w:val="00A84F46"/>
    <w:rsid w:val="00A871F4"/>
    <w:rsid w:val="00AB379E"/>
    <w:rsid w:val="00AC1B2C"/>
    <w:rsid w:val="00AC3264"/>
    <w:rsid w:val="00AE1BF1"/>
    <w:rsid w:val="00AF0DD2"/>
    <w:rsid w:val="00B13048"/>
    <w:rsid w:val="00B1716D"/>
    <w:rsid w:val="00B17A1D"/>
    <w:rsid w:val="00B207A0"/>
    <w:rsid w:val="00B514DD"/>
    <w:rsid w:val="00B52AF0"/>
    <w:rsid w:val="00B561BD"/>
    <w:rsid w:val="00B56E03"/>
    <w:rsid w:val="00B621F0"/>
    <w:rsid w:val="00B8080B"/>
    <w:rsid w:val="00B87BA5"/>
    <w:rsid w:val="00B87C39"/>
    <w:rsid w:val="00BA4665"/>
    <w:rsid w:val="00BB2FB2"/>
    <w:rsid w:val="00BB3304"/>
    <w:rsid w:val="00BD0808"/>
    <w:rsid w:val="00BD3446"/>
    <w:rsid w:val="00BE1F1B"/>
    <w:rsid w:val="00BE47B5"/>
    <w:rsid w:val="00BE64FD"/>
    <w:rsid w:val="00C23613"/>
    <w:rsid w:val="00C25FA6"/>
    <w:rsid w:val="00C44FE6"/>
    <w:rsid w:val="00C538A9"/>
    <w:rsid w:val="00C53B5A"/>
    <w:rsid w:val="00C54F5A"/>
    <w:rsid w:val="00C569B4"/>
    <w:rsid w:val="00C67A92"/>
    <w:rsid w:val="00C86679"/>
    <w:rsid w:val="00CA489E"/>
    <w:rsid w:val="00CB0279"/>
    <w:rsid w:val="00CB666B"/>
    <w:rsid w:val="00CC7F1D"/>
    <w:rsid w:val="00D006AE"/>
    <w:rsid w:val="00D01CF0"/>
    <w:rsid w:val="00D0442A"/>
    <w:rsid w:val="00D61388"/>
    <w:rsid w:val="00D619C9"/>
    <w:rsid w:val="00D61A54"/>
    <w:rsid w:val="00D64DEA"/>
    <w:rsid w:val="00D709CC"/>
    <w:rsid w:val="00D7168E"/>
    <w:rsid w:val="00D71E57"/>
    <w:rsid w:val="00D770EA"/>
    <w:rsid w:val="00D80893"/>
    <w:rsid w:val="00D84854"/>
    <w:rsid w:val="00D92CF1"/>
    <w:rsid w:val="00D92D38"/>
    <w:rsid w:val="00D950F5"/>
    <w:rsid w:val="00DA4752"/>
    <w:rsid w:val="00DA61F3"/>
    <w:rsid w:val="00DB0F93"/>
    <w:rsid w:val="00DB1A67"/>
    <w:rsid w:val="00DB5074"/>
    <w:rsid w:val="00DC039E"/>
    <w:rsid w:val="00DC7981"/>
    <w:rsid w:val="00DE1093"/>
    <w:rsid w:val="00DE4269"/>
    <w:rsid w:val="00DE4EFA"/>
    <w:rsid w:val="00DE5520"/>
    <w:rsid w:val="00DE563D"/>
    <w:rsid w:val="00E04818"/>
    <w:rsid w:val="00E06442"/>
    <w:rsid w:val="00E23993"/>
    <w:rsid w:val="00E25B8C"/>
    <w:rsid w:val="00E44B45"/>
    <w:rsid w:val="00E65C85"/>
    <w:rsid w:val="00E66199"/>
    <w:rsid w:val="00E755EC"/>
    <w:rsid w:val="00E7624D"/>
    <w:rsid w:val="00E87B62"/>
    <w:rsid w:val="00EA3D42"/>
    <w:rsid w:val="00EA6B1B"/>
    <w:rsid w:val="00ED7323"/>
    <w:rsid w:val="00EE28F3"/>
    <w:rsid w:val="00EF5110"/>
    <w:rsid w:val="00F10411"/>
    <w:rsid w:val="00F15882"/>
    <w:rsid w:val="00F15B22"/>
    <w:rsid w:val="00F171E0"/>
    <w:rsid w:val="00F20BD3"/>
    <w:rsid w:val="00F373A5"/>
    <w:rsid w:val="00F47559"/>
    <w:rsid w:val="00F60DDC"/>
    <w:rsid w:val="00F64C7B"/>
    <w:rsid w:val="00F676DD"/>
    <w:rsid w:val="00F75A26"/>
    <w:rsid w:val="00F76706"/>
    <w:rsid w:val="00F83FAD"/>
    <w:rsid w:val="00F952A0"/>
    <w:rsid w:val="00FA3457"/>
    <w:rsid w:val="00FA3C7F"/>
    <w:rsid w:val="00FB74E2"/>
    <w:rsid w:val="00FC10C4"/>
    <w:rsid w:val="00FD5614"/>
    <w:rsid w:val="00FE0BE1"/>
    <w:rsid w:val="00FE1DE9"/>
    <w:rsid w:val="00FE36AF"/>
    <w:rsid w:val="00FE39C2"/>
    <w:rsid w:val="00FE3C32"/>
    <w:rsid w:val="00FE64AE"/>
    <w:rsid w:val="00FF3400"/>
    <w:rsid w:val="00FF6E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D7BA2"/>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D7BA2"/>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EA2C249F</Template>
  <TotalTime>0</TotalTime>
  <Pages>9</Pages>
  <Words>1327</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2015-04-27T03:41:00Z</dcterms:created>
  <dcterms:modified xsi:type="dcterms:W3CDTF">2015-04-27T03:41:00Z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8355296</vt:lpwstr>
  </property>
</Properties>
</file>