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99CDFA6" wp14:editId="023CA5E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DA078F">
            <w:t>2</w:t>
          </w:r>
          <w:r>
            <w:t xml:space="preserve"> </w:t>
          </w:r>
          <w:r>
            <w:rPr>
              <w:rFonts w:cs="Arial"/>
            </w:rPr>
            <w:t>−</w:t>
          </w:r>
          <w:r>
            <w:t xml:space="preserve"> </w:t>
          </w:r>
          <w:r w:rsidR="00DA078F">
            <w:t>Regulatory asset base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rsidRPr="00A700AB">
        <w:rPr>
          <w:rStyle w:val="AERbody"/>
        </w:rPr>
        <w:t>the</w:t>
      </w:r>
      <w:r>
        <w:t xml:space="preserv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1201F1" w:rsidRDefault="00C94B89">
      <w:pPr>
        <w:spacing w:line="240" w:lineRule="auto"/>
      </w:pPr>
      <w:bookmarkStart w:id="1" w:name="_Toc404354899"/>
      <w:bookmarkStart w:id="2" w:name="_Toc404353070"/>
      <w:bookmarkStart w:id="3" w:name="_Toc404684201"/>
      <w:bookmarkStart w:id="4" w:name="_Toc404700923"/>
      <w:r>
        <w:t>AER reference: 50835</w:t>
      </w:r>
    </w:p>
    <w:p w:rsidR="008F07A3" w:rsidRDefault="00DA61F3" w:rsidP="008F07A3">
      <w:pPr>
        <w:pStyle w:val="UnnumberedHeading"/>
        <w:numPr>
          <w:ilvl w:val="0"/>
          <w:numId w:val="24"/>
        </w:numPr>
      </w:pPr>
      <w:bookmarkStart w:id="5" w:name="_Toc413831028"/>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preliminary decision on </w:t>
      </w:r>
      <w:r w:rsidR="001201F1">
        <w:t>Energex's</w:t>
      </w:r>
      <w:r>
        <w:t xml:space="preserve"> 2015–20 distribution determination. It should be read with </w:t>
      </w:r>
      <w:r w:rsidR="00A700AB">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E60A0B">
        <w:t>policy</w:t>
      </w: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13831029"/>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1177F1"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13831028" w:history="1">
            <w:r w:rsidR="001177F1" w:rsidRPr="00750B61">
              <w:rPr>
                <w:rStyle w:val="Hyperlink"/>
              </w:rPr>
              <w:t>Note</w:t>
            </w:r>
            <w:r w:rsidR="001177F1">
              <w:rPr>
                <w:webHidden/>
              </w:rPr>
              <w:tab/>
            </w:r>
            <w:r w:rsidR="00486D86">
              <w:rPr>
                <w:webHidden/>
              </w:rPr>
              <w:t>2-</w:t>
            </w:r>
            <w:r w:rsidR="001177F1">
              <w:rPr>
                <w:webHidden/>
              </w:rPr>
              <w:fldChar w:fldCharType="begin"/>
            </w:r>
            <w:r w:rsidR="001177F1">
              <w:rPr>
                <w:webHidden/>
              </w:rPr>
              <w:instrText xml:space="preserve"> PAGEREF _Toc413831028 \h </w:instrText>
            </w:r>
            <w:r w:rsidR="001177F1">
              <w:rPr>
                <w:webHidden/>
              </w:rPr>
            </w:r>
            <w:r w:rsidR="001177F1">
              <w:rPr>
                <w:webHidden/>
              </w:rPr>
              <w:fldChar w:fldCharType="separate"/>
            </w:r>
            <w:r w:rsidR="00E13096">
              <w:rPr>
                <w:webHidden/>
              </w:rPr>
              <w:t>2</w:t>
            </w:r>
            <w:r w:rsidR="001177F1">
              <w:rPr>
                <w:webHidden/>
              </w:rPr>
              <w:fldChar w:fldCharType="end"/>
            </w:r>
          </w:hyperlink>
        </w:p>
        <w:p w:rsidR="001177F1" w:rsidRDefault="005A35CF">
          <w:pPr>
            <w:pStyle w:val="TOC1"/>
            <w:rPr>
              <w:rFonts w:asciiTheme="minorHAnsi" w:eastAsiaTheme="minorEastAsia" w:hAnsiTheme="minorHAnsi"/>
              <w:b w:val="0"/>
              <w:color w:val="auto"/>
              <w:sz w:val="22"/>
              <w:lang w:val="en-AU" w:eastAsia="en-AU"/>
            </w:rPr>
          </w:pPr>
          <w:hyperlink w:anchor="_Toc413831029" w:history="1">
            <w:r w:rsidR="001177F1" w:rsidRPr="00750B61">
              <w:rPr>
                <w:rStyle w:val="Hyperlink"/>
              </w:rPr>
              <w:t>Contents</w:t>
            </w:r>
            <w:r w:rsidR="001177F1">
              <w:rPr>
                <w:webHidden/>
              </w:rPr>
              <w:tab/>
            </w:r>
            <w:r w:rsidR="00486D86">
              <w:rPr>
                <w:webHidden/>
              </w:rPr>
              <w:t>2-</w:t>
            </w:r>
            <w:r w:rsidR="001177F1">
              <w:rPr>
                <w:webHidden/>
              </w:rPr>
              <w:fldChar w:fldCharType="begin"/>
            </w:r>
            <w:r w:rsidR="001177F1">
              <w:rPr>
                <w:webHidden/>
              </w:rPr>
              <w:instrText xml:space="preserve"> PAGEREF _Toc413831029 \h </w:instrText>
            </w:r>
            <w:r w:rsidR="001177F1">
              <w:rPr>
                <w:webHidden/>
              </w:rPr>
            </w:r>
            <w:r w:rsidR="001177F1">
              <w:rPr>
                <w:webHidden/>
              </w:rPr>
              <w:fldChar w:fldCharType="separate"/>
            </w:r>
            <w:r w:rsidR="00E13096">
              <w:rPr>
                <w:webHidden/>
              </w:rPr>
              <w:t>3</w:t>
            </w:r>
            <w:r w:rsidR="001177F1">
              <w:rPr>
                <w:webHidden/>
              </w:rPr>
              <w:fldChar w:fldCharType="end"/>
            </w:r>
          </w:hyperlink>
        </w:p>
        <w:p w:rsidR="001177F1" w:rsidRDefault="005A35CF">
          <w:pPr>
            <w:pStyle w:val="TOC1"/>
            <w:rPr>
              <w:rFonts w:asciiTheme="minorHAnsi" w:eastAsiaTheme="minorEastAsia" w:hAnsiTheme="minorHAnsi"/>
              <w:b w:val="0"/>
              <w:color w:val="auto"/>
              <w:sz w:val="22"/>
              <w:lang w:val="en-AU" w:eastAsia="en-AU"/>
            </w:rPr>
          </w:pPr>
          <w:hyperlink w:anchor="_Toc413831030" w:history="1">
            <w:r w:rsidR="001177F1" w:rsidRPr="00750B61">
              <w:rPr>
                <w:rStyle w:val="Hyperlink"/>
              </w:rPr>
              <w:t>Shortened forms</w:t>
            </w:r>
            <w:r w:rsidR="001177F1">
              <w:rPr>
                <w:webHidden/>
              </w:rPr>
              <w:tab/>
            </w:r>
            <w:r w:rsidR="00486D86">
              <w:rPr>
                <w:webHidden/>
              </w:rPr>
              <w:t>2-</w:t>
            </w:r>
            <w:r w:rsidR="001177F1">
              <w:rPr>
                <w:webHidden/>
              </w:rPr>
              <w:fldChar w:fldCharType="begin"/>
            </w:r>
            <w:r w:rsidR="001177F1">
              <w:rPr>
                <w:webHidden/>
              </w:rPr>
              <w:instrText xml:space="preserve"> PAGEREF _Toc413831030 \h </w:instrText>
            </w:r>
            <w:r w:rsidR="001177F1">
              <w:rPr>
                <w:webHidden/>
              </w:rPr>
            </w:r>
            <w:r w:rsidR="001177F1">
              <w:rPr>
                <w:webHidden/>
              </w:rPr>
              <w:fldChar w:fldCharType="separate"/>
            </w:r>
            <w:r w:rsidR="00E13096">
              <w:rPr>
                <w:webHidden/>
              </w:rPr>
              <w:t>4</w:t>
            </w:r>
            <w:r w:rsidR="001177F1">
              <w:rPr>
                <w:webHidden/>
              </w:rPr>
              <w:fldChar w:fldCharType="end"/>
            </w:r>
          </w:hyperlink>
        </w:p>
        <w:p w:rsidR="001177F1" w:rsidRDefault="005A35CF">
          <w:pPr>
            <w:pStyle w:val="TOC1"/>
            <w:rPr>
              <w:rFonts w:asciiTheme="minorHAnsi" w:eastAsiaTheme="minorEastAsia" w:hAnsiTheme="minorHAnsi"/>
              <w:b w:val="0"/>
              <w:color w:val="auto"/>
              <w:sz w:val="22"/>
              <w:lang w:val="en-AU" w:eastAsia="en-AU"/>
            </w:rPr>
          </w:pPr>
          <w:hyperlink w:anchor="_Toc413831031" w:history="1">
            <w:r w:rsidR="001177F1" w:rsidRPr="00750B61">
              <w:rPr>
                <w:rStyle w:val="Hyperlink"/>
              </w:rPr>
              <w:t>2</w:t>
            </w:r>
            <w:r w:rsidR="001177F1">
              <w:rPr>
                <w:rFonts w:asciiTheme="minorHAnsi" w:eastAsiaTheme="minorEastAsia" w:hAnsiTheme="minorHAnsi"/>
                <w:b w:val="0"/>
                <w:color w:val="auto"/>
                <w:sz w:val="22"/>
                <w:lang w:val="en-AU" w:eastAsia="en-AU"/>
              </w:rPr>
              <w:tab/>
            </w:r>
            <w:r w:rsidR="001177F1" w:rsidRPr="00750B61">
              <w:rPr>
                <w:rStyle w:val="Hyperlink"/>
              </w:rPr>
              <w:t>Regulatory asset base</w:t>
            </w:r>
            <w:r w:rsidR="001177F1">
              <w:rPr>
                <w:webHidden/>
              </w:rPr>
              <w:tab/>
            </w:r>
            <w:r w:rsidR="00486D86">
              <w:rPr>
                <w:webHidden/>
              </w:rPr>
              <w:t>2-</w:t>
            </w:r>
            <w:r w:rsidR="001177F1">
              <w:rPr>
                <w:webHidden/>
              </w:rPr>
              <w:fldChar w:fldCharType="begin"/>
            </w:r>
            <w:r w:rsidR="001177F1">
              <w:rPr>
                <w:webHidden/>
              </w:rPr>
              <w:instrText xml:space="preserve"> PAGEREF _Toc413831031 \h </w:instrText>
            </w:r>
            <w:r w:rsidR="001177F1">
              <w:rPr>
                <w:webHidden/>
              </w:rPr>
            </w:r>
            <w:r w:rsidR="001177F1">
              <w:rPr>
                <w:webHidden/>
              </w:rPr>
              <w:fldChar w:fldCharType="separate"/>
            </w:r>
            <w:r w:rsidR="00E13096">
              <w:rPr>
                <w:webHidden/>
              </w:rPr>
              <w:t>6</w:t>
            </w:r>
            <w:r w:rsidR="001177F1">
              <w:rPr>
                <w:webHidden/>
              </w:rPr>
              <w:fldChar w:fldCharType="end"/>
            </w:r>
          </w:hyperlink>
        </w:p>
        <w:p w:rsidR="001177F1" w:rsidRDefault="005A35CF">
          <w:pPr>
            <w:pStyle w:val="TOC2"/>
            <w:rPr>
              <w:rFonts w:asciiTheme="minorHAnsi" w:eastAsiaTheme="minorEastAsia" w:hAnsiTheme="minorHAnsi"/>
              <w:b w:val="0"/>
              <w:color w:val="auto"/>
              <w:sz w:val="22"/>
              <w:lang w:eastAsia="en-AU"/>
            </w:rPr>
          </w:pPr>
          <w:hyperlink w:anchor="_Toc413831032" w:history="1">
            <w:r w:rsidR="001177F1" w:rsidRPr="00750B61">
              <w:rPr>
                <w:rStyle w:val="Hyperlink"/>
              </w:rPr>
              <w:t>2.1</w:t>
            </w:r>
            <w:r w:rsidR="001177F1">
              <w:rPr>
                <w:rFonts w:asciiTheme="minorHAnsi" w:eastAsiaTheme="minorEastAsia" w:hAnsiTheme="minorHAnsi"/>
                <w:b w:val="0"/>
                <w:color w:val="auto"/>
                <w:sz w:val="22"/>
                <w:lang w:eastAsia="en-AU"/>
              </w:rPr>
              <w:tab/>
            </w:r>
            <w:r w:rsidR="001177F1" w:rsidRPr="00750B61">
              <w:rPr>
                <w:rStyle w:val="Hyperlink"/>
              </w:rPr>
              <w:t>Preliminary decision</w:t>
            </w:r>
            <w:r w:rsidR="001177F1">
              <w:rPr>
                <w:webHidden/>
              </w:rPr>
              <w:tab/>
            </w:r>
            <w:r w:rsidR="00486D86">
              <w:rPr>
                <w:webHidden/>
              </w:rPr>
              <w:t>2-</w:t>
            </w:r>
            <w:r w:rsidR="001177F1">
              <w:rPr>
                <w:webHidden/>
              </w:rPr>
              <w:fldChar w:fldCharType="begin"/>
            </w:r>
            <w:r w:rsidR="001177F1">
              <w:rPr>
                <w:webHidden/>
              </w:rPr>
              <w:instrText xml:space="preserve"> PAGEREF _Toc413831032 \h </w:instrText>
            </w:r>
            <w:r w:rsidR="001177F1">
              <w:rPr>
                <w:webHidden/>
              </w:rPr>
            </w:r>
            <w:r w:rsidR="001177F1">
              <w:rPr>
                <w:webHidden/>
              </w:rPr>
              <w:fldChar w:fldCharType="separate"/>
            </w:r>
            <w:r w:rsidR="00E13096">
              <w:rPr>
                <w:webHidden/>
              </w:rPr>
              <w:t>6</w:t>
            </w:r>
            <w:r w:rsidR="001177F1">
              <w:rPr>
                <w:webHidden/>
              </w:rPr>
              <w:fldChar w:fldCharType="end"/>
            </w:r>
          </w:hyperlink>
        </w:p>
        <w:p w:rsidR="001177F1" w:rsidRDefault="005A35CF">
          <w:pPr>
            <w:pStyle w:val="TOC2"/>
            <w:rPr>
              <w:rFonts w:asciiTheme="minorHAnsi" w:eastAsiaTheme="minorEastAsia" w:hAnsiTheme="minorHAnsi"/>
              <w:b w:val="0"/>
              <w:color w:val="auto"/>
              <w:sz w:val="22"/>
              <w:lang w:eastAsia="en-AU"/>
            </w:rPr>
          </w:pPr>
          <w:hyperlink w:anchor="_Toc413831033" w:history="1">
            <w:r w:rsidR="001177F1" w:rsidRPr="00750B61">
              <w:rPr>
                <w:rStyle w:val="Hyperlink"/>
              </w:rPr>
              <w:t>2.2</w:t>
            </w:r>
            <w:r w:rsidR="001177F1">
              <w:rPr>
                <w:rFonts w:asciiTheme="minorHAnsi" w:eastAsiaTheme="minorEastAsia" w:hAnsiTheme="minorHAnsi"/>
                <w:b w:val="0"/>
                <w:color w:val="auto"/>
                <w:sz w:val="22"/>
                <w:lang w:eastAsia="en-AU"/>
              </w:rPr>
              <w:tab/>
            </w:r>
            <w:r w:rsidR="001177F1" w:rsidRPr="00750B61">
              <w:rPr>
                <w:rStyle w:val="Hyperlink"/>
              </w:rPr>
              <w:t>Energex’s proposal</w:t>
            </w:r>
            <w:r w:rsidR="001177F1">
              <w:rPr>
                <w:webHidden/>
              </w:rPr>
              <w:tab/>
            </w:r>
            <w:r w:rsidR="00486D86">
              <w:rPr>
                <w:webHidden/>
              </w:rPr>
              <w:t>2-</w:t>
            </w:r>
            <w:r w:rsidR="001177F1">
              <w:rPr>
                <w:webHidden/>
              </w:rPr>
              <w:fldChar w:fldCharType="begin"/>
            </w:r>
            <w:r w:rsidR="001177F1">
              <w:rPr>
                <w:webHidden/>
              </w:rPr>
              <w:instrText xml:space="preserve"> PAGEREF _Toc413831033 \h </w:instrText>
            </w:r>
            <w:r w:rsidR="001177F1">
              <w:rPr>
                <w:webHidden/>
              </w:rPr>
            </w:r>
            <w:r w:rsidR="001177F1">
              <w:rPr>
                <w:webHidden/>
              </w:rPr>
              <w:fldChar w:fldCharType="separate"/>
            </w:r>
            <w:r w:rsidR="00E13096">
              <w:rPr>
                <w:webHidden/>
              </w:rPr>
              <w:t>8</w:t>
            </w:r>
            <w:r w:rsidR="001177F1">
              <w:rPr>
                <w:webHidden/>
              </w:rPr>
              <w:fldChar w:fldCharType="end"/>
            </w:r>
          </w:hyperlink>
        </w:p>
        <w:p w:rsidR="001177F1" w:rsidRDefault="005A35CF">
          <w:pPr>
            <w:pStyle w:val="TOC2"/>
            <w:rPr>
              <w:rFonts w:asciiTheme="minorHAnsi" w:eastAsiaTheme="minorEastAsia" w:hAnsiTheme="minorHAnsi"/>
              <w:b w:val="0"/>
              <w:color w:val="auto"/>
              <w:sz w:val="22"/>
              <w:lang w:eastAsia="en-AU"/>
            </w:rPr>
          </w:pPr>
          <w:hyperlink w:anchor="_Toc413831034" w:history="1">
            <w:r w:rsidR="001177F1" w:rsidRPr="00750B61">
              <w:rPr>
                <w:rStyle w:val="Hyperlink"/>
              </w:rPr>
              <w:t>2.3</w:t>
            </w:r>
            <w:r w:rsidR="001177F1">
              <w:rPr>
                <w:rFonts w:asciiTheme="minorHAnsi" w:eastAsiaTheme="minorEastAsia" w:hAnsiTheme="minorHAnsi"/>
                <w:b w:val="0"/>
                <w:color w:val="auto"/>
                <w:sz w:val="22"/>
                <w:lang w:eastAsia="en-AU"/>
              </w:rPr>
              <w:tab/>
            </w:r>
            <w:r w:rsidR="001177F1" w:rsidRPr="00750B61">
              <w:rPr>
                <w:rStyle w:val="Hyperlink"/>
              </w:rPr>
              <w:t>AER’s assessment approach</w:t>
            </w:r>
            <w:r w:rsidR="001177F1">
              <w:rPr>
                <w:webHidden/>
              </w:rPr>
              <w:tab/>
            </w:r>
            <w:r w:rsidR="00486D86">
              <w:rPr>
                <w:webHidden/>
              </w:rPr>
              <w:t>2-</w:t>
            </w:r>
            <w:r w:rsidR="001177F1">
              <w:rPr>
                <w:webHidden/>
              </w:rPr>
              <w:fldChar w:fldCharType="begin"/>
            </w:r>
            <w:r w:rsidR="001177F1">
              <w:rPr>
                <w:webHidden/>
              </w:rPr>
              <w:instrText xml:space="preserve"> PAGEREF _Toc413831034 \h </w:instrText>
            </w:r>
            <w:r w:rsidR="001177F1">
              <w:rPr>
                <w:webHidden/>
              </w:rPr>
            </w:r>
            <w:r w:rsidR="001177F1">
              <w:rPr>
                <w:webHidden/>
              </w:rPr>
              <w:fldChar w:fldCharType="separate"/>
            </w:r>
            <w:r w:rsidR="00E13096">
              <w:rPr>
                <w:webHidden/>
              </w:rPr>
              <w:t>9</w:t>
            </w:r>
            <w:r w:rsidR="001177F1">
              <w:rPr>
                <w:webHidden/>
              </w:rPr>
              <w:fldChar w:fldCharType="end"/>
            </w:r>
          </w:hyperlink>
        </w:p>
        <w:p w:rsidR="001177F1" w:rsidRDefault="005A35CF">
          <w:pPr>
            <w:pStyle w:val="TOC3"/>
            <w:rPr>
              <w:rFonts w:asciiTheme="minorHAnsi" w:eastAsiaTheme="minorEastAsia" w:hAnsiTheme="minorHAnsi"/>
              <w:lang w:eastAsia="en-AU"/>
            </w:rPr>
          </w:pPr>
          <w:hyperlink w:anchor="_Toc413831035" w:history="1">
            <w:r w:rsidR="001177F1" w:rsidRPr="00750B61">
              <w:rPr>
                <w:rStyle w:val="Hyperlink"/>
              </w:rPr>
              <w:t>2.3.1</w:t>
            </w:r>
            <w:r w:rsidR="001177F1">
              <w:rPr>
                <w:rFonts w:asciiTheme="minorHAnsi" w:eastAsiaTheme="minorEastAsia" w:hAnsiTheme="minorHAnsi"/>
                <w:lang w:eastAsia="en-AU"/>
              </w:rPr>
              <w:tab/>
            </w:r>
            <w:r w:rsidR="001177F1" w:rsidRPr="00750B61">
              <w:rPr>
                <w:rStyle w:val="Hyperlink"/>
              </w:rPr>
              <w:t>Interrelationships</w:t>
            </w:r>
            <w:r w:rsidR="001177F1">
              <w:rPr>
                <w:webHidden/>
              </w:rPr>
              <w:tab/>
            </w:r>
            <w:r w:rsidR="00486D86">
              <w:rPr>
                <w:webHidden/>
              </w:rPr>
              <w:t>2-</w:t>
            </w:r>
            <w:r w:rsidR="001177F1">
              <w:rPr>
                <w:webHidden/>
              </w:rPr>
              <w:fldChar w:fldCharType="begin"/>
            </w:r>
            <w:r w:rsidR="001177F1">
              <w:rPr>
                <w:webHidden/>
              </w:rPr>
              <w:instrText xml:space="preserve"> PAGEREF _Toc413831035 \h </w:instrText>
            </w:r>
            <w:r w:rsidR="001177F1">
              <w:rPr>
                <w:webHidden/>
              </w:rPr>
            </w:r>
            <w:r w:rsidR="001177F1">
              <w:rPr>
                <w:webHidden/>
              </w:rPr>
              <w:fldChar w:fldCharType="separate"/>
            </w:r>
            <w:r w:rsidR="00E13096">
              <w:rPr>
                <w:webHidden/>
              </w:rPr>
              <w:t>11</w:t>
            </w:r>
            <w:r w:rsidR="001177F1">
              <w:rPr>
                <w:webHidden/>
              </w:rPr>
              <w:fldChar w:fldCharType="end"/>
            </w:r>
          </w:hyperlink>
        </w:p>
        <w:p w:rsidR="001177F1" w:rsidRDefault="005A35CF">
          <w:pPr>
            <w:pStyle w:val="TOC2"/>
            <w:rPr>
              <w:rFonts w:asciiTheme="minorHAnsi" w:eastAsiaTheme="minorEastAsia" w:hAnsiTheme="minorHAnsi"/>
              <w:b w:val="0"/>
              <w:color w:val="auto"/>
              <w:sz w:val="22"/>
              <w:lang w:eastAsia="en-AU"/>
            </w:rPr>
          </w:pPr>
          <w:hyperlink w:anchor="_Toc413831036" w:history="1">
            <w:r w:rsidR="001177F1" w:rsidRPr="00750B61">
              <w:rPr>
                <w:rStyle w:val="Hyperlink"/>
              </w:rPr>
              <w:t>2.4</w:t>
            </w:r>
            <w:r w:rsidR="001177F1">
              <w:rPr>
                <w:rFonts w:asciiTheme="minorHAnsi" w:eastAsiaTheme="minorEastAsia" w:hAnsiTheme="minorHAnsi"/>
                <w:b w:val="0"/>
                <w:color w:val="auto"/>
                <w:sz w:val="22"/>
                <w:lang w:eastAsia="en-AU"/>
              </w:rPr>
              <w:tab/>
            </w:r>
            <w:r w:rsidR="001177F1" w:rsidRPr="00750B61">
              <w:rPr>
                <w:rStyle w:val="Hyperlink"/>
              </w:rPr>
              <w:t>Reasons for preliminary decision</w:t>
            </w:r>
            <w:r w:rsidR="001177F1">
              <w:rPr>
                <w:webHidden/>
              </w:rPr>
              <w:tab/>
            </w:r>
            <w:r w:rsidR="00486D86">
              <w:rPr>
                <w:webHidden/>
              </w:rPr>
              <w:t>2-</w:t>
            </w:r>
            <w:r w:rsidR="001177F1">
              <w:rPr>
                <w:webHidden/>
              </w:rPr>
              <w:fldChar w:fldCharType="begin"/>
            </w:r>
            <w:r w:rsidR="001177F1">
              <w:rPr>
                <w:webHidden/>
              </w:rPr>
              <w:instrText xml:space="preserve"> PAGEREF _Toc413831036 \h </w:instrText>
            </w:r>
            <w:r w:rsidR="001177F1">
              <w:rPr>
                <w:webHidden/>
              </w:rPr>
            </w:r>
            <w:r w:rsidR="001177F1">
              <w:rPr>
                <w:webHidden/>
              </w:rPr>
              <w:fldChar w:fldCharType="separate"/>
            </w:r>
            <w:r w:rsidR="00E13096">
              <w:rPr>
                <w:webHidden/>
              </w:rPr>
              <w:t>13</w:t>
            </w:r>
            <w:r w:rsidR="001177F1">
              <w:rPr>
                <w:webHidden/>
              </w:rPr>
              <w:fldChar w:fldCharType="end"/>
            </w:r>
          </w:hyperlink>
        </w:p>
        <w:p w:rsidR="001177F1" w:rsidRDefault="005A35CF">
          <w:pPr>
            <w:pStyle w:val="TOC3"/>
            <w:rPr>
              <w:rFonts w:asciiTheme="minorHAnsi" w:eastAsiaTheme="minorEastAsia" w:hAnsiTheme="minorHAnsi"/>
              <w:lang w:eastAsia="en-AU"/>
            </w:rPr>
          </w:pPr>
          <w:hyperlink w:anchor="_Toc413831037" w:history="1">
            <w:r w:rsidR="001177F1" w:rsidRPr="00750B61">
              <w:rPr>
                <w:rStyle w:val="Hyperlink"/>
              </w:rPr>
              <w:t>2.4.1</w:t>
            </w:r>
            <w:r w:rsidR="001177F1">
              <w:rPr>
                <w:rFonts w:asciiTheme="minorHAnsi" w:eastAsiaTheme="minorEastAsia" w:hAnsiTheme="minorHAnsi"/>
                <w:lang w:eastAsia="en-AU"/>
              </w:rPr>
              <w:tab/>
            </w:r>
            <w:r w:rsidR="001177F1" w:rsidRPr="00750B61">
              <w:rPr>
                <w:rStyle w:val="Hyperlink"/>
              </w:rPr>
              <w:t>Opening RAB as at 1 July 2015</w:t>
            </w:r>
            <w:r w:rsidR="001177F1">
              <w:rPr>
                <w:webHidden/>
              </w:rPr>
              <w:tab/>
            </w:r>
            <w:r w:rsidR="00486D86">
              <w:rPr>
                <w:webHidden/>
              </w:rPr>
              <w:t>2-</w:t>
            </w:r>
            <w:r w:rsidR="001177F1">
              <w:rPr>
                <w:webHidden/>
              </w:rPr>
              <w:fldChar w:fldCharType="begin"/>
            </w:r>
            <w:r w:rsidR="001177F1">
              <w:rPr>
                <w:webHidden/>
              </w:rPr>
              <w:instrText xml:space="preserve"> PAGEREF _Toc413831037 \h </w:instrText>
            </w:r>
            <w:r w:rsidR="001177F1">
              <w:rPr>
                <w:webHidden/>
              </w:rPr>
            </w:r>
            <w:r w:rsidR="001177F1">
              <w:rPr>
                <w:webHidden/>
              </w:rPr>
              <w:fldChar w:fldCharType="separate"/>
            </w:r>
            <w:r w:rsidR="00E13096">
              <w:rPr>
                <w:webHidden/>
              </w:rPr>
              <w:t>14</w:t>
            </w:r>
            <w:r w:rsidR="001177F1">
              <w:rPr>
                <w:webHidden/>
              </w:rPr>
              <w:fldChar w:fldCharType="end"/>
            </w:r>
          </w:hyperlink>
        </w:p>
        <w:p w:rsidR="001177F1" w:rsidRDefault="005A35CF">
          <w:pPr>
            <w:pStyle w:val="TOC4"/>
            <w:tabs>
              <w:tab w:val="left" w:pos="2552"/>
            </w:tabs>
            <w:rPr>
              <w:rFonts w:asciiTheme="minorHAnsi" w:eastAsiaTheme="minorEastAsia" w:hAnsiTheme="minorHAnsi"/>
              <w:lang w:eastAsia="en-AU"/>
            </w:rPr>
          </w:pPr>
          <w:hyperlink w:anchor="_Toc413831038" w:history="1">
            <w:r w:rsidR="001177F1" w:rsidRPr="00750B61">
              <w:rPr>
                <w:rStyle w:val="Hyperlink"/>
              </w:rPr>
              <w:t>2.4.1.1</w:t>
            </w:r>
            <w:r w:rsidR="001177F1">
              <w:rPr>
                <w:rFonts w:asciiTheme="minorHAnsi" w:eastAsiaTheme="minorEastAsia" w:hAnsiTheme="minorHAnsi"/>
                <w:lang w:eastAsia="en-AU"/>
              </w:rPr>
              <w:tab/>
            </w:r>
            <w:r w:rsidR="001177F1" w:rsidRPr="00750B61">
              <w:rPr>
                <w:rStyle w:val="Hyperlink"/>
              </w:rPr>
              <w:t>Size of RAB</w:t>
            </w:r>
            <w:r w:rsidR="001177F1">
              <w:rPr>
                <w:webHidden/>
              </w:rPr>
              <w:tab/>
            </w:r>
            <w:r w:rsidR="00486D86">
              <w:rPr>
                <w:webHidden/>
              </w:rPr>
              <w:t>2-</w:t>
            </w:r>
            <w:r w:rsidR="001177F1">
              <w:rPr>
                <w:webHidden/>
              </w:rPr>
              <w:fldChar w:fldCharType="begin"/>
            </w:r>
            <w:r w:rsidR="001177F1">
              <w:rPr>
                <w:webHidden/>
              </w:rPr>
              <w:instrText xml:space="preserve"> PAGEREF _Toc413831038 \h </w:instrText>
            </w:r>
            <w:r w:rsidR="001177F1">
              <w:rPr>
                <w:webHidden/>
              </w:rPr>
            </w:r>
            <w:r w:rsidR="001177F1">
              <w:rPr>
                <w:webHidden/>
              </w:rPr>
              <w:fldChar w:fldCharType="separate"/>
            </w:r>
            <w:r w:rsidR="00E13096">
              <w:rPr>
                <w:webHidden/>
              </w:rPr>
              <w:t>14</w:t>
            </w:r>
            <w:r w:rsidR="001177F1">
              <w:rPr>
                <w:webHidden/>
              </w:rPr>
              <w:fldChar w:fldCharType="end"/>
            </w:r>
          </w:hyperlink>
        </w:p>
        <w:p w:rsidR="001177F1" w:rsidRDefault="005A35CF">
          <w:pPr>
            <w:pStyle w:val="TOC4"/>
            <w:tabs>
              <w:tab w:val="left" w:pos="2552"/>
            </w:tabs>
            <w:rPr>
              <w:rFonts w:asciiTheme="minorHAnsi" w:eastAsiaTheme="minorEastAsia" w:hAnsiTheme="minorHAnsi"/>
              <w:lang w:eastAsia="en-AU"/>
            </w:rPr>
          </w:pPr>
          <w:hyperlink w:anchor="_Toc413831039" w:history="1">
            <w:r w:rsidR="001177F1" w:rsidRPr="00750B61">
              <w:rPr>
                <w:rStyle w:val="Hyperlink"/>
              </w:rPr>
              <w:t>2.4.1.2</w:t>
            </w:r>
            <w:r w:rsidR="001177F1">
              <w:rPr>
                <w:rFonts w:asciiTheme="minorHAnsi" w:eastAsiaTheme="minorEastAsia" w:hAnsiTheme="minorHAnsi"/>
                <w:lang w:eastAsia="en-AU"/>
              </w:rPr>
              <w:tab/>
            </w:r>
            <w:r w:rsidR="001177F1" w:rsidRPr="00750B61">
              <w:rPr>
                <w:rStyle w:val="Hyperlink"/>
              </w:rPr>
              <w:t>Remaining asset lives</w:t>
            </w:r>
            <w:r w:rsidR="001177F1">
              <w:rPr>
                <w:webHidden/>
              </w:rPr>
              <w:tab/>
            </w:r>
            <w:r w:rsidR="00486D86">
              <w:rPr>
                <w:webHidden/>
              </w:rPr>
              <w:t>2-</w:t>
            </w:r>
            <w:r w:rsidR="001177F1">
              <w:rPr>
                <w:webHidden/>
              </w:rPr>
              <w:fldChar w:fldCharType="begin"/>
            </w:r>
            <w:r w:rsidR="001177F1">
              <w:rPr>
                <w:webHidden/>
              </w:rPr>
              <w:instrText xml:space="preserve"> PAGEREF _Toc413831039 \h </w:instrText>
            </w:r>
            <w:r w:rsidR="001177F1">
              <w:rPr>
                <w:webHidden/>
              </w:rPr>
            </w:r>
            <w:r w:rsidR="001177F1">
              <w:rPr>
                <w:webHidden/>
              </w:rPr>
              <w:fldChar w:fldCharType="separate"/>
            </w:r>
            <w:r w:rsidR="00E13096">
              <w:rPr>
                <w:webHidden/>
              </w:rPr>
              <w:t>16</w:t>
            </w:r>
            <w:r w:rsidR="001177F1">
              <w:rPr>
                <w:webHidden/>
              </w:rPr>
              <w:fldChar w:fldCharType="end"/>
            </w:r>
          </w:hyperlink>
        </w:p>
        <w:p w:rsidR="001177F1" w:rsidRDefault="005A35CF">
          <w:pPr>
            <w:pStyle w:val="TOC4"/>
            <w:tabs>
              <w:tab w:val="left" w:pos="2552"/>
            </w:tabs>
            <w:rPr>
              <w:rFonts w:asciiTheme="minorHAnsi" w:eastAsiaTheme="minorEastAsia" w:hAnsiTheme="minorHAnsi"/>
              <w:lang w:eastAsia="en-AU"/>
            </w:rPr>
          </w:pPr>
          <w:hyperlink w:anchor="_Toc413831040" w:history="1">
            <w:r w:rsidR="001177F1" w:rsidRPr="00750B61">
              <w:rPr>
                <w:rStyle w:val="Hyperlink"/>
              </w:rPr>
              <w:t>2.4.1.3</w:t>
            </w:r>
            <w:r w:rsidR="001177F1">
              <w:rPr>
                <w:rFonts w:asciiTheme="minorHAnsi" w:eastAsiaTheme="minorEastAsia" w:hAnsiTheme="minorHAnsi"/>
                <w:lang w:eastAsia="en-AU"/>
              </w:rPr>
              <w:tab/>
            </w:r>
            <w:r w:rsidR="001177F1" w:rsidRPr="00750B61">
              <w:rPr>
                <w:rStyle w:val="Hyperlink"/>
              </w:rPr>
              <w:t>Capitalised provisions</w:t>
            </w:r>
            <w:r w:rsidR="001177F1">
              <w:rPr>
                <w:webHidden/>
              </w:rPr>
              <w:tab/>
            </w:r>
            <w:r w:rsidR="00486D86">
              <w:rPr>
                <w:webHidden/>
              </w:rPr>
              <w:t>2-</w:t>
            </w:r>
            <w:r w:rsidR="001177F1">
              <w:rPr>
                <w:webHidden/>
              </w:rPr>
              <w:fldChar w:fldCharType="begin"/>
            </w:r>
            <w:r w:rsidR="001177F1">
              <w:rPr>
                <w:webHidden/>
              </w:rPr>
              <w:instrText xml:space="preserve"> PAGEREF _Toc413831040 \h </w:instrText>
            </w:r>
            <w:r w:rsidR="001177F1">
              <w:rPr>
                <w:webHidden/>
              </w:rPr>
            </w:r>
            <w:r w:rsidR="001177F1">
              <w:rPr>
                <w:webHidden/>
              </w:rPr>
              <w:fldChar w:fldCharType="separate"/>
            </w:r>
            <w:r w:rsidR="00E13096">
              <w:rPr>
                <w:webHidden/>
              </w:rPr>
              <w:t>16</w:t>
            </w:r>
            <w:r w:rsidR="001177F1">
              <w:rPr>
                <w:webHidden/>
              </w:rPr>
              <w:fldChar w:fldCharType="end"/>
            </w:r>
          </w:hyperlink>
        </w:p>
        <w:p w:rsidR="001177F1" w:rsidRDefault="005A35CF">
          <w:pPr>
            <w:pStyle w:val="TOC4"/>
            <w:tabs>
              <w:tab w:val="left" w:pos="2552"/>
            </w:tabs>
            <w:rPr>
              <w:rFonts w:asciiTheme="minorHAnsi" w:eastAsiaTheme="minorEastAsia" w:hAnsiTheme="minorHAnsi"/>
              <w:lang w:eastAsia="en-AU"/>
            </w:rPr>
          </w:pPr>
          <w:hyperlink w:anchor="_Toc413831041" w:history="1">
            <w:r w:rsidR="001177F1" w:rsidRPr="00750B61">
              <w:rPr>
                <w:rStyle w:val="Hyperlink"/>
              </w:rPr>
              <w:t>2.4.1.4</w:t>
            </w:r>
            <w:r w:rsidR="001177F1">
              <w:rPr>
                <w:rFonts w:asciiTheme="minorHAnsi" w:eastAsiaTheme="minorEastAsia" w:hAnsiTheme="minorHAnsi"/>
                <w:lang w:eastAsia="en-AU"/>
              </w:rPr>
              <w:tab/>
            </w:r>
            <w:r w:rsidR="001177F1" w:rsidRPr="00750B61">
              <w:rPr>
                <w:rStyle w:val="Hyperlink"/>
              </w:rPr>
              <w:t>Asset class movements</w:t>
            </w:r>
            <w:r w:rsidR="001177F1">
              <w:rPr>
                <w:webHidden/>
              </w:rPr>
              <w:tab/>
            </w:r>
            <w:r w:rsidR="00486D86">
              <w:rPr>
                <w:webHidden/>
              </w:rPr>
              <w:t>2-</w:t>
            </w:r>
            <w:r w:rsidR="001177F1">
              <w:rPr>
                <w:webHidden/>
              </w:rPr>
              <w:fldChar w:fldCharType="begin"/>
            </w:r>
            <w:r w:rsidR="001177F1">
              <w:rPr>
                <w:webHidden/>
              </w:rPr>
              <w:instrText xml:space="preserve"> PAGEREF _Toc413831041 \h </w:instrText>
            </w:r>
            <w:r w:rsidR="001177F1">
              <w:rPr>
                <w:webHidden/>
              </w:rPr>
            </w:r>
            <w:r w:rsidR="001177F1">
              <w:rPr>
                <w:webHidden/>
              </w:rPr>
              <w:fldChar w:fldCharType="separate"/>
            </w:r>
            <w:r w:rsidR="00E13096">
              <w:rPr>
                <w:webHidden/>
              </w:rPr>
              <w:t>16</w:t>
            </w:r>
            <w:r w:rsidR="001177F1">
              <w:rPr>
                <w:webHidden/>
              </w:rPr>
              <w:fldChar w:fldCharType="end"/>
            </w:r>
          </w:hyperlink>
        </w:p>
        <w:p w:rsidR="001177F1" w:rsidRDefault="005A35CF">
          <w:pPr>
            <w:pStyle w:val="TOC4"/>
            <w:tabs>
              <w:tab w:val="left" w:pos="2552"/>
            </w:tabs>
            <w:rPr>
              <w:rFonts w:asciiTheme="minorHAnsi" w:eastAsiaTheme="minorEastAsia" w:hAnsiTheme="minorHAnsi"/>
              <w:lang w:eastAsia="en-AU"/>
            </w:rPr>
          </w:pPr>
          <w:hyperlink w:anchor="_Toc413831042" w:history="1">
            <w:r w:rsidR="001177F1" w:rsidRPr="00750B61">
              <w:rPr>
                <w:rStyle w:val="Hyperlink"/>
              </w:rPr>
              <w:t>2.4.1.5</w:t>
            </w:r>
            <w:r w:rsidR="001177F1">
              <w:rPr>
                <w:rFonts w:asciiTheme="minorHAnsi" w:eastAsiaTheme="minorEastAsia" w:hAnsiTheme="minorHAnsi"/>
                <w:lang w:eastAsia="en-AU"/>
              </w:rPr>
              <w:tab/>
            </w:r>
            <w:r w:rsidR="001177F1" w:rsidRPr="00750B61">
              <w:rPr>
                <w:rStyle w:val="Hyperlink"/>
              </w:rPr>
              <w:t xml:space="preserve">Separation of alternative control services and unregulated </w:t>
            </w:r>
            <w:r w:rsidR="001177F1">
              <w:rPr>
                <w:rStyle w:val="Hyperlink"/>
              </w:rPr>
              <w:tab/>
            </w:r>
            <w:r w:rsidR="001177F1" w:rsidRPr="00750B61">
              <w:rPr>
                <w:rStyle w:val="Hyperlink"/>
              </w:rPr>
              <w:t>assets</w:t>
            </w:r>
            <w:r w:rsidR="001177F1">
              <w:rPr>
                <w:webHidden/>
              </w:rPr>
              <w:tab/>
            </w:r>
            <w:r w:rsidR="00486D86">
              <w:rPr>
                <w:webHidden/>
              </w:rPr>
              <w:t>2-</w:t>
            </w:r>
            <w:r w:rsidR="001177F1">
              <w:rPr>
                <w:webHidden/>
              </w:rPr>
              <w:fldChar w:fldCharType="begin"/>
            </w:r>
            <w:r w:rsidR="001177F1">
              <w:rPr>
                <w:webHidden/>
              </w:rPr>
              <w:instrText xml:space="preserve"> PAGEREF _Toc413831042 \h </w:instrText>
            </w:r>
            <w:r w:rsidR="001177F1">
              <w:rPr>
                <w:webHidden/>
              </w:rPr>
            </w:r>
            <w:r w:rsidR="001177F1">
              <w:rPr>
                <w:webHidden/>
              </w:rPr>
              <w:fldChar w:fldCharType="separate"/>
            </w:r>
            <w:r w:rsidR="00E13096">
              <w:rPr>
                <w:webHidden/>
              </w:rPr>
              <w:t>17</w:t>
            </w:r>
            <w:r w:rsidR="001177F1">
              <w:rPr>
                <w:webHidden/>
              </w:rPr>
              <w:fldChar w:fldCharType="end"/>
            </w:r>
          </w:hyperlink>
        </w:p>
        <w:p w:rsidR="001177F1" w:rsidRDefault="005A35CF">
          <w:pPr>
            <w:pStyle w:val="TOC3"/>
            <w:rPr>
              <w:rFonts w:asciiTheme="minorHAnsi" w:eastAsiaTheme="minorEastAsia" w:hAnsiTheme="minorHAnsi"/>
              <w:lang w:eastAsia="en-AU"/>
            </w:rPr>
          </w:pPr>
          <w:hyperlink w:anchor="_Toc413831043" w:history="1">
            <w:r w:rsidR="001177F1" w:rsidRPr="00750B61">
              <w:rPr>
                <w:rStyle w:val="Hyperlink"/>
              </w:rPr>
              <w:t>2.4.2</w:t>
            </w:r>
            <w:r w:rsidR="001177F1">
              <w:rPr>
                <w:rFonts w:asciiTheme="minorHAnsi" w:eastAsiaTheme="minorEastAsia" w:hAnsiTheme="minorHAnsi"/>
                <w:lang w:eastAsia="en-AU"/>
              </w:rPr>
              <w:tab/>
            </w:r>
            <w:r w:rsidR="001177F1" w:rsidRPr="00750B61">
              <w:rPr>
                <w:rStyle w:val="Hyperlink"/>
              </w:rPr>
              <w:t>Forecast closing RAB as at 30 June 2020</w:t>
            </w:r>
            <w:r w:rsidR="001177F1">
              <w:rPr>
                <w:webHidden/>
              </w:rPr>
              <w:tab/>
            </w:r>
            <w:r w:rsidR="00486D86">
              <w:rPr>
                <w:webHidden/>
              </w:rPr>
              <w:t>2-</w:t>
            </w:r>
            <w:r w:rsidR="001177F1">
              <w:rPr>
                <w:webHidden/>
              </w:rPr>
              <w:fldChar w:fldCharType="begin"/>
            </w:r>
            <w:r w:rsidR="001177F1">
              <w:rPr>
                <w:webHidden/>
              </w:rPr>
              <w:instrText xml:space="preserve"> PAGEREF _Toc413831043 \h </w:instrText>
            </w:r>
            <w:r w:rsidR="001177F1">
              <w:rPr>
                <w:webHidden/>
              </w:rPr>
            </w:r>
            <w:r w:rsidR="001177F1">
              <w:rPr>
                <w:webHidden/>
              </w:rPr>
              <w:fldChar w:fldCharType="separate"/>
            </w:r>
            <w:r w:rsidR="00E13096">
              <w:rPr>
                <w:webHidden/>
              </w:rPr>
              <w:t>18</w:t>
            </w:r>
            <w:r w:rsidR="001177F1">
              <w:rPr>
                <w:webHidden/>
              </w:rPr>
              <w:fldChar w:fldCharType="end"/>
            </w:r>
          </w:hyperlink>
        </w:p>
        <w:p w:rsidR="001177F1" w:rsidRDefault="005A35CF">
          <w:pPr>
            <w:pStyle w:val="TOC3"/>
            <w:rPr>
              <w:rFonts w:asciiTheme="minorHAnsi" w:eastAsiaTheme="minorEastAsia" w:hAnsiTheme="minorHAnsi"/>
              <w:lang w:eastAsia="en-AU"/>
            </w:rPr>
          </w:pPr>
          <w:hyperlink w:anchor="_Toc413831044" w:history="1">
            <w:r w:rsidR="001177F1" w:rsidRPr="00750B61">
              <w:rPr>
                <w:rStyle w:val="Hyperlink"/>
              </w:rPr>
              <w:t>2.4.3</w:t>
            </w:r>
            <w:r w:rsidR="001177F1">
              <w:rPr>
                <w:rFonts w:asciiTheme="minorHAnsi" w:eastAsiaTheme="minorEastAsia" w:hAnsiTheme="minorHAnsi"/>
                <w:lang w:eastAsia="en-AU"/>
              </w:rPr>
              <w:tab/>
            </w:r>
            <w:r w:rsidR="001177F1" w:rsidRPr="00750B61">
              <w:rPr>
                <w:rStyle w:val="Hyperlink"/>
              </w:rPr>
              <w:t xml:space="preserve">Application of depreciation approach in RAB roll forward for next </w:t>
            </w:r>
            <w:r w:rsidR="001177F1">
              <w:rPr>
                <w:rStyle w:val="Hyperlink"/>
              </w:rPr>
              <w:tab/>
            </w:r>
            <w:r w:rsidR="001177F1" w:rsidRPr="00750B61">
              <w:rPr>
                <w:rStyle w:val="Hyperlink"/>
              </w:rPr>
              <w:t>reset</w:t>
            </w:r>
            <w:r w:rsidR="001177F1">
              <w:rPr>
                <w:webHidden/>
              </w:rPr>
              <w:tab/>
            </w:r>
            <w:r w:rsidR="00486D86">
              <w:rPr>
                <w:webHidden/>
              </w:rPr>
              <w:t>2-</w:t>
            </w:r>
            <w:r w:rsidR="001177F1">
              <w:rPr>
                <w:webHidden/>
              </w:rPr>
              <w:fldChar w:fldCharType="begin"/>
            </w:r>
            <w:r w:rsidR="001177F1">
              <w:rPr>
                <w:webHidden/>
              </w:rPr>
              <w:instrText xml:space="preserve"> PAGEREF _Toc413831044 \h </w:instrText>
            </w:r>
            <w:r w:rsidR="001177F1">
              <w:rPr>
                <w:webHidden/>
              </w:rPr>
            </w:r>
            <w:r w:rsidR="001177F1">
              <w:rPr>
                <w:webHidden/>
              </w:rPr>
              <w:fldChar w:fldCharType="separate"/>
            </w:r>
            <w:r w:rsidR="00E13096">
              <w:rPr>
                <w:webHidden/>
              </w:rPr>
              <w:t>18</w:t>
            </w:r>
            <w:r w:rsidR="001177F1">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3831030"/>
      <w:r>
        <w:lastRenderedPageBreak/>
        <w:t>Shortened forms</w:t>
      </w:r>
      <w:bookmarkEnd w:id="8"/>
      <w:bookmarkEnd w:id="9"/>
    </w:p>
    <w:tbl>
      <w:tblPr>
        <w:tblStyle w:val="AERtable-numbers"/>
        <w:tblW w:w="0" w:type="auto"/>
        <w:tblLook w:val="04A0" w:firstRow="1" w:lastRow="0" w:firstColumn="1" w:lastColumn="0" w:noHBand="0" w:noVBand="1"/>
      </w:tblPr>
      <w:tblGrid>
        <w:gridCol w:w="4340"/>
        <w:gridCol w:w="4353"/>
      </w:tblGrid>
      <w:tr w:rsidR="00DE563D" w:rsidTr="00A700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B9704F" w:rsidTr="001C776B">
        <w:tc>
          <w:tcPr>
            <w:cnfStyle w:val="001000000000" w:firstRow="0" w:lastRow="0" w:firstColumn="1" w:lastColumn="0" w:oddVBand="0" w:evenVBand="0" w:oddHBand="0" w:evenHBand="0" w:firstRowFirstColumn="0" w:firstRowLastColumn="0" w:lastRowFirstColumn="0" w:lastRowLastColumn="0"/>
            <w:tcW w:w="4340" w:type="dxa"/>
          </w:tcPr>
          <w:p w:rsidR="00B9704F" w:rsidRDefault="00B9704F" w:rsidP="00375552">
            <w:pPr>
              <w:pStyle w:val="AERtabletextleft"/>
            </w:pPr>
            <w:r>
              <w:t>ABS</w:t>
            </w:r>
          </w:p>
        </w:tc>
        <w:tc>
          <w:tcPr>
            <w:tcW w:w="4353" w:type="dxa"/>
          </w:tcPr>
          <w:p w:rsidR="00B9704F" w:rsidRDefault="00B9704F" w:rsidP="0007702D">
            <w:pPr>
              <w:pStyle w:val="AERtabletextleft"/>
              <w:jc w:val="left"/>
              <w:cnfStyle w:val="000000000000" w:firstRow="0" w:lastRow="0" w:firstColumn="0" w:lastColumn="0" w:oddVBand="0" w:evenVBand="0" w:oddHBand="0" w:evenHBand="0" w:firstRowFirstColumn="0" w:firstRowLastColumn="0" w:lastRowFirstColumn="0" w:lastRowLastColumn="0"/>
            </w:pPr>
            <w:r>
              <w:t>Australian Bureau of Statistics</w:t>
            </w:r>
          </w:p>
        </w:tc>
      </w:tr>
      <w:tr w:rsidR="00375552" w:rsidTr="001C7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375552" w:rsidRDefault="00375552" w:rsidP="00375552">
            <w:pPr>
              <w:pStyle w:val="AERtabletextleft"/>
            </w:pPr>
            <w:r>
              <w:t>ACS</w:t>
            </w:r>
          </w:p>
        </w:tc>
        <w:tc>
          <w:tcPr>
            <w:tcW w:w="4353" w:type="dxa"/>
          </w:tcPr>
          <w:p w:rsidR="00375552" w:rsidRDefault="00375552" w:rsidP="008B46F3">
            <w:pPr>
              <w:pStyle w:val="AERtabletextleft"/>
              <w:jc w:val="left"/>
              <w:cnfStyle w:val="000000010000" w:firstRow="0" w:lastRow="0" w:firstColumn="0" w:lastColumn="0" w:oddVBand="0" w:evenVBand="0" w:oddHBand="0" w:evenHBand="1" w:firstRowFirstColumn="0" w:firstRowLastColumn="0" w:lastRowFirstColumn="0" w:lastRowLastColumn="0"/>
            </w:pPr>
            <w:r>
              <w:t>alternative control services</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proofErr w:type="spellStart"/>
            <w:r>
              <w:t>augex</w:t>
            </w:r>
            <w:proofErr w:type="spellEnd"/>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A546B4" w:rsidP="00A546B4">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expenditure forecast assessment </w:t>
            </w:r>
            <w:r w:rsidR="00A546B4">
              <w:t>G</w:t>
            </w:r>
            <w:r>
              <w:t>uideline for electricity distribution</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A546B4">
              <w:t xml:space="preserve">and </w:t>
            </w:r>
            <w:r>
              <w:t>pricing principles</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465039">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07702D" w:rsidTr="00A700AB">
        <w:tc>
          <w:tcPr>
            <w:cnfStyle w:val="001000000000" w:firstRow="0" w:lastRow="0" w:firstColumn="1" w:lastColumn="0" w:oddVBand="0" w:evenVBand="0" w:oddHBand="0" w:evenHBand="0" w:firstRowFirstColumn="0" w:firstRowLastColumn="0" w:lastRowFirstColumn="0" w:lastRowLastColumn="0"/>
            <w:tcW w:w="4340" w:type="dxa"/>
          </w:tcPr>
          <w:p w:rsidR="0007702D" w:rsidRDefault="0007702D" w:rsidP="00DE563D">
            <w:pPr>
              <w:pStyle w:val="AERtabletextleft"/>
            </w:pPr>
            <w:r>
              <w:t>SCS</w:t>
            </w:r>
          </w:p>
        </w:tc>
        <w:tc>
          <w:tcPr>
            <w:tcW w:w="4353" w:type="dxa"/>
          </w:tcPr>
          <w:p w:rsidR="0007702D" w:rsidRDefault="0007702D" w:rsidP="0007702D">
            <w:pPr>
              <w:pStyle w:val="AERtabletextleft"/>
              <w:jc w:val="left"/>
              <w:cnfStyle w:val="000000000000" w:firstRow="0" w:lastRow="0" w:firstColumn="0" w:lastColumn="0" w:oddVBand="0" w:evenVBand="0" w:oddHBand="0" w:evenHBand="0" w:firstRowFirstColumn="0" w:firstRowLastColumn="0" w:lastRowFirstColumn="0" w:lastRowLastColumn="0"/>
            </w:pPr>
            <w:r>
              <w:t>standard control services</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465039">
            <w:pPr>
              <w:pStyle w:val="AERtabletextleft"/>
              <w:jc w:val="lef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0F67F7" w:rsidRPr="00E60A0B" w:rsidRDefault="000F67F7" w:rsidP="00E60A0B">
      <w:pPr>
        <w:pStyle w:val="Heading1"/>
      </w:pPr>
      <w:bookmarkStart w:id="10" w:name="_Toc413831031"/>
      <w:r w:rsidRPr="00E60A0B">
        <w:lastRenderedPageBreak/>
        <w:t>Regulatory asset base</w:t>
      </w:r>
      <w:bookmarkEnd w:id="10"/>
    </w:p>
    <w:p w:rsidR="000F67F7" w:rsidRDefault="000F67F7" w:rsidP="000F67F7">
      <w:pPr>
        <w:numPr>
          <w:ilvl w:val="0"/>
          <w:numId w:val="25"/>
        </w:numPr>
      </w:pPr>
      <w:r w:rsidRPr="00AD7289">
        <w:rPr>
          <w:rStyle w:val="AERbody"/>
        </w:rPr>
        <w:t xml:space="preserve">We are required to make a decision on </w:t>
      </w:r>
      <w:r>
        <w:rPr>
          <w:rStyle w:val="AERbody"/>
        </w:rPr>
        <w:t>Energex</w:t>
      </w:r>
      <w:r w:rsidRPr="00AD7289">
        <w:rPr>
          <w:rStyle w:val="AERbody"/>
        </w:rPr>
        <w:t>'</w:t>
      </w:r>
      <w:r>
        <w:rPr>
          <w:rStyle w:val="AERbody"/>
        </w:rPr>
        <w:t>s</w:t>
      </w:r>
      <w:r w:rsidRPr="00AD7289">
        <w:rPr>
          <w:rStyle w:val="AERbody"/>
        </w:rPr>
        <w:t xml:space="preserve"> opening regulatory asset base (RAB) as at 1 July 2015.</w:t>
      </w:r>
      <w:r w:rsidRPr="00AD7289">
        <w:rPr>
          <w:rStyle w:val="AERsuperscript"/>
        </w:rPr>
        <w:footnoteReference w:id="1"/>
      </w:r>
      <w:r w:rsidRPr="00AD7289">
        <w:rPr>
          <w:rStyle w:val="AERbody"/>
        </w:rPr>
        <w:t xml:space="preserve"> We use the RAB at the start of each regulatory year to determine the return of capital (regulatory depreciation) and return on capital building block allowances. This attachment presents our preliminary decision on the opening RAB value as at 1 July 2015 for </w:t>
      </w:r>
      <w:r>
        <w:rPr>
          <w:rStyle w:val="AERbody"/>
        </w:rPr>
        <w:t>Energex</w:t>
      </w:r>
      <w:r w:rsidRPr="00AD7289">
        <w:rPr>
          <w:rStyle w:val="AERbody"/>
        </w:rPr>
        <w:t xml:space="preserve"> and roll forward of the forecast RAB over the 2015–20 regulatory control period.</w:t>
      </w:r>
    </w:p>
    <w:p w:rsidR="000F67F7" w:rsidRPr="00E60A0B" w:rsidRDefault="000F67F7" w:rsidP="00E60A0B">
      <w:pPr>
        <w:pStyle w:val="Heading2"/>
      </w:pPr>
      <w:bookmarkStart w:id="11" w:name="_Toc403060801"/>
      <w:bookmarkStart w:id="12" w:name="_Toc413831032"/>
      <w:r w:rsidRPr="00E60A0B">
        <w:t>Preliminary decision</w:t>
      </w:r>
      <w:bookmarkEnd w:id="11"/>
      <w:bookmarkEnd w:id="12"/>
    </w:p>
    <w:p w:rsidR="000F67F7" w:rsidRPr="00465039" w:rsidRDefault="000F67F7" w:rsidP="000F67F7">
      <w:pPr>
        <w:numPr>
          <w:ilvl w:val="0"/>
          <w:numId w:val="25"/>
        </w:numPr>
        <w:rPr>
          <w:rStyle w:val="AERbody"/>
        </w:rPr>
      </w:pPr>
      <w:r w:rsidRPr="00AD7289">
        <w:t xml:space="preserve">We do not accept </w:t>
      </w:r>
      <w:r>
        <w:t>Energex</w:t>
      </w:r>
      <w:r w:rsidRPr="00AD7289">
        <w:t>'</w:t>
      </w:r>
      <w:r>
        <w:t>s</w:t>
      </w:r>
      <w:r w:rsidRPr="00AD7289">
        <w:t xml:space="preserve"> proposed opening RAB of </w:t>
      </w:r>
      <w:r w:rsidR="00D811DC">
        <w:t>$</w:t>
      </w:r>
      <w:r w:rsidR="00465039">
        <w:t>11</w:t>
      </w:r>
      <w:r w:rsidR="001E624E">
        <w:t> </w:t>
      </w:r>
      <w:r w:rsidR="00465039">
        <w:t>313.1</w:t>
      </w:r>
      <w:r>
        <w:t xml:space="preserve"> million</w:t>
      </w:r>
      <w:r w:rsidRPr="00AD7289">
        <w:t xml:space="preserve"> ($ nominal) as at 1 July 2015.</w:t>
      </w:r>
      <w:r w:rsidRPr="00AD7289">
        <w:rPr>
          <w:rStyle w:val="FootnoteReference"/>
        </w:rPr>
        <w:footnoteReference w:id="2"/>
      </w:r>
      <w:r w:rsidRPr="00AD7289">
        <w:t xml:space="preserve"> We instead determine an opening RAB value </w:t>
      </w:r>
      <w:r w:rsidRPr="00465039">
        <w:rPr>
          <w:rStyle w:val="AERbody"/>
        </w:rPr>
        <w:t>of $</w:t>
      </w:r>
      <w:r w:rsidR="00D811DC">
        <w:rPr>
          <w:rStyle w:val="AERbody"/>
        </w:rPr>
        <w:t>11</w:t>
      </w:r>
      <w:r w:rsidR="001E624E">
        <w:rPr>
          <w:rStyle w:val="AERbody"/>
        </w:rPr>
        <w:t> </w:t>
      </w:r>
      <w:r w:rsidR="00D811DC">
        <w:rPr>
          <w:rStyle w:val="AERbody"/>
        </w:rPr>
        <w:t>3</w:t>
      </w:r>
      <w:r w:rsidR="008E6E77">
        <w:rPr>
          <w:rStyle w:val="AERbody"/>
        </w:rPr>
        <w:t>33.</w:t>
      </w:r>
      <w:r w:rsidR="00714554">
        <w:rPr>
          <w:rStyle w:val="AERbody"/>
        </w:rPr>
        <w:t>7</w:t>
      </w:r>
      <w:r w:rsidR="00D811DC">
        <w:rPr>
          <w:rStyle w:val="AERbody"/>
        </w:rPr>
        <w:t xml:space="preserve"> </w:t>
      </w:r>
      <w:r w:rsidRPr="00465039">
        <w:rPr>
          <w:rStyle w:val="AERbody"/>
        </w:rPr>
        <w:t xml:space="preserve">million ($ nominal) as at 1 July 2015. This is because </w:t>
      </w:r>
      <w:r w:rsidR="00465039">
        <w:rPr>
          <w:rStyle w:val="AERbody"/>
        </w:rPr>
        <w:t xml:space="preserve">of </w:t>
      </w:r>
      <w:r w:rsidR="00A4295F">
        <w:rPr>
          <w:rStyle w:val="AERbody"/>
        </w:rPr>
        <w:t xml:space="preserve">input </w:t>
      </w:r>
      <w:r w:rsidR="00465039">
        <w:rPr>
          <w:rStyle w:val="AERbody"/>
        </w:rPr>
        <w:t xml:space="preserve">errors in the remaining asset lives </w:t>
      </w:r>
      <w:r w:rsidR="00A4295F">
        <w:rPr>
          <w:rStyle w:val="AERbody"/>
        </w:rPr>
        <w:t xml:space="preserve">used to roll forward the RAB </w:t>
      </w:r>
      <w:r w:rsidR="00465039">
        <w:rPr>
          <w:rStyle w:val="AERbody"/>
        </w:rPr>
        <w:t>and adjustments for capitalised provisions</w:t>
      </w:r>
      <w:r w:rsidR="00721D32">
        <w:rPr>
          <w:rStyle w:val="AERbody"/>
        </w:rPr>
        <w:t>.</w:t>
      </w:r>
      <w:r w:rsidR="000D453F">
        <w:rPr>
          <w:rStyle w:val="AERbody"/>
        </w:rPr>
        <w:t xml:space="preserve"> Meters were also reclassified as </w:t>
      </w:r>
      <w:r w:rsidR="00981F53">
        <w:rPr>
          <w:rStyle w:val="AERbody"/>
        </w:rPr>
        <w:t xml:space="preserve">ACS </w:t>
      </w:r>
      <w:r w:rsidR="000D453F">
        <w:rPr>
          <w:rStyle w:val="AERbody"/>
        </w:rPr>
        <w:t>and</w:t>
      </w:r>
      <w:r w:rsidR="008237CC">
        <w:rPr>
          <w:rStyle w:val="AERbody"/>
        </w:rPr>
        <w:t xml:space="preserve"> we removed</w:t>
      </w:r>
      <w:r w:rsidR="000D453F">
        <w:rPr>
          <w:rStyle w:val="AERbody"/>
        </w:rPr>
        <w:t xml:space="preserve"> certain</w:t>
      </w:r>
      <w:r w:rsidR="0058755C">
        <w:rPr>
          <w:rStyle w:val="AERbody"/>
        </w:rPr>
        <w:t xml:space="preserve"> load control assets (associated with newer meter types) and</w:t>
      </w:r>
      <w:r w:rsidR="000D453F">
        <w:rPr>
          <w:rStyle w:val="AERbody"/>
        </w:rPr>
        <w:t xml:space="preserve"> </w:t>
      </w:r>
      <w:r w:rsidR="0058755C">
        <w:rPr>
          <w:rStyle w:val="AERbody"/>
        </w:rPr>
        <w:t xml:space="preserve">certain </w:t>
      </w:r>
      <w:r w:rsidR="000D453F">
        <w:rPr>
          <w:rStyle w:val="AERbody"/>
        </w:rPr>
        <w:t>unregulated assets from the RAB.</w:t>
      </w:r>
      <w:r w:rsidR="000D453F">
        <w:rPr>
          <w:rStyle w:val="FootnoteReference"/>
        </w:rPr>
        <w:footnoteReference w:id="3"/>
      </w:r>
      <w:r w:rsidR="00721D32">
        <w:rPr>
          <w:rStyle w:val="AERbody"/>
        </w:rPr>
        <w:t xml:space="preserve"> These</w:t>
      </w:r>
      <w:r w:rsidRPr="00465039">
        <w:rPr>
          <w:rStyle w:val="AERbody"/>
        </w:rPr>
        <w:t xml:space="preserve"> amendment</w:t>
      </w:r>
      <w:r w:rsidR="00721D32">
        <w:rPr>
          <w:rStyle w:val="AERbody"/>
        </w:rPr>
        <w:t>s</w:t>
      </w:r>
      <w:r w:rsidRPr="00465039">
        <w:rPr>
          <w:rStyle w:val="AERbody"/>
        </w:rPr>
        <w:t xml:space="preserve"> </w:t>
      </w:r>
      <w:r w:rsidR="001E6C3F">
        <w:rPr>
          <w:rStyle w:val="AERbody"/>
        </w:rPr>
        <w:t xml:space="preserve">result in a net </w:t>
      </w:r>
      <w:r w:rsidR="00721D32">
        <w:rPr>
          <w:rStyle w:val="AERbody"/>
        </w:rPr>
        <w:t>in</w:t>
      </w:r>
      <w:r w:rsidRPr="00465039">
        <w:rPr>
          <w:rStyle w:val="AERbody"/>
        </w:rPr>
        <w:t>crease</w:t>
      </w:r>
      <w:r w:rsidR="001E6C3F">
        <w:rPr>
          <w:rStyle w:val="AERbody"/>
        </w:rPr>
        <w:t xml:space="preserve"> to</w:t>
      </w:r>
      <w:r w:rsidRPr="00465039">
        <w:rPr>
          <w:rStyle w:val="AERbody"/>
        </w:rPr>
        <w:t xml:space="preserve"> the ope</w:t>
      </w:r>
      <w:r w:rsidR="00D811DC">
        <w:rPr>
          <w:rStyle w:val="AERbody"/>
        </w:rPr>
        <w:t>ning RAB as at 1 July 2015 by $</w:t>
      </w:r>
      <w:r w:rsidR="008E6E77">
        <w:rPr>
          <w:rStyle w:val="AERbody"/>
        </w:rPr>
        <w:t>20.</w:t>
      </w:r>
      <w:r w:rsidR="00714554">
        <w:rPr>
          <w:rStyle w:val="AERbody"/>
        </w:rPr>
        <w:t>6</w:t>
      </w:r>
      <w:r w:rsidRPr="00465039">
        <w:rPr>
          <w:rStyle w:val="AERbody"/>
        </w:rPr>
        <w:t xml:space="preserve"> million (or </w:t>
      </w:r>
      <w:r w:rsidR="00D811DC">
        <w:rPr>
          <w:rStyle w:val="AERbody"/>
        </w:rPr>
        <w:t>0.</w:t>
      </w:r>
      <w:r w:rsidR="008E6E77">
        <w:rPr>
          <w:rStyle w:val="AERbody"/>
        </w:rPr>
        <w:t>2</w:t>
      </w:r>
      <w:r w:rsidRPr="00465039">
        <w:rPr>
          <w:rStyle w:val="AERbody"/>
        </w:rPr>
        <w:t xml:space="preserve"> per cent) compared to that proposed.</w:t>
      </w:r>
    </w:p>
    <w:p w:rsidR="000F67F7" w:rsidRDefault="000F67F7" w:rsidP="000F67F7">
      <w:pPr>
        <w:numPr>
          <w:ilvl w:val="0"/>
          <w:numId w:val="25"/>
        </w:numPr>
      </w:pPr>
      <w:r w:rsidRPr="00AD7289">
        <w:t>To determine the opening RAB as at 1 July 2015, we have rolled forward the RAB over the 2010–15 regulatory control period to determine a closing RAB value at 30 June 2015. This roll forward includes an adjustment at the end of the 2010–15 regulatory control period to account for the difference between actual 2009–10 capex and the estimate approved at the 2010 determination.</w:t>
      </w:r>
      <w:r w:rsidRPr="00AD7289">
        <w:rPr>
          <w:rStyle w:val="FootnoteReference"/>
        </w:rPr>
        <w:footnoteReference w:id="4"/>
      </w:r>
      <w:r w:rsidRPr="00AD7289">
        <w:t xml:space="preserve"> </w:t>
      </w:r>
    </w:p>
    <w:p w:rsidR="000F67F7" w:rsidRDefault="000E2112" w:rsidP="000E2112">
      <w:r>
        <w:fldChar w:fldCharType="begin"/>
      </w:r>
      <w:r>
        <w:instrText xml:space="preserve"> REF _Ref416938074 \h </w:instrText>
      </w:r>
      <w:r>
        <w:fldChar w:fldCharType="separate"/>
      </w:r>
      <w:r w:rsidR="001E624E" w:rsidRPr="00E00467">
        <w:t xml:space="preserve">Table </w:t>
      </w:r>
      <w:r w:rsidR="001E624E">
        <w:rPr>
          <w:noProof/>
        </w:rPr>
        <w:t>2</w:t>
      </w:r>
      <w:r w:rsidR="001E624E">
        <w:t>.</w:t>
      </w:r>
      <w:r w:rsidR="001E624E">
        <w:rPr>
          <w:noProof/>
        </w:rPr>
        <w:t>1</w:t>
      </w:r>
      <w:r>
        <w:fldChar w:fldCharType="end"/>
      </w:r>
      <w:r>
        <w:t xml:space="preserve"> </w:t>
      </w:r>
      <w:r w:rsidR="000F67F7" w:rsidRPr="00AD7289">
        <w:t>sets out our preliminary decision on the roll forward of the RAB values for the 2010–15 regulatory control period.</w:t>
      </w:r>
    </w:p>
    <w:p w:rsidR="00814035" w:rsidRDefault="00814035" w:rsidP="00814035">
      <w:pPr>
        <w:numPr>
          <w:ilvl w:val="0"/>
          <w:numId w:val="25"/>
        </w:numPr>
      </w:pPr>
      <w:bookmarkStart w:id="13" w:name="_Ref406141567"/>
      <w:bookmarkStart w:id="14" w:name="_Ref406141561"/>
      <w:r w:rsidRPr="006001AB">
        <w:t xml:space="preserve">We determine a forecast closing RAB value at 30 June 2020 </w:t>
      </w:r>
      <w:r w:rsidRPr="00F37D9F">
        <w:rPr>
          <w:rStyle w:val="AERbody"/>
        </w:rPr>
        <w:t>of $</w:t>
      </w:r>
      <w:r w:rsidR="00714554">
        <w:rPr>
          <w:rStyle w:val="AERbody"/>
        </w:rPr>
        <w:t>13</w:t>
      </w:r>
      <w:r w:rsidR="001E624E">
        <w:rPr>
          <w:rStyle w:val="AERbody"/>
        </w:rPr>
        <w:t> </w:t>
      </w:r>
      <w:r w:rsidR="00714554">
        <w:rPr>
          <w:rStyle w:val="AERbody"/>
        </w:rPr>
        <w:t>32</w:t>
      </w:r>
      <w:r w:rsidR="00E9105B">
        <w:rPr>
          <w:rStyle w:val="AERbody"/>
        </w:rPr>
        <w:t>9.9</w:t>
      </w:r>
      <w:r w:rsidR="00714554" w:rsidRPr="00F37D9F">
        <w:rPr>
          <w:rStyle w:val="AERbody"/>
        </w:rPr>
        <w:t> </w:t>
      </w:r>
      <w:r w:rsidRPr="00F37D9F">
        <w:rPr>
          <w:rStyle w:val="AERbody"/>
        </w:rPr>
        <w:t>million ($ nominal). This is $</w:t>
      </w:r>
      <w:r w:rsidR="00714554">
        <w:rPr>
          <w:rStyle w:val="AERbody"/>
        </w:rPr>
        <w:t>92</w:t>
      </w:r>
      <w:r w:rsidR="00E9105B">
        <w:rPr>
          <w:rStyle w:val="AERbody"/>
        </w:rPr>
        <w:t>5.2</w:t>
      </w:r>
      <w:r w:rsidR="002F5949">
        <w:rPr>
          <w:rStyle w:val="AERbody"/>
        </w:rPr>
        <w:t> m</w:t>
      </w:r>
      <w:r w:rsidRPr="00F37D9F">
        <w:rPr>
          <w:rStyle w:val="AERbody"/>
        </w:rPr>
        <w:t xml:space="preserve">illion (or </w:t>
      </w:r>
      <w:r w:rsidR="00714554">
        <w:rPr>
          <w:rStyle w:val="AERbody"/>
        </w:rPr>
        <w:t xml:space="preserve">6.5 </w:t>
      </w:r>
      <w:r w:rsidRPr="00F37D9F">
        <w:rPr>
          <w:rStyle w:val="AERbody"/>
        </w:rPr>
        <w:t>per cent) lower than the amount of $</w:t>
      </w:r>
      <w:r w:rsidR="00714554">
        <w:rPr>
          <w:rStyle w:val="AERbody"/>
        </w:rPr>
        <w:t>14</w:t>
      </w:r>
      <w:r w:rsidR="001E624E">
        <w:rPr>
          <w:rStyle w:val="AERbody"/>
        </w:rPr>
        <w:t> </w:t>
      </w:r>
      <w:r w:rsidR="00714554">
        <w:rPr>
          <w:rStyle w:val="AERbody"/>
        </w:rPr>
        <w:t>255.2</w:t>
      </w:r>
      <w:r w:rsidR="00A71699">
        <w:rPr>
          <w:rStyle w:val="AERbody"/>
        </w:rPr>
        <w:t> </w:t>
      </w:r>
      <w:r w:rsidRPr="00F37D9F">
        <w:rPr>
          <w:rStyle w:val="AERbody"/>
        </w:rPr>
        <w:t>million ($ nominal) proposed by Energex. Our preliminary decision on the forecast closing RAB reflects the amended opening RAB as at 1 July 2015, and our preliminary dec</w:t>
      </w:r>
      <w:r w:rsidRPr="006001AB">
        <w:t>isions on forecast capex (attachment 6) and forecast regulatory depreciation (attachment 5).</w:t>
      </w:r>
    </w:p>
    <w:p w:rsidR="00814035" w:rsidRPr="006001AB" w:rsidRDefault="00A71699" w:rsidP="00EA41D6">
      <w:r w:rsidRPr="00EA41D6">
        <w:fldChar w:fldCharType="begin"/>
      </w:r>
      <w:r w:rsidRPr="00EA41D6">
        <w:instrText xml:space="preserve"> REF _Ref406144543 \h  \* MERGEFORMAT </w:instrText>
      </w:r>
      <w:r w:rsidRPr="00EA41D6">
        <w:fldChar w:fldCharType="separate"/>
      </w:r>
      <w:r w:rsidR="001E624E" w:rsidRPr="001E624E">
        <w:t>Table 2.2</w:t>
      </w:r>
      <w:r w:rsidRPr="00EA41D6">
        <w:fldChar w:fldCharType="end"/>
      </w:r>
      <w:r>
        <w:t xml:space="preserve"> </w:t>
      </w:r>
      <w:r w:rsidR="00814035" w:rsidRPr="006001AB">
        <w:t xml:space="preserve">sets out our preliminary decision on the forecast RAB values for </w:t>
      </w:r>
      <w:r w:rsidR="00814035">
        <w:t>Energex</w:t>
      </w:r>
      <w:r w:rsidR="00814035" w:rsidRPr="006001AB">
        <w:t xml:space="preserve"> over the 2015–20 regulatory control </w:t>
      </w:r>
      <w:proofErr w:type="gramStart"/>
      <w:r w:rsidR="00814035" w:rsidRPr="006001AB">
        <w:t>period</w:t>
      </w:r>
      <w:proofErr w:type="gramEnd"/>
      <w:r w:rsidR="00814035" w:rsidRPr="006001AB">
        <w:t>.</w:t>
      </w:r>
    </w:p>
    <w:p w:rsidR="000F67F7" w:rsidRPr="00E00467" w:rsidRDefault="000F67F7" w:rsidP="00E00467">
      <w:pPr>
        <w:pStyle w:val="Caption"/>
        <w:rPr>
          <w:rStyle w:val="AERtexthighlight"/>
          <w:shd w:val="clear" w:color="auto" w:fill="auto"/>
        </w:rPr>
      </w:pPr>
      <w:bookmarkStart w:id="15" w:name="_Ref416938074"/>
      <w:r w:rsidRPr="00E00467">
        <w:lastRenderedPageBreak/>
        <w:t xml:space="preserve">Table </w:t>
      </w:r>
      <w:r w:rsidR="00055416">
        <w:fldChar w:fldCharType="begin"/>
      </w:r>
      <w:r w:rsidR="00055416">
        <w:instrText xml:space="preserve"> STYLEREF 1 \s </w:instrText>
      </w:r>
      <w:r w:rsidR="00055416">
        <w:fldChar w:fldCharType="separate"/>
      </w:r>
      <w:r w:rsidR="001E624E">
        <w:rPr>
          <w:noProof/>
        </w:rPr>
        <w:t>2</w:t>
      </w:r>
      <w:r w:rsidR="00055416">
        <w:rPr>
          <w:noProof/>
        </w:rPr>
        <w:fldChar w:fldCharType="end"/>
      </w:r>
      <w:r w:rsidR="00D811DC">
        <w:t>.</w:t>
      </w:r>
      <w:r w:rsidR="00055416">
        <w:fldChar w:fldCharType="begin"/>
      </w:r>
      <w:r w:rsidR="00055416">
        <w:instrText xml:space="preserve"> SEQ Table \* ARABIC \s 1 </w:instrText>
      </w:r>
      <w:r w:rsidR="00055416">
        <w:fldChar w:fldCharType="separate"/>
      </w:r>
      <w:r w:rsidR="001E624E">
        <w:rPr>
          <w:noProof/>
        </w:rPr>
        <w:t>1</w:t>
      </w:r>
      <w:r w:rsidR="00055416">
        <w:rPr>
          <w:noProof/>
        </w:rPr>
        <w:fldChar w:fldCharType="end"/>
      </w:r>
      <w:bookmarkEnd w:id="13"/>
      <w:bookmarkEnd w:id="15"/>
      <w:r w:rsidRPr="00E00467">
        <w:tab/>
      </w:r>
      <w:r w:rsidRPr="00E00467">
        <w:rPr>
          <w:rStyle w:val="AERtexthighlight"/>
          <w:shd w:val="clear" w:color="auto" w:fill="auto"/>
        </w:rPr>
        <w:t>AER's preliminary decision on Energex's RAB for the 2010–15 regulatory control period ($ million, nominal)</w:t>
      </w:r>
      <w:bookmarkEnd w:id="14"/>
    </w:p>
    <w:tbl>
      <w:tblPr>
        <w:tblStyle w:val="AERtable-numbers"/>
        <w:tblW w:w="5036" w:type="pct"/>
        <w:tblLayout w:type="fixed"/>
        <w:tblLook w:val="04A0" w:firstRow="1" w:lastRow="0" w:firstColumn="1" w:lastColumn="0" w:noHBand="0" w:noVBand="1"/>
      </w:tblPr>
      <w:tblGrid>
        <w:gridCol w:w="3796"/>
        <w:gridCol w:w="992"/>
        <w:gridCol w:w="991"/>
        <w:gridCol w:w="993"/>
        <w:gridCol w:w="991"/>
        <w:gridCol w:w="993"/>
      </w:tblGrid>
      <w:tr w:rsidR="004C76ED" w:rsidRPr="00237902" w:rsidTr="002379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7" w:type="pct"/>
            <w:noWrap/>
            <w:hideMark/>
          </w:tcPr>
          <w:p w:rsidR="000F67F7" w:rsidRPr="00237902" w:rsidRDefault="000F67F7" w:rsidP="00237902">
            <w:r w:rsidRPr="00237902">
              <w:t> </w:t>
            </w:r>
          </w:p>
        </w:tc>
        <w:tc>
          <w:tcPr>
            <w:tcW w:w="566" w:type="pct"/>
            <w:noWrap/>
            <w:hideMark/>
          </w:tcPr>
          <w:p w:rsidR="000F67F7" w:rsidRPr="00237902" w:rsidRDefault="000F67F7" w:rsidP="00237902">
            <w:pPr>
              <w:cnfStyle w:val="100000000000" w:firstRow="1" w:lastRow="0" w:firstColumn="0" w:lastColumn="0" w:oddVBand="0" w:evenVBand="0" w:oddHBand="0" w:evenHBand="0" w:firstRowFirstColumn="0" w:firstRowLastColumn="0" w:lastRowFirstColumn="0" w:lastRowLastColumn="0"/>
            </w:pPr>
            <w:r w:rsidRPr="00237902">
              <w:t>2010–11</w:t>
            </w:r>
          </w:p>
        </w:tc>
        <w:tc>
          <w:tcPr>
            <w:tcW w:w="566" w:type="pct"/>
            <w:noWrap/>
            <w:hideMark/>
          </w:tcPr>
          <w:p w:rsidR="000F67F7" w:rsidRPr="00237902" w:rsidRDefault="000F67F7" w:rsidP="00237902">
            <w:pPr>
              <w:cnfStyle w:val="100000000000" w:firstRow="1" w:lastRow="0" w:firstColumn="0" w:lastColumn="0" w:oddVBand="0" w:evenVBand="0" w:oddHBand="0" w:evenHBand="0" w:firstRowFirstColumn="0" w:firstRowLastColumn="0" w:lastRowFirstColumn="0" w:lastRowLastColumn="0"/>
            </w:pPr>
            <w:r w:rsidRPr="00237902">
              <w:t>2011–12</w:t>
            </w:r>
          </w:p>
        </w:tc>
        <w:tc>
          <w:tcPr>
            <w:tcW w:w="567" w:type="pct"/>
            <w:noWrap/>
            <w:hideMark/>
          </w:tcPr>
          <w:p w:rsidR="000F67F7" w:rsidRPr="00237902" w:rsidRDefault="000F67F7" w:rsidP="00237902">
            <w:pPr>
              <w:cnfStyle w:val="100000000000" w:firstRow="1" w:lastRow="0" w:firstColumn="0" w:lastColumn="0" w:oddVBand="0" w:evenVBand="0" w:oddHBand="0" w:evenHBand="0" w:firstRowFirstColumn="0" w:firstRowLastColumn="0" w:lastRowFirstColumn="0" w:lastRowLastColumn="0"/>
            </w:pPr>
            <w:r w:rsidRPr="00237902">
              <w:t>2012–13</w:t>
            </w:r>
          </w:p>
        </w:tc>
        <w:tc>
          <w:tcPr>
            <w:tcW w:w="566" w:type="pct"/>
            <w:noWrap/>
            <w:hideMark/>
          </w:tcPr>
          <w:p w:rsidR="000F67F7" w:rsidRPr="00237902" w:rsidRDefault="000F67F7" w:rsidP="00237902">
            <w:pPr>
              <w:cnfStyle w:val="100000000000" w:firstRow="1" w:lastRow="0" w:firstColumn="0" w:lastColumn="0" w:oddVBand="0" w:evenVBand="0" w:oddHBand="0" w:evenHBand="0" w:firstRowFirstColumn="0" w:firstRowLastColumn="0" w:lastRowFirstColumn="0" w:lastRowLastColumn="0"/>
            </w:pPr>
            <w:r w:rsidRPr="00237902">
              <w:t>2013–14</w:t>
            </w:r>
          </w:p>
        </w:tc>
        <w:tc>
          <w:tcPr>
            <w:tcW w:w="567" w:type="pct"/>
            <w:noWrap/>
            <w:hideMark/>
          </w:tcPr>
          <w:p w:rsidR="000F67F7" w:rsidRPr="00237902" w:rsidRDefault="000F67F7" w:rsidP="00237902">
            <w:pPr>
              <w:cnfStyle w:val="100000000000" w:firstRow="1" w:lastRow="0" w:firstColumn="0" w:lastColumn="0" w:oddVBand="0" w:evenVBand="0" w:oddHBand="0" w:evenHBand="0" w:firstRowFirstColumn="0" w:firstRowLastColumn="0" w:lastRowFirstColumn="0" w:lastRowLastColumn="0"/>
            </w:pPr>
            <w:r w:rsidRPr="00237902">
              <w:t>2014–15</w:t>
            </w:r>
            <w:r w:rsidRPr="00237902">
              <w:rPr>
                <w:rStyle w:val="AERsuperscript"/>
              </w:rPr>
              <w:t>a</w:t>
            </w:r>
          </w:p>
        </w:tc>
      </w:tr>
      <w:tr w:rsidR="004C76ED" w:rsidRPr="00237902" w:rsidTr="00237902">
        <w:trPr>
          <w:trHeight w:val="340"/>
        </w:trPr>
        <w:tc>
          <w:tcPr>
            <w:cnfStyle w:val="001000000000" w:firstRow="0" w:lastRow="0" w:firstColumn="1" w:lastColumn="0" w:oddVBand="0" w:evenVBand="0" w:oddHBand="0" w:evenHBand="0" w:firstRowFirstColumn="0" w:firstRowLastColumn="0" w:lastRowFirstColumn="0" w:lastRowLastColumn="0"/>
            <w:tcW w:w="2167" w:type="pct"/>
            <w:noWrap/>
            <w:hideMark/>
          </w:tcPr>
          <w:p w:rsidR="000B5ADF" w:rsidRPr="00237902" w:rsidRDefault="000B5ADF" w:rsidP="00237902">
            <w:r w:rsidRPr="00237902">
              <w:t>Opening RAB</w:t>
            </w:r>
          </w:p>
        </w:tc>
        <w:tc>
          <w:tcPr>
            <w:tcW w:w="566" w:type="pct"/>
            <w:noWrap/>
            <w:vAlign w:val="top"/>
          </w:tcPr>
          <w:p w:rsidR="000B5ADF" w:rsidRPr="00237902" w:rsidRDefault="000B5ADF" w:rsidP="00237902">
            <w:pPr>
              <w:cnfStyle w:val="000000000000" w:firstRow="0" w:lastRow="0" w:firstColumn="0" w:lastColumn="0" w:oddVBand="0" w:evenVBand="0" w:oddHBand="0" w:evenHBand="0" w:firstRowFirstColumn="0" w:firstRowLastColumn="0" w:lastRowFirstColumn="0" w:lastRowLastColumn="0"/>
            </w:pPr>
            <w:r w:rsidRPr="00237902">
              <w:t xml:space="preserve"> 7867.3 </w:t>
            </w:r>
          </w:p>
        </w:tc>
        <w:tc>
          <w:tcPr>
            <w:tcW w:w="566" w:type="pct"/>
            <w:noWrap/>
            <w:vAlign w:val="top"/>
          </w:tcPr>
          <w:p w:rsidR="000B5ADF" w:rsidRPr="00237902" w:rsidRDefault="000B5ADF" w:rsidP="00237902">
            <w:pPr>
              <w:cnfStyle w:val="000000000000" w:firstRow="0" w:lastRow="0" w:firstColumn="0" w:lastColumn="0" w:oddVBand="0" w:evenVBand="0" w:oddHBand="0" w:evenHBand="0" w:firstRowFirstColumn="0" w:firstRowLastColumn="0" w:lastRowFirstColumn="0" w:lastRowLastColumn="0"/>
            </w:pPr>
            <w:r w:rsidRPr="00237902">
              <w:t xml:space="preserve"> 8856.5 </w:t>
            </w:r>
          </w:p>
        </w:tc>
        <w:tc>
          <w:tcPr>
            <w:tcW w:w="567" w:type="pct"/>
            <w:noWrap/>
            <w:vAlign w:val="top"/>
          </w:tcPr>
          <w:p w:rsidR="000B5ADF" w:rsidRPr="00237902" w:rsidRDefault="000B5ADF" w:rsidP="00237902">
            <w:pPr>
              <w:cnfStyle w:val="000000000000" w:firstRow="0" w:lastRow="0" w:firstColumn="0" w:lastColumn="0" w:oddVBand="0" w:evenVBand="0" w:oddHBand="0" w:evenHBand="0" w:firstRowFirstColumn="0" w:firstRowLastColumn="0" w:lastRowFirstColumn="0" w:lastRowLastColumn="0"/>
            </w:pPr>
            <w:r w:rsidRPr="00237902">
              <w:t xml:space="preserve"> 9645.6 </w:t>
            </w:r>
          </w:p>
        </w:tc>
        <w:tc>
          <w:tcPr>
            <w:tcW w:w="566" w:type="pct"/>
            <w:noWrap/>
            <w:vAlign w:val="top"/>
          </w:tcPr>
          <w:p w:rsidR="000B5ADF" w:rsidRPr="00237902" w:rsidRDefault="000B5ADF" w:rsidP="00237902">
            <w:pPr>
              <w:cnfStyle w:val="000000000000" w:firstRow="0" w:lastRow="0" w:firstColumn="0" w:lastColumn="0" w:oddVBand="0" w:evenVBand="0" w:oddHBand="0" w:evenHBand="0" w:firstRowFirstColumn="0" w:firstRowLastColumn="0" w:lastRowFirstColumn="0" w:lastRowLastColumn="0"/>
            </w:pPr>
            <w:r w:rsidRPr="00237902">
              <w:t xml:space="preserve"> 10462.1 </w:t>
            </w:r>
          </w:p>
        </w:tc>
        <w:tc>
          <w:tcPr>
            <w:tcW w:w="567" w:type="pct"/>
            <w:noWrap/>
            <w:vAlign w:val="top"/>
          </w:tcPr>
          <w:p w:rsidR="000B5ADF" w:rsidRPr="00237902" w:rsidRDefault="000B5ADF" w:rsidP="00237902">
            <w:pPr>
              <w:cnfStyle w:val="000000000000" w:firstRow="0" w:lastRow="0" w:firstColumn="0" w:lastColumn="0" w:oddVBand="0" w:evenVBand="0" w:oddHBand="0" w:evenHBand="0" w:firstRowFirstColumn="0" w:firstRowLastColumn="0" w:lastRowFirstColumn="0" w:lastRowLastColumn="0"/>
            </w:pPr>
            <w:r w:rsidRPr="00237902">
              <w:t xml:space="preserve"> 11178.3 </w:t>
            </w:r>
          </w:p>
        </w:tc>
      </w:tr>
      <w:tr w:rsidR="004C76ED" w:rsidRPr="00237902" w:rsidTr="0023790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7" w:type="pct"/>
            <w:noWrap/>
            <w:hideMark/>
          </w:tcPr>
          <w:p w:rsidR="000B5ADF" w:rsidRPr="00237902" w:rsidRDefault="000B5ADF" w:rsidP="00237902">
            <w:r w:rsidRPr="00237902">
              <w:t>Capital expenditure</w:t>
            </w:r>
            <w:r w:rsidRPr="00237902">
              <w:rPr>
                <w:rStyle w:val="AERsuperscript"/>
              </w:rPr>
              <w:t>b</w:t>
            </w:r>
          </w:p>
        </w:tc>
        <w:tc>
          <w:tcPr>
            <w:tcW w:w="566" w:type="pct"/>
            <w:noWrap/>
            <w:vAlign w:val="top"/>
          </w:tcPr>
          <w:p w:rsidR="000B5ADF" w:rsidRPr="00237902" w:rsidRDefault="000B5ADF" w:rsidP="00237902">
            <w:pPr>
              <w:cnfStyle w:val="000000010000" w:firstRow="0" w:lastRow="0" w:firstColumn="0" w:lastColumn="0" w:oddVBand="0" w:evenVBand="0" w:oddHBand="0" w:evenHBand="1" w:firstRowFirstColumn="0" w:firstRowLastColumn="0" w:lastRowFirstColumn="0" w:lastRowLastColumn="0"/>
            </w:pPr>
            <w:r w:rsidRPr="00237902">
              <w:t xml:space="preserve"> 1004.9 </w:t>
            </w:r>
          </w:p>
        </w:tc>
        <w:tc>
          <w:tcPr>
            <w:tcW w:w="566" w:type="pct"/>
            <w:noWrap/>
            <w:vAlign w:val="top"/>
          </w:tcPr>
          <w:p w:rsidR="000B5ADF" w:rsidRPr="00237902" w:rsidRDefault="000B5ADF" w:rsidP="00237902">
            <w:pPr>
              <w:cnfStyle w:val="000000010000" w:firstRow="0" w:lastRow="0" w:firstColumn="0" w:lastColumn="0" w:oddVBand="0" w:evenVBand="0" w:oddHBand="0" w:evenHBand="1" w:firstRowFirstColumn="0" w:firstRowLastColumn="0" w:lastRowFirstColumn="0" w:lastRowLastColumn="0"/>
            </w:pPr>
            <w:r w:rsidRPr="00237902">
              <w:t xml:space="preserve"> 965.7 </w:t>
            </w:r>
          </w:p>
        </w:tc>
        <w:tc>
          <w:tcPr>
            <w:tcW w:w="567" w:type="pct"/>
            <w:noWrap/>
            <w:vAlign w:val="top"/>
          </w:tcPr>
          <w:p w:rsidR="000B5ADF" w:rsidRPr="00237902" w:rsidRDefault="000B5ADF" w:rsidP="00237902">
            <w:pPr>
              <w:cnfStyle w:val="000000010000" w:firstRow="0" w:lastRow="0" w:firstColumn="0" w:lastColumn="0" w:oddVBand="0" w:evenVBand="0" w:oddHBand="0" w:evenHBand="1" w:firstRowFirstColumn="0" w:firstRowLastColumn="0" w:lastRowFirstColumn="0" w:lastRowLastColumn="0"/>
            </w:pPr>
            <w:r w:rsidRPr="00237902">
              <w:t xml:space="preserve"> 921.9 </w:t>
            </w:r>
          </w:p>
        </w:tc>
        <w:tc>
          <w:tcPr>
            <w:tcW w:w="566" w:type="pct"/>
            <w:noWrap/>
            <w:vAlign w:val="top"/>
          </w:tcPr>
          <w:p w:rsidR="000B5ADF" w:rsidRPr="00237902" w:rsidRDefault="000B5ADF" w:rsidP="00237902">
            <w:pPr>
              <w:cnfStyle w:val="000000010000" w:firstRow="0" w:lastRow="0" w:firstColumn="0" w:lastColumn="0" w:oddVBand="0" w:evenVBand="0" w:oddHBand="0" w:evenHBand="1" w:firstRowFirstColumn="0" w:firstRowLastColumn="0" w:lastRowFirstColumn="0" w:lastRowLastColumn="0"/>
            </w:pPr>
            <w:r w:rsidRPr="00237902">
              <w:t xml:space="preserve"> 789.0 </w:t>
            </w:r>
          </w:p>
        </w:tc>
        <w:tc>
          <w:tcPr>
            <w:tcW w:w="567" w:type="pct"/>
            <w:noWrap/>
            <w:vAlign w:val="top"/>
          </w:tcPr>
          <w:p w:rsidR="000B5ADF" w:rsidRPr="00237902" w:rsidRDefault="000B5ADF" w:rsidP="00237902">
            <w:pPr>
              <w:cnfStyle w:val="000000010000" w:firstRow="0" w:lastRow="0" w:firstColumn="0" w:lastColumn="0" w:oddVBand="0" w:evenVBand="0" w:oddHBand="0" w:evenHBand="1" w:firstRowFirstColumn="0" w:firstRowLastColumn="0" w:lastRowFirstColumn="0" w:lastRowLastColumn="0"/>
            </w:pPr>
            <w:r w:rsidRPr="00237902">
              <w:t xml:space="preserve"> 848.5 </w:t>
            </w:r>
          </w:p>
        </w:tc>
      </w:tr>
      <w:tr w:rsidR="004C76ED" w:rsidRPr="00237902" w:rsidTr="00237902">
        <w:trPr>
          <w:trHeight w:val="340"/>
        </w:trPr>
        <w:tc>
          <w:tcPr>
            <w:cnfStyle w:val="001000000000" w:firstRow="0" w:lastRow="0" w:firstColumn="1" w:lastColumn="0" w:oddVBand="0" w:evenVBand="0" w:oddHBand="0" w:evenHBand="0" w:firstRowFirstColumn="0" w:firstRowLastColumn="0" w:lastRowFirstColumn="0" w:lastRowLastColumn="0"/>
            <w:tcW w:w="2167" w:type="pct"/>
            <w:noWrap/>
            <w:hideMark/>
          </w:tcPr>
          <w:p w:rsidR="000B5ADF" w:rsidRPr="00237902" w:rsidRDefault="000B5ADF" w:rsidP="00237902">
            <w:r w:rsidRPr="00237902">
              <w:t>Inflation indexation on opening RAB</w:t>
            </w:r>
          </w:p>
        </w:tc>
        <w:tc>
          <w:tcPr>
            <w:tcW w:w="566" w:type="pct"/>
            <w:noWrap/>
            <w:vAlign w:val="top"/>
          </w:tcPr>
          <w:p w:rsidR="000B5ADF" w:rsidRPr="00237902" w:rsidRDefault="000B5ADF" w:rsidP="00237902">
            <w:pPr>
              <w:cnfStyle w:val="000000000000" w:firstRow="0" w:lastRow="0" w:firstColumn="0" w:lastColumn="0" w:oddVBand="0" w:evenVBand="0" w:oddHBand="0" w:evenHBand="0" w:firstRowFirstColumn="0" w:firstRowLastColumn="0" w:lastRowFirstColumn="0" w:lastRowLastColumn="0"/>
            </w:pPr>
            <w:r w:rsidRPr="00237902">
              <w:t>277.7</w:t>
            </w:r>
          </w:p>
        </w:tc>
        <w:tc>
          <w:tcPr>
            <w:tcW w:w="566" w:type="pct"/>
            <w:noWrap/>
            <w:vAlign w:val="top"/>
          </w:tcPr>
          <w:p w:rsidR="000B5ADF" w:rsidRPr="00237902" w:rsidRDefault="000B5ADF" w:rsidP="00237902">
            <w:pPr>
              <w:cnfStyle w:val="000000000000" w:firstRow="0" w:lastRow="0" w:firstColumn="0" w:lastColumn="0" w:oddVBand="0" w:evenVBand="0" w:oddHBand="0" w:evenHBand="0" w:firstRowFirstColumn="0" w:firstRowLastColumn="0" w:lastRowFirstColumn="0" w:lastRowLastColumn="0"/>
            </w:pPr>
            <w:r w:rsidRPr="00237902">
              <w:t>316.5</w:t>
            </w:r>
          </w:p>
        </w:tc>
        <w:tc>
          <w:tcPr>
            <w:tcW w:w="567" w:type="pct"/>
            <w:noWrap/>
            <w:vAlign w:val="top"/>
          </w:tcPr>
          <w:p w:rsidR="000B5ADF" w:rsidRPr="00237902" w:rsidRDefault="000B5ADF" w:rsidP="00237902">
            <w:pPr>
              <w:cnfStyle w:val="000000000000" w:firstRow="0" w:lastRow="0" w:firstColumn="0" w:lastColumn="0" w:oddVBand="0" w:evenVBand="0" w:oddHBand="0" w:evenHBand="0" w:firstRowFirstColumn="0" w:firstRowLastColumn="0" w:lastRowFirstColumn="0" w:lastRowLastColumn="0"/>
            </w:pPr>
            <w:r w:rsidRPr="00237902">
              <w:t>346.6</w:t>
            </w:r>
          </w:p>
        </w:tc>
        <w:tc>
          <w:tcPr>
            <w:tcW w:w="566" w:type="pct"/>
            <w:noWrap/>
            <w:vAlign w:val="top"/>
          </w:tcPr>
          <w:p w:rsidR="000B5ADF" w:rsidRPr="00237902" w:rsidRDefault="000B5ADF" w:rsidP="00237902">
            <w:pPr>
              <w:cnfStyle w:val="000000000000" w:firstRow="0" w:lastRow="0" w:firstColumn="0" w:lastColumn="0" w:oddVBand="0" w:evenVBand="0" w:oddHBand="0" w:evenHBand="0" w:firstRowFirstColumn="0" w:firstRowLastColumn="0" w:lastRowFirstColumn="0" w:lastRowLastColumn="0"/>
            </w:pPr>
            <w:r w:rsidRPr="00237902">
              <w:t xml:space="preserve">379.3 </w:t>
            </w:r>
          </w:p>
        </w:tc>
        <w:tc>
          <w:tcPr>
            <w:tcW w:w="567" w:type="pct"/>
            <w:noWrap/>
            <w:vAlign w:val="top"/>
          </w:tcPr>
          <w:p w:rsidR="000B5ADF" w:rsidRPr="00237902" w:rsidRDefault="0096726E" w:rsidP="00237902">
            <w:pPr>
              <w:cnfStyle w:val="000000000000" w:firstRow="0" w:lastRow="0" w:firstColumn="0" w:lastColumn="0" w:oddVBand="0" w:evenVBand="0" w:oddHBand="0" w:evenHBand="0" w:firstRowFirstColumn="0" w:firstRowLastColumn="0" w:lastRowFirstColumn="0" w:lastRowLastColumn="0"/>
            </w:pPr>
            <w:r>
              <w:t>403.7</w:t>
            </w:r>
            <w:r w:rsidR="000B5ADF" w:rsidRPr="00237902">
              <w:t xml:space="preserve"> </w:t>
            </w:r>
          </w:p>
        </w:tc>
      </w:tr>
      <w:tr w:rsidR="004C76ED" w:rsidRPr="00237902" w:rsidTr="0023790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7" w:type="pct"/>
            <w:noWrap/>
            <w:hideMark/>
          </w:tcPr>
          <w:p w:rsidR="000B5ADF" w:rsidRPr="00237902" w:rsidRDefault="000B5ADF" w:rsidP="00237902">
            <w:r w:rsidRPr="00237902">
              <w:rPr>
                <w:rStyle w:val="AERtextitalic"/>
              </w:rPr>
              <w:t>Less</w:t>
            </w:r>
            <w:r w:rsidRPr="00237902">
              <w:t>: straight-line depreciation</w:t>
            </w:r>
          </w:p>
        </w:tc>
        <w:tc>
          <w:tcPr>
            <w:tcW w:w="566" w:type="pct"/>
            <w:noWrap/>
            <w:vAlign w:val="top"/>
          </w:tcPr>
          <w:p w:rsidR="000B5ADF" w:rsidRPr="00237902" w:rsidRDefault="000B5ADF" w:rsidP="00237902">
            <w:pPr>
              <w:cnfStyle w:val="000000010000" w:firstRow="0" w:lastRow="0" w:firstColumn="0" w:lastColumn="0" w:oddVBand="0" w:evenVBand="0" w:oddHBand="0" w:evenHBand="1" w:firstRowFirstColumn="0" w:firstRowLastColumn="0" w:lastRowFirstColumn="0" w:lastRowLastColumn="0"/>
            </w:pPr>
            <w:r w:rsidRPr="00237902">
              <w:t xml:space="preserve"> 262.0 </w:t>
            </w:r>
          </w:p>
        </w:tc>
        <w:tc>
          <w:tcPr>
            <w:tcW w:w="566" w:type="pct"/>
            <w:noWrap/>
            <w:vAlign w:val="top"/>
          </w:tcPr>
          <w:p w:rsidR="000B5ADF" w:rsidRPr="00237902" w:rsidRDefault="000B5ADF" w:rsidP="00237902">
            <w:pPr>
              <w:cnfStyle w:val="000000010000" w:firstRow="0" w:lastRow="0" w:firstColumn="0" w:lastColumn="0" w:oddVBand="0" w:evenVBand="0" w:oddHBand="0" w:evenHBand="1" w:firstRowFirstColumn="0" w:firstRowLastColumn="0" w:lastRowFirstColumn="0" w:lastRowLastColumn="0"/>
            </w:pPr>
            <w:r w:rsidRPr="00237902">
              <w:t xml:space="preserve"> 139.9 </w:t>
            </w:r>
          </w:p>
        </w:tc>
        <w:tc>
          <w:tcPr>
            <w:tcW w:w="567" w:type="pct"/>
            <w:noWrap/>
            <w:vAlign w:val="top"/>
          </w:tcPr>
          <w:p w:rsidR="000B5ADF" w:rsidRPr="00237902" w:rsidRDefault="000B5ADF" w:rsidP="00237902">
            <w:pPr>
              <w:cnfStyle w:val="000000010000" w:firstRow="0" w:lastRow="0" w:firstColumn="0" w:lastColumn="0" w:oddVBand="0" w:evenVBand="0" w:oddHBand="0" w:evenHBand="1" w:firstRowFirstColumn="0" w:firstRowLastColumn="0" w:lastRowFirstColumn="0" w:lastRowLastColumn="0"/>
            </w:pPr>
            <w:r w:rsidRPr="00237902">
              <w:t xml:space="preserve"> 241.1 </w:t>
            </w:r>
          </w:p>
        </w:tc>
        <w:tc>
          <w:tcPr>
            <w:tcW w:w="566" w:type="pct"/>
            <w:noWrap/>
            <w:vAlign w:val="top"/>
          </w:tcPr>
          <w:p w:rsidR="000B5ADF" w:rsidRPr="00237902" w:rsidRDefault="000B5ADF" w:rsidP="00237902">
            <w:pPr>
              <w:cnfStyle w:val="000000010000" w:firstRow="0" w:lastRow="0" w:firstColumn="0" w:lastColumn="0" w:oddVBand="0" w:evenVBand="0" w:oddHBand="0" w:evenHBand="1" w:firstRowFirstColumn="0" w:firstRowLastColumn="0" w:lastRowFirstColumn="0" w:lastRowLastColumn="0"/>
            </w:pPr>
            <w:r w:rsidRPr="00237902">
              <w:t xml:space="preserve"> 306.5 </w:t>
            </w:r>
          </w:p>
        </w:tc>
        <w:tc>
          <w:tcPr>
            <w:tcW w:w="567" w:type="pct"/>
            <w:noWrap/>
            <w:vAlign w:val="top"/>
          </w:tcPr>
          <w:p w:rsidR="000B5ADF" w:rsidRPr="00237902" w:rsidRDefault="000B5ADF" w:rsidP="00237902">
            <w:pPr>
              <w:cnfStyle w:val="000000010000" w:firstRow="0" w:lastRow="0" w:firstColumn="0" w:lastColumn="0" w:oddVBand="0" w:evenVBand="0" w:oddHBand="0" w:evenHBand="1" w:firstRowFirstColumn="0" w:firstRowLastColumn="0" w:lastRowFirstColumn="0" w:lastRowLastColumn="0"/>
            </w:pPr>
            <w:r w:rsidRPr="00237902">
              <w:t xml:space="preserve"> 251.5 </w:t>
            </w:r>
          </w:p>
        </w:tc>
      </w:tr>
      <w:tr w:rsidR="004C76ED" w:rsidRPr="00237902" w:rsidTr="00237902">
        <w:trPr>
          <w:trHeight w:val="340"/>
        </w:trPr>
        <w:tc>
          <w:tcPr>
            <w:cnfStyle w:val="001000000000" w:firstRow="0" w:lastRow="0" w:firstColumn="1" w:lastColumn="0" w:oddVBand="0" w:evenVBand="0" w:oddHBand="0" w:evenHBand="0" w:firstRowFirstColumn="0" w:firstRowLastColumn="0" w:lastRowFirstColumn="0" w:lastRowLastColumn="0"/>
            <w:tcW w:w="2167" w:type="pct"/>
            <w:noWrap/>
            <w:hideMark/>
          </w:tcPr>
          <w:p w:rsidR="000B5ADF" w:rsidRPr="00237902" w:rsidRDefault="000B5ADF" w:rsidP="00237902">
            <w:r w:rsidRPr="00237902">
              <w:t>Closing RAB</w:t>
            </w:r>
          </w:p>
        </w:tc>
        <w:tc>
          <w:tcPr>
            <w:tcW w:w="566" w:type="pct"/>
            <w:noWrap/>
            <w:vAlign w:val="top"/>
          </w:tcPr>
          <w:p w:rsidR="000B5ADF" w:rsidRPr="00237902" w:rsidRDefault="000B5ADF" w:rsidP="00237902">
            <w:pPr>
              <w:cnfStyle w:val="000000000000" w:firstRow="0" w:lastRow="0" w:firstColumn="0" w:lastColumn="0" w:oddVBand="0" w:evenVBand="0" w:oddHBand="0" w:evenHBand="0" w:firstRowFirstColumn="0" w:firstRowLastColumn="0" w:lastRowFirstColumn="0" w:lastRowLastColumn="0"/>
            </w:pPr>
            <w:r w:rsidRPr="00237902">
              <w:t xml:space="preserve"> 8856.5</w:t>
            </w:r>
          </w:p>
        </w:tc>
        <w:tc>
          <w:tcPr>
            <w:tcW w:w="566" w:type="pct"/>
            <w:noWrap/>
            <w:vAlign w:val="top"/>
          </w:tcPr>
          <w:p w:rsidR="000B5ADF" w:rsidRPr="00237902" w:rsidRDefault="000B5ADF" w:rsidP="00237902">
            <w:pPr>
              <w:cnfStyle w:val="000000000000" w:firstRow="0" w:lastRow="0" w:firstColumn="0" w:lastColumn="0" w:oddVBand="0" w:evenVBand="0" w:oddHBand="0" w:evenHBand="0" w:firstRowFirstColumn="0" w:firstRowLastColumn="0" w:lastRowFirstColumn="0" w:lastRowLastColumn="0"/>
            </w:pPr>
            <w:r w:rsidRPr="00237902">
              <w:t xml:space="preserve"> 9645.6</w:t>
            </w:r>
          </w:p>
        </w:tc>
        <w:tc>
          <w:tcPr>
            <w:tcW w:w="567" w:type="pct"/>
            <w:noWrap/>
            <w:vAlign w:val="top"/>
          </w:tcPr>
          <w:p w:rsidR="000B5ADF" w:rsidRPr="00237902" w:rsidRDefault="000B5ADF" w:rsidP="00237902">
            <w:pPr>
              <w:cnfStyle w:val="000000000000" w:firstRow="0" w:lastRow="0" w:firstColumn="0" w:lastColumn="0" w:oddVBand="0" w:evenVBand="0" w:oddHBand="0" w:evenHBand="0" w:firstRowFirstColumn="0" w:firstRowLastColumn="0" w:lastRowFirstColumn="0" w:lastRowLastColumn="0"/>
            </w:pPr>
            <w:r w:rsidRPr="00237902">
              <w:t xml:space="preserve"> 10462.1 </w:t>
            </w:r>
          </w:p>
        </w:tc>
        <w:tc>
          <w:tcPr>
            <w:tcW w:w="566" w:type="pct"/>
            <w:noWrap/>
            <w:vAlign w:val="top"/>
          </w:tcPr>
          <w:p w:rsidR="000B5ADF" w:rsidRPr="00237902" w:rsidRDefault="000B5ADF" w:rsidP="00237902">
            <w:pPr>
              <w:cnfStyle w:val="000000000000" w:firstRow="0" w:lastRow="0" w:firstColumn="0" w:lastColumn="0" w:oddVBand="0" w:evenVBand="0" w:oddHBand="0" w:evenHBand="0" w:firstRowFirstColumn="0" w:firstRowLastColumn="0" w:lastRowFirstColumn="0" w:lastRowLastColumn="0"/>
            </w:pPr>
            <w:r w:rsidRPr="00237902">
              <w:t xml:space="preserve"> 11178.3 </w:t>
            </w:r>
          </w:p>
        </w:tc>
        <w:tc>
          <w:tcPr>
            <w:tcW w:w="567" w:type="pct"/>
            <w:noWrap/>
            <w:vAlign w:val="top"/>
          </w:tcPr>
          <w:p w:rsidR="000B5ADF" w:rsidRPr="00237902" w:rsidRDefault="000B5ADF" w:rsidP="00237902">
            <w:pPr>
              <w:cnfStyle w:val="000000000000" w:firstRow="0" w:lastRow="0" w:firstColumn="0" w:lastColumn="0" w:oddVBand="0" w:evenVBand="0" w:oddHBand="0" w:evenHBand="0" w:firstRowFirstColumn="0" w:firstRowLastColumn="0" w:lastRowFirstColumn="0" w:lastRowLastColumn="0"/>
            </w:pPr>
            <w:r w:rsidRPr="00237902">
              <w:t xml:space="preserve"> 1187</w:t>
            </w:r>
            <w:r w:rsidR="0096726E">
              <w:t>4</w:t>
            </w:r>
            <w:r w:rsidRPr="00237902">
              <w:t>.</w:t>
            </w:r>
            <w:r w:rsidR="0096726E">
              <w:t>6</w:t>
            </w:r>
            <w:r w:rsidRPr="00237902">
              <w:t xml:space="preserve"> </w:t>
            </w:r>
          </w:p>
        </w:tc>
      </w:tr>
      <w:tr w:rsidR="004C76ED" w:rsidRPr="00237902" w:rsidTr="0023790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7" w:type="pct"/>
            <w:hideMark/>
          </w:tcPr>
          <w:p w:rsidR="000F67F7" w:rsidRPr="00237902" w:rsidRDefault="000F67F7" w:rsidP="00237902">
            <w:r w:rsidRPr="00237902">
              <w:t xml:space="preserve">Difference between estimated and actual </w:t>
            </w:r>
            <w:r w:rsidR="004C76ED" w:rsidRPr="00237902">
              <w:t xml:space="preserve">2009–10 </w:t>
            </w:r>
            <w:r w:rsidRPr="00237902">
              <w:t>capex</w:t>
            </w:r>
            <w:r w:rsidR="00F30662" w:rsidRPr="00237902">
              <w:t xml:space="preserve"> (1 July 2009 to 30 June 2010)</w:t>
            </w:r>
          </w:p>
        </w:tc>
        <w:tc>
          <w:tcPr>
            <w:tcW w:w="566" w:type="pct"/>
            <w:noWrap/>
            <w:vAlign w:val="bottom"/>
            <w:hideMark/>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p>
        </w:tc>
        <w:tc>
          <w:tcPr>
            <w:tcW w:w="566" w:type="pct"/>
            <w:noWrap/>
            <w:vAlign w:val="bottom"/>
            <w:hideMark/>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p>
        </w:tc>
        <w:tc>
          <w:tcPr>
            <w:tcW w:w="567" w:type="pct"/>
            <w:noWrap/>
            <w:vAlign w:val="bottom"/>
            <w:hideMark/>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 </w:t>
            </w:r>
          </w:p>
        </w:tc>
        <w:tc>
          <w:tcPr>
            <w:tcW w:w="566" w:type="pct"/>
            <w:noWrap/>
            <w:vAlign w:val="bottom"/>
            <w:hideMark/>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 </w:t>
            </w:r>
          </w:p>
        </w:tc>
        <w:tc>
          <w:tcPr>
            <w:tcW w:w="567" w:type="pct"/>
            <w:noWrap/>
            <w:vAlign w:val="bottom"/>
          </w:tcPr>
          <w:p w:rsidR="000F67F7" w:rsidRPr="00237902" w:rsidRDefault="00721D32" w:rsidP="00237902">
            <w:pPr>
              <w:cnfStyle w:val="000000010000" w:firstRow="0" w:lastRow="0" w:firstColumn="0" w:lastColumn="0" w:oddVBand="0" w:evenVBand="0" w:oddHBand="0" w:evenHBand="1" w:firstRowFirstColumn="0" w:firstRowLastColumn="0" w:lastRowFirstColumn="0" w:lastRowLastColumn="0"/>
            </w:pPr>
            <w:r w:rsidRPr="00237902">
              <w:t>–</w:t>
            </w:r>
            <w:r w:rsidR="000B5ADF" w:rsidRPr="00237902">
              <w:t>32.7</w:t>
            </w:r>
          </w:p>
        </w:tc>
      </w:tr>
      <w:tr w:rsidR="004C76ED" w:rsidRPr="00237902" w:rsidTr="00237902">
        <w:trPr>
          <w:trHeight w:val="340"/>
        </w:trPr>
        <w:tc>
          <w:tcPr>
            <w:cnfStyle w:val="001000000000" w:firstRow="0" w:lastRow="0" w:firstColumn="1" w:lastColumn="0" w:oddVBand="0" w:evenVBand="0" w:oddHBand="0" w:evenHBand="0" w:firstRowFirstColumn="0" w:firstRowLastColumn="0" w:lastRowFirstColumn="0" w:lastRowLastColumn="0"/>
            <w:tcW w:w="2167" w:type="pct"/>
            <w:hideMark/>
          </w:tcPr>
          <w:p w:rsidR="000F67F7" w:rsidRPr="00237902" w:rsidRDefault="000F67F7" w:rsidP="00237902">
            <w:r w:rsidRPr="00237902">
              <w:t>Return on difference for 2009–10 capex</w:t>
            </w:r>
          </w:p>
        </w:tc>
        <w:tc>
          <w:tcPr>
            <w:tcW w:w="566" w:type="pct"/>
            <w:noWrap/>
            <w:vAlign w:val="bottom"/>
            <w:hideMark/>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p>
        </w:tc>
        <w:tc>
          <w:tcPr>
            <w:tcW w:w="566" w:type="pct"/>
            <w:noWrap/>
            <w:vAlign w:val="bottom"/>
            <w:hideMark/>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p>
        </w:tc>
        <w:tc>
          <w:tcPr>
            <w:tcW w:w="567" w:type="pct"/>
            <w:noWrap/>
            <w:vAlign w:val="bottom"/>
            <w:hideMark/>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p>
        </w:tc>
        <w:tc>
          <w:tcPr>
            <w:tcW w:w="566" w:type="pct"/>
            <w:noWrap/>
            <w:vAlign w:val="bottom"/>
            <w:hideMark/>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p>
        </w:tc>
        <w:tc>
          <w:tcPr>
            <w:tcW w:w="567" w:type="pct"/>
            <w:noWrap/>
            <w:vAlign w:val="bottom"/>
          </w:tcPr>
          <w:p w:rsidR="000F67F7" w:rsidRPr="00237902" w:rsidRDefault="00721D32" w:rsidP="00237902">
            <w:pPr>
              <w:cnfStyle w:val="000000000000" w:firstRow="0" w:lastRow="0" w:firstColumn="0" w:lastColumn="0" w:oddVBand="0" w:evenVBand="0" w:oddHBand="0" w:evenHBand="0" w:firstRowFirstColumn="0" w:firstRowLastColumn="0" w:lastRowFirstColumn="0" w:lastRowLastColumn="0"/>
            </w:pPr>
            <w:r w:rsidRPr="00237902">
              <w:t>–</w:t>
            </w:r>
            <w:r w:rsidR="000B5ADF" w:rsidRPr="00237902">
              <w:t>19.3</w:t>
            </w:r>
          </w:p>
        </w:tc>
      </w:tr>
      <w:tr w:rsidR="004C76ED" w:rsidRPr="00237902" w:rsidTr="0023790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7" w:type="pct"/>
            <w:noWrap/>
            <w:hideMark/>
          </w:tcPr>
          <w:p w:rsidR="000F67F7" w:rsidRPr="00237902" w:rsidRDefault="000F67F7" w:rsidP="00237902">
            <w:r w:rsidRPr="00237902">
              <w:t>Closing RAB as at 30 June 2015</w:t>
            </w:r>
          </w:p>
        </w:tc>
        <w:tc>
          <w:tcPr>
            <w:tcW w:w="566" w:type="pct"/>
            <w:noWrap/>
            <w:vAlign w:val="bottom"/>
            <w:hideMark/>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p>
        </w:tc>
        <w:tc>
          <w:tcPr>
            <w:tcW w:w="566" w:type="pct"/>
            <w:noWrap/>
            <w:vAlign w:val="bottom"/>
            <w:hideMark/>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p>
        </w:tc>
        <w:tc>
          <w:tcPr>
            <w:tcW w:w="567" w:type="pct"/>
            <w:noWrap/>
            <w:vAlign w:val="bottom"/>
            <w:hideMark/>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p>
        </w:tc>
        <w:tc>
          <w:tcPr>
            <w:tcW w:w="566" w:type="pct"/>
            <w:noWrap/>
            <w:vAlign w:val="bottom"/>
            <w:hideMark/>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p>
        </w:tc>
        <w:tc>
          <w:tcPr>
            <w:tcW w:w="567" w:type="pct"/>
            <w:noWrap/>
            <w:vAlign w:val="bottom"/>
          </w:tcPr>
          <w:p w:rsidR="000F67F7" w:rsidRPr="00237902" w:rsidRDefault="00721D32" w:rsidP="00237902">
            <w:pPr>
              <w:cnfStyle w:val="000000010000" w:firstRow="0" w:lastRow="0" w:firstColumn="0" w:lastColumn="0" w:oddVBand="0" w:evenVBand="0" w:oddHBand="0" w:evenHBand="1" w:firstRowFirstColumn="0" w:firstRowLastColumn="0" w:lastRowFirstColumn="0" w:lastRowLastColumn="0"/>
            </w:pPr>
            <w:r w:rsidRPr="00237902">
              <w:t>1182</w:t>
            </w:r>
            <w:r w:rsidR="0096726E">
              <w:t>2</w:t>
            </w:r>
            <w:r w:rsidRPr="00237902">
              <w:t>.</w:t>
            </w:r>
            <w:r w:rsidR="0096726E">
              <w:t>6</w:t>
            </w:r>
          </w:p>
        </w:tc>
      </w:tr>
      <w:tr w:rsidR="004C76ED" w:rsidRPr="00237902" w:rsidTr="00237902">
        <w:trPr>
          <w:trHeight w:val="340"/>
        </w:trPr>
        <w:tc>
          <w:tcPr>
            <w:cnfStyle w:val="001000000000" w:firstRow="0" w:lastRow="0" w:firstColumn="1" w:lastColumn="0" w:oddVBand="0" w:evenVBand="0" w:oddHBand="0" w:evenHBand="0" w:firstRowFirstColumn="0" w:firstRowLastColumn="0" w:lastRowFirstColumn="0" w:lastRowLastColumn="0"/>
            <w:tcW w:w="2167" w:type="pct"/>
            <w:noWrap/>
          </w:tcPr>
          <w:p w:rsidR="00E00467" w:rsidRPr="00237902" w:rsidRDefault="0096726E" w:rsidP="00237902">
            <w:r>
              <w:t>Assets</w:t>
            </w:r>
            <w:r w:rsidRPr="00237902">
              <w:t xml:space="preserve"> </w:t>
            </w:r>
            <w:r w:rsidR="00E00467" w:rsidRPr="00237902">
              <w:t>moved to ACS</w:t>
            </w:r>
            <w:r w:rsidR="004C76ED" w:rsidRPr="00237902">
              <w:t xml:space="preserve"> and unregulated asset</w:t>
            </w:r>
            <w:r w:rsidR="000A792F" w:rsidRPr="00237902">
              <w:t>s</w:t>
            </w:r>
            <w:r w:rsidR="004C76ED" w:rsidRPr="00237902">
              <w:t xml:space="preserve"> removed</w:t>
            </w:r>
          </w:p>
        </w:tc>
        <w:tc>
          <w:tcPr>
            <w:tcW w:w="566" w:type="pct"/>
            <w:noWrap/>
            <w:vAlign w:val="bottom"/>
          </w:tcPr>
          <w:p w:rsidR="00E00467" w:rsidRPr="00237902" w:rsidRDefault="00E00467" w:rsidP="00237902">
            <w:pPr>
              <w:cnfStyle w:val="000000000000" w:firstRow="0" w:lastRow="0" w:firstColumn="0" w:lastColumn="0" w:oddVBand="0" w:evenVBand="0" w:oddHBand="0" w:evenHBand="0" w:firstRowFirstColumn="0" w:firstRowLastColumn="0" w:lastRowFirstColumn="0" w:lastRowLastColumn="0"/>
            </w:pPr>
          </w:p>
        </w:tc>
        <w:tc>
          <w:tcPr>
            <w:tcW w:w="566" w:type="pct"/>
            <w:noWrap/>
            <w:vAlign w:val="bottom"/>
          </w:tcPr>
          <w:p w:rsidR="00E00467" w:rsidRPr="00237902" w:rsidRDefault="00E00467" w:rsidP="00237902">
            <w:pPr>
              <w:cnfStyle w:val="000000000000" w:firstRow="0" w:lastRow="0" w:firstColumn="0" w:lastColumn="0" w:oddVBand="0" w:evenVBand="0" w:oddHBand="0" w:evenHBand="0" w:firstRowFirstColumn="0" w:firstRowLastColumn="0" w:lastRowFirstColumn="0" w:lastRowLastColumn="0"/>
            </w:pPr>
          </w:p>
        </w:tc>
        <w:tc>
          <w:tcPr>
            <w:tcW w:w="567" w:type="pct"/>
            <w:noWrap/>
            <w:vAlign w:val="bottom"/>
          </w:tcPr>
          <w:p w:rsidR="00E00467" w:rsidRPr="00237902" w:rsidRDefault="00E00467" w:rsidP="00237902">
            <w:pPr>
              <w:cnfStyle w:val="000000000000" w:firstRow="0" w:lastRow="0" w:firstColumn="0" w:lastColumn="0" w:oddVBand="0" w:evenVBand="0" w:oddHBand="0" w:evenHBand="0" w:firstRowFirstColumn="0" w:firstRowLastColumn="0" w:lastRowFirstColumn="0" w:lastRowLastColumn="0"/>
            </w:pPr>
          </w:p>
        </w:tc>
        <w:tc>
          <w:tcPr>
            <w:tcW w:w="566" w:type="pct"/>
            <w:noWrap/>
            <w:vAlign w:val="bottom"/>
          </w:tcPr>
          <w:p w:rsidR="00E00467" w:rsidRPr="00237902" w:rsidRDefault="00E00467" w:rsidP="00237902">
            <w:pPr>
              <w:cnfStyle w:val="000000000000" w:firstRow="0" w:lastRow="0" w:firstColumn="0" w:lastColumn="0" w:oddVBand="0" w:evenVBand="0" w:oddHBand="0" w:evenHBand="0" w:firstRowFirstColumn="0" w:firstRowLastColumn="0" w:lastRowFirstColumn="0" w:lastRowLastColumn="0"/>
            </w:pPr>
          </w:p>
        </w:tc>
        <w:tc>
          <w:tcPr>
            <w:tcW w:w="567" w:type="pct"/>
            <w:noWrap/>
            <w:vAlign w:val="bottom"/>
          </w:tcPr>
          <w:p w:rsidR="00E00467" w:rsidRPr="00237902" w:rsidRDefault="00F30662" w:rsidP="00237902">
            <w:pPr>
              <w:cnfStyle w:val="000000000000" w:firstRow="0" w:lastRow="0" w:firstColumn="0" w:lastColumn="0" w:oddVBand="0" w:evenVBand="0" w:oddHBand="0" w:evenHBand="0" w:firstRowFirstColumn="0" w:firstRowLastColumn="0" w:lastRowFirstColumn="0" w:lastRowLastColumn="0"/>
            </w:pPr>
            <w:r w:rsidRPr="00237902">
              <w:t>–</w:t>
            </w:r>
            <w:r w:rsidR="00D811DC" w:rsidRPr="00237902">
              <w:t>4</w:t>
            </w:r>
            <w:r w:rsidR="0096726E">
              <w:t>8</w:t>
            </w:r>
            <w:r w:rsidR="00D811DC" w:rsidRPr="00237902">
              <w:t>8.</w:t>
            </w:r>
            <w:r w:rsidR="0096726E">
              <w:t>9</w:t>
            </w:r>
          </w:p>
        </w:tc>
      </w:tr>
      <w:tr w:rsidR="00F30662" w:rsidRPr="00237902" w:rsidTr="00F3066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7" w:type="pct"/>
            <w:noWrap/>
          </w:tcPr>
          <w:p w:rsidR="00E00467" w:rsidRPr="00237902" w:rsidRDefault="00E00467" w:rsidP="00237902">
            <w:pPr>
              <w:rPr>
                <w:rStyle w:val="Strong"/>
              </w:rPr>
            </w:pPr>
            <w:r w:rsidRPr="00237902">
              <w:rPr>
                <w:rStyle w:val="Strong"/>
              </w:rPr>
              <w:t>Opening RAB as at 1 July 2015</w:t>
            </w:r>
          </w:p>
        </w:tc>
        <w:tc>
          <w:tcPr>
            <w:tcW w:w="566" w:type="pct"/>
            <w:noWrap/>
            <w:vAlign w:val="bottom"/>
          </w:tcPr>
          <w:p w:rsidR="00E00467" w:rsidRPr="00237902" w:rsidRDefault="00E00467" w:rsidP="00237902">
            <w:pPr>
              <w:cnfStyle w:val="000000010000" w:firstRow="0" w:lastRow="0" w:firstColumn="0" w:lastColumn="0" w:oddVBand="0" w:evenVBand="0" w:oddHBand="0" w:evenHBand="1" w:firstRowFirstColumn="0" w:firstRowLastColumn="0" w:lastRowFirstColumn="0" w:lastRowLastColumn="0"/>
              <w:rPr>
                <w:rStyle w:val="Strong"/>
              </w:rPr>
            </w:pPr>
          </w:p>
        </w:tc>
        <w:tc>
          <w:tcPr>
            <w:tcW w:w="566" w:type="pct"/>
            <w:noWrap/>
            <w:vAlign w:val="bottom"/>
          </w:tcPr>
          <w:p w:rsidR="00E00467" w:rsidRPr="00237902" w:rsidRDefault="00E00467" w:rsidP="00237902">
            <w:pPr>
              <w:cnfStyle w:val="000000010000" w:firstRow="0" w:lastRow="0" w:firstColumn="0" w:lastColumn="0" w:oddVBand="0" w:evenVBand="0" w:oddHBand="0" w:evenHBand="1" w:firstRowFirstColumn="0" w:firstRowLastColumn="0" w:lastRowFirstColumn="0" w:lastRowLastColumn="0"/>
              <w:rPr>
                <w:rStyle w:val="Strong"/>
              </w:rPr>
            </w:pPr>
          </w:p>
        </w:tc>
        <w:tc>
          <w:tcPr>
            <w:tcW w:w="567" w:type="pct"/>
            <w:noWrap/>
            <w:vAlign w:val="bottom"/>
          </w:tcPr>
          <w:p w:rsidR="00E00467" w:rsidRPr="00237902" w:rsidRDefault="00E00467" w:rsidP="00237902">
            <w:pPr>
              <w:cnfStyle w:val="000000010000" w:firstRow="0" w:lastRow="0" w:firstColumn="0" w:lastColumn="0" w:oddVBand="0" w:evenVBand="0" w:oddHBand="0" w:evenHBand="1" w:firstRowFirstColumn="0" w:firstRowLastColumn="0" w:lastRowFirstColumn="0" w:lastRowLastColumn="0"/>
              <w:rPr>
                <w:rStyle w:val="Strong"/>
              </w:rPr>
            </w:pPr>
          </w:p>
        </w:tc>
        <w:tc>
          <w:tcPr>
            <w:tcW w:w="566" w:type="pct"/>
            <w:noWrap/>
            <w:vAlign w:val="bottom"/>
          </w:tcPr>
          <w:p w:rsidR="00E00467" w:rsidRPr="00237902" w:rsidRDefault="00E00467" w:rsidP="00237902">
            <w:pPr>
              <w:cnfStyle w:val="000000010000" w:firstRow="0" w:lastRow="0" w:firstColumn="0" w:lastColumn="0" w:oddVBand="0" w:evenVBand="0" w:oddHBand="0" w:evenHBand="1" w:firstRowFirstColumn="0" w:firstRowLastColumn="0" w:lastRowFirstColumn="0" w:lastRowLastColumn="0"/>
              <w:rPr>
                <w:rStyle w:val="Strong"/>
              </w:rPr>
            </w:pPr>
          </w:p>
        </w:tc>
        <w:tc>
          <w:tcPr>
            <w:tcW w:w="567" w:type="pct"/>
            <w:noWrap/>
            <w:vAlign w:val="bottom"/>
          </w:tcPr>
          <w:p w:rsidR="00E00467" w:rsidRPr="00237902" w:rsidRDefault="00D811DC" w:rsidP="00237902">
            <w:pPr>
              <w:cnfStyle w:val="000000010000" w:firstRow="0" w:lastRow="0" w:firstColumn="0" w:lastColumn="0" w:oddVBand="0" w:evenVBand="0" w:oddHBand="0" w:evenHBand="1" w:firstRowFirstColumn="0" w:firstRowLastColumn="0" w:lastRowFirstColumn="0" w:lastRowLastColumn="0"/>
              <w:rPr>
                <w:rStyle w:val="Strong"/>
              </w:rPr>
            </w:pPr>
            <w:r w:rsidRPr="00237902">
              <w:rPr>
                <w:rStyle w:val="Strong"/>
              </w:rPr>
              <w:t>113</w:t>
            </w:r>
            <w:r w:rsidR="0096726E">
              <w:rPr>
                <w:rStyle w:val="Strong"/>
              </w:rPr>
              <w:t>33.</w:t>
            </w:r>
            <w:r w:rsidRPr="00237902">
              <w:rPr>
                <w:rStyle w:val="Strong"/>
              </w:rPr>
              <w:t>7</w:t>
            </w:r>
          </w:p>
        </w:tc>
      </w:tr>
    </w:tbl>
    <w:p w:rsidR="000F67F7" w:rsidRPr="006001AB" w:rsidRDefault="000F67F7" w:rsidP="000F67F7">
      <w:pPr>
        <w:pStyle w:val="AERtablesource"/>
      </w:pPr>
      <w:r w:rsidRPr="006001AB">
        <w:t>Source:</w:t>
      </w:r>
      <w:r w:rsidRPr="006001AB">
        <w:tab/>
        <w:t>AER analysis.</w:t>
      </w:r>
    </w:p>
    <w:p w:rsidR="000F67F7" w:rsidRPr="006001AB" w:rsidRDefault="000F67F7" w:rsidP="000F67F7">
      <w:pPr>
        <w:pStyle w:val="AERtablesource"/>
      </w:pPr>
      <w:r w:rsidRPr="006001AB">
        <w:t>(a):</w:t>
      </w:r>
      <w:r w:rsidRPr="006001AB">
        <w:tab/>
        <w:t xml:space="preserve">Based on estimated capex. We will update the RAB roll forward in the </w:t>
      </w:r>
      <w:r w:rsidR="001C0332">
        <w:t>substitute</w:t>
      </w:r>
      <w:r w:rsidR="001C0332" w:rsidRPr="006001AB">
        <w:t xml:space="preserve"> </w:t>
      </w:r>
      <w:r w:rsidRPr="006001AB">
        <w:t>decision.</w:t>
      </w:r>
    </w:p>
    <w:p w:rsidR="000F67F7" w:rsidRPr="006001AB" w:rsidRDefault="000F67F7" w:rsidP="000F67F7">
      <w:pPr>
        <w:pStyle w:val="AERtablesource"/>
      </w:pPr>
      <w:r w:rsidRPr="006001AB">
        <w:t>(b):</w:t>
      </w:r>
      <w:r w:rsidRPr="006001AB">
        <w:tab/>
        <w:t>Net of disposals and adjusted for CPI.</w:t>
      </w:r>
    </w:p>
    <w:p w:rsidR="000F67F7" w:rsidRPr="00F37D9F" w:rsidRDefault="000F67F7" w:rsidP="00DE351E">
      <w:pPr>
        <w:pStyle w:val="Caption"/>
        <w:rPr>
          <w:rStyle w:val="AERbody"/>
          <w:color w:val="076A92" w:themeColor="text1"/>
          <w:sz w:val="24"/>
        </w:rPr>
      </w:pPr>
      <w:bookmarkStart w:id="16" w:name="_Ref406144543"/>
      <w:r w:rsidRPr="00F37D9F">
        <w:rPr>
          <w:rStyle w:val="AERbody"/>
          <w:color w:val="076A92" w:themeColor="text1"/>
          <w:sz w:val="24"/>
        </w:rPr>
        <w:t xml:space="preserve">Table </w:t>
      </w:r>
      <w:r w:rsidR="00D811DC">
        <w:rPr>
          <w:rStyle w:val="AERbody"/>
          <w:color w:val="076A92" w:themeColor="text1"/>
          <w:sz w:val="24"/>
        </w:rPr>
        <w:fldChar w:fldCharType="begin"/>
      </w:r>
      <w:r w:rsidR="00D811DC">
        <w:rPr>
          <w:rStyle w:val="AERbody"/>
          <w:color w:val="076A92" w:themeColor="text1"/>
          <w:sz w:val="24"/>
        </w:rPr>
        <w:instrText xml:space="preserve"> STYLEREF 1 \s </w:instrText>
      </w:r>
      <w:r w:rsidR="00D811DC">
        <w:rPr>
          <w:rStyle w:val="AERbody"/>
          <w:color w:val="076A92" w:themeColor="text1"/>
          <w:sz w:val="24"/>
        </w:rPr>
        <w:fldChar w:fldCharType="separate"/>
      </w:r>
      <w:r w:rsidR="001E624E">
        <w:rPr>
          <w:rStyle w:val="AERbody"/>
          <w:noProof/>
          <w:color w:val="076A92" w:themeColor="text1"/>
          <w:sz w:val="24"/>
        </w:rPr>
        <w:t>2</w:t>
      </w:r>
      <w:r w:rsidR="00D811DC">
        <w:rPr>
          <w:rStyle w:val="AERbody"/>
          <w:color w:val="076A92" w:themeColor="text1"/>
          <w:sz w:val="24"/>
        </w:rPr>
        <w:fldChar w:fldCharType="end"/>
      </w:r>
      <w:r w:rsidR="00D811DC">
        <w:rPr>
          <w:rStyle w:val="AERbody"/>
          <w:color w:val="076A92" w:themeColor="text1"/>
          <w:sz w:val="24"/>
        </w:rPr>
        <w:t>.</w:t>
      </w:r>
      <w:r w:rsidR="00D811DC">
        <w:rPr>
          <w:rStyle w:val="AERbody"/>
          <w:color w:val="076A92" w:themeColor="text1"/>
          <w:sz w:val="24"/>
        </w:rPr>
        <w:fldChar w:fldCharType="begin"/>
      </w:r>
      <w:r w:rsidR="00D811DC">
        <w:rPr>
          <w:rStyle w:val="AERbody"/>
          <w:color w:val="076A92" w:themeColor="text1"/>
          <w:sz w:val="24"/>
        </w:rPr>
        <w:instrText xml:space="preserve"> SEQ Table \* ARABIC \s 1 </w:instrText>
      </w:r>
      <w:r w:rsidR="00D811DC">
        <w:rPr>
          <w:rStyle w:val="AERbody"/>
          <w:color w:val="076A92" w:themeColor="text1"/>
          <w:sz w:val="24"/>
        </w:rPr>
        <w:fldChar w:fldCharType="separate"/>
      </w:r>
      <w:r w:rsidR="001E624E">
        <w:rPr>
          <w:rStyle w:val="AERbody"/>
          <w:noProof/>
          <w:color w:val="076A92" w:themeColor="text1"/>
          <w:sz w:val="24"/>
        </w:rPr>
        <w:t>2</w:t>
      </w:r>
      <w:r w:rsidR="00D811DC">
        <w:rPr>
          <w:rStyle w:val="AERbody"/>
          <w:color w:val="076A92" w:themeColor="text1"/>
          <w:sz w:val="24"/>
        </w:rPr>
        <w:fldChar w:fldCharType="end"/>
      </w:r>
      <w:bookmarkEnd w:id="16"/>
      <w:r w:rsidRPr="00F37D9F">
        <w:rPr>
          <w:rStyle w:val="AERbody"/>
          <w:color w:val="076A92" w:themeColor="text1"/>
          <w:sz w:val="24"/>
        </w:rPr>
        <w:tab/>
        <w:t xml:space="preserve">AER's preliminary decision on Energex's RAB for the 2015–20 </w:t>
      </w:r>
      <w:r w:rsidR="002E1E54" w:rsidRPr="00B11055">
        <w:rPr>
          <w:rStyle w:val="AERbody"/>
          <w:color w:val="076A92" w:themeColor="text1"/>
          <w:sz w:val="24"/>
        </w:rPr>
        <w:t>regulatory control</w:t>
      </w:r>
      <w:r w:rsidR="002E1E54">
        <w:rPr>
          <w:rStyle w:val="AERbody"/>
        </w:rPr>
        <w:t xml:space="preserve"> </w:t>
      </w:r>
      <w:r w:rsidRPr="00F37D9F">
        <w:rPr>
          <w:rStyle w:val="AERbody"/>
          <w:color w:val="076A92" w:themeColor="text1"/>
          <w:sz w:val="24"/>
        </w:rPr>
        <w:t>period ($ million, nominal)</w:t>
      </w:r>
    </w:p>
    <w:tbl>
      <w:tblPr>
        <w:tblStyle w:val="AERtable-numbers"/>
        <w:tblW w:w="5000" w:type="pct"/>
        <w:tblLook w:val="04A0" w:firstRow="1" w:lastRow="0" w:firstColumn="1" w:lastColumn="0" w:noHBand="0" w:noVBand="1"/>
      </w:tblPr>
      <w:tblGrid>
        <w:gridCol w:w="3458"/>
        <w:gridCol w:w="1047"/>
        <w:gridCol w:w="1047"/>
        <w:gridCol w:w="1047"/>
        <w:gridCol w:w="1047"/>
        <w:gridCol w:w="1047"/>
      </w:tblGrid>
      <w:tr w:rsidR="000F67F7" w:rsidRPr="00237902" w:rsidTr="000F67F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0F67F7" w:rsidRPr="00237902" w:rsidRDefault="000F67F7" w:rsidP="00237902">
            <w:r w:rsidRPr="00237902">
              <w:t> </w:t>
            </w:r>
          </w:p>
        </w:tc>
        <w:tc>
          <w:tcPr>
            <w:tcW w:w="602" w:type="pct"/>
            <w:noWrap/>
            <w:hideMark/>
          </w:tcPr>
          <w:p w:rsidR="000F67F7" w:rsidRPr="00237902" w:rsidRDefault="000F67F7" w:rsidP="00237902">
            <w:pPr>
              <w:cnfStyle w:val="100000000000" w:firstRow="1" w:lastRow="0" w:firstColumn="0" w:lastColumn="0" w:oddVBand="0" w:evenVBand="0" w:oddHBand="0" w:evenHBand="0" w:firstRowFirstColumn="0" w:firstRowLastColumn="0" w:lastRowFirstColumn="0" w:lastRowLastColumn="0"/>
            </w:pPr>
            <w:r w:rsidRPr="00237902">
              <w:t>2015–16</w:t>
            </w:r>
          </w:p>
        </w:tc>
        <w:tc>
          <w:tcPr>
            <w:tcW w:w="602" w:type="pct"/>
            <w:noWrap/>
            <w:hideMark/>
          </w:tcPr>
          <w:p w:rsidR="000F67F7" w:rsidRPr="00237902" w:rsidRDefault="000F67F7" w:rsidP="00237902">
            <w:pPr>
              <w:cnfStyle w:val="100000000000" w:firstRow="1" w:lastRow="0" w:firstColumn="0" w:lastColumn="0" w:oddVBand="0" w:evenVBand="0" w:oddHBand="0" w:evenHBand="0" w:firstRowFirstColumn="0" w:firstRowLastColumn="0" w:lastRowFirstColumn="0" w:lastRowLastColumn="0"/>
            </w:pPr>
            <w:r w:rsidRPr="00237902">
              <w:t>2016–17</w:t>
            </w:r>
          </w:p>
        </w:tc>
        <w:tc>
          <w:tcPr>
            <w:tcW w:w="602" w:type="pct"/>
            <w:noWrap/>
            <w:hideMark/>
          </w:tcPr>
          <w:p w:rsidR="000F67F7" w:rsidRPr="00237902" w:rsidRDefault="000F67F7" w:rsidP="00237902">
            <w:pPr>
              <w:cnfStyle w:val="100000000000" w:firstRow="1" w:lastRow="0" w:firstColumn="0" w:lastColumn="0" w:oddVBand="0" w:evenVBand="0" w:oddHBand="0" w:evenHBand="0" w:firstRowFirstColumn="0" w:firstRowLastColumn="0" w:lastRowFirstColumn="0" w:lastRowLastColumn="0"/>
            </w:pPr>
            <w:r w:rsidRPr="00237902">
              <w:t>2017–18</w:t>
            </w:r>
          </w:p>
        </w:tc>
        <w:tc>
          <w:tcPr>
            <w:tcW w:w="602" w:type="pct"/>
            <w:noWrap/>
            <w:hideMark/>
          </w:tcPr>
          <w:p w:rsidR="000F67F7" w:rsidRPr="00237902" w:rsidRDefault="000F67F7" w:rsidP="00237902">
            <w:pPr>
              <w:cnfStyle w:val="100000000000" w:firstRow="1" w:lastRow="0" w:firstColumn="0" w:lastColumn="0" w:oddVBand="0" w:evenVBand="0" w:oddHBand="0" w:evenHBand="0" w:firstRowFirstColumn="0" w:firstRowLastColumn="0" w:lastRowFirstColumn="0" w:lastRowLastColumn="0"/>
            </w:pPr>
            <w:r w:rsidRPr="00237902">
              <w:t>2018–19</w:t>
            </w:r>
          </w:p>
        </w:tc>
        <w:tc>
          <w:tcPr>
            <w:tcW w:w="602" w:type="pct"/>
            <w:noWrap/>
            <w:hideMark/>
          </w:tcPr>
          <w:p w:rsidR="000F67F7" w:rsidRPr="00237902" w:rsidRDefault="000F67F7" w:rsidP="00237902">
            <w:pPr>
              <w:cnfStyle w:val="100000000000" w:firstRow="1" w:lastRow="0" w:firstColumn="0" w:lastColumn="0" w:oddVBand="0" w:evenVBand="0" w:oddHBand="0" w:evenHBand="0" w:firstRowFirstColumn="0" w:firstRowLastColumn="0" w:lastRowFirstColumn="0" w:lastRowLastColumn="0"/>
            </w:pPr>
            <w:r w:rsidRPr="00237902">
              <w:t>2019–20</w:t>
            </w:r>
          </w:p>
        </w:tc>
      </w:tr>
      <w:tr w:rsidR="00E9105B" w:rsidRPr="00237902" w:rsidTr="00C94B89">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E9105B" w:rsidRPr="00E9105B" w:rsidRDefault="00E9105B" w:rsidP="00E9105B">
            <w:r w:rsidRPr="00E9105B">
              <w:t>Opening RAB</w:t>
            </w:r>
          </w:p>
        </w:tc>
        <w:tc>
          <w:tcPr>
            <w:tcW w:w="602" w:type="pct"/>
            <w:noWrap/>
            <w:vAlign w:val="bottom"/>
          </w:tcPr>
          <w:p w:rsidR="00E9105B" w:rsidRPr="00E9105B" w:rsidRDefault="00E9105B" w:rsidP="00E9105B">
            <w:pPr>
              <w:cnfStyle w:val="000000000000" w:firstRow="0" w:lastRow="0" w:firstColumn="0" w:lastColumn="0" w:oddVBand="0" w:evenVBand="0" w:oddHBand="0" w:evenHBand="0" w:firstRowFirstColumn="0" w:firstRowLastColumn="0" w:lastRowFirstColumn="0" w:lastRowLastColumn="0"/>
            </w:pPr>
            <w:r w:rsidRPr="00E9105B">
              <w:t>11333.7</w:t>
            </w:r>
          </w:p>
        </w:tc>
        <w:tc>
          <w:tcPr>
            <w:tcW w:w="602" w:type="pct"/>
            <w:noWrap/>
            <w:vAlign w:val="bottom"/>
          </w:tcPr>
          <w:p w:rsidR="00E9105B" w:rsidRPr="00E9105B" w:rsidRDefault="00E9105B" w:rsidP="00E9105B">
            <w:pPr>
              <w:cnfStyle w:val="000000000000" w:firstRow="0" w:lastRow="0" w:firstColumn="0" w:lastColumn="0" w:oddVBand="0" w:evenVBand="0" w:oddHBand="0" w:evenHBand="0" w:firstRowFirstColumn="0" w:firstRowLastColumn="0" w:lastRowFirstColumn="0" w:lastRowLastColumn="0"/>
            </w:pPr>
            <w:r w:rsidRPr="00E9105B">
              <w:t>11767.5</w:t>
            </w:r>
          </w:p>
        </w:tc>
        <w:tc>
          <w:tcPr>
            <w:tcW w:w="602" w:type="pct"/>
            <w:noWrap/>
            <w:vAlign w:val="bottom"/>
          </w:tcPr>
          <w:p w:rsidR="00E9105B" w:rsidRPr="00E9105B" w:rsidRDefault="00E9105B" w:rsidP="00E9105B">
            <w:pPr>
              <w:cnfStyle w:val="000000000000" w:firstRow="0" w:lastRow="0" w:firstColumn="0" w:lastColumn="0" w:oddVBand="0" w:evenVBand="0" w:oddHBand="0" w:evenHBand="0" w:firstRowFirstColumn="0" w:firstRowLastColumn="0" w:lastRowFirstColumn="0" w:lastRowLastColumn="0"/>
            </w:pPr>
            <w:r w:rsidRPr="00E9105B">
              <w:t>12201.6</w:t>
            </w:r>
          </w:p>
        </w:tc>
        <w:tc>
          <w:tcPr>
            <w:tcW w:w="602" w:type="pct"/>
            <w:noWrap/>
            <w:vAlign w:val="bottom"/>
          </w:tcPr>
          <w:p w:rsidR="00E9105B" w:rsidRPr="00E9105B" w:rsidRDefault="00E9105B" w:rsidP="00E9105B">
            <w:pPr>
              <w:cnfStyle w:val="000000000000" w:firstRow="0" w:lastRow="0" w:firstColumn="0" w:lastColumn="0" w:oddVBand="0" w:evenVBand="0" w:oddHBand="0" w:evenHBand="0" w:firstRowFirstColumn="0" w:firstRowLastColumn="0" w:lastRowFirstColumn="0" w:lastRowLastColumn="0"/>
            </w:pPr>
            <w:r w:rsidRPr="00E9105B">
              <w:t>12584.9</w:t>
            </w:r>
          </w:p>
        </w:tc>
        <w:tc>
          <w:tcPr>
            <w:tcW w:w="602" w:type="pct"/>
            <w:noWrap/>
            <w:vAlign w:val="bottom"/>
          </w:tcPr>
          <w:p w:rsidR="00E9105B" w:rsidRPr="00E9105B" w:rsidRDefault="00E9105B" w:rsidP="00E9105B">
            <w:pPr>
              <w:cnfStyle w:val="000000000000" w:firstRow="0" w:lastRow="0" w:firstColumn="0" w:lastColumn="0" w:oddVBand="0" w:evenVBand="0" w:oddHBand="0" w:evenHBand="0" w:firstRowFirstColumn="0" w:firstRowLastColumn="0" w:lastRowFirstColumn="0" w:lastRowLastColumn="0"/>
            </w:pPr>
            <w:r w:rsidRPr="00E9105B">
              <w:t>12956.5</w:t>
            </w:r>
          </w:p>
        </w:tc>
      </w:tr>
      <w:tr w:rsidR="00E9105B" w:rsidRPr="00237902" w:rsidTr="00C94B8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E9105B" w:rsidRPr="00E9105B" w:rsidRDefault="00E9105B" w:rsidP="00E9105B">
            <w:r w:rsidRPr="00E9105B">
              <w:t>Capital expenditure</w:t>
            </w:r>
            <w:r w:rsidRPr="00E9105B">
              <w:rPr>
                <w:rStyle w:val="AERsuperscript"/>
              </w:rPr>
              <w:t>a</w:t>
            </w:r>
          </w:p>
        </w:tc>
        <w:tc>
          <w:tcPr>
            <w:tcW w:w="602" w:type="pct"/>
            <w:noWrap/>
            <w:vAlign w:val="bottom"/>
          </w:tcPr>
          <w:p w:rsidR="00E9105B" w:rsidRPr="00E9105B" w:rsidRDefault="00E9105B" w:rsidP="00E9105B">
            <w:pPr>
              <w:cnfStyle w:val="000000010000" w:firstRow="0" w:lastRow="0" w:firstColumn="0" w:lastColumn="0" w:oddVBand="0" w:evenVBand="0" w:oddHBand="0" w:evenHBand="1" w:firstRowFirstColumn="0" w:firstRowLastColumn="0" w:lastRowFirstColumn="0" w:lastRowLastColumn="0"/>
            </w:pPr>
            <w:r w:rsidRPr="00E9105B">
              <w:t>499.4</w:t>
            </w:r>
          </w:p>
        </w:tc>
        <w:tc>
          <w:tcPr>
            <w:tcW w:w="602" w:type="pct"/>
            <w:noWrap/>
            <w:vAlign w:val="bottom"/>
          </w:tcPr>
          <w:p w:rsidR="00E9105B" w:rsidRPr="00E9105B" w:rsidRDefault="00E9105B" w:rsidP="00E9105B">
            <w:pPr>
              <w:cnfStyle w:val="000000010000" w:firstRow="0" w:lastRow="0" w:firstColumn="0" w:lastColumn="0" w:oddVBand="0" w:evenVBand="0" w:oddHBand="0" w:evenHBand="1" w:firstRowFirstColumn="0" w:firstRowLastColumn="0" w:lastRowFirstColumn="0" w:lastRowLastColumn="0"/>
            </w:pPr>
            <w:r w:rsidRPr="00E9105B">
              <w:t>512.5</w:t>
            </w:r>
          </w:p>
        </w:tc>
        <w:tc>
          <w:tcPr>
            <w:tcW w:w="602" w:type="pct"/>
            <w:noWrap/>
            <w:vAlign w:val="bottom"/>
          </w:tcPr>
          <w:p w:rsidR="00E9105B" w:rsidRPr="00E9105B" w:rsidRDefault="00E9105B" w:rsidP="00E9105B">
            <w:pPr>
              <w:cnfStyle w:val="000000010000" w:firstRow="0" w:lastRow="0" w:firstColumn="0" w:lastColumn="0" w:oddVBand="0" w:evenVBand="0" w:oddHBand="0" w:evenHBand="1" w:firstRowFirstColumn="0" w:firstRowLastColumn="0" w:lastRowFirstColumn="0" w:lastRowLastColumn="0"/>
            </w:pPr>
            <w:r w:rsidRPr="00E9105B">
              <w:t>476.4</w:t>
            </w:r>
          </w:p>
        </w:tc>
        <w:tc>
          <w:tcPr>
            <w:tcW w:w="602" w:type="pct"/>
            <w:noWrap/>
            <w:vAlign w:val="bottom"/>
          </w:tcPr>
          <w:p w:rsidR="00E9105B" w:rsidRPr="00E9105B" w:rsidRDefault="00E9105B" w:rsidP="00E9105B">
            <w:pPr>
              <w:cnfStyle w:val="000000010000" w:firstRow="0" w:lastRow="0" w:firstColumn="0" w:lastColumn="0" w:oddVBand="0" w:evenVBand="0" w:oddHBand="0" w:evenHBand="1" w:firstRowFirstColumn="0" w:firstRowLastColumn="0" w:lastRowFirstColumn="0" w:lastRowLastColumn="0"/>
            </w:pPr>
            <w:r w:rsidRPr="00E9105B">
              <w:t>474.2</w:t>
            </w:r>
          </w:p>
        </w:tc>
        <w:tc>
          <w:tcPr>
            <w:tcW w:w="602" w:type="pct"/>
            <w:noWrap/>
            <w:vAlign w:val="bottom"/>
          </w:tcPr>
          <w:p w:rsidR="00E9105B" w:rsidRPr="00E9105B" w:rsidRDefault="00E9105B" w:rsidP="00E9105B">
            <w:pPr>
              <w:cnfStyle w:val="000000010000" w:firstRow="0" w:lastRow="0" w:firstColumn="0" w:lastColumn="0" w:oddVBand="0" w:evenVBand="0" w:oddHBand="0" w:evenHBand="1" w:firstRowFirstColumn="0" w:firstRowLastColumn="0" w:lastRowFirstColumn="0" w:lastRowLastColumn="0"/>
            </w:pPr>
            <w:r w:rsidRPr="00E9105B">
              <w:t>489.2</w:t>
            </w:r>
          </w:p>
        </w:tc>
      </w:tr>
      <w:tr w:rsidR="00E9105B" w:rsidRPr="00237902" w:rsidTr="00C94B89">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E9105B" w:rsidRPr="00E9105B" w:rsidRDefault="00E9105B" w:rsidP="00E9105B">
            <w:r w:rsidRPr="00E9105B">
              <w:t>Inflation indexation on opening RAB</w:t>
            </w:r>
          </w:p>
        </w:tc>
        <w:tc>
          <w:tcPr>
            <w:tcW w:w="602" w:type="pct"/>
            <w:noWrap/>
            <w:vAlign w:val="bottom"/>
          </w:tcPr>
          <w:p w:rsidR="00E9105B" w:rsidRPr="00E9105B" w:rsidRDefault="00E9105B" w:rsidP="00E9105B">
            <w:pPr>
              <w:cnfStyle w:val="000000000000" w:firstRow="0" w:lastRow="0" w:firstColumn="0" w:lastColumn="0" w:oddVBand="0" w:evenVBand="0" w:oddHBand="0" w:evenHBand="0" w:firstRowFirstColumn="0" w:firstRowLastColumn="0" w:lastRowFirstColumn="0" w:lastRowLastColumn="0"/>
            </w:pPr>
            <w:r w:rsidRPr="00E9105B">
              <w:t>289.0</w:t>
            </w:r>
          </w:p>
        </w:tc>
        <w:tc>
          <w:tcPr>
            <w:tcW w:w="602" w:type="pct"/>
            <w:noWrap/>
            <w:vAlign w:val="bottom"/>
          </w:tcPr>
          <w:p w:rsidR="00E9105B" w:rsidRPr="00E9105B" w:rsidRDefault="00E9105B" w:rsidP="00E9105B">
            <w:pPr>
              <w:cnfStyle w:val="000000000000" w:firstRow="0" w:lastRow="0" w:firstColumn="0" w:lastColumn="0" w:oddVBand="0" w:evenVBand="0" w:oddHBand="0" w:evenHBand="0" w:firstRowFirstColumn="0" w:firstRowLastColumn="0" w:lastRowFirstColumn="0" w:lastRowLastColumn="0"/>
            </w:pPr>
            <w:r w:rsidRPr="00E9105B">
              <w:t>300.1</w:t>
            </w:r>
          </w:p>
        </w:tc>
        <w:tc>
          <w:tcPr>
            <w:tcW w:w="602" w:type="pct"/>
            <w:noWrap/>
            <w:vAlign w:val="bottom"/>
          </w:tcPr>
          <w:p w:rsidR="00E9105B" w:rsidRPr="00E9105B" w:rsidRDefault="00E9105B" w:rsidP="00E9105B">
            <w:pPr>
              <w:cnfStyle w:val="000000000000" w:firstRow="0" w:lastRow="0" w:firstColumn="0" w:lastColumn="0" w:oddVBand="0" w:evenVBand="0" w:oddHBand="0" w:evenHBand="0" w:firstRowFirstColumn="0" w:firstRowLastColumn="0" w:lastRowFirstColumn="0" w:lastRowLastColumn="0"/>
            </w:pPr>
            <w:r w:rsidRPr="00E9105B">
              <w:t>311.1</w:t>
            </w:r>
          </w:p>
        </w:tc>
        <w:tc>
          <w:tcPr>
            <w:tcW w:w="602" w:type="pct"/>
            <w:noWrap/>
            <w:vAlign w:val="bottom"/>
          </w:tcPr>
          <w:p w:rsidR="00E9105B" w:rsidRPr="00E9105B" w:rsidRDefault="00E9105B" w:rsidP="00E9105B">
            <w:pPr>
              <w:cnfStyle w:val="000000000000" w:firstRow="0" w:lastRow="0" w:firstColumn="0" w:lastColumn="0" w:oddVBand="0" w:evenVBand="0" w:oddHBand="0" w:evenHBand="0" w:firstRowFirstColumn="0" w:firstRowLastColumn="0" w:lastRowFirstColumn="0" w:lastRowLastColumn="0"/>
            </w:pPr>
            <w:r w:rsidRPr="00E9105B">
              <w:t>320.9</w:t>
            </w:r>
          </w:p>
        </w:tc>
        <w:tc>
          <w:tcPr>
            <w:tcW w:w="602" w:type="pct"/>
            <w:noWrap/>
            <w:vAlign w:val="bottom"/>
          </w:tcPr>
          <w:p w:rsidR="00E9105B" w:rsidRPr="00E9105B" w:rsidRDefault="00E9105B" w:rsidP="00E9105B">
            <w:pPr>
              <w:cnfStyle w:val="000000000000" w:firstRow="0" w:lastRow="0" w:firstColumn="0" w:lastColumn="0" w:oddVBand="0" w:evenVBand="0" w:oddHBand="0" w:evenHBand="0" w:firstRowFirstColumn="0" w:firstRowLastColumn="0" w:lastRowFirstColumn="0" w:lastRowLastColumn="0"/>
            </w:pPr>
            <w:r w:rsidRPr="00E9105B">
              <w:t>330.4</w:t>
            </w:r>
          </w:p>
        </w:tc>
      </w:tr>
      <w:tr w:rsidR="00E9105B" w:rsidRPr="00237902" w:rsidTr="00C94B8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E9105B" w:rsidRPr="00E9105B" w:rsidRDefault="00E9105B" w:rsidP="00E9105B">
            <w:r w:rsidRPr="00E9105B">
              <w:rPr>
                <w:rStyle w:val="AERtextitalic"/>
              </w:rPr>
              <w:t>Less</w:t>
            </w:r>
            <w:r w:rsidRPr="00E9105B">
              <w:t>: straight-line depreciation</w:t>
            </w:r>
          </w:p>
        </w:tc>
        <w:tc>
          <w:tcPr>
            <w:tcW w:w="602" w:type="pct"/>
            <w:noWrap/>
            <w:vAlign w:val="bottom"/>
          </w:tcPr>
          <w:p w:rsidR="00E9105B" w:rsidRPr="00E9105B" w:rsidRDefault="00E9105B" w:rsidP="00E9105B">
            <w:pPr>
              <w:cnfStyle w:val="000000010000" w:firstRow="0" w:lastRow="0" w:firstColumn="0" w:lastColumn="0" w:oddVBand="0" w:evenVBand="0" w:oddHBand="0" w:evenHBand="1" w:firstRowFirstColumn="0" w:firstRowLastColumn="0" w:lastRowFirstColumn="0" w:lastRowLastColumn="0"/>
            </w:pPr>
            <w:r w:rsidRPr="00E9105B">
              <w:t>354.6</w:t>
            </w:r>
          </w:p>
        </w:tc>
        <w:tc>
          <w:tcPr>
            <w:tcW w:w="602" w:type="pct"/>
            <w:noWrap/>
            <w:vAlign w:val="bottom"/>
          </w:tcPr>
          <w:p w:rsidR="00E9105B" w:rsidRPr="00E9105B" w:rsidRDefault="00E9105B" w:rsidP="00E9105B">
            <w:pPr>
              <w:cnfStyle w:val="000000010000" w:firstRow="0" w:lastRow="0" w:firstColumn="0" w:lastColumn="0" w:oddVBand="0" w:evenVBand="0" w:oddHBand="0" w:evenHBand="1" w:firstRowFirstColumn="0" w:firstRowLastColumn="0" w:lastRowFirstColumn="0" w:lastRowLastColumn="0"/>
            </w:pPr>
            <w:r w:rsidRPr="00E9105B">
              <w:t>378.4</w:t>
            </w:r>
          </w:p>
        </w:tc>
        <w:tc>
          <w:tcPr>
            <w:tcW w:w="602" w:type="pct"/>
            <w:noWrap/>
            <w:vAlign w:val="bottom"/>
          </w:tcPr>
          <w:p w:rsidR="00E9105B" w:rsidRPr="00E9105B" w:rsidRDefault="00E9105B" w:rsidP="00E9105B">
            <w:pPr>
              <w:cnfStyle w:val="000000010000" w:firstRow="0" w:lastRow="0" w:firstColumn="0" w:lastColumn="0" w:oddVBand="0" w:evenVBand="0" w:oddHBand="0" w:evenHBand="1" w:firstRowFirstColumn="0" w:firstRowLastColumn="0" w:lastRowFirstColumn="0" w:lastRowLastColumn="0"/>
            </w:pPr>
            <w:r w:rsidRPr="00E9105B">
              <w:t>404.3</w:t>
            </w:r>
          </w:p>
        </w:tc>
        <w:tc>
          <w:tcPr>
            <w:tcW w:w="602" w:type="pct"/>
            <w:noWrap/>
            <w:vAlign w:val="bottom"/>
          </w:tcPr>
          <w:p w:rsidR="00E9105B" w:rsidRPr="00E9105B" w:rsidRDefault="00E9105B" w:rsidP="00E9105B">
            <w:pPr>
              <w:cnfStyle w:val="000000010000" w:firstRow="0" w:lastRow="0" w:firstColumn="0" w:lastColumn="0" w:oddVBand="0" w:evenVBand="0" w:oddHBand="0" w:evenHBand="1" w:firstRowFirstColumn="0" w:firstRowLastColumn="0" w:lastRowFirstColumn="0" w:lastRowLastColumn="0"/>
            </w:pPr>
            <w:r w:rsidRPr="00E9105B">
              <w:t>423.6</w:t>
            </w:r>
          </w:p>
        </w:tc>
        <w:tc>
          <w:tcPr>
            <w:tcW w:w="602" w:type="pct"/>
            <w:noWrap/>
            <w:vAlign w:val="bottom"/>
          </w:tcPr>
          <w:p w:rsidR="00E9105B" w:rsidRPr="00E9105B" w:rsidRDefault="00E9105B" w:rsidP="00E9105B">
            <w:pPr>
              <w:cnfStyle w:val="000000010000" w:firstRow="0" w:lastRow="0" w:firstColumn="0" w:lastColumn="0" w:oddVBand="0" w:evenVBand="0" w:oddHBand="0" w:evenHBand="1" w:firstRowFirstColumn="0" w:firstRowLastColumn="0" w:lastRowFirstColumn="0" w:lastRowLastColumn="0"/>
            </w:pPr>
            <w:r w:rsidRPr="00E9105B">
              <w:t>446.1</w:t>
            </w:r>
          </w:p>
        </w:tc>
      </w:tr>
      <w:tr w:rsidR="00E9105B" w:rsidRPr="00E9105B" w:rsidTr="00C94B89">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E9105B" w:rsidRPr="00E9105B" w:rsidRDefault="00E9105B" w:rsidP="00E9105B">
            <w:pPr>
              <w:rPr>
                <w:rStyle w:val="Strong"/>
              </w:rPr>
            </w:pPr>
            <w:r w:rsidRPr="00E9105B">
              <w:rPr>
                <w:rStyle w:val="Strong"/>
              </w:rPr>
              <w:t>Closing RAB</w:t>
            </w:r>
          </w:p>
        </w:tc>
        <w:tc>
          <w:tcPr>
            <w:tcW w:w="602" w:type="pct"/>
            <w:noWrap/>
            <w:vAlign w:val="bottom"/>
          </w:tcPr>
          <w:p w:rsidR="00E9105B" w:rsidRPr="00E9105B" w:rsidRDefault="00E9105B" w:rsidP="00E9105B">
            <w:pPr>
              <w:cnfStyle w:val="000000000000" w:firstRow="0" w:lastRow="0" w:firstColumn="0" w:lastColumn="0" w:oddVBand="0" w:evenVBand="0" w:oddHBand="0" w:evenHBand="0" w:firstRowFirstColumn="0" w:firstRowLastColumn="0" w:lastRowFirstColumn="0" w:lastRowLastColumn="0"/>
              <w:rPr>
                <w:rStyle w:val="Strong"/>
              </w:rPr>
            </w:pPr>
            <w:r w:rsidRPr="00E9105B">
              <w:rPr>
                <w:rStyle w:val="Strong"/>
              </w:rPr>
              <w:t>11767.5</w:t>
            </w:r>
          </w:p>
        </w:tc>
        <w:tc>
          <w:tcPr>
            <w:tcW w:w="602" w:type="pct"/>
            <w:noWrap/>
            <w:vAlign w:val="bottom"/>
          </w:tcPr>
          <w:p w:rsidR="00E9105B" w:rsidRPr="00E9105B" w:rsidRDefault="00E9105B" w:rsidP="00E9105B">
            <w:pPr>
              <w:cnfStyle w:val="000000000000" w:firstRow="0" w:lastRow="0" w:firstColumn="0" w:lastColumn="0" w:oddVBand="0" w:evenVBand="0" w:oddHBand="0" w:evenHBand="0" w:firstRowFirstColumn="0" w:firstRowLastColumn="0" w:lastRowFirstColumn="0" w:lastRowLastColumn="0"/>
              <w:rPr>
                <w:rStyle w:val="Strong"/>
              </w:rPr>
            </w:pPr>
            <w:r w:rsidRPr="00E9105B">
              <w:rPr>
                <w:rStyle w:val="Strong"/>
              </w:rPr>
              <w:t>12201.6</w:t>
            </w:r>
          </w:p>
        </w:tc>
        <w:tc>
          <w:tcPr>
            <w:tcW w:w="602" w:type="pct"/>
            <w:noWrap/>
            <w:vAlign w:val="bottom"/>
          </w:tcPr>
          <w:p w:rsidR="00E9105B" w:rsidRPr="00E9105B" w:rsidRDefault="00E9105B" w:rsidP="00E9105B">
            <w:pPr>
              <w:cnfStyle w:val="000000000000" w:firstRow="0" w:lastRow="0" w:firstColumn="0" w:lastColumn="0" w:oddVBand="0" w:evenVBand="0" w:oddHBand="0" w:evenHBand="0" w:firstRowFirstColumn="0" w:firstRowLastColumn="0" w:lastRowFirstColumn="0" w:lastRowLastColumn="0"/>
              <w:rPr>
                <w:rStyle w:val="Strong"/>
              </w:rPr>
            </w:pPr>
            <w:r w:rsidRPr="00E9105B">
              <w:rPr>
                <w:rStyle w:val="Strong"/>
              </w:rPr>
              <w:t>12584.9</w:t>
            </w:r>
          </w:p>
        </w:tc>
        <w:tc>
          <w:tcPr>
            <w:tcW w:w="602" w:type="pct"/>
            <w:noWrap/>
            <w:vAlign w:val="bottom"/>
          </w:tcPr>
          <w:p w:rsidR="00E9105B" w:rsidRPr="00E9105B" w:rsidRDefault="00E9105B" w:rsidP="00E9105B">
            <w:pPr>
              <w:cnfStyle w:val="000000000000" w:firstRow="0" w:lastRow="0" w:firstColumn="0" w:lastColumn="0" w:oddVBand="0" w:evenVBand="0" w:oddHBand="0" w:evenHBand="0" w:firstRowFirstColumn="0" w:firstRowLastColumn="0" w:lastRowFirstColumn="0" w:lastRowLastColumn="0"/>
              <w:rPr>
                <w:rStyle w:val="Strong"/>
              </w:rPr>
            </w:pPr>
            <w:r w:rsidRPr="00E9105B">
              <w:rPr>
                <w:rStyle w:val="Strong"/>
              </w:rPr>
              <w:t>12956.5</w:t>
            </w:r>
          </w:p>
        </w:tc>
        <w:tc>
          <w:tcPr>
            <w:tcW w:w="602" w:type="pct"/>
            <w:noWrap/>
            <w:vAlign w:val="bottom"/>
          </w:tcPr>
          <w:p w:rsidR="00E9105B" w:rsidRPr="00E9105B" w:rsidRDefault="00E9105B" w:rsidP="00E9105B">
            <w:pPr>
              <w:cnfStyle w:val="000000000000" w:firstRow="0" w:lastRow="0" w:firstColumn="0" w:lastColumn="0" w:oddVBand="0" w:evenVBand="0" w:oddHBand="0" w:evenHBand="0" w:firstRowFirstColumn="0" w:firstRowLastColumn="0" w:lastRowFirstColumn="0" w:lastRowLastColumn="0"/>
              <w:rPr>
                <w:rStyle w:val="Strong"/>
              </w:rPr>
            </w:pPr>
            <w:r w:rsidRPr="00E9105B">
              <w:rPr>
                <w:rStyle w:val="Strong"/>
              </w:rPr>
              <w:t>13329.9</w:t>
            </w:r>
          </w:p>
        </w:tc>
      </w:tr>
    </w:tbl>
    <w:p w:rsidR="000F67F7" w:rsidRPr="006001AB" w:rsidRDefault="000F67F7" w:rsidP="000F67F7">
      <w:pPr>
        <w:pStyle w:val="AERtablesource"/>
      </w:pPr>
      <w:r w:rsidRPr="006001AB">
        <w:t>Source:</w:t>
      </w:r>
      <w:r w:rsidRPr="006001AB">
        <w:tab/>
        <w:t>AER analysis.</w:t>
      </w:r>
    </w:p>
    <w:p w:rsidR="000F67F7" w:rsidRPr="006001AB" w:rsidRDefault="000F67F7" w:rsidP="000F67F7">
      <w:pPr>
        <w:pStyle w:val="AERtablesource"/>
      </w:pPr>
      <w:r w:rsidRPr="006001AB">
        <w:t>(a):</w:t>
      </w:r>
      <w:r w:rsidRPr="006001AB">
        <w:tab/>
        <w:t>Net of forecast disposals and capital contributions.</w:t>
      </w:r>
    </w:p>
    <w:p w:rsidR="000F67F7" w:rsidRDefault="000F67F7" w:rsidP="000F67F7">
      <w:pPr>
        <w:numPr>
          <w:ilvl w:val="0"/>
          <w:numId w:val="25"/>
        </w:numPr>
      </w:pPr>
      <w:r w:rsidRPr="006001AB">
        <w:t xml:space="preserve">We </w:t>
      </w:r>
      <w:r w:rsidR="00F37D9F">
        <w:t>accept Energex's proposal</w:t>
      </w:r>
      <w:r w:rsidRPr="006001AB">
        <w:t xml:space="preserve"> that </w:t>
      </w:r>
      <w:r w:rsidR="00F37D9F">
        <w:t>a</w:t>
      </w:r>
      <w:r w:rsidRPr="006001AB">
        <w:t xml:space="preserve"> forecast depreciation approach be used to establish the opening RAB at the commencement of the 2020–25 regulatory control period.</w:t>
      </w:r>
      <w:r w:rsidRPr="006001AB">
        <w:rPr>
          <w:rStyle w:val="FootnoteReference"/>
        </w:rPr>
        <w:footnoteReference w:id="5"/>
      </w:r>
      <w:r w:rsidRPr="006001AB">
        <w:t xml:space="preserve"> </w:t>
      </w:r>
    </w:p>
    <w:p w:rsidR="000F67F7" w:rsidRPr="00E60A0B" w:rsidRDefault="000F67F7" w:rsidP="00E60A0B">
      <w:pPr>
        <w:pStyle w:val="Heading2"/>
      </w:pPr>
      <w:bookmarkStart w:id="17" w:name="_Toc403060802"/>
      <w:bookmarkStart w:id="18" w:name="_Toc413831033"/>
      <w:r w:rsidRPr="00E60A0B">
        <w:lastRenderedPageBreak/>
        <w:t>Energex’s proposal</w:t>
      </w:r>
      <w:bookmarkEnd w:id="17"/>
      <w:bookmarkEnd w:id="18"/>
    </w:p>
    <w:p w:rsidR="000F67F7" w:rsidRPr="00924046" w:rsidRDefault="000F67F7" w:rsidP="000F67F7">
      <w:pPr>
        <w:numPr>
          <w:ilvl w:val="0"/>
          <w:numId w:val="25"/>
        </w:numPr>
      </w:pPr>
      <w:r>
        <w:t>Energex</w:t>
      </w:r>
      <w:r w:rsidRPr="00924046">
        <w:t xml:space="preserve"> used our RFM to establish an opening RAB as at 1 July 2015 and our PTRM to roll forward the RAB over the 2015–20 regulatory control period.</w:t>
      </w:r>
    </w:p>
    <w:p w:rsidR="000F67F7" w:rsidRPr="00924046" w:rsidRDefault="000F67F7" w:rsidP="000F67F7">
      <w:pPr>
        <w:numPr>
          <w:ilvl w:val="0"/>
          <w:numId w:val="25"/>
        </w:numPr>
      </w:pPr>
      <w:r>
        <w:t>Energex</w:t>
      </w:r>
      <w:r w:rsidRPr="00924046">
        <w:t xml:space="preserve"> proposed an opening RAB value as at 1 July 2010 of $</w:t>
      </w:r>
      <w:r w:rsidRPr="00BE5781">
        <w:t>7867.3</w:t>
      </w:r>
      <w:r w:rsidRPr="00924046">
        <w:t xml:space="preserve"> million ($ nominal).</w:t>
      </w:r>
      <w:r w:rsidRPr="00924046">
        <w:rPr>
          <w:rStyle w:val="FootnoteReference"/>
        </w:rPr>
        <w:footnoteReference w:id="6"/>
      </w:r>
      <w:r w:rsidRPr="00924046">
        <w:t xml:space="preserve"> Rolling forward this RAB and using depreciation based on actual capex, </w:t>
      </w:r>
      <w:r>
        <w:t>Energex</w:t>
      </w:r>
      <w:r w:rsidRPr="00924046">
        <w:t xml:space="preserve"> proposed a closing RAB as at 30 June 2015 of $</w:t>
      </w:r>
      <w:r w:rsidRPr="000C7F9E">
        <w:t>11</w:t>
      </w:r>
      <w:r w:rsidR="001E624E">
        <w:t> </w:t>
      </w:r>
      <w:r w:rsidRPr="000C7F9E">
        <w:t>791.9</w:t>
      </w:r>
      <w:r w:rsidRPr="00924046">
        <w:t xml:space="preserve"> million ($ nominal). </w:t>
      </w:r>
      <w:r w:rsidRPr="00924046">
        <w:fldChar w:fldCharType="begin"/>
      </w:r>
      <w:r w:rsidRPr="00924046">
        <w:instrText xml:space="preserve"> REF _Ref393095893 \h </w:instrText>
      </w:r>
      <w:r w:rsidRPr="00924046">
        <w:fldChar w:fldCharType="separate"/>
      </w:r>
      <w:r w:rsidR="001E624E" w:rsidRPr="00924046">
        <w:t xml:space="preserve">Table </w:t>
      </w:r>
      <w:r w:rsidR="001E624E">
        <w:rPr>
          <w:noProof/>
        </w:rPr>
        <w:t>2</w:t>
      </w:r>
      <w:r w:rsidR="001E624E">
        <w:t>.</w:t>
      </w:r>
      <w:r w:rsidR="001E624E">
        <w:rPr>
          <w:noProof/>
        </w:rPr>
        <w:t>3</w:t>
      </w:r>
      <w:r w:rsidRPr="00924046">
        <w:fldChar w:fldCharType="end"/>
      </w:r>
      <w:r w:rsidRPr="00924046">
        <w:t xml:space="preserve"> presents </w:t>
      </w:r>
      <w:r>
        <w:t>Energex's</w:t>
      </w:r>
      <w:r w:rsidRPr="00924046">
        <w:t xml:space="preserve"> proposed roll forward of its RAB during the 2010–15 regulatory control period. </w:t>
      </w:r>
    </w:p>
    <w:p w:rsidR="000F67F7" w:rsidRPr="00924046" w:rsidRDefault="000F67F7" w:rsidP="00577AC3">
      <w:pPr>
        <w:pStyle w:val="Caption"/>
      </w:pPr>
      <w:bookmarkStart w:id="19" w:name="_Ref393095893"/>
      <w:r w:rsidRPr="00924046">
        <w:t xml:space="preserve">Table </w:t>
      </w:r>
      <w:r w:rsidR="00055416">
        <w:fldChar w:fldCharType="begin"/>
      </w:r>
      <w:r w:rsidR="00055416">
        <w:instrText xml:space="preserve"> STYLEREF 1 \s </w:instrText>
      </w:r>
      <w:r w:rsidR="00055416">
        <w:fldChar w:fldCharType="separate"/>
      </w:r>
      <w:r w:rsidR="001E624E">
        <w:rPr>
          <w:noProof/>
        </w:rPr>
        <w:t>2</w:t>
      </w:r>
      <w:r w:rsidR="00055416">
        <w:rPr>
          <w:noProof/>
        </w:rPr>
        <w:fldChar w:fldCharType="end"/>
      </w:r>
      <w:r w:rsidR="00D811DC">
        <w:t>.</w:t>
      </w:r>
      <w:r w:rsidR="00055416">
        <w:fldChar w:fldCharType="begin"/>
      </w:r>
      <w:r w:rsidR="00055416">
        <w:instrText xml:space="preserve"> SEQ Table \* ARABIC \s 1 </w:instrText>
      </w:r>
      <w:r w:rsidR="00055416">
        <w:fldChar w:fldCharType="separate"/>
      </w:r>
      <w:r w:rsidR="001E624E">
        <w:rPr>
          <w:noProof/>
        </w:rPr>
        <w:t>3</w:t>
      </w:r>
      <w:r w:rsidR="00055416">
        <w:rPr>
          <w:noProof/>
        </w:rPr>
        <w:fldChar w:fldCharType="end"/>
      </w:r>
      <w:bookmarkEnd w:id="19"/>
      <w:r w:rsidRPr="00924046">
        <w:tab/>
      </w:r>
      <w:r>
        <w:t>Energex's</w:t>
      </w:r>
      <w:r w:rsidRPr="00924046">
        <w:t xml:space="preserve"> proposed RAB for the 2010–15 regulatory control period ($million, nominal)</w:t>
      </w:r>
    </w:p>
    <w:tbl>
      <w:tblPr>
        <w:tblStyle w:val="AERtable-numbers"/>
        <w:tblW w:w="8755" w:type="dxa"/>
        <w:tblLayout w:type="fixed"/>
        <w:tblLook w:val="04A0" w:firstRow="1" w:lastRow="0" w:firstColumn="1" w:lastColumn="0" w:noHBand="0" w:noVBand="1"/>
      </w:tblPr>
      <w:tblGrid>
        <w:gridCol w:w="3586"/>
        <w:gridCol w:w="1033"/>
        <w:gridCol w:w="259"/>
        <w:gridCol w:w="775"/>
        <w:gridCol w:w="517"/>
        <w:gridCol w:w="517"/>
        <w:gridCol w:w="775"/>
        <w:gridCol w:w="259"/>
        <w:gridCol w:w="1034"/>
      </w:tblGrid>
      <w:tr w:rsidR="000F67F7" w:rsidRPr="0011410F" w:rsidTr="00237902">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0F67F7" w:rsidRPr="000F67F7" w:rsidRDefault="000F67F7" w:rsidP="00180E1B">
            <w:r w:rsidRPr="00924046">
              <w:t> </w:t>
            </w:r>
          </w:p>
        </w:tc>
        <w:tc>
          <w:tcPr>
            <w:tcW w:w="1033" w:type="dxa"/>
            <w:noWrap/>
            <w:hideMark/>
          </w:tcPr>
          <w:p w:rsidR="000F67F7" w:rsidRPr="000F67F7" w:rsidRDefault="000F67F7" w:rsidP="00180E1B">
            <w:pPr>
              <w:cnfStyle w:val="100000000000" w:firstRow="1" w:lastRow="0" w:firstColumn="0" w:lastColumn="0" w:oddVBand="0" w:evenVBand="0" w:oddHBand="0" w:evenHBand="0" w:firstRowFirstColumn="0" w:firstRowLastColumn="0" w:lastRowFirstColumn="0" w:lastRowLastColumn="0"/>
            </w:pPr>
            <w:r w:rsidRPr="00924046">
              <w:t>2010–11</w:t>
            </w:r>
          </w:p>
        </w:tc>
        <w:tc>
          <w:tcPr>
            <w:tcW w:w="1034" w:type="dxa"/>
            <w:gridSpan w:val="2"/>
            <w:noWrap/>
            <w:hideMark/>
          </w:tcPr>
          <w:p w:rsidR="000F67F7" w:rsidRPr="000F67F7" w:rsidRDefault="000F67F7" w:rsidP="00180E1B">
            <w:pPr>
              <w:cnfStyle w:val="100000000000" w:firstRow="1" w:lastRow="0" w:firstColumn="0" w:lastColumn="0" w:oddVBand="0" w:evenVBand="0" w:oddHBand="0" w:evenHBand="0" w:firstRowFirstColumn="0" w:firstRowLastColumn="0" w:lastRowFirstColumn="0" w:lastRowLastColumn="0"/>
            </w:pPr>
            <w:r w:rsidRPr="00924046">
              <w:t>2011–12</w:t>
            </w:r>
          </w:p>
        </w:tc>
        <w:tc>
          <w:tcPr>
            <w:tcW w:w="1034" w:type="dxa"/>
            <w:gridSpan w:val="2"/>
            <w:noWrap/>
            <w:hideMark/>
          </w:tcPr>
          <w:p w:rsidR="000F67F7" w:rsidRPr="000F67F7" w:rsidRDefault="000F67F7" w:rsidP="00180E1B">
            <w:pPr>
              <w:cnfStyle w:val="100000000000" w:firstRow="1" w:lastRow="0" w:firstColumn="0" w:lastColumn="0" w:oddVBand="0" w:evenVBand="0" w:oddHBand="0" w:evenHBand="0" w:firstRowFirstColumn="0" w:firstRowLastColumn="0" w:lastRowFirstColumn="0" w:lastRowLastColumn="0"/>
            </w:pPr>
            <w:r w:rsidRPr="00924046">
              <w:t>2012–13</w:t>
            </w:r>
          </w:p>
        </w:tc>
        <w:tc>
          <w:tcPr>
            <w:tcW w:w="1034" w:type="dxa"/>
            <w:gridSpan w:val="2"/>
            <w:noWrap/>
            <w:hideMark/>
          </w:tcPr>
          <w:p w:rsidR="000F67F7" w:rsidRPr="000F67F7" w:rsidRDefault="000F67F7" w:rsidP="00180E1B">
            <w:pPr>
              <w:cnfStyle w:val="100000000000" w:firstRow="1" w:lastRow="0" w:firstColumn="0" w:lastColumn="0" w:oddVBand="0" w:evenVBand="0" w:oddHBand="0" w:evenHBand="0" w:firstRowFirstColumn="0" w:firstRowLastColumn="0" w:lastRowFirstColumn="0" w:lastRowLastColumn="0"/>
            </w:pPr>
            <w:r w:rsidRPr="00924046">
              <w:t>2013–14</w:t>
            </w:r>
          </w:p>
        </w:tc>
        <w:tc>
          <w:tcPr>
            <w:tcW w:w="1034" w:type="dxa"/>
            <w:noWrap/>
            <w:hideMark/>
          </w:tcPr>
          <w:p w:rsidR="000F67F7" w:rsidRPr="000F67F7" w:rsidRDefault="000F67F7" w:rsidP="00180E1B">
            <w:pPr>
              <w:cnfStyle w:val="100000000000" w:firstRow="1" w:lastRow="0" w:firstColumn="0" w:lastColumn="0" w:oddVBand="0" w:evenVBand="0" w:oddHBand="0" w:evenHBand="0" w:firstRowFirstColumn="0" w:firstRowLastColumn="0" w:lastRowFirstColumn="0" w:lastRowLastColumn="0"/>
            </w:pPr>
            <w:r w:rsidRPr="00924046">
              <w:t>2014–15</w:t>
            </w:r>
            <w:r w:rsidRPr="000F67F7">
              <w:rPr>
                <w:rStyle w:val="AERsuperscript"/>
              </w:rPr>
              <w:t>a</w:t>
            </w:r>
          </w:p>
        </w:tc>
      </w:tr>
      <w:tr w:rsidR="000F67F7" w:rsidRPr="00F30662" w:rsidTr="00237902">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0F67F7" w:rsidRPr="00237902" w:rsidRDefault="000F67F7" w:rsidP="00237902">
            <w:r w:rsidRPr="00237902">
              <w:t>Opening RAB</w:t>
            </w:r>
          </w:p>
        </w:tc>
        <w:tc>
          <w:tcPr>
            <w:tcW w:w="1033" w:type="dxa"/>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7867.3</w:t>
            </w:r>
          </w:p>
        </w:tc>
        <w:tc>
          <w:tcPr>
            <w:tcW w:w="1034" w:type="dxa"/>
            <w:gridSpan w:val="2"/>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8854.4</w:t>
            </w:r>
          </w:p>
        </w:tc>
        <w:tc>
          <w:tcPr>
            <w:tcW w:w="1034" w:type="dxa"/>
            <w:gridSpan w:val="2"/>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9662.6</w:t>
            </w:r>
          </w:p>
        </w:tc>
        <w:tc>
          <w:tcPr>
            <w:tcW w:w="1034" w:type="dxa"/>
            <w:gridSpan w:val="2"/>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10460.1</w:t>
            </w:r>
          </w:p>
        </w:tc>
        <w:tc>
          <w:tcPr>
            <w:tcW w:w="1034" w:type="dxa"/>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11164.0</w:t>
            </w:r>
          </w:p>
        </w:tc>
      </w:tr>
      <w:tr w:rsidR="000F67F7" w:rsidRPr="00F30662" w:rsidTr="00237902">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0F67F7" w:rsidRPr="00237902" w:rsidRDefault="000F67F7" w:rsidP="00237902">
            <w:r w:rsidRPr="00237902">
              <w:t>Capital expenditure</w:t>
            </w:r>
            <w:r w:rsidRPr="00237902">
              <w:rPr>
                <w:rStyle w:val="AERsuperscript"/>
              </w:rPr>
              <w:t>b</w:t>
            </w:r>
          </w:p>
        </w:tc>
        <w:tc>
          <w:tcPr>
            <w:tcW w:w="1033" w:type="dxa"/>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1006.1</w:t>
            </w:r>
          </w:p>
        </w:tc>
        <w:tc>
          <w:tcPr>
            <w:tcW w:w="1034" w:type="dxa"/>
            <w:gridSpan w:val="2"/>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991.2</w:t>
            </w:r>
          </w:p>
        </w:tc>
        <w:tc>
          <w:tcPr>
            <w:tcW w:w="1034" w:type="dxa"/>
            <w:gridSpan w:val="2"/>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910.2</w:t>
            </w:r>
          </w:p>
        </w:tc>
        <w:tc>
          <w:tcPr>
            <w:tcW w:w="1034" w:type="dxa"/>
            <w:gridSpan w:val="2"/>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784.6</w:t>
            </w:r>
          </w:p>
        </w:tc>
        <w:tc>
          <w:tcPr>
            <w:tcW w:w="1034" w:type="dxa"/>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848.5</w:t>
            </w:r>
          </w:p>
        </w:tc>
      </w:tr>
      <w:tr w:rsidR="000F67F7" w:rsidRPr="00F30662" w:rsidTr="00237902">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0F67F7" w:rsidRPr="00237902" w:rsidRDefault="000F67F7" w:rsidP="00237902">
            <w:r w:rsidRPr="00237902">
              <w:t>Inflation indexation on opening RAB</w:t>
            </w:r>
          </w:p>
        </w:tc>
        <w:tc>
          <w:tcPr>
            <w:tcW w:w="1033" w:type="dxa"/>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262.2</w:t>
            </w:r>
          </w:p>
        </w:tc>
        <w:tc>
          <w:tcPr>
            <w:tcW w:w="1034" w:type="dxa"/>
            <w:gridSpan w:val="2"/>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140.3</w:t>
            </w:r>
          </w:p>
        </w:tc>
        <w:tc>
          <w:tcPr>
            <w:tcW w:w="1034" w:type="dxa"/>
            <w:gridSpan w:val="2"/>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241.8</w:t>
            </w:r>
          </w:p>
        </w:tc>
        <w:tc>
          <w:tcPr>
            <w:tcW w:w="1034" w:type="dxa"/>
            <w:gridSpan w:val="2"/>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306.4</w:t>
            </w:r>
          </w:p>
        </w:tc>
        <w:tc>
          <w:tcPr>
            <w:tcW w:w="1034" w:type="dxa"/>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251.2</w:t>
            </w:r>
          </w:p>
        </w:tc>
      </w:tr>
      <w:tr w:rsidR="000F67F7" w:rsidRPr="00F30662" w:rsidTr="00237902">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0F67F7" w:rsidRPr="00237902" w:rsidRDefault="000F67F7" w:rsidP="00237902">
            <w:r w:rsidRPr="00237902">
              <w:rPr>
                <w:rStyle w:val="AERtextitalic"/>
              </w:rPr>
              <w:t>Less</w:t>
            </w:r>
            <w:r w:rsidRPr="00237902">
              <w:t>: straight-line depreciation</w:t>
            </w:r>
          </w:p>
        </w:tc>
        <w:tc>
          <w:tcPr>
            <w:tcW w:w="1033" w:type="dxa"/>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281.3</w:t>
            </w:r>
          </w:p>
        </w:tc>
        <w:tc>
          <w:tcPr>
            <w:tcW w:w="1034" w:type="dxa"/>
            <w:gridSpan w:val="2"/>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323.3</w:t>
            </w:r>
          </w:p>
        </w:tc>
        <w:tc>
          <w:tcPr>
            <w:tcW w:w="1034" w:type="dxa"/>
            <w:gridSpan w:val="2"/>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354.5</w:t>
            </w:r>
          </w:p>
        </w:tc>
        <w:tc>
          <w:tcPr>
            <w:tcW w:w="1034" w:type="dxa"/>
            <w:gridSpan w:val="2"/>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387.2</w:t>
            </w:r>
          </w:p>
        </w:tc>
        <w:tc>
          <w:tcPr>
            <w:tcW w:w="1034" w:type="dxa"/>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419.7</w:t>
            </w:r>
          </w:p>
        </w:tc>
      </w:tr>
      <w:tr w:rsidR="000F67F7" w:rsidRPr="00F30662" w:rsidTr="00237902">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0F67F7" w:rsidRPr="00237902" w:rsidRDefault="000F67F7" w:rsidP="00237902">
            <w:r w:rsidRPr="00237902">
              <w:t>Closing RAB</w:t>
            </w:r>
          </w:p>
        </w:tc>
        <w:tc>
          <w:tcPr>
            <w:tcW w:w="1033" w:type="dxa"/>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8854.4</w:t>
            </w:r>
          </w:p>
        </w:tc>
        <w:tc>
          <w:tcPr>
            <w:tcW w:w="1034" w:type="dxa"/>
            <w:gridSpan w:val="2"/>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9662.6</w:t>
            </w:r>
          </w:p>
        </w:tc>
        <w:tc>
          <w:tcPr>
            <w:tcW w:w="1034" w:type="dxa"/>
            <w:gridSpan w:val="2"/>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10460.1</w:t>
            </w:r>
          </w:p>
        </w:tc>
        <w:tc>
          <w:tcPr>
            <w:tcW w:w="1034" w:type="dxa"/>
            <w:gridSpan w:val="2"/>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11164.0</w:t>
            </w:r>
          </w:p>
        </w:tc>
        <w:tc>
          <w:tcPr>
            <w:tcW w:w="1034" w:type="dxa"/>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11844.0</w:t>
            </w:r>
          </w:p>
        </w:tc>
      </w:tr>
      <w:tr w:rsidR="000F67F7" w:rsidRPr="00F30662" w:rsidTr="00237902">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0F67F7" w:rsidRPr="00237902" w:rsidRDefault="000F67F7" w:rsidP="00237902">
            <w:r w:rsidRPr="00237902">
              <w:t xml:space="preserve">Difference between estimated and actual </w:t>
            </w:r>
            <w:r w:rsidR="00180E1B" w:rsidRPr="00237902">
              <w:t xml:space="preserve">2009–10 </w:t>
            </w:r>
            <w:r w:rsidRPr="00237902">
              <w:t>capex</w:t>
            </w:r>
            <w:r w:rsidR="00F30662" w:rsidRPr="00237902">
              <w:t xml:space="preserve"> (1 July 2009 to 30 June 2010)</w:t>
            </w:r>
          </w:p>
        </w:tc>
        <w:tc>
          <w:tcPr>
            <w:tcW w:w="2584" w:type="dxa"/>
            <w:gridSpan w:val="4"/>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p>
        </w:tc>
        <w:tc>
          <w:tcPr>
            <w:tcW w:w="2585" w:type="dxa"/>
            <w:gridSpan w:val="4"/>
            <w:noWrap/>
            <w:vAlign w:val="bottom"/>
          </w:tcPr>
          <w:p w:rsidR="000F67F7" w:rsidRPr="00237902" w:rsidRDefault="00721D32" w:rsidP="00237902">
            <w:pPr>
              <w:cnfStyle w:val="000000010000" w:firstRow="0" w:lastRow="0" w:firstColumn="0" w:lastColumn="0" w:oddVBand="0" w:evenVBand="0" w:oddHBand="0" w:evenHBand="1" w:firstRowFirstColumn="0" w:firstRowLastColumn="0" w:lastRowFirstColumn="0" w:lastRowLastColumn="0"/>
            </w:pPr>
            <w:r w:rsidRPr="00237902">
              <w:t>–</w:t>
            </w:r>
            <w:r w:rsidR="000F67F7" w:rsidRPr="00237902">
              <w:t>32.8</w:t>
            </w:r>
          </w:p>
        </w:tc>
      </w:tr>
      <w:tr w:rsidR="000F67F7" w:rsidRPr="00F30662" w:rsidTr="00237902">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0F67F7" w:rsidRPr="00237902" w:rsidRDefault="000F67F7" w:rsidP="00237902">
            <w:r w:rsidRPr="00237902">
              <w:t>Return on difference for 2009–10 capex</w:t>
            </w:r>
          </w:p>
        </w:tc>
        <w:tc>
          <w:tcPr>
            <w:tcW w:w="1292" w:type="dxa"/>
            <w:gridSpan w:val="2"/>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p>
        </w:tc>
        <w:tc>
          <w:tcPr>
            <w:tcW w:w="1292" w:type="dxa"/>
            <w:gridSpan w:val="2"/>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p>
        </w:tc>
        <w:tc>
          <w:tcPr>
            <w:tcW w:w="1292" w:type="dxa"/>
            <w:gridSpan w:val="2"/>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p>
        </w:tc>
        <w:tc>
          <w:tcPr>
            <w:tcW w:w="1293" w:type="dxa"/>
            <w:gridSpan w:val="2"/>
            <w:noWrap/>
            <w:vAlign w:val="bottom"/>
          </w:tcPr>
          <w:p w:rsidR="000F67F7" w:rsidRPr="00237902" w:rsidRDefault="00721D32" w:rsidP="00237902">
            <w:pPr>
              <w:cnfStyle w:val="000000000000" w:firstRow="0" w:lastRow="0" w:firstColumn="0" w:lastColumn="0" w:oddVBand="0" w:evenVBand="0" w:oddHBand="0" w:evenHBand="0" w:firstRowFirstColumn="0" w:firstRowLastColumn="0" w:lastRowFirstColumn="0" w:lastRowLastColumn="0"/>
            </w:pPr>
            <w:r w:rsidRPr="00237902">
              <w:t>–</w:t>
            </w:r>
            <w:r w:rsidR="000F67F7" w:rsidRPr="00237902">
              <w:t>19.3</w:t>
            </w:r>
          </w:p>
        </w:tc>
      </w:tr>
      <w:tr w:rsidR="000F67F7" w:rsidRPr="00F30662" w:rsidTr="00237902">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0F67F7" w:rsidRPr="00237902" w:rsidRDefault="000F67F7" w:rsidP="00237902">
            <w:r w:rsidRPr="00237902">
              <w:t>Closing RAB as at 30 June 2015</w:t>
            </w:r>
          </w:p>
        </w:tc>
        <w:tc>
          <w:tcPr>
            <w:tcW w:w="1033" w:type="dxa"/>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p>
        </w:tc>
        <w:tc>
          <w:tcPr>
            <w:tcW w:w="1034" w:type="dxa"/>
            <w:gridSpan w:val="2"/>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p>
        </w:tc>
        <w:tc>
          <w:tcPr>
            <w:tcW w:w="1034" w:type="dxa"/>
            <w:gridSpan w:val="2"/>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p>
        </w:tc>
        <w:tc>
          <w:tcPr>
            <w:tcW w:w="1034" w:type="dxa"/>
            <w:gridSpan w:val="2"/>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p>
        </w:tc>
        <w:tc>
          <w:tcPr>
            <w:tcW w:w="1034" w:type="dxa"/>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11791.9</w:t>
            </w:r>
          </w:p>
        </w:tc>
      </w:tr>
      <w:tr w:rsidR="000F67F7" w:rsidRPr="00F30662" w:rsidTr="00237902">
        <w:trPr>
          <w:trHeight w:val="267"/>
        </w:trPr>
        <w:tc>
          <w:tcPr>
            <w:cnfStyle w:val="001000000000" w:firstRow="0" w:lastRow="0" w:firstColumn="1" w:lastColumn="0" w:oddVBand="0" w:evenVBand="0" w:oddHBand="0" w:evenHBand="0" w:firstRowFirstColumn="0" w:firstRowLastColumn="0" w:lastRowFirstColumn="0" w:lastRowLastColumn="0"/>
            <w:tcW w:w="3586" w:type="dxa"/>
            <w:noWrap/>
          </w:tcPr>
          <w:p w:rsidR="000F67F7" w:rsidRPr="00237902" w:rsidRDefault="000F67F7" w:rsidP="00237902">
            <w:r w:rsidRPr="00237902">
              <w:t>Meters moved to ACS</w:t>
            </w:r>
            <w:r w:rsidR="004C76ED" w:rsidRPr="00237902">
              <w:t xml:space="preserve"> and unregulated assets removed</w:t>
            </w:r>
          </w:p>
        </w:tc>
        <w:tc>
          <w:tcPr>
            <w:tcW w:w="1033" w:type="dxa"/>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p>
        </w:tc>
        <w:tc>
          <w:tcPr>
            <w:tcW w:w="1034" w:type="dxa"/>
            <w:gridSpan w:val="2"/>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p>
        </w:tc>
        <w:tc>
          <w:tcPr>
            <w:tcW w:w="1034" w:type="dxa"/>
            <w:gridSpan w:val="2"/>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p>
        </w:tc>
        <w:tc>
          <w:tcPr>
            <w:tcW w:w="1034" w:type="dxa"/>
            <w:gridSpan w:val="2"/>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p>
        </w:tc>
        <w:tc>
          <w:tcPr>
            <w:tcW w:w="1034" w:type="dxa"/>
            <w:noWrap/>
            <w:vAlign w:val="bottom"/>
          </w:tcPr>
          <w:p w:rsidR="000F67F7" w:rsidRPr="00237902" w:rsidRDefault="00F30662" w:rsidP="00237902">
            <w:pPr>
              <w:cnfStyle w:val="000000000000" w:firstRow="0" w:lastRow="0" w:firstColumn="0" w:lastColumn="0" w:oddVBand="0" w:evenVBand="0" w:oddHBand="0" w:evenHBand="0" w:firstRowFirstColumn="0" w:firstRowLastColumn="0" w:lastRowFirstColumn="0" w:lastRowLastColumn="0"/>
            </w:pPr>
            <w:r w:rsidRPr="00237902">
              <w:t>–</w:t>
            </w:r>
            <w:r w:rsidR="000F67F7" w:rsidRPr="00237902">
              <w:t>478.8</w:t>
            </w:r>
          </w:p>
        </w:tc>
      </w:tr>
      <w:tr w:rsidR="000F67F7" w:rsidRPr="00F30662" w:rsidTr="00237902">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tcPr>
          <w:p w:rsidR="000F67F7" w:rsidRPr="00237902" w:rsidRDefault="000F67F7" w:rsidP="00237902">
            <w:pPr>
              <w:rPr>
                <w:rStyle w:val="Strong"/>
              </w:rPr>
            </w:pPr>
            <w:r w:rsidRPr="00237902">
              <w:rPr>
                <w:rStyle w:val="Strong"/>
              </w:rPr>
              <w:t>Opening RAB as at 1 July 2015</w:t>
            </w:r>
          </w:p>
        </w:tc>
        <w:tc>
          <w:tcPr>
            <w:tcW w:w="1033" w:type="dxa"/>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rPr>
                <w:rStyle w:val="Strong"/>
              </w:rPr>
            </w:pPr>
          </w:p>
        </w:tc>
        <w:tc>
          <w:tcPr>
            <w:tcW w:w="1034" w:type="dxa"/>
            <w:gridSpan w:val="2"/>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rPr>
                <w:rStyle w:val="Strong"/>
              </w:rPr>
            </w:pPr>
          </w:p>
        </w:tc>
        <w:tc>
          <w:tcPr>
            <w:tcW w:w="1034" w:type="dxa"/>
            <w:gridSpan w:val="2"/>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rPr>
                <w:rStyle w:val="Strong"/>
              </w:rPr>
            </w:pPr>
          </w:p>
        </w:tc>
        <w:tc>
          <w:tcPr>
            <w:tcW w:w="1034" w:type="dxa"/>
            <w:gridSpan w:val="2"/>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rPr>
                <w:rStyle w:val="Strong"/>
              </w:rPr>
            </w:pPr>
          </w:p>
        </w:tc>
        <w:tc>
          <w:tcPr>
            <w:tcW w:w="1034" w:type="dxa"/>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rPr>
                <w:rStyle w:val="Strong"/>
              </w:rPr>
            </w:pPr>
            <w:r w:rsidRPr="00237902">
              <w:rPr>
                <w:rStyle w:val="Strong"/>
              </w:rPr>
              <w:t>11313.1</w:t>
            </w:r>
          </w:p>
        </w:tc>
      </w:tr>
    </w:tbl>
    <w:p w:rsidR="000F67F7" w:rsidRPr="00924046" w:rsidRDefault="000F67F7" w:rsidP="000F67F7">
      <w:pPr>
        <w:pStyle w:val="AERtablesource"/>
      </w:pPr>
      <w:r w:rsidRPr="00924046">
        <w:t>Source:</w:t>
      </w:r>
      <w:r w:rsidRPr="00924046">
        <w:tab/>
      </w:r>
      <w:r>
        <w:t>Energex</w:t>
      </w:r>
      <w:r w:rsidRPr="00924046">
        <w:t xml:space="preserve">, </w:t>
      </w:r>
      <w:r w:rsidRPr="00924046">
        <w:rPr>
          <w:rStyle w:val="AERtextitalic"/>
        </w:rPr>
        <w:t>Regulatory proposal</w:t>
      </w:r>
      <w:r w:rsidRPr="00924046">
        <w:t xml:space="preserve">, October 2014, p. </w:t>
      </w:r>
      <w:r>
        <w:t>148</w:t>
      </w:r>
      <w:r w:rsidRPr="00924046">
        <w:t xml:space="preserve">, Table </w:t>
      </w:r>
      <w:r>
        <w:t>12</w:t>
      </w:r>
      <w:r w:rsidRPr="00924046">
        <w:t>.1.</w:t>
      </w:r>
    </w:p>
    <w:p w:rsidR="000F67F7" w:rsidRPr="00924046" w:rsidRDefault="001E624E" w:rsidP="000F67F7">
      <w:pPr>
        <w:pStyle w:val="AERtablesource"/>
      </w:pPr>
      <w:r>
        <w:t>(a)</w:t>
      </w:r>
      <w:r w:rsidR="000F67F7" w:rsidRPr="00924046">
        <w:tab/>
        <w:t>Based on estimated capex.</w:t>
      </w:r>
    </w:p>
    <w:p w:rsidR="000F67F7" w:rsidRPr="00924046" w:rsidRDefault="001E624E" w:rsidP="000F67F7">
      <w:pPr>
        <w:pStyle w:val="AERtablesource"/>
      </w:pPr>
      <w:r>
        <w:t>(b)</w:t>
      </w:r>
      <w:r w:rsidR="000F67F7" w:rsidRPr="00924046">
        <w:tab/>
        <w:t>Net of disposals and adjusted for CPI.</w:t>
      </w:r>
    </w:p>
    <w:p w:rsidR="000F67F7" w:rsidRPr="00924046" w:rsidRDefault="000F67F7" w:rsidP="000F67F7">
      <w:pPr>
        <w:numPr>
          <w:ilvl w:val="0"/>
          <w:numId w:val="25"/>
        </w:numPr>
      </w:pPr>
      <w:r>
        <w:t>Energex</w:t>
      </w:r>
      <w:r w:rsidRPr="00924046">
        <w:t xml:space="preserve"> proposed a closing forecast RAB as at 30 June 2020 of $</w:t>
      </w:r>
      <w:r w:rsidRPr="00BE5781">
        <w:t>14</w:t>
      </w:r>
      <w:r w:rsidR="001E624E">
        <w:t> </w:t>
      </w:r>
      <w:r w:rsidRPr="00BE5781">
        <w:t>255.2</w:t>
      </w:r>
      <w:r w:rsidRPr="00924046">
        <w:t xml:space="preserve"> million ($ nominal). This value reflects its proposed opening RAB, forecast capex, forecast inflation and depreciation (based on forecast capex) over the 2015–20 regulatory control period. Its projected RAB over the 2015–20 regulatory control </w:t>
      </w:r>
      <w:proofErr w:type="gramStart"/>
      <w:r w:rsidRPr="00924046">
        <w:t>period</w:t>
      </w:r>
      <w:proofErr w:type="gramEnd"/>
      <w:r w:rsidRPr="00924046">
        <w:t xml:space="preserve"> is shown in </w:t>
      </w:r>
      <w:r w:rsidRPr="00924046">
        <w:fldChar w:fldCharType="begin"/>
      </w:r>
      <w:r w:rsidRPr="00924046">
        <w:instrText xml:space="preserve"> REF _Ref393095900 \h </w:instrText>
      </w:r>
      <w:r w:rsidRPr="00924046">
        <w:fldChar w:fldCharType="separate"/>
      </w:r>
      <w:r w:rsidR="00486D86">
        <w:t>t</w:t>
      </w:r>
      <w:r w:rsidR="001E624E" w:rsidRPr="00924046">
        <w:t xml:space="preserve">able </w:t>
      </w:r>
      <w:r w:rsidR="001E624E">
        <w:rPr>
          <w:noProof/>
        </w:rPr>
        <w:t>2</w:t>
      </w:r>
      <w:r w:rsidR="001E624E">
        <w:t>.</w:t>
      </w:r>
      <w:r w:rsidR="001E624E">
        <w:rPr>
          <w:noProof/>
        </w:rPr>
        <w:t>4</w:t>
      </w:r>
      <w:r w:rsidRPr="00924046">
        <w:fldChar w:fldCharType="end"/>
      </w:r>
      <w:r w:rsidRPr="00924046">
        <w:t>.</w:t>
      </w:r>
    </w:p>
    <w:p w:rsidR="000F67F7" w:rsidRPr="00924046" w:rsidRDefault="000F67F7" w:rsidP="000F67F7">
      <w:pPr>
        <w:pStyle w:val="Caption"/>
      </w:pPr>
      <w:bookmarkStart w:id="20" w:name="_Ref393095900"/>
      <w:r w:rsidRPr="00924046">
        <w:lastRenderedPageBreak/>
        <w:t xml:space="preserve">Table </w:t>
      </w:r>
      <w:r w:rsidR="00055416">
        <w:fldChar w:fldCharType="begin"/>
      </w:r>
      <w:r w:rsidR="00055416">
        <w:instrText xml:space="preserve"> STYLEREF 1 \s </w:instrText>
      </w:r>
      <w:r w:rsidR="00055416">
        <w:fldChar w:fldCharType="separate"/>
      </w:r>
      <w:r w:rsidR="001E624E">
        <w:rPr>
          <w:noProof/>
        </w:rPr>
        <w:t>2</w:t>
      </w:r>
      <w:r w:rsidR="00055416">
        <w:rPr>
          <w:noProof/>
        </w:rPr>
        <w:fldChar w:fldCharType="end"/>
      </w:r>
      <w:r w:rsidR="00D811DC">
        <w:t>.</w:t>
      </w:r>
      <w:r w:rsidR="00055416">
        <w:fldChar w:fldCharType="begin"/>
      </w:r>
      <w:r w:rsidR="00055416">
        <w:instrText xml:space="preserve"> SEQ Table \* ARABIC \s 1 </w:instrText>
      </w:r>
      <w:r w:rsidR="00055416">
        <w:fldChar w:fldCharType="separate"/>
      </w:r>
      <w:r w:rsidR="001E624E">
        <w:rPr>
          <w:noProof/>
        </w:rPr>
        <w:t>4</w:t>
      </w:r>
      <w:r w:rsidR="00055416">
        <w:rPr>
          <w:noProof/>
        </w:rPr>
        <w:fldChar w:fldCharType="end"/>
      </w:r>
      <w:bookmarkEnd w:id="20"/>
      <w:r w:rsidRPr="00924046">
        <w:tab/>
      </w:r>
      <w:r>
        <w:t>Energex</w:t>
      </w:r>
      <w:r w:rsidR="00341192">
        <w:t>'s</w:t>
      </w:r>
      <w:r w:rsidRPr="00924046">
        <w:t xml:space="preserve"> proposed RAB for the 2015–20</w:t>
      </w:r>
      <w:r w:rsidR="00341192">
        <w:t xml:space="preserve"> regulatory control</w:t>
      </w:r>
      <w:r w:rsidRPr="00924046">
        <w:t xml:space="preserve"> period ($million, nominal)</w:t>
      </w:r>
    </w:p>
    <w:tbl>
      <w:tblPr>
        <w:tblStyle w:val="AERtable-numbers"/>
        <w:tblW w:w="8755" w:type="dxa"/>
        <w:tblLayout w:type="fixed"/>
        <w:tblLook w:val="04A0" w:firstRow="1" w:lastRow="0" w:firstColumn="1" w:lastColumn="0" w:noHBand="0" w:noVBand="1"/>
      </w:tblPr>
      <w:tblGrid>
        <w:gridCol w:w="3416"/>
        <w:gridCol w:w="1067"/>
        <w:gridCol w:w="1068"/>
        <w:gridCol w:w="1068"/>
        <w:gridCol w:w="1068"/>
        <w:gridCol w:w="1068"/>
      </w:tblGrid>
      <w:tr w:rsidR="000F67F7" w:rsidRPr="00237902" w:rsidTr="00237902">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3416" w:type="dxa"/>
            <w:noWrap/>
            <w:hideMark/>
          </w:tcPr>
          <w:p w:rsidR="000F67F7" w:rsidRPr="00237902" w:rsidRDefault="000F67F7" w:rsidP="00237902">
            <w:r w:rsidRPr="00237902">
              <w:t> </w:t>
            </w:r>
          </w:p>
        </w:tc>
        <w:tc>
          <w:tcPr>
            <w:tcW w:w="1067" w:type="dxa"/>
            <w:noWrap/>
            <w:hideMark/>
          </w:tcPr>
          <w:p w:rsidR="000F67F7" w:rsidRPr="00237902" w:rsidRDefault="000F67F7" w:rsidP="00237902">
            <w:pPr>
              <w:cnfStyle w:val="100000000000" w:firstRow="1" w:lastRow="0" w:firstColumn="0" w:lastColumn="0" w:oddVBand="0" w:evenVBand="0" w:oddHBand="0" w:evenHBand="0" w:firstRowFirstColumn="0" w:firstRowLastColumn="0" w:lastRowFirstColumn="0" w:lastRowLastColumn="0"/>
            </w:pPr>
            <w:r w:rsidRPr="00237902">
              <w:t>2015–16</w:t>
            </w:r>
          </w:p>
        </w:tc>
        <w:tc>
          <w:tcPr>
            <w:tcW w:w="1068" w:type="dxa"/>
            <w:noWrap/>
            <w:hideMark/>
          </w:tcPr>
          <w:p w:rsidR="000F67F7" w:rsidRPr="00237902" w:rsidRDefault="000F67F7" w:rsidP="00237902">
            <w:pPr>
              <w:cnfStyle w:val="100000000000" w:firstRow="1" w:lastRow="0" w:firstColumn="0" w:lastColumn="0" w:oddVBand="0" w:evenVBand="0" w:oddHBand="0" w:evenHBand="0" w:firstRowFirstColumn="0" w:firstRowLastColumn="0" w:lastRowFirstColumn="0" w:lastRowLastColumn="0"/>
            </w:pPr>
            <w:r w:rsidRPr="00237902">
              <w:t>2016–17</w:t>
            </w:r>
          </w:p>
        </w:tc>
        <w:tc>
          <w:tcPr>
            <w:tcW w:w="1068" w:type="dxa"/>
            <w:noWrap/>
            <w:hideMark/>
          </w:tcPr>
          <w:p w:rsidR="000F67F7" w:rsidRPr="00237902" w:rsidRDefault="000F67F7" w:rsidP="00237902">
            <w:pPr>
              <w:cnfStyle w:val="100000000000" w:firstRow="1" w:lastRow="0" w:firstColumn="0" w:lastColumn="0" w:oddVBand="0" w:evenVBand="0" w:oddHBand="0" w:evenHBand="0" w:firstRowFirstColumn="0" w:firstRowLastColumn="0" w:lastRowFirstColumn="0" w:lastRowLastColumn="0"/>
            </w:pPr>
            <w:r w:rsidRPr="00237902">
              <w:t>2017–18</w:t>
            </w:r>
          </w:p>
        </w:tc>
        <w:tc>
          <w:tcPr>
            <w:tcW w:w="1068" w:type="dxa"/>
            <w:noWrap/>
            <w:hideMark/>
          </w:tcPr>
          <w:p w:rsidR="000F67F7" w:rsidRPr="00237902" w:rsidRDefault="000F67F7" w:rsidP="00237902">
            <w:pPr>
              <w:cnfStyle w:val="100000000000" w:firstRow="1" w:lastRow="0" w:firstColumn="0" w:lastColumn="0" w:oddVBand="0" w:evenVBand="0" w:oddHBand="0" w:evenHBand="0" w:firstRowFirstColumn="0" w:firstRowLastColumn="0" w:lastRowFirstColumn="0" w:lastRowLastColumn="0"/>
            </w:pPr>
            <w:r w:rsidRPr="00237902">
              <w:t>2018–19</w:t>
            </w:r>
          </w:p>
        </w:tc>
        <w:tc>
          <w:tcPr>
            <w:tcW w:w="1068" w:type="dxa"/>
            <w:noWrap/>
            <w:hideMark/>
          </w:tcPr>
          <w:p w:rsidR="000F67F7" w:rsidRPr="00237902" w:rsidRDefault="000F67F7" w:rsidP="00237902">
            <w:pPr>
              <w:cnfStyle w:val="100000000000" w:firstRow="1" w:lastRow="0" w:firstColumn="0" w:lastColumn="0" w:oddVBand="0" w:evenVBand="0" w:oddHBand="0" w:evenHBand="0" w:firstRowFirstColumn="0" w:firstRowLastColumn="0" w:lastRowFirstColumn="0" w:lastRowLastColumn="0"/>
            </w:pPr>
            <w:r w:rsidRPr="00237902">
              <w:t>2019–20</w:t>
            </w:r>
          </w:p>
        </w:tc>
      </w:tr>
      <w:tr w:rsidR="000F67F7" w:rsidRPr="00237902" w:rsidTr="00237902">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0F67F7" w:rsidRPr="00237902" w:rsidRDefault="000F67F7" w:rsidP="00237902">
            <w:r w:rsidRPr="00237902">
              <w:t>Opening RAB</w:t>
            </w:r>
          </w:p>
        </w:tc>
        <w:tc>
          <w:tcPr>
            <w:tcW w:w="1067" w:type="dxa"/>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11313.1</w:t>
            </w:r>
          </w:p>
        </w:tc>
        <w:tc>
          <w:tcPr>
            <w:tcW w:w="1068" w:type="dxa"/>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11923.9</w:t>
            </w:r>
          </w:p>
        </w:tc>
        <w:tc>
          <w:tcPr>
            <w:tcW w:w="1068" w:type="dxa"/>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12543.1</w:t>
            </w:r>
          </w:p>
        </w:tc>
        <w:tc>
          <w:tcPr>
            <w:tcW w:w="1068" w:type="dxa"/>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13102.5</w:t>
            </w:r>
          </w:p>
        </w:tc>
        <w:tc>
          <w:tcPr>
            <w:tcW w:w="1068" w:type="dxa"/>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13656.2</w:t>
            </w:r>
          </w:p>
        </w:tc>
      </w:tr>
      <w:tr w:rsidR="000F67F7" w:rsidRPr="00237902" w:rsidTr="00237902">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0F67F7" w:rsidRPr="00237902" w:rsidRDefault="000F67F7" w:rsidP="00237902">
            <w:r w:rsidRPr="00237902">
              <w:t>Capital expenditure</w:t>
            </w:r>
            <w:r w:rsidRPr="00237902">
              <w:rPr>
                <w:rStyle w:val="AERsuperscript"/>
              </w:rPr>
              <w:t>a</w:t>
            </w:r>
          </w:p>
        </w:tc>
        <w:tc>
          <w:tcPr>
            <w:tcW w:w="1067" w:type="dxa"/>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684.4</w:t>
            </w:r>
          </w:p>
        </w:tc>
        <w:tc>
          <w:tcPr>
            <w:tcW w:w="1068" w:type="dxa"/>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705.3</w:t>
            </w:r>
          </w:p>
        </w:tc>
        <w:tc>
          <w:tcPr>
            <w:tcW w:w="1068" w:type="dxa"/>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661.0</w:t>
            </w:r>
          </w:p>
        </w:tc>
        <w:tc>
          <w:tcPr>
            <w:tcW w:w="1068" w:type="dxa"/>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667.2</w:t>
            </w:r>
          </w:p>
        </w:tc>
        <w:tc>
          <w:tcPr>
            <w:tcW w:w="1068" w:type="dxa"/>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725.8</w:t>
            </w:r>
          </w:p>
        </w:tc>
      </w:tr>
      <w:tr w:rsidR="000F67F7" w:rsidRPr="00237902" w:rsidTr="00237902">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0F67F7" w:rsidRPr="00237902" w:rsidRDefault="000F67F7" w:rsidP="00237902">
            <w:r w:rsidRPr="00237902">
              <w:t>Inflation indexation on opening RAB</w:t>
            </w:r>
          </w:p>
        </w:tc>
        <w:tc>
          <w:tcPr>
            <w:tcW w:w="1067" w:type="dxa"/>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285.1</w:t>
            </w:r>
          </w:p>
        </w:tc>
        <w:tc>
          <w:tcPr>
            <w:tcW w:w="1068" w:type="dxa"/>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300.5</w:t>
            </w:r>
          </w:p>
        </w:tc>
        <w:tc>
          <w:tcPr>
            <w:tcW w:w="1068" w:type="dxa"/>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316.1</w:t>
            </w:r>
          </w:p>
        </w:tc>
        <w:tc>
          <w:tcPr>
            <w:tcW w:w="1068" w:type="dxa"/>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330.2</w:t>
            </w:r>
          </w:p>
        </w:tc>
        <w:tc>
          <w:tcPr>
            <w:tcW w:w="1068" w:type="dxa"/>
            <w:noWrap/>
            <w:vAlign w:val="bottom"/>
          </w:tcPr>
          <w:p w:rsidR="000F67F7" w:rsidRPr="00237902" w:rsidRDefault="000F67F7" w:rsidP="00237902">
            <w:pPr>
              <w:cnfStyle w:val="000000000000" w:firstRow="0" w:lastRow="0" w:firstColumn="0" w:lastColumn="0" w:oddVBand="0" w:evenVBand="0" w:oddHBand="0" w:evenHBand="0" w:firstRowFirstColumn="0" w:firstRowLastColumn="0" w:lastRowFirstColumn="0" w:lastRowLastColumn="0"/>
            </w:pPr>
            <w:r w:rsidRPr="00237902">
              <w:t>344.1</w:t>
            </w:r>
          </w:p>
        </w:tc>
      </w:tr>
      <w:tr w:rsidR="000F67F7" w:rsidRPr="00237902" w:rsidTr="00237902">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0F67F7" w:rsidRPr="00237902" w:rsidRDefault="000F67F7" w:rsidP="00237902">
            <w:r w:rsidRPr="00237902">
              <w:rPr>
                <w:rStyle w:val="AERtextitalic"/>
              </w:rPr>
              <w:t>Less</w:t>
            </w:r>
            <w:r w:rsidRPr="00237902">
              <w:t>: straight-line depreciation</w:t>
            </w:r>
          </w:p>
        </w:tc>
        <w:tc>
          <w:tcPr>
            <w:tcW w:w="1067" w:type="dxa"/>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358.7</w:t>
            </w:r>
          </w:p>
        </w:tc>
        <w:tc>
          <w:tcPr>
            <w:tcW w:w="1068" w:type="dxa"/>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386.6</w:t>
            </w:r>
          </w:p>
        </w:tc>
        <w:tc>
          <w:tcPr>
            <w:tcW w:w="1068" w:type="dxa"/>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417.7</w:t>
            </w:r>
          </w:p>
        </w:tc>
        <w:tc>
          <w:tcPr>
            <w:tcW w:w="1068" w:type="dxa"/>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443.6</w:t>
            </w:r>
          </w:p>
        </w:tc>
        <w:tc>
          <w:tcPr>
            <w:tcW w:w="1068" w:type="dxa"/>
            <w:noWrap/>
            <w:vAlign w:val="bottom"/>
          </w:tcPr>
          <w:p w:rsidR="000F67F7" w:rsidRPr="00237902" w:rsidRDefault="000F67F7" w:rsidP="00237902">
            <w:pPr>
              <w:cnfStyle w:val="000000010000" w:firstRow="0" w:lastRow="0" w:firstColumn="0" w:lastColumn="0" w:oddVBand="0" w:evenVBand="0" w:oddHBand="0" w:evenHBand="1" w:firstRowFirstColumn="0" w:firstRowLastColumn="0" w:lastRowFirstColumn="0" w:lastRowLastColumn="0"/>
            </w:pPr>
            <w:r w:rsidRPr="00237902">
              <w:t>471.0</w:t>
            </w:r>
          </w:p>
        </w:tc>
      </w:tr>
      <w:tr w:rsidR="000F67F7" w:rsidRPr="00A71699" w:rsidTr="00237902">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0F67F7" w:rsidRPr="00A71699" w:rsidRDefault="000F67F7" w:rsidP="00237902">
            <w:pPr>
              <w:rPr>
                <w:rStyle w:val="Strong"/>
              </w:rPr>
            </w:pPr>
            <w:r w:rsidRPr="00A71699">
              <w:rPr>
                <w:rStyle w:val="Strong"/>
              </w:rPr>
              <w:t>Closing RAB</w:t>
            </w:r>
          </w:p>
        </w:tc>
        <w:tc>
          <w:tcPr>
            <w:tcW w:w="1067" w:type="dxa"/>
            <w:noWrap/>
            <w:vAlign w:val="bottom"/>
          </w:tcPr>
          <w:p w:rsidR="000F67F7" w:rsidRPr="00A71699" w:rsidRDefault="000F67F7" w:rsidP="00237902">
            <w:pPr>
              <w:cnfStyle w:val="000000000000" w:firstRow="0" w:lastRow="0" w:firstColumn="0" w:lastColumn="0" w:oddVBand="0" w:evenVBand="0" w:oddHBand="0" w:evenHBand="0" w:firstRowFirstColumn="0" w:firstRowLastColumn="0" w:lastRowFirstColumn="0" w:lastRowLastColumn="0"/>
              <w:rPr>
                <w:rStyle w:val="Strong"/>
              </w:rPr>
            </w:pPr>
            <w:r w:rsidRPr="00A71699">
              <w:rPr>
                <w:rStyle w:val="Strong"/>
              </w:rPr>
              <w:t>11923.9</w:t>
            </w:r>
          </w:p>
        </w:tc>
        <w:tc>
          <w:tcPr>
            <w:tcW w:w="1068" w:type="dxa"/>
            <w:noWrap/>
            <w:vAlign w:val="bottom"/>
          </w:tcPr>
          <w:p w:rsidR="000F67F7" w:rsidRPr="00A71699" w:rsidRDefault="000F67F7" w:rsidP="00237902">
            <w:pPr>
              <w:cnfStyle w:val="000000000000" w:firstRow="0" w:lastRow="0" w:firstColumn="0" w:lastColumn="0" w:oddVBand="0" w:evenVBand="0" w:oddHBand="0" w:evenHBand="0" w:firstRowFirstColumn="0" w:firstRowLastColumn="0" w:lastRowFirstColumn="0" w:lastRowLastColumn="0"/>
              <w:rPr>
                <w:rStyle w:val="Strong"/>
              </w:rPr>
            </w:pPr>
            <w:r w:rsidRPr="00A71699">
              <w:rPr>
                <w:rStyle w:val="Strong"/>
              </w:rPr>
              <w:t>12543.1</w:t>
            </w:r>
          </w:p>
        </w:tc>
        <w:tc>
          <w:tcPr>
            <w:tcW w:w="1068" w:type="dxa"/>
            <w:noWrap/>
            <w:vAlign w:val="bottom"/>
          </w:tcPr>
          <w:p w:rsidR="000F67F7" w:rsidRPr="00A71699" w:rsidRDefault="000F67F7" w:rsidP="00237902">
            <w:pPr>
              <w:cnfStyle w:val="000000000000" w:firstRow="0" w:lastRow="0" w:firstColumn="0" w:lastColumn="0" w:oddVBand="0" w:evenVBand="0" w:oddHBand="0" w:evenHBand="0" w:firstRowFirstColumn="0" w:firstRowLastColumn="0" w:lastRowFirstColumn="0" w:lastRowLastColumn="0"/>
              <w:rPr>
                <w:rStyle w:val="Strong"/>
              </w:rPr>
            </w:pPr>
            <w:r w:rsidRPr="00A71699">
              <w:rPr>
                <w:rStyle w:val="Strong"/>
              </w:rPr>
              <w:t>13102.5</w:t>
            </w:r>
          </w:p>
        </w:tc>
        <w:tc>
          <w:tcPr>
            <w:tcW w:w="1068" w:type="dxa"/>
            <w:noWrap/>
            <w:vAlign w:val="bottom"/>
          </w:tcPr>
          <w:p w:rsidR="000F67F7" w:rsidRPr="00A71699" w:rsidRDefault="000F67F7" w:rsidP="00237902">
            <w:pPr>
              <w:cnfStyle w:val="000000000000" w:firstRow="0" w:lastRow="0" w:firstColumn="0" w:lastColumn="0" w:oddVBand="0" w:evenVBand="0" w:oddHBand="0" w:evenHBand="0" w:firstRowFirstColumn="0" w:firstRowLastColumn="0" w:lastRowFirstColumn="0" w:lastRowLastColumn="0"/>
              <w:rPr>
                <w:rStyle w:val="Strong"/>
              </w:rPr>
            </w:pPr>
            <w:r w:rsidRPr="00A71699">
              <w:rPr>
                <w:rStyle w:val="Strong"/>
              </w:rPr>
              <w:t>13656.2</w:t>
            </w:r>
          </w:p>
        </w:tc>
        <w:tc>
          <w:tcPr>
            <w:tcW w:w="1068" w:type="dxa"/>
            <w:noWrap/>
            <w:vAlign w:val="bottom"/>
          </w:tcPr>
          <w:p w:rsidR="000F67F7" w:rsidRPr="00A71699" w:rsidRDefault="000F67F7" w:rsidP="00237902">
            <w:pPr>
              <w:cnfStyle w:val="000000000000" w:firstRow="0" w:lastRow="0" w:firstColumn="0" w:lastColumn="0" w:oddVBand="0" w:evenVBand="0" w:oddHBand="0" w:evenHBand="0" w:firstRowFirstColumn="0" w:firstRowLastColumn="0" w:lastRowFirstColumn="0" w:lastRowLastColumn="0"/>
              <w:rPr>
                <w:rStyle w:val="Strong"/>
              </w:rPr>
            </w:pPr>
            <w:r w:rsidRPr="00A71699">
              <w:rPr>
                <w:rStyle w:val="Strong"/>
              </w:rPr>
              <w:t>14255.2</w:t>
            </w:r>
          </w:p>
        </w:tc>
      </w:tr>
    </w:tbl>
    <w:p w:rsidR="000F67F7" w:rsidRPr="00924046" w:rsidRDefault="000F67F7" w:rsidP="000F67F7">
      <w:pPr>
        <w:pStyle w:val="AERtablesource"/>
      </w:pPr>
      <w:r w:rsidRPr="00924046">
        <w:t>Source:</w:t>
      </w:r>
      <w:r w:rsidRPr="00924046">
        <w:tab/>
      </w:r>
      <w:r w:rsidR="00623BCD">
        <w:t xml:space="preserve">Energex, </w:t>
      </w:r>
      <w:r w:rsidR="00341192" w:rsidRPr="00237902">
        <w:rPr>
          <w:rStyle w:val="AERtextitalic"/>
        </w:rPr>
        <w:t>P</w:t>
      </w:r>
      <w:r w:rsidR="00623BCD" w:rsidRPr="00237902">
        <w:rPr>
          <w:rStyle w:val="AERtextitalic"/>
        </w:rPr>
        <w:t>roposed</w:t>
      </w:r>
      <w:r w:rsidR="00577AC3" w:rsidRPr="00237902">
        <w:rPr>
          <w:rStyle w:val="AERtextitalic"/>
        </w:rPr>
        <w:t xml:space="preserve"> PTRM</w:t>
      </w:r>
      <w:r>
        <w:t>,</w:t>
      </w:r>
      <w:r w:rsidR="00577AC3">
        <w:t xml:space="preserve"> </w:t>
      </w:r>
      <w:r w:rsidRPr="00924046">
        <w:t>October 2014.</w:t>
      </w:r>
    </w:p>
    <w:p w:rsidR="000F67F7" w:rsidRPr="00924046" w:rsidRDefault="001E624E" w:rsidP="000F67F7">
      <w:pPr>
        <w:pStyle w:val="AERtablesource"/>
      </w:pPr>
      <w:r>
        <w:t>(a)</w:t>
      </w:r>
      <w:r w:rsidR="000F67F7" w:rsidRPr="00924046">
        <w:tab/>
        <w:t>Net of disposals and capital contributions.</w:t>
      </w:r>
    </w:p>
    <w:p w:rsidR="000F67F7" w:rsidRDefault="00442526" w:rsidP="000F67F7">
      <w:pPr>
        <w:numPr>
          <w:ilvl w:val="0"/>
          <w:numId w:val="25"/>
        </w:numPr>
      </w:pPr>
      <w:r>
        <w:t>Energex</w:t>
      </w:r>
      <w:r w:rsidR="000F67F7" w:rsidRPr="00924046">
        <w:t xml:space="preserve"> proposed to apply a forecast depreciation approach to establish the RAB at the commencement of 2020–25 regulatory control period, consistent with the approach set out in our final framework and approach paper.</w:t>
      </w:r>
      <w:r w:rsidR="000F67F7" w:rsidRPr="00924046">
        <w:rPr>
          <w:rStyle w:val="FootnoteReference"/>
        </w:rPr>
        <w:footnoteReference w:id="7"/>
      </w:r>
    </w:p>
    <w:p w:rsidR="000F67F7" w:rsidRPr="00E60A0B" w:rsidRDefault="000F67F7" w:rsidP="00E60A0B">
      <w:pPr>
        <w:pStyle w:val="Heading2"/>
      </w:pPr>
      <w:bookmarkStart w:id="21" w:name="_Toc403060803"/>
      <w:bookmarkStart w:id="22" w:name="_Ref413830588"/>
      <w:bookmarkStart w:id="23" w:name="_Toc413831034"/>
      <w:r w:rsidRPr="00E60A0B">
        <w:t>AER’s assessment approach</w:t>
      </w:r>
      <w:bookmarkEnd w:id="21"/>
      <w:bookmarkEnd w:id="22"/>
      <w:bookmarkEnd w:id="23"/>
    </w:p>
    <w:p w:rsidR="000F67F7" w:rsidRPr="00924046" w:rsidRDefault="000F67F7" w:rsidP="000F67F7">
      <w:pPr>
        <w:numPr>
          <w:ilvl w:val="0"/>
          <w:numId w:val="25"/>
        </w:numPr>
      </w:pPr>
      <w:r w:rsidRPr="00924046">
        <w:t>We are required to roll forward the service provider's RAB during the 2010–15 regulatory control period to establish the opening RAB at 1 July 2015. This value can be adjusted for any differences in the forecast and actual capex, disposals and capital contributions. It may also be adjusted to reflect any changes in the use of the assets, with only assets used in the provision of standard control services to be included in the RAB.</w:t>
      </w:r>
      <w:r w:rsidRPr="00924046">
        <w:rPr>
          <w:rStyle w:val="FootnoteReference"/>
        </w:rPr>
        <w:footnoteReference w:id="8"/>
      </w:r>
    </w:p>
    <w:p w:rsidR="000F67F7" w:rsidRPr="00924046" w:rsidRDefault="000F67F7" w:rsidP="000F67F7">
      <w:pPr>
        <w:numPr>
          <w:ilvl w:val="0"/>
          <w:numId w:val="25"/>
        </w:numPr>
      </w:pPr>
      <w:r w:rsidRPr="00924046">
        <w:t>To determine the opening RAB, we developed an asset base RFM in accordance with the requirements of the NER.</w:t>
      </w:r>
      <w:r w:rsidRPr="00924046">
        <w:rPr>
          <w:rStyle w:val="FootnoteReference"/>
        </w:rPr>
        <w:footnoteReference w:id="9"/>
      </w:r>
      <w:r w:rsidRPr="00924046">
        <w:t xml:space="preserve"> A service provider must use the RFM in preparing its regulatory proposal.</w:t>
      </w:r>
      <w:r w:rsidR="000923C2">
        <w:rPr>
          <w:rStyle w:val="FootnoteReference"/>
        </w:rPr>
        <w:footnoteReference w:id="10"/>
      </w:r>
      <w:r w:rsidRPr="00924046">
        <w:t xml:space="preserve"> The RFM rolls forward the RAB from the beginning of the final year of the 2005–10 regulatory control period, through the 2010–15 regulatory control period, to the beginning of the next period. The roll forward occurs for each year by:</w:t>
      </w:r>
    </w:p>
    <w:p w:rsidR="000F67F7" w:rsidRPr="000F67F7" w:rsidRDefault="000F67F7" w:rsidP="000F67F7">
      <w:pPr>
        <w:pStyle w:val="AERbulletlistfirststyle"/>
      </w:pPr>
      <w:r w:rsidRPr="00924046">
        <w:t>Adding an inflation (indexation) adjustment to the opening RAB for the relevant year. This adjustment must be consistent with the inflation factor used in the control mechanism.</w:t>
      </w:r>
      <w:r w:rsidRPr="000F67F7">
        <w:rPr>
          <w:rStyle w:val="FootnoteReference"/>
        </w:rPr>
        <w:footnoteReference w:id="11"/>
      </w:r>
    </w:p>
    <w:p w:rsidR="000F67F7" w:rsidRPr="000F67F7" w:rsidRDefault="000F67F7" w:rsidP="008237CC">
      <w:pPr>
        <w:pStyle w:val="AERbulletlistfirststyle"/>
      </w:pPr>
      <w:r w:rsidRPr="00924046">
        <w:t xml:space="preserve">Adding capex </w:t>
      </w:r>
      <w:r w:rsidR="00FF6253">
        <w:t>(including capital contributions</w:t>
      </w:r>
      <w:r w:rsidR="00FF6253">
        <w:rPr>
          <w:rStyle w:val="FootnoteReference"/>
        </w:rPr>
        <w:footnoteReference w:id="12"/>
      </w:r>
      <w:r w:rsidR="00FF6253">
        <w:t xml:space="preserve">) </w:t>
      </w:r>
      <w:r w:rsidRPr="00924046">
        <w:t>to the RAB for the relevant year.</w:t>
      </w:r>
      <w:r w:rsidRPr="000F67F7">
        <w:rPr>
          <w:rStyle w:val="FootnoteReference"/>
        </w:rPr>
        <w:footnoteReference w:id="13"/>
      </w:r>
      <w:r w:rsidRPr="000F67F7">
        <w:t xml:space="preserve"> In future determinations, the NER allows us to review a service provider's past </w:t>
      </w:r>
      <w:r w:rsidRPr="000F67F7">
        <w:lastRenderedPageBreak/>
        <w:t>capex and exclude inefficient past capex from being rolled into the RAB</w:t>
      </w:r>
      <w:r w:rsidR="008237CC" w:rsidRPr="008237CC">
        <w:t xml:space="preserve"> where total capex exceeds the regulatory allowance</w:t>
      </w:r>
      <w:r w:rsidRPr="000F67F7">
        <w:t>.</w:t>
      </w:r>
      <w:r w:rsidRPr="000F67F7">
        <w:rPr>
          <w:rStyle w:val="FootnoteReference"/>
        </w:rPr>
        <w:footnoteReference w:id="14"/>
      </w:r>
      <w:r w:rsidRPr="000F67F7">
        <w:t xml:space="preserve"> </w:t>
      </w:r>
      <w:r w:rsidR="00925F11">
        <w:t xml:space="preserve">The </w:t>
      </w:r>
      <w:r w:rsidR="00925F11" w:rsidRPr="00BD0C68">
        <w:t xml:space="preserve">details of our assessment approach </w:t>
      </w:r>
      <w:r w:rsidR="00925F11">
        <w:t xml:space="preserve">for inefficient capex are set out in </w:t>
      </w:r>
      <w:r w:rsidR="00925F11" w:rsidRPr="00166EE4">
        <w:t xml:space="preserve">the </w:t>
      </w:r>
      <w:r w:rsidR="00925F11" w:rsidRPr="00BA4A28">
        <w:rPr>
          <w:rStyle w:val="AERtextitalic"/>
        </w:rPr>
        <w:t xml:space="preserve">Capital </w:t>
      </w:r>
      <w:r w:rsidR="00A626E7" w:rsidRPr="00BA4A28">
        <w:rPr>
          <w:rStyle w:val="AERtextitalic"/>
        </w:rPr>
        <w:t>e</w:t>
      </w:r>
      <w:r w:rsidR="00925F11" w:rsidRPr="00BA4A28">
        <w:rPr>
          <w:rStyle w:val="AERtextitalic"/>
        </w:rPr>
        <w:t xml:space="preserve">xpenditure </w:t>
      </w:r>
      <w:r w:rsidR="00A626E7" w:rsidRPr="00BA4A28">
        <w:rPr>
          <w:rStyle w:val="AERtextitalic"/>
        </w:rPr>
        <w:t>i</w:t>
      </w:r>
      <w:r w:rsidR="00925F11" w:rsidRPr="00BA4A28">
        <w:rPr>
          <w:rStyle w:val="AERtextitalic"/>
        </w:rPr>
        <w:t xml:space="preserve">ncentive </w:t>
      </w:r>
      <w:r w:rsidR="00A626E7" w:rsidRPr="00BA4A28">
        <w:rPr>
          <w:rStyle w:val="AERtextitalic"/>
        </w:rPr>
        <w:t>g</w:t>
      </w:r>
      <w:r w:rsidR="00925F11" w:rsidRPr="00BA4A28">
        <w:rPr>
          <w:rStyle w:val="AERtextitalic"/>
        </w:rPr>
        <w:t>uideline</w:t>
      </w:r>
      <w:r w:rsidR="00925F11" w:rsidRPr="00166EE4">
        <w:t>.</w:t>
      </w:r>
      <w:r w:rsidR="00925F11">
        <w:rPr>
          <w:rStyle w:val="FootnoteReference"/>
        </w:rPr>
        <w:footnoteReference w:id="15"/>
      </w:r>
      <w:r w:rsidR="00925F11">
        <w:t xml:space="preserve"> </w:t>
      </w:r>
      <w:r w:rsidRPr="000F67F7">
        <w:t>We note that under the transitional rules, the review of past capex does not apply to Energex prior to 1 July 2015.</w:t>
      </w:r>
      <w:r w:rsidRPr="000F67F7">
        <w:rPr>
          <w:rStyle w:val="FootnoteReference"/>
        </w:rPr>
        <w:footnoteReference w:id="16"/>
      </w:r>
      <w:r w:rsidRPr="000F67F7">
        <w:t xml:space="preserve"> Therefore, for the purposes of this preliminary decision, we will add Energex's actual or estimated capex in the 2010–15 regulatory control period to the RAB. We check actual capex amounts against audited annual reporting RIN data and generally accept the capex reported in those RINs in rolling forward the RAB. However, there may be instances where adjustments are required to the annual reporting RIN data</w:t>
      </w:r>
      <w:r w:rsidR="000923C2">
        <w:t>.</w:t>
      </w:r>
      <w:r w:rsidRPr="000F67F7">
        <w:t xml:space="preserve"> </w:t>
      </w:r>
      <w:r w:rsidR="000923C2">
        <w:t xml:space="preserve">This </w:t>
      </w:r>
      <w:r w:rsidR="00A626E7">
        <w:t>would</w:t>
      </w:r>
      <w:r w:rsidR="000923C2">
        <w:t xml:space="preserve"> include where it </w:t>
      </w:r>
      <w:r w:rsidRPr="000F67F7">
        <w:t xml:space="preserve">is not fit for purpose. </w:t>
      </w:r>
    </w:p>
    <w:p w:rsidR="000F67F7" w:rsidRPr="000F67F7" w:rsidRDefault="000F67F7" w:rsidP="00FF6253">
      <w:pPr>
        <w:pStyle w:val="AERbulletlistfirststyle"/>
      </w:pPr>
      <w:r w:rsidRPr="00924046">
        <w:t>Subtracting depreciation from the RAB for the relevant year, calculated in accordance with the relevant distribution determination for that year.</w:t>
      </w:r>
      <w:r w:rsidRPr="000F67F7">
        <w:rPr>
          <w:rStyle w:val="FootnoteReference"/>
        </w:rPr>
        <w:footnoteReference w:id="17"/>
      </w:r>
      <w:r w:rsidRPr="000F67F7">
        <w:t xml:space="preserve"> Depreciation based on forecast or actual capex can be used to roll forward the RAB.</w:t>
      </w:r>
      <w:r w:rsidRPr="000F67F7">
        <w:rPr>
          <w:rStyle w:val="FootnoteReference"/>
        </w:rPr>
        <w:footnoteReference w:id="18"/>
      </w:r>
      <w:r w:rsidRPr="000F67F7">
        <w:t xml:space="preserve"> By default the RFM applies the depreciation approach based on actual capex, although this can be modified to apply a depreciation approach based on forecast capex </w:t>
      </w:r>
      <w:r w:rsidR="00FF6253">
        <w:t>when</w:t>
      </w:r>
      <w:r w:rsidRPr="000F67F7">
        <w:t xml:space="preserve"> necessary. For this preliminary decision, we use depreciation based on actual capex for rolling forward Energex's RAB values over the 2010–15 regulatory control period.</w:t>
      </w:r>
      <w:r w:rsidRPr="000F67F7">
        <w:rPr>
          <w:rStyle w:val="FootnoteReference"/>
        </w:rPr>
        <w:footnoteReference w:id="19"/>
      </w:r>
      <w:r w:rsidR="00FF6253" w:rsidRPr="00FF6253">
        <w:t xml:space="preserve"> However, depreciation based on forecast capex will be used for the 2015</w:t>
      </w:r>
      <w:r w:rsidR="00C93102">
        <w:t>–</w:t>
      </w:r>
      <w:r w:rsidR="00FF6253" w:rsidRPr="00FF6253">
        <w:t>20 regulatory control period</w:t>
      </w:r>
      <w:r w:rsidR="00A626E7">
        <w:t xml:space="preserve"> at the next reset</w:t>
      </w:r>
      <w:r w:rsidR="00FF6253" w:rsidRPr="00FF6253">
        <w:t>.</w:t>
      </w:r>
      <w:r w:rsidR="000923C2">
        <w:rPr>
          <w:rStyle w:val="FootnoteReference"/>
        </w:rPr>
        <w:footnoteReference w:id="20"/>
      </w:r>
    </w:p>
    <w:p w:rsidR="000F67F7" w:rsidRPr="000F67F7" w:rsidRDefault="000F67F7" w:rsidP="000F67F7">
      <w:pPr>
        <w:pStyle w:val="AERbulletlistfirststyle"/>
      </w:pPr>
      <w:r w:rsidRPr="00924046">
        <w:t>Subtracting any disposals from the RAB for the relevant year.</w:t>
      </w:r>
      <w:r w:rsidRPr="000F67F7">
        <w:rPr>
          <w:rStyle w:val="FootnoteReference"/>
        </w:rPr>
        <w:footnoteReference w:id="21"/>
      </w:r>
      <w:r w:rsidRPr="000F67F7">
        <w:t xml:space="preserve"> We check these amounts against audited annual reporting RIN data.</w:t>
      </w:r>
    </w:p>
    <w:p w:rsidR="000F67F7" w:rsidRPr="000F67F7" w:rsidRDefault="000F67F7" w:rsidP="000F67F7">
      <w:pPr>
        <w:rPr>
          <w:rStyle w:val="AERbody"/>
        </w:rPr>
      </w:pPr>
      <w:r w:rsidRPr="00924046">
        <w:rPr>
          <w:rStyle w:val="AERbody"/>
        </w:rPr>
        <w:t xml:space="preserve">These annual adjustments give the closing RAB for any particular year, which then becomes the opening RAB for the following year. Through this process the RFM rolls forward the RAB to the end of the 2010–15 regulatory control period. The PTRM used to calculate the annual revenue requirement for the 2015–20 </w:t>
      </w:r>
      <w:r w:rsidR="00341192">
        <w:rPr>
          <w:rStyle w:val="AERbody"/>
        </w:rPr>
        <w:t xml:space="preserve">regulatory control </w:t>
      </w:r>
      <w:r w:rsidRPr="00924046">
        <w:rPr>
          <w:rStyle w:val="AERbody"/>
        </w:rPr>
        <w:t>period generally adopts the same RAB roll forward approach as the RFM, although the annual adjustments to the RAB are based on forecasts, rather than actual amounts.</w:t>
      </w:r>
    </w:p>
    <w:p w:rsidR="000F67F7" w:rsidRPr="000F67F7" w:rsidRDefault="000F67F7" w:rsidP="000F67F7">
      <w:pPr>
        <w:numPr>
          <w:ilvl w:val="0"/>
          <w:numId w:val="25"/>
        </w:numPr>
        <w:rPr>
          <w:rStyle w:val="AERbody"/>
        </w:rPr>
      </w:pPr>
      <w:r w:rsidRPr="00924046">
        <w:rPr>
          <w:rStyle w:val="AERbody"/>
        </w:rPr>
        <w:lastRenderedPageBreak/>
        <w:t>We are required to decide whether depreciation for establishing the service provider's RAB as at the commencement of the 2020–25 regulatory control period is to be based on actual or forecast capex.</w:t>
      </w:r>
      <w:r w:rsidRPr="00924046">
        <w:rPr>
          <w:rStyle w:val="FootnoteReference"/>
        </w:rPr>
        <w:footnoteReference w:id="22"/>
      </w:r>
    </w:p>
    <w:p w:rsidR="000F67F7" w:rsidRPr="000F67F7" w:rsidRDefault="000F67F7" w:rsidP="000F67F7">
      <w:pPr>
        <w:numPr>
          <w:ilvl w:val="0"/>
          <w:numId w:val="25"/>
        </w:numPr>
        <w:rPr>
          <w:rStyle w:val="AERbody"/>
        </w:rPr>
      </w:pPr>
      <w:r w:rsidRPr="00924046">
        <w:rPr>
          <w:rStyle w:val="AERbody"/>
        </w:rPr>
        <w:t xml:space="preserve">The opening RAB for the 2020–25 regulatory control period can be determined using depreciation based either on forecast or actual capex incurred during the 2015–20 period. To roll forward the RAB using depreciation based on forecast capex, we would use the forecast depreciation contained in the PTRM for the 2015–20 regulatory control period, adjusted for actual inflation. If the approach to roll forward the RAB using depreciation based on actual capex was adopted, we would recalculate the depreciation based on actual capex incurred during the 2015–20 regulatory control period. </w:t>
      </w:r>
    </w:p>
    <w:p w:rsidR="000F67F7" w:rsidRPr="000F67F7" w:rsidRDefault="000F67F7" w:rsidP="000F67F7">
      <w:pPr>
        <w:numPr>
          <w:ilvl w:val="0"/>
          <w:numId w:val="25"/>
        </w:numPr>
        <w:rPr>
          <w:rStyle w:val="AERbody"/>
        </w:rPr>
      </w:pPr>
      <w:r w:rsidRPr="00924046">
        <w:rPr>
          <w:rStyle w:val="AERbody"/>
        </w:rPr>
        <w:t>Our decision on whether to use actual or forecast depreciation must be consistent with the capex incentive objective. We must have regard to:</w:t>
      </w:r>
      <w:r w:rsidRPr="00924046">
        <w:rPr>
          <w:rStyle w:val="FootnoteReference"/>
        </w:rPr>
        <w:footnoteReference w:id="23"/>
      </w:r>
    </w:p>
    <w:p w:rsidR="000F67F7" w:rsidRPr="000F67F7" w:rsidRDefault="000923C2" w:rsidP="000F67F7">
      <w:pPr>
        <w:pStyle w:val="AERbulletlistfirststyle"/>
        <w:rPr>
          <w:rStyle w:val="AERbody"/>
        </w:rPr>
      </w:pPr>
      <w:r>
        <w:rPr>
          <w:rStyle w:val="AERbody"/>
        </w:rPr>
        <w:t xml:space="preserve">the </w:t>
      </w:r>
      <w:r w:rsidR="000F67F7" w:rsidRPr="00924046">
        <w:rPr>
          <w:rStyle w:val="AERbody"/>
        </w:rPr>
        <w:t>incentives the service provider has to undertake efficient capex</w:t>
      </w:r>
    </w:p>
    <w:p w:rsidR="000F67F7" w:rsidRPr="000F67F7" w:rsidRDefault="000F67F7" w:rsidP="000F67F7">
      <w:pPr>
        <w:pStyle w:val="AERbulletlistfirststyle"/>
        <w:rPr>
          <w:rStyle w:val="AERbody"/>
        </w:rPr>
      </w:pPr>
      <w:r w:rsidRPr="00924046">
        <w:rPr>
          <w:rStyle w:val="AERbody"/>
        </w:rPr>
        <w:t>substitution possibilities between assets with different lives</w:t>
      </w:r>
      <w:r w:rsidR="000923C2">
        <w:rPr>
          <w:rStyle w:val="AERbody"/>
        </w:rPr>
        <w:t xml:space="preserve"> and the relative benefits of each</w:t>
      </w:r>
    </w:p>
    <w:p w:rsidR="000F67F7" w:rsidRPr="000F67F7" w:rsidRDefault="000F67F7" w:rsidP="000F67F7">
      <w:pPr>
        <w:pStyle w:val="AERbulletlistfirststyle"/>
        <w:rPr>
          <w:rStyle w:val="AERbody"/>
        </w:rPr>
      </w:pPr>
      <w:r w:rsidRPr="00924046">
        <w:rPr>
          <w:rStyle w:val="AERbody"/>
        </w:rPr>
        <w:t>the extent of overspending and inefficient overspending relative to the allowed forecast</w:t>
      </w:r>
    </w:p>
    <w:p w:rsidR="000F67F7" w:rsidRPr="000F67F7" w:rsidRDefault="000F67F7" w:rsidP="000F67F7">
      <w:pPr>
        <w:pStyle w:val="AERbulletlistfirststyle"/>
        <w:rPr>
          <w:rStyle w:val="AERbody"/>
        </w:rPr>
      </w:pPr>
      <w:r w:rsidRPr="00924046">
        <w:rPr>
          <w:rStyle w:val="AERbody"/>
        </w:rPr>
        <w:t>the capex incentive guideline</w:t>
      </w:r>
    </w:p>
    <w:p w:rsidR="00A54C89" w:rsidRDefault="000F67F7" w:rsidP="00A54C89">
      <w:pPr>
        <w:pStyle w:val="AERbulletlistfirststyle"/>
        <w:rPr>
          <w:rStyle w:val="AERbody"/>
        </w:rPr>
      </w:pPr>
      <w:r w:rsidRPr="00924046">
        <w:rPr>
          <w:rStyle w:val="AERbody"/>
        </w:rPr>
        <w:t>the capital expenditure factors.</w:t>
      </w:r>
    </w:p>
    <w:p w:rsidR="000F67F7" w:rsidRPr="00E60A0B" w:rsidRDefault="000F67F7" w:rsidP="00E60A0B">
      <w:pPr>
        <w:pStyle w:val="Heading3"/>
      </w:pPr>
      <w:bookmarkStart w:id="24" w:name="_Toc403060804"/>
      <w:bookmarkStart w:id="25" w:name="_Toc413831035"/>
      <w:r w:rsidRPr="00E60A0B">
        <w:t>Interrelationships</w:t>
      </w:r>
      <w:bookmarkEnd w:id="24"/>
      <w:bookmarkEnd w:id="25"/>
    </w:p>
    <w:p w:rsidR="000F67F7" w:rsidRPr="00924046" w:rsidRDefault="000F67F7" w:rsidP="000F67F7">
      <w:pPr>
        <w:numPr>
          <w:ilvl w:val="0"/>
          <w:numId w:val="25"/>
        </w:numPr>
      </w:pPr>
      <w:r w:rsidRPr="00924046">
        <w:t>The RAB is an input into the determination of the return on capital and depreciation (return of capital) building block allowances.</w:t>
      </w:r>
      <w:r w:rsidRPr="00924046">
        <w:rPr>
          <w:rStyle w:val="FootnoteReference"/>
        </w:rPr>
        <w:footnoteReference w:id="24"/>
      </w:r>
      <w:r w:rsidRPr="00924046">
        <w:t xml:space="preserve"> Factors that influence the RAB will therefore flow through to these building block components and the annual revenue requirement. Other things being equal, a higher RAB increases both the return on capital and depreciation allowances.</w:t>
      </w:r>
    </w:p>
    <w:p w:rsidR="000F67F7" w:rsidRPr="00924046" w:rsidRDefault="000F67F7" w:rsidP="000F67F7">
      <w:pPr>
        <w:numPr>
          <w:ilvl w:val="0"/>
          <w:numId w:val="25"/>
        </w:numPr>
      </w:pPr>
      <w:r w:rsidRPr="00924046">
        <w:t>The RAB is determined by various factors, including:</w:t>
      </w:r>
    </w:p>
    <w:p w:rsidR="000F67F7" w:rsidRPr="000F67F7" w:rsidRDefault="000F67F7" w:rsidP="000F67F7">
      <w:pPr>
        <w:pStyle w:val="AERbulletlistfirststyle"/>
      </w:pPr>
      <w:r w:rsidRPr="00924046">
        <w:t>the opening RAB (meaning the value of existing assets at the beginning of the regulatory control period)</w:t>
      </w:r>
    </w:p>
    <w:p w:rsidR="000F67F7" w:rsidRPr="000F67F7" w:rsidRDefault="000F67F7" w:rsidP="000F67F7">
      <w:pPr>
        <w:pStyle w:val="AERbulletlistfirststyle"/>
      </w:pPr>
      <w:r w:rsidRPr="00924046">
        <w:t>net capex</w:t>
      </w:r>
      <w:r w:rsidRPr="000F67F7">
        <w:rPr>
          <w:rStyle w:val="FootnoteReference"/>
        </w:rPr>
        <w:footnoteReference w:id="25"/>
      </w:r>
    </w:p>
    <w:p w:rsidR="000F67F7" w:rsidRPr="000F67F7" w:rsidRDefault="000F67F7" w:rsidP="000F67F7">
      <w:pPr>
        <w:pStyle w:val="AERbulletlistfirststyle"/>
      </w:pPr>
      <w:r w:rsidRPr="00924046">
        <w:lastRenderedPageBreak/>
        <w:t>depreciation</w:t>
      </w:r>
    </w:p>
    <w:p w:rsidR="000F67F7" w:rsidRPr="000F67F7" w:rsidRDefault="000F67F7" w:rsidP="000F67F7">
      <w:pPr>
        <w:pStyle w:val="AERbulletlistfirststyle"/>
      </w:pPr>
      <w:r w:rsidRPr="00924046">
        <w:t>indexation adjustment – so the RAB is presented in nominal terms, consistent with the rate of return.</w:t>
      </w:r>
    </w:p>
    <w:p w:rsidR="000F67F7" w:rsidRPr="000F67F7" w:rsidRDefault="000F67F7" w:rsidP="008C63EE">
      <w:r w:rsidRPr="00924046">
        <w:t xml:space="preserve">The opening RAB depends on the value of existing assets and will depend on actual net capex, actual inflation outcomes and depreciation in the past. </w:t>
      </w:r>
    </w:p>
    <w:p w:rsidR="000F67F7" w:rsidRPr="000F67F7" w:rsidRDefault="000F67F7" w:rsidP="008C63EE">
      <w:r w:rsidRPr="00924046">
        <w:t xml:space="preserve">The RAB when projected to the end of the regulatory control period increases due to both forecast new capex and the indexation adjustment. The size of the indexation adjustment depends on expected inflation (which also affects the nominal rate of return) and the size of the RAB at the start of each year. </w:t>
      </w:r>
    </w:p>
    <w:p w:rsidR="000F67F7" w:rsidRPr="000F67F7" w:rsidRDefault="000F67F7" w:rsidP="008C63EE">
      <w:r w:rsidRPr="00924046">
        <w:t>Depreciation reduces the RAB. The depreciation allowance depends on the size of the opening RAB and the forecast net capex. By convention, the indexation adjustment is also offset against depreciation to prevent double counting of inflation in the RAB and rate of return, which are both presented in nominal terms. This reduces the apparent depreciation building block that feeds into the annual revenue requirement.</w:t>
      </w:r>
    </w:p>
    <w:p w:rsidR="000F67F7" w:rsidRDefault="00026E85" w:rsidP="000F67F7">
      <w:r>
        <w:fldChar w:fldCharType="begin"/>
      </w:r>
      <w:r>
        <w:instrText xml:space="preserve"> REF _Ref417385822 \h </w:instrText>
      </w:r>
      <w:r>
        <w:fldChar w:fldCharType="separate"/>
      </w:r>
      <w:r w:rsidR="001E624E">
        <w:t xml:space="preserve">Figure </w:t>
      </w:r>
      <w:r w:rsidR="001E624E">
        <w:rPr>
          <w:noProof/>
        </w:rPr>
        <w:t>2</w:t>
      </w:r>
      <w:r w:rsidR="001E624E">
        <w:t>.</w:t>
      </w:r>
      <w:r w:rsidR="001E624E">
        <w:rPr>
          <w:noProof/>
        </w:rPr>
        <w:t>1</w:t>
      </w:r>
      <w:r>
        <w:fldChar w:fldCharType="end"/>
      </w:r>
      <w:r w:rsidR="000F67F7" w:rsidRPr="00924046">
        <w:t xml:space="preserve"> shows the key drivers of the change in the RAB over the 2015–20 regulatory control </w:t>
      </w:r>
      <w:proofErr w:type="gramStart"/>
      <w:r w:rsidR="000F67F7" w:rsidRPr="00924046">
        <w:t>period</w:t>
      </w:r>
      <w:proofErr w:type="gramEnd"/>
      <w:r w:rsidR="000F67F7" w:rsidRPr="00924046">
        <w:t xml:space="preserve"> as proposed by </w:t>
      </w:r>
      <w:r w:rsidR="000F67F7">
        <w:t>Energex</w:t>
      </w:r>
      <w:r w:rsidR="000F67F7" w:rsidRPr="00924046">
        <w:t xml:space="preserve">. Overall, the closing RAB at the end of the 2015–20 regulatory control period would be </w:t>
      </w:r>
      <w:r w:rsidR="00445029">
        <w:t>26</w:t>
      </w:r>
      <w:r w:rsidR="000F67F7" w:rsidRPr="00924046">
        <w:t xml:space="preserve"> per cent higher than the opening RAB at the start of that period based on the proposal, in nominal terms. The proposed forecast net capex increases the RAB by about </w:t>
      </w:r>
      <w:r w:rsidR="00445029">
        <w:t xml:space="preserve">30 </w:t>
      </w:r>
      <w:r w:rsidR="000F67F7" w:rsidRPr="00924046">
        <w:t xml:space="preserve">per cent, while inflation increases it by about </w:t>
      </w:r>
      <w:r w:rsidR="00445029">
        <w:t>1</w:t>
      </w:r>
      <w:r w:rsidR="00B35204">
        <w:t>4</w:t>
      </w:r>
      <w:r w:rsidR="00445029">
        <w:t xml:space="preserve"> </w:t>
      </w:r>
      <w:r w:rsidR="000F67F7" w:rsidRPr="00924046">
        <w:t xml:space="preserve">per cent. Forecast depreciation, on the other hand, reduces the RAB by about </w:t>
      </w:r>
      <w:r w:rsidR="00445029">
        <w:t>18</w:t>
      </w:r>
      <w:r w:rsidR="00155389">
        <w:t xml:space="preserve"> </w:t>
      </w:r>
      <w:r w:rsidR="000F67F7" w:rsidRPr="00924046">
        <w:t>per cent.</w:t>
      </w:r>
    </w:p>
    <w:p w:rsidR="00C63170" w:rsidRDefault="00C63170" w:rsidP="000F67F7">
      <w:r>
        <w:t>Maintaining the RAB in real terms</w:t>
      </w:r>
      <w:r w:rsidR="00A01361">
        <w:t xml:space="preserve"> </w:t>
      </w:r>
      <w:r>
        <w:t xml:space="preserve">by adding inflation </w:t>
      </w:r>
      <w:r w:rsidR="00A01361">
        <w:t>is required by the NER</w:t>
      </w:r>
      <w:r w:rsidR="00A01361">
        <w:rPr>
          <w:rStyle w:val="FootnoteReference"/>
        </w:rPr>
        <w:footnoteReference w:id="26"/>
      </w:r>
      <w:r w:rsidR="00A01361">
        <w:t xml:space="preserve"> and </w:t>
      </w:r>
      <w:r>
        <w:t xml:space="preserve">generally helps to promote smoother prices over the life of an asset. If the RAB </w:t>
      </w:r>
      <w:r w:rsidR="001B0FB7">
        <w:t xml:space="preserve">was </w:t>
      </w:r>
      <w:r>
        <w:t xml:space="preserve">unindexed for inflation, the offsetting </w:t>
      </w:r>
      <w:r w:rsidR="00A01361">
        <w:t>indexation</w:t>
      </w:r>
      <w:r>
        <w:t xml:space="preserve"> adjustment applied to depreciation would also have to be removed. On balance, this</w:t>
      </w:r>
      <w:r w:rsidR="00C01174">
        <w:t xml:space="preserve"> </w:t>
      </w:r>
      <w:r w:rsidR="00C01174" w:rsidRPr="00C01174">
        <w:t>means more depreciation would be returned to the business</w:t>
      </w:r>
      <w:r w:rsidR="00C01174">
        <w:t xml:space="preserve"> resulting</w:t>
      </w:r>
      <w:r>
        <w:t xml:space="preserve"> in higher prices early in an asset life and lower prices later in its life.</w:t>
      </w:r>
      <w:r>
        <w:rPr>
          <w:rStyle w:val="FootnoteReference"/>
        </w:rPr>
        <w:footnoteReference w:id="27"/>
      </w:r>
      <w:r>
        <w:t xml:space="preserve"> A number of submission</w:t>
      </w:r>
      <w:r w:rsidR="00DD6B4F">
        <w:t>s</w:t>
      </w:r>
      <w:r>
        <w:t xml:space="preserve"> raised concerns with indexation of the RAB</w:t>
      </w:r>
      <w:r w:rsidR="00A01361">
        <w:rPr>
          <w:rStyle w:val="FootnoteReference"/>
        </w:rPr>
        <w:footnoteReference w:id="28"/>
      </w:r>
      <w:r>
        <w:t xml:space="preserve">, but we consider that they </w:t>
      </w:r>
      <w:r w:rsidR="00B11055">
        <w:t>may</w:t>
      </w:r>
      <w:r>
        <w:t xml:space="preserve"> not fully appreciate the impact it has on other building blocks</w:t>
      </w:r>
      <w:r w:rsidR="00A01361">
        <w:t xml:space="preserve"> such as depreciation</w:t>
      </w:r>
      <w:r w:rsidR="00DD6B4F">
        <w:t>.</w:t>
      </w:r>
      <w:r w:rsidR="00A01361" w:rsidRPr="00A01361">
        <w:t xml:space="preserve"> Even if allowed under the NER,</w:t>
      </w:r>
      <w:r w:rsidR="00A01361">
        <w:t xml:space="preserve"> m</w:t>
      </w:r>
      <w:r>
        <w:t xml:space="preserve">oving to an unindexed </w:t>
      </w:r>
      <w:r w:rsidR="00183690">
        <w:t>RAB</w:t>
      </w:r>
      <w:r>
        <w:t xml:space="preserve"> would lead to a price </w:t>
      </w:r>
      <w:r w:rsidR="00B30560">
        <w:t>increase</w:t>
      </w:r>
      <w:r>
        <w:t xml:space="preserve"> </w:t>
      </w:r>
      <w:r w:rsidR="00DD6B4F">
        <w:t>over the</w:t>
      </w:r>
      <w:r>
        <w:t xml:space="preserve"> short to medium term</w:t>
      </w:r>
      <w:r w:rsidR="00DD6B4F">
        <w:t xml:space="preserve"> and when new lumpy assets are added to the RAB</w:t>
      </w:r>
      <w:r>
        <w:t>.</w:t>
      </w:r>
      <w:r>
        <w:rPr>
          <w:rStyle w:val="FootnoteReference"/>
        </w:rPr>
        <w:footnoteReference w:id="29"/>
      </w:r>
    </w:p>
    <w:p w:rsidR="000F67F7" w:rsidRDefault="000F67F7" w:rsidP="000F67F7">
      <w:pPr>
        <w:numPr>
          <w:ilvl w:val="0"/>
          <w:numId w:val="25"/>
        </w:numPr>
        <w:rPr>
          <w:rStyle w:val="AERbody"/>
        </w:rPr>
      </w:pPr>
      <w:r w:rsidRPr="00113707">
        <w:lastRenderedPageBreak/>
        <w:t xml:space="preserve">The RAB would rise in real terms over the 2015–20 regulatory control period based on </w:t>
      </w:r>
      <w:r>
        <w:t>Energex's</w:t>
      </w:r>
      <w:r w:rsidRPr="00113707">
        <w:t xml:space="preserve"> </w:t>
      </w:r>
      <w:r w:rsidRPr="006311E4">
        <w:rPr>
          <w:rStyle w:val="AERbody"/>
        </w:rPr>
        <w:t>proposal. We consider the depreciation amount to be generally reasonable and satisfy the requirements of the NER in terms of the assigned asset lives.</w:t>
      </w:r>
      <w:r w:rsidR="00A626E7">
        <w:rPr>
          <w:rStyle w:val="FootnoteReference"/>
        </w:rPr>
        <w:footnoteReference w:id="30"/>
      </w:r>
      <w:r w:rsidRPr="006311E4">
        <w:rPr>
          <w:rStyle w:val="AERbody"/>
        </w:rPr>
        <w:t xml:space="preserve"> The depreciation amount also largely depends on the opening RAB (which in turn depends on capex in the past). However, we do have concerns with the size of the forecast net capex.</w:t>
      </w:r>
      <w:r w:rsidR="001C776B">
        <w:rPr>
          <w:rStyle w:val="AERbody"/>
        </w:rPr>
        <w:t xml:space="preserve"> </w:t>
      </w:r>
      <w:r w:rsidR="001C776B">
        <w:rPr>
          <w:rStyle w:val="AERbody"/>
        </w:rPr>
        <w:fldChar w:fldCharType="begin"/>
      </w:r>
      <w:r w:rsidR="001C776B">
        <w:rPr>
          <w:rStyle w:val="AERbody"/>
        </w:rPr>
        <w:instrText xml:space="preserve"> REF _Ref417385822 \h </w:instrText>
      </w:r>
      <w:r w:rsidR="001C776B">
        <w:rPr>
          <w:rStyle w:val="AERbody"/>
        </w:rPr>
      </w:r>
      <w:r w:rsidR="001C776B">
        <w:rPr>
          <w:rStyle w:val="AERbody"/>
        </w:rPr>
        <w:fldChar w:fldCharType="separate"/>
      </w:r>
      <w:r w:rsidR="001E624E">
        <w:t xml:space="preserve">Figure </w:t>
      </w:r>
      <w:r w:rsidR="001E624E">
        <w:rPr>
          <w:noProof/>
        </w:rPr>
        <w:t>2</w:t>
      </w:r>
      <w:r w:rsidR="001E624E">
        <w:t>.</w:t>
      </w:r>
      <w:r w:rsidR="001E624E">
        <w:rPr>
          <w:noProof/>
        </w:rPr>
        <w:t>1</w:t>
      </w:r>
      <w:r w:rsidR="001C776B">
        <w:rPr>
          <w:rStyle w:val="AERbody"/>
        </w:rPr>
        <w:fldChar w:fldCharType="end"/>
      </w:r>
      <w:r w:rsidRPr="006311E4">
        <w:rPr>
          <w:rStyle w:val="AERbody"/>
        </w:rPr>
        <w:t xml:space="preserve"> shows forecast net capex is the largest driver of the increase in the RAB and we have considered whether it is appropriate that the forecast net capex exceeds depreciation as Energex has proposed. Refer to attachment 6 for the discussion on forecast capex.</w:t>
      </w:r>
    </w:p>
    <w:p w:rsidR="001C776B" w:rsidRPr="00026E85" w:rsidRDefault="001C776B" w:rsidP="00026E85">
      <w:pPr>
        <w:pStyle w:val="Caption"/>
      </w:pPr>
      <w:bookmarkStart w:id="26" w:name="_Ref417385822"/>
      <w:proofErr w:type="gramStart"/>
      <w:r>
        <w:t xml:space="preserve">Figure </w:t>
      </w:r>
      <w:r w:rsidR="005A35CF">
        <w:fldChar w:fldCharType="begin"/>
      </w:r>
      <w:r w:rsidR="005A35CF">
        <w:instrText xml:space="preserve"> STYLEREF 1 \s </w:instrText>
      </w:r>
      <w:r w:rsidR="005A35CF">
        <w:fldChar w:fldCharType="separate"/>
      </w:r>
      <w:r w:rsidR="001E624E">
        <w:rPr>
          <w:noProof/>
        </w:rPr>
        <w:t>2</w:t>
      </w:r>
      <w:r w:rsidR="005A35CF">
        <w:rPr>
          <w:noProof/>
        </w:rPr>
        <w:fldChar w:fldCharType="end"/>
      </w:r>
      <w:r w:rsidR="00026E85">
        <w:t>.</w:t>
      </w:r>
      <w:proofErr w:type="gramEnd"/>
      <w:r w:rsidR="00D811AF">
        <w:fldChar w:fldCharType="begin"/>
      </w:r>
      <w:r w:rsidR="00D811AF">
        <w:instrText xml:space="preserve"> SEQ Figure \* ARABIC \s 1 </w:instrText>
      </w:r>
      <w:r w:rsidR="00D811AF">
        <w:fldChar w:fldCharType="separate"/>
      </w:r>
      <w:r w:rsidR="001E624E">
        <w:rPr>
          <w:noProof/>
        </w:rPr>
        <w:t>1</w:t>
      </w:r>
      <w:r w:rsidR="00D811AF">
        <w:rPr>
          <w:noProof/>
        </w:rPr>
        <w:fldChar w:fldCharType="end"/>
      </w:r>
      <w:bookmarkEnd w:id="26"/>
      <w:r>
        <w:tab/>
      </w:r>
      <w:r w:rsidRPr="00026E85">
        <w:t>Key drivers of changes in the RAB ($ million, nominal)</w:t>
      </w:r>
    </w:p>
    <w:p w:rsidR="000F67F7" w:rsidRPr="00113707" w:rsidRDefault="006311E4" w:rsidP="000F67F7">
      <w:pPr>
        <w:numPr>
          <w:ilvl w:val="0"/>
          <w:numId w:val="25"/>
        </w:numPr>
      </w:pPr>
      <w:r>
        <w:rPr>
          <w:noProof/>
          <w:lang w:eastAsia="en-AU"/>
        </w:rPr>
        <w:drawing>
          <wp:inline distT="0" distB="0" distL="0" distR="0" wp14:anchorId="42692CB7" wp14:editId="57E55367">
            <wp:extent cx="5430309" cy="2971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3984" cy="2973811"/>
                    </a:xfrm>
                    <a:prstGeom prst="rect">
                      <a:avLst/>
                    </a:prstGeom>
                    <a:noFill/>
                  </pic:spPr>
                </pic:pic>
              </a:graphicData>
            </a:graphic>
          </wp:inline>
        </w:drawing>
      </w:r>
    </w:p>
    <w:p w:rsidR="000F67F7" w:rsidRPr="00113707" w:rsidRDefault="000F67F7" w:rsidP="000F67F7">
      <w:pPr>
        <w:pStyle w:val="AERtablesource"/>
      </w:pPr>
      <w:r w:rsidRPr="00113707">
        <w:t>Source:</w:t>
      </w:r>
      <w:r w:rsidRPr="00113707">
        <w:tab/>
      </w:r>
      <w:r w:rsidR="00155389">
        <w:t>Energex's</w:t>
      </w:r>
      <w:r w:rsidR="006311E4">
        <w:t xml:space="preserve"> proposed PTRM,</w:t>
      </w:r>
      <w:r w:rsidRPr="00113707">
        <w:t xml:space="preserve"> October 2014.</w:t>
      </w:r>
    </w:p>
    <w:p w:rsidR="00DE563D" w:rsidRDefault="000F67F7" w:rsidP="00DE563D">
      <w:pPr>
        <w:numPr>
          <w:ilvl w:val="0"/>
          <w:numId w:val="25"/>
        </w:numPr>
      </w:pPr>
      <w:r w:rsidRPr="00113707">
        <w:t>A ten per cent increase in the opening RAB causes revenues to increase by about</w:t>
      </w:r>
      <w:r w:rsidR="007E0CAC">
        <w:t xml:space="preserve"> 6.8</w:t>
      </w:r>
      <w:r w:rsidRPr="00155389">
        <w:rPr>
          <w:rStyle w:val="AERbody"/>
        </w:rPr>
        <w:t xml:space="preserve"> per cent. However, the impact on revenues of the annual change in RAB depends on</w:t>
      </w:r>
      <w:r w:rsidRPr="00113707">
        <w:t xml:space="preserve"> the source of the RAB change, as some drivers affect more than one building block cost.</w:t>
      </w:r>
      <w:r w:rsidRPr="00113707">
        <w:rPr>
          <w:rStyle w:val="FootnoteReference"/>
        </w:rPr>
        <w:footnoteReference w:id="31"/>
      </w:r>
    </w:p>
    <w:p w:rsidR="00DE563D" w:rsidRDefault="00DE563D" w:rsidP="00DE563D">
      <w:pPr>
        <w:pStyle w:val="Heading2"/>
      </w:pPr>
      <w:bookmarkStart w:id="27" w:name="_Toc403144140"/>
      <w:bookmarkStart w:id="28" w:name="_Toc413831036"/>
      <w:r w:rsidRPr="00E60A0B">
        <w:t>Reasons for preliminary decision</w:t>
      </w:r>
      <w:bookmarkEnd w:id="27"/>
      <w:bookmarkEnd w:id="28"/>
      <w:r w:rsidRPr="00E60A0B">
        <w:t xml:space="preserve"> </w:t>
      </w:r>
    </w:p>
    <w:p w:rsidR="005D7BA2" w:rsidRDefault="001510D7" w:rsidP="008F7754">
      <w:pPr>
        <w:spacing w:line="240" w:lineRule="auto"/>
      </w:pPr>
      <w:r w:rsidRPr="001510D7">
        <w:t xml:space="preserve">We have determined an opening RAB value for </w:t>
      </w:r>
      <w:r>
        <w:t xml:space="preserve">Energex </w:t>
      </w:r>
      <w:r w:rsidRPr="001510D7">
        <w:t>of $</w:t>
      </w:r>
      <w:r w:rsidR="00BA4A28" w:rsidRPr="00BA4A28">
        <w:t>11</w:t>
      </w:r>
      <w:r w:rsidR="001E624E">
        <w:t> </w:t>
      </w:r>
      <w:r w:rsidR="00BA4A28" w:rsidRPr="00BA4A28">
        <w:t>333.</w:t>
      </w:r>
      <w:r w:rsidR="00F21D0E">
        <w:t>7</w:t>
      </w:r>
      <w:r w:rsidR="002F5949">
        <w:t> </w:t>
      </w:r>
      <w:r w:rsidRPr="001510D7">
        <w:t>million ($ nominal) as at 1 July 2015</w:t>
      </w:r>
      <w:r w:rsidR="00B35204">
        <w:t>,</w:t>
      </w:r>
      <w:r w:rsidR="00B35204" w:rsidRPr="00B35204">
        <w:t xml:space="preserve"> an increase of $</w:t>
      </w:r>
      <w:r w:rsidR="00BA4A28">
        <w:t>20.</w:t>
      </w:r>
      <w:r w:rsidR="00F21D0E">
        <w:t>6</w:t>
      </w:r>
      <w:r w:rsidR="00BA4A28">
        <w:t xml:space="preserve"> </w:t>
      </w:r>
      <w:r w:rsidR="00BA4A28" w:rsidRPr="00B35204">
        <w:t xml:space="preserve">million </w:t>
      </w:r>
      <w:r w:rsidR="00B35204" w:rsidRPr="00B35204">
        <w:t>($ </w:t>
      </w:r>
      <w:r w:rsidR="00DE351E">
        <w:t>nominal</w:t>
      </w:r>
      <w:r w:rsidR="00B35204" w:rsidRPr="00B35204">
        <w:t xml:space="preserve">) or </w:t>
      </w:r>
      <w:r w:rsidR="00BA4A28">
        <w:t xml:space="preserve">0.2 </w:t>
      </w:r>
      <w:r w:rsidR="00B35204" w:rsidRPr="00B35204">
        <w:t>per cent from the proposed value</w:t>
      </w:r>
      <w:r w:rsidRPr="001510D7">
        <w:t>. We forecast a closing RAB value of $</w:t>
      </w:r>
      <w:r w:rsidR="00F21D0E">
        <w:t>13</w:t>
      </w:r>
      <w:r w:rsidR="001E624E">
        <w:t> </w:t>
      </w:r>
      <w:r w:rsidR="00F21D0E">
        <w:t>32</w:t>
      </w:r>
      <w:r w:rsidR="00E9105B">
        <w:t>9.9</w:t>
      </w:r>
      <w:r w:rsidR="00F21D0E" w:rsidRPr="001510D7">
        <w:t xml:space="preserve"> </w:t>
      </w:r>
      <w:r w:rsidRPr="001510D7">
        <w:t xml:space="preserve">million by 30 </w:t>
      </w:r>
      <w:r w:rsidRPr="001510D7">
        <w:lastRenderedPageBreak/>
        <w:t xml:space="preserve">June 2020. This represents a reduction of </w:t>
      </w:r>
      <w:r w:rsidR="00C93102">
        <w:t>$</w:t>
      </w:r>
      <w:r w:rsidR="00F21D0E">
        <w:t>92</w:t>
      </w:r>
      <w:r w:rsidR="00E9105B">
        <w:t>5.2</w:t>
      </w:r>
      <w:r w:rsidRPr="001510D7">
        <w:t xml:space="preserve"> million, or </w:t>
      </w:r>
      <w:r w:rsidR="00F21D0E">
        <w:t>6.5</w:t>
      </w:r>
      <w:r w:rsidRPr="001510D7">
        <w:t xml:space="preserve"> per cent compared to the proposal. The reasons for our decision are discussed below.</w:t>
      </w:r>
    </w:p>
    <w:p w:rsidR="001510D7" w:rsidRDefault="001510D7" w:rsidP="001510D7">
      <w:pPr>
        <w:pStyle w:val="Heading3"/>
      </w:pPr>
      <w:bookmarkStart w:id="29" w:name="_Ref413830659"/>
      <w:bookmarkStart w:id="30" w:name="_Toc413831037"/>
      <w:r>
        <w:t>Opening RAB as at 1 July 2015</w:t>
      </w:r>
      <w:bookmarkEnd w:id="29"/>
      <w:bookmarkEnd w:id="30"/>
    </w:p>
    <w:p w:rsidR="008C76BC" w:rsidRDefault="001510D7" w:rsidP="002A22AC">
      <w:pPr>
        <w:numPr>
          <w:ilvl w:val="0"/>
          <w:numId w:val="25"/>
        </w:numPr>
      </w:pPr>
      <w:r w:rsidRPr="001510D7">
        <w:t>To determine the opening RAB as at 1 July 2015 we have rolled forward the RAB over the 2010–15 regulatory control period to determine a closing RAB value at 30 June 2015.</w:t>
      </w:r>
      <w:r w:rsidR="00270D69" w:rsidRPr="00270D69">
        <w:t xml:space="preserve"> We then adjusted this closing RAB to account for the reclassification of metering assets as </w:t>
      </w:r>
      <w:r w:rsidR="00981F53">
        <w:t>ACS</w:t>
      </w:r>
      <w:r w:rsidR="00270D69" w:rsidRPr="00270D69">
        <w:t xml:space="preserve">. </w:t>
      </w:r>
      <w:r w:rsidR="002A22AC">
        <w:t xml:space="preserve">We </w:t>
      </w:r>
      <w:r w:rsidR="002A22AC" w:rsidRPr="00604A5F">
        <w:t xml:space="preserve">reviewed the key inputs </w:t>
      </w:r>
      <w:r w:rsidR="00A626E7">
        <w:t>of</w:t>
      </w:r>
      <w:r w:rsidR="002A22AC" w:rsidRPr="00604A5F">
        <w:t xml:space="preserve"> </w:t>
      </w:r>
      <w:r w:rsidR="002A22AC">
        <w:t>Energex's</w:t>
      </w:r>
      <w:r w:rsidR="002A22AC" w:rsidRPr="00604A5F">
        <w:t xml:space="preserve"> proposed RFM, such as CPI, rate of return, asset lives and </w:t>
      </w:r>
      <w:r w:rsidR="002A22AC">
        <w:t>disposal</w:t>
      </w:r>
      <w:r w:rsidR="002A22AC" w:rsidRPr="00604A5F">
        <w:t xml:space="preserve"> values. We found these were correct and they reconcile with relevant data sources such as ABS data, annual reporting RIN data and the 2010–15 decision models.</w:t>
      </w:r>
      <w:r w:rsidR="002A22AC">
        <w:rPr>
          <w:rStyle w:val="FootnoteReference"/>
        </w:rPr>
        <w:footnoteReference w:id="32"/>
      </w:r>
      <w:r w:rsidR="002A22AC">
        <w:t xml:space="preserve"> However, we consider t</w:t>
      </w:r>
      <w:r w:rsidR="00270D69" w:rsidRPr="00270D69">
        <w:t xml:space="preserve">here </w:t>
      </w:r>
      <w:r w:rsidR="002A22AC">
        <w:t>should be</w:t>
      </w:r>
      <w:r w:rsidR="00270D69" w:rsidRPr="00270D69">
        <w:t xml:space="preserve"> adjustments made to </w:t>
      </w:r>
      <w:r w:rsidR="00270D69">
        <w:t>Energex</w:t>
      </w:r>
      <w:r w:rsidR="00270D69" w:rsidRPr="00270D69">
        <w:t>'s propos</w:t>
      </w:r>
      <w:r w:rsidR="008C213E">
        <w:t>ed RFM inputs</w:t>
      </w:r>
      <w:r w:rsidR="00270D69" w:rsidRPr="00270D69">
        <w:t xml:space="preserve"> for remaining asset lives</w:t>
      </w:r>
      <w:r w:rsidR="00270D69">
        <w:t xml:space="preserve"> </w:t>
      </w:r>
      <w:r w:rsidR="00270D69" w:rsidRPr="00270D69">
        <w:t xml:space="preserve">and capitalised provisions. </w:t>
      </w:r>
      <w:r w:rsidR="008C76BC" w:rsidRPr="008C76BC">
        <w:t xml:space="preserve">These adjustments are discussed below. But first we provide some comments in response to general </w:t>
      </w:r>
      <w:r w:rsidR="008C76BC">
        <w:t xml:space="preserve">concerns raised over </w:t>
      </w:r>
      <w:r w:rsidR="008C76BC" w:rsidRPr="008C76BC">
        <w:t>the size of the opening RAB.</w:t>
      </w:r>
    </w:p>
    <w:p w:rsidR="00C63170" w:rsidRPr="008C76BC" w:rsidRDefault="008C76BC" w:rsidP="00BA4A28">
      <w:pPr>
        <w:pStyle w:val="HeadingBoldBlue"/>
      </w:pPr>
      <w:bookmarkStart w:id="31" w:name="_Toc413831038"/>
      <w:r w:rsidRPr="008C76BC">
        <w:t xml:space="preserve">Size of </w:t>
      </w:r>
      <w:r w:rsidR="00BA4A28">
        <w:t xml:space="preserve">the </w:t>
      </w:r>
      <w:r w:rsidRPr="008C76BC">
        <w:t>RAB</w:t>
      </w:r>
      <w:bookmarkEnd w:id="31"/>
    </w:p>
    <w:p w:rsidR="008C76BC" w:rsidRPr="008C76BC" w:rsidRDefault="008C76BC" w:rsidP="008C76BC">
      <w:r w:rsidRPr="008C76BC">
        <w:t>A number of submissions had concerns with the size of the opening RAB.</w:t>
      </w:r>
      <w:r>
        <w:rPr>
          <w:rStyle w:val="FootnoteReference"/>
        </w:rPr>
        <w:footnoteReference w:id="33"/>
      </w:r>
      <w:r>
        <w:t xml:space="preserve"> </w:t>
      </w:r>
      <w:r w:rsidRPr="008C76BC">
        <w:t>Some suggested a write down of the RAB.</w:t>
      </w:r>
      <w:r w:rsidR="002E5452">
        <w:rPr>
          <w:rStyle w:val="FootnoteReference"/>
        </w:rPr>
        <w:footnoteReference w:id="34"/>
      </w:r>
      <w:r w:rsidRPr="008C76BC">
        <w:t xml:space="preserve"> Others had concerns with customer contributions being included in the RAB.</w:t>
      </w:r>
      <w:r w:rsidR="002E5452">
        <w:rPr>
          <w:rStyle w:val="FootnoteReference"/>
        </w:rPr>
        <w:footnoteReference w:id="35"/>
      </w:r>
    </w:p>
    <w:p w:rsidR="000923C2" w:rsidRDefault="008C76BC" w:rsidP="00DB5074">
      <w:r w:rsidRPr="008C76BC">
        <w:t>The opening RAB reflect</w:t>
      </w:r>
      <w:r w:rsidR="00AC22DB">
        <w:t>s</w:t>
      </w:r>
      <w:r w:rsidRPr="008C76BC">
        <w:t xml:space="preserve"> the capex incurred during the previous regulatory control periods.</w:t>
      </w:r>
      <w:r w:rsidR="00AC22DB" w:rsidRPr="00AC22DB">
        <w:t xml:space="preserve"> In </w:t>
      </w:r>
      <w:r w:rsidR="00AC22DB">
        <w:t xml:space="preserve">the </w:t>
      </w:r>
      <w:r w:rsidR="00AC22DB" w:rsidRPr="00AC22DB">
        <w:t>previous two regulatory control periods there was a significant increase in capex that only began to</w:t>
      </w:r>
      <w:r w:rsidR="00AC22DB">
        <w:t xml:space="preserve"> tail off in more recent years.</w:t>
      </w:r>
      <w:r w:rsidRPr="008C76BC">
        <w:t xml:space="preserve"> </w:t>
      </w:r>
      <w:r w:rsidR="004A25DA">
        <w:t xml:space="preserve">As discussed in section </w:t>
      </w:r>
      <w:r w:rsidR="004A25DA">
        <w:fldChar w:fldCharType="begin"/>
      </w:r>
      <w:r w:rsidR="004A25DA">
        <w:instrText xml:space="preserve"> REF _Ref413830588 \r \h </w:instrText>
      </w:r>
      <w:r w:rsidR="004A25DA">
        <w:fldChar w:fldCharType="separate"/>
      </w:r>
      <w:r w:rsidR="001E624E">
        <w:t>2.3</w:t>
      </w:r>
      <w:r w:rsidR="004A25DA">
        <w:fldChar w:fldCharType="end"/>
      </w:r>
      <w:r w:rsidR="004A25DA">
        <w:t xml:space="preserve"> we </w:t>
      </w:r>
      <w:r w:rsidRPr="008C76BC">
        <w:t>ha</w:t>
      </w:r>
      <w:r w:rsidR="004A25DA">
        <w:t>ve</w:t>
      </w:r>
      <w:r w:rsidRPr="008C76BC">
        <w:t xml:space="preserve"> no ability to adjust for past capex or to optimise</w:t>
      </w:r>
      <w:r w:rsidR="002A22AC">
        <w:t>/</w:t>
      </w:r>
      <w:r w:rsidRPr="008C76BC">
        <w:t>write down the opening RAB.</w:t>
      </w:r>
      <w:r w:rsidR="00A54C89" w:rsidRPr="00A54C89">
        <w:t xml:space="preserve"> </w:t>
      </w:r>
      <w:r w:rsidR="00925F11" w:rsidRPr="00166EE4">
        <w:t xml:space="preserve">However, with rule changes in 2012, we will have the ability to exclude </w:t>
      </w:r>
      <w:r w:rsidR="00925F11">
        <w:t xml:space="preserve">inefficient capex </w:t>
      </w:r>
      <w:r w:rsidR="00925F11" w:rsidRPr="00166EE4">
        <w:t xml:space="preserve">incurred during the 2015–20 regulatory control period </w:t>
      </w:r>
      <w:r w:rsidR="00814035">
        <w:t xml:space="preserve">in future resets </w:t>
      </w:r>
      <w:r w:rsidR="00925F11">
        <w:t xml:space="preserve">if </w:t>
      </w:r>
      <w:r w:rsidR="000923C2">
        <w:t xml:space="preserve">it exceeds the approved forecast and if </w:t>
      </w:r>
      <w:r w:rsidR="00925F11" w:rsidRPr="00166EE4">
        <w:t xml:space="preserve">we consider </w:t>
      </w:r>
      <w:r w:rsidR="00925F11">
        <w:t xml:space="preserve">it </w:t>
      </w:r>
      <w:r w:rsidR="00925F11" w:rsidRPr="00166EE4">
        <w:t>does not reasonably reflect the capital expenditure criteria.</w:t>
      </w:r>
      <w:r w:rsidR="00925F11">
        <w:rPr>
          <w:rStyle w:val="FootnoteReference"/>
        </w:rPr>
        <w:footnoteReference w:id="36"/>
      </w:r>
      <w:r w:rsidR="00925F11" w:rsidRPr="00166EE4">
        <w:t xml:space="preserve"> </w:t>
      </w:r>
      <w:r w:rsidR="00925F11">
        <w:t xml:space="preserve">The </w:t>
      </w:r>
      <w:r w:rsidR="00925F11" w:rsidRPr="00BD0C68">
        <w:t xml:space="preserve">details of our assessment approach </w:t>
      </w:r>
      <w:r w:rsidR="00925F11">
        <w:t xml:space="preserve">for inefficient capex are set out in </w:t>
      </w:r>
      <w:r w:rsidR="00925F11" w:rsidRPr="00166EE4">
        <w:t xml:space="preserve">the </w:t>
      </w:r>
      <w:r w:rsidR="00925F11" w:rsidRPr="00BA4A28">
        <w:rPr>
          <w:rStyle w:val="AERtextitalic"/>
        </w:rPr>
        <w:t xml:space="preserve">Capital </w:t>
      </w:r>
      <w:r w:rsidR="00A626E7" w:rsidRPr="00BA4A28">
        <w:rPr>
          <w:rStyle w:val="AERtextitalic"/>
        </w:rPr>
        <w:t>e</w:t>
      </w:r>
      <w:r w:rsidR="00925F11" w:rsidRPr="00BA4A28">
        <w:rPr>
          <w:rStyle w:val="AERtextitalic"/>
        </w:rPr>
        <w:t xml:space="preserve">xpenditure </w:t>
      </w:r>
      <w:r w:rsidR="00A626E7" w:rsidRPr="00BA4A28">
        <w:rPr>
          <w:rStyle w:val="AERtextitalic"/>
        </w:rPr>
        <w:t>i</w:t>
      </w:r>
      <w:r w:rsidR="00925F11" w:rsidRPr="00BA4A28">
        <w:rPr>
          <w:rStyle w:val="AERtextitalic"/>
        </w:rPr>
        <w:t xml:space="preserve">ncentive </w:t>
      </w:r>
      <w:r w:rsidR="00A626E7" w:rsidRPr="00BA4A28">
        <w:rPr>
          <w:rStyle w:val="AERtextitalic"/>
        </w:rPr>
        <w:t>g</w:t>
      </w:r>
      <w:r w:rsidR="00925F11" w:rsidRPr="00BA4A28">
        <w:rPr>
          <w:rStyle w:val="AERtextitalic"/>
        </w:rPr>
        <w:t>uideline</w:t>
      </w:r>
      <w:r w:rsidR="00925F11" w:rsidRPr="00166EE4">
        <w:t>.</w:t>
      </w:r>
      <w:r w:rsidR="00925F11">
        <w:rPr>
          <w:rStyle w:val="FootnoteReference"/>
        </w:rPr>
        <w:footnoteReference w:id="37"/>
      </w:r>
    </w:p>
    <w:p w:rsidR="008C76BC" w:rsidRDefault="008C76BC" w:rsidP="00DB5074">
      <w:r w:rsidRPr="008C76BC">
        <w:t xml:space="preserve">The treatment of customer contributions is also changing in Queensland </w:t>
      </w:r>
      <w:r w:rsidR="00492BD7">
        <w:t>from 1 July 2015</w:t>
      </w:r>
      <w:r w:rsidRPr="008C76BC">
        <w:t xml:space="preserve">. The opening RAB includes customer contributions in the past, which partly </w:t>
      </w:r>
      <w:r w:rsidRPr="008C76BC">
        <w:lastRenderedPageBreak/>
        <w:t>explains the relatively higher RABs in Queensland than other states.</w:t>
      </w:r>
      <w:r w:rsidR="008C4FBB">
        <w:rPr>
          <w:rStyle w:val="FootnoteReference"/>
        </w:rPr>
        <w:footnoteReference w:id="38"/>
      </w:r>
      <w:r w:rsidRPr="008C76BC">
        <w:t xml:space="preserve"> Double counting of customer contributions was prevented by including an offsetting revenue adjustment equal to the customer contribution included in the RAB.</w:t>
      </w:r>
      <w:r>
        <w:rPr>
          <w:rStyle w:val="FootnoteReference"/>
        </w:rPr>
        <w:footnoteReference w:id="39"/>
      </w:r>
      <w:r w:rsidRPr="008C76BC">
        <w:t xml:space="preserve"> </w:t>
      </w:r>
      <w:r w:rsidR="008237CC" w:rsidRPr="008237CC">
        <w:t>Given these revenue adjustments</w:t>
      </w:r>
      <w:r w:rsidR="00E86998">
        <w:t>,</w:t>
      </w:r>
      <w:r w:rsidR="008237CC" w:rsidRPr="008237CC">
        <w:t xml:space="preserve"> the past customer contributions remain in the RAB until they are fully depreciated.</w:t>
      </w:r>
      <w:r w:rsidR="008237CC">
        <w:t xml:space="preserve"> </w:t>
      </w:r>
      <w:r w:rsidRPr="008C76BC">
        <w:t>Customer contributions in the future will no longer be added to the RAB</w:t>
      </w:r>
      <w:r w:rsidR="008C213E">
        <w:t>, commencing in t</w:t>
      </w:r>
      <w:r w:rsidR="00C93102">
        <w:t>his determination f</w:t>
      </w:r>
      <w:r w:rsidR="008C213E">
        <w:t>r</w:t>
      </w:r>
      <w:r w:rsidR="00C93102">
        <w:t>om</w:t>
      </w:r>
      <w:r w:rsidR="008C213E">
        <w:t xml:space="preserve"> 1 July 2015</w:t>
      </w:r>
      <w:r w:rsidRPr="008C76BC">
        <w:t>. In the PTRM the forecast customer contributions are deducted from gross capex over the 2015</w:t>
      </w:r>
      <w:r w:rsidR="008C213E">
        <w:t>–</w:t>
      </w:r>
      <w:r w:rsidRPr="008C76BC">
        <w:t>20 regulatory control period.</w:t>
      </w:r>
      <w:r w:rsidR="00E571F6" w:rsidRPr="00E571F6">
        <w:t xml:space="preserve"> </w:t>
      </w:r>
    </w:p>
    <w:p w:rsidR="009C57F2" w:rsidRDefault="00D96EE1" w:rsidP="00DB5074">
      <w:r w:rsidRPr="00D96EE1">
        <w:t xml:space="preserve">The CCP </w:t>
      </w:r>
      <w:r w:rsidR="00E86998">
        <w:t>submitted</w:t>
      </w:r>
      <w:r w:rsidR="00E86998" w:rsidRPr="00D96EE1">
        <w:t xml:space="preserve"> </w:t>
      </w:r>
      <w:r w:rsidRPr="00D96EE1">
        <w:t>that the Q</w:t>
      </w:r>
      <w:r w:rsidR="00A626E7">
        <w:t>ueens</w:t>
      </w:r>
      <w:r w:rsidRPr="00D96EE1">
        <w:t>l</w:t>
      </w:r>
      <w:r w:rsidR="00A626E7">
        <w:t>an</w:t>
      </w:r>
      <w:r w:rsidRPr="00D96EE1">
        <w:t>d distributors benefited (in terms of additional return on capital and depreciation) over the 2010-15 regulatory control period due to actual capex and customer contributions being less than forecast.</w:t>
      </w:r>
      <w:r w:rsidR="002A22AC">
        <w:rPr>
          <w:rStyle w:val="FootnoteReference"/>
        </w:rPr>
        <w:footnoteReference w:id="40"/>
      </w:r>
      <w:r w:rsidRPr="00D96EE1">
        <w:t xml:space="preserve"> The CCP submitted that these benefits be reversed by the AER. In terms of depreciation, the CCP thought the AER had discretion to choose between forecast and actual depreciation in rolling forward the RAB.</w:t>
      </w:r>
      <w:r w:rsidR="002A22AC">
        <w:rPr>
          <w:rStyle w:val="FootnoteReference"/>
        </w:rPr>
        <w:footnoteReference w:id="41"/>
      </w:r>
      <w:r w:rsidRPr="00D96EE1">
        <w:t xml:space="preserve"> This is true, however, it cannot be done in the ex</w:t>
      </w:r>
      <w:r w:rsidR="00BF2A16">
        <w:t xml:space="preserve"> </w:t>
      </w:r>
      <w:r w:rsidRPr="00D96EE1">
        <w:t>post way the CCP proposed. In the 2010 determinations for the Q</w:t>
      </w:r>
      <w:r w:rsidR="00A626E7">
        <w:t>ueens</w:t>
      </w:r>
      <w:r w:rsidRPr="00D96EE1">
        <w:t>l</w:t>
      </w:r>
      <w:r w:rsidR="00A626E7">
        <w:t>an</w:t>
      </w:r>
      <w:r w:rsidRPr="00D96EE1">
        <w:t>d distributors the AER approved an actual depreciation approach to roll forward the RAB when establishing the opening value at 1 July 2015.</w:t>
      </w:r>
      <w:r w:rsidR="002A22AC">
        <w:rPr>
          <w:rStyle w:val="FootnoteReference"/>
        </w:rPr>
        <w:footnoteReference w:id="42"/>
      </w:r>
      <w:r w:rsidRPr="00453138">
        <w:rPr>
          <w:rStyle w:val="AERtextsize8"/>
        </w:rPr>
        <w:t xml:space="preserve"> </w:t>
      </w:r>
      <w:r w:rsidRPr="00D96EE1">
        <w:t xml:space="preserve">It would be inconsistent and retrospective now to change to a forecast depreciation approach to roll forward the RAB for the 2010–15 regulatory control period as </w:t>
      </w:r>
      <w:r w:rsidR="00E86998">
        <w:t>proposed</w:t>
      </w:r>
      <w:r w:rsidR="00E86998" w:rsidRPr="00D96EE1">
        <w:t xml:space="preserve"> </w:t>
      </w:r>
      <w:r w:rsidRPr="00D96EE1">
        <w:t>by the CCP.</w:t>
      </w:r>
      <w:r w:rsidR="002A22AC">
        <w:rPr>
          <w:rStyle w:val="FootnoteReference"/>
        </w:rPr>
        <w:footnoteReference w:id="43"/>
      </w:r>
      <w:r w:rsidRPr="00D96EE1">
        <w:t xml:space="preserve"> </w:t>
      </w:r>
    </w:p>
    <w:p w:rsidR="00F21D0E" w:rsidRDefault="00D96EE1" w:rsidP="00DB5074">
      <w:r w:rsidRPr="00D96EE1">
        <w:t>The true up mechanism for customer contributions was also set out as part of the control mechanism in the 2010 determinations for the Q</w:t>
      </w:r>
      <w:r w:rsidR="00A626E7">
        <w:t>ueens</w:t>
      </w:r>
      <w:r w:rsidRPr="00D96EE1">
        <w:t>l</w:t>
      </w:r>
      <w:r w:rsidR="00A626E7">
        <w:t>an</w:t>
      </w:r>
      <w:r w:rsidRPr="00D96EE1">
        <w:t>d distributors.</w:t>
      </w:r>
      <w:r w:rsidR="002A22AC">
        <w:rPr>
          <w:rStyle w:val="FootnoteReference"/>
        </w:rPr>
        <w:footnoteReference w:id="44"/>
      </w:r>
      <w:r w:rsidRPr="00D96EE1">
        <w:t xml:space="preserve"> We consider making further adjustments now to also be retrospective and inconsistent with those control mechanisms. More generally, the incentive regime rests on the principle that the business tries to outperform the forecasts approved by the regulator. In certain cases, there may be external factors that influence whether the business does better/worse than forecast. We do not attempt to control for these factors beyond the requirements of any specific incentive schemes that were in operation. Accordingly, we have not applied adjustments of the sort the CCP proposed to the RAB for actual capex and customer contributions being less than forecast over the 2010–15 regulatory control period. </w:t>
      </w:r>
    </w:p>
    <w:p w:rsidR="000E2112" w:rsidRDefault="000E2112" w:rsidP="00DB5074"/>
    <w:p w:rsidR="000E2112" w:rsidRDefault="000E2112" w:rsidP="00DB5074"/>
    <w:p w:rsidR="001510D7" w:rsidRDefault="001510D7" w:rsidP="00BA4A28">
      <w:pPr>
        <w:pStyle w:val="HeadingBoldBlue"/>
      </w:pPr>
      <w:bookmarkStart w:id="32" w:name="_Toc413831039"/>
      <w:r>
        <w:lastRenderedPageBreak/>
        <w:t>Remaining asset lives</w:t>
      </w:r>
      <w:bookmarkEnd w:id="32"/>
    </w:p>
    <w:p w:rsidR="004506C9" w:rsidRDefault="000C2059" w:rsidP="00DB5074">
      <w:r>
        <w:t>Energex's</w:t>
      </w:r>
      <w:r w:rsidR="005B3C9D">
        <w:t xml:space="preserve"> proposed</w:t>
      </w:r>
      <w:r>
        <w:t xml:space="preserve"> RFM did not apply the </w:t>
      </w:r>
      <w:r w:rsidR="009C48EC">
        <w:t>remaining</w:t>
      </w:r>
      <w:r>
        <w:t xml:space="preserve"> asset lives as at 1 July 2010 as approved by the AER </w:t>
      </w:r>
      <w:r w:rsidR="005B3C9D">
        <w:t>in</w:t>
      </w:r>
      <w:r>
        <w:t xml:space="preserve"> the </w:t>
      </w:r>
      <w:r w:rsidR="005B3C9D">
        <w:t>2010 determination</w:t>
      </w:r>
      <w:r>
        <w:t xml:space="preserve">. We questioned Energex on the reason for the revised remaining asset lives it adopted. Energex </w:t>
      </w:r>
      <w:r w:rsidR="004506C9">
        <w:t>stated</w:t>
      </w:r>
      <w:r>
        <w:t xml:space="preserve"> </w:t>
      </w:r>
      <w:r w:rsidR="009C48EC">
        <w:t>t</w:t>
      </w:r>
      <w:r w:rsidR="004506C9">
        <w:t>he proposed remaining asset</w:t>
      </w:r>
      <w:r w:rsidR="009C48EC">
        <w:t xml:space="preserve"> lives were</w:t>
      </w:r>
      <w:r>
        <w:t xml:space="preserve"> </w:t>
      </w:r>
      <w:r w:rsidR="004506C9">
        <w:t>taken from an incorrect version of the model</w:t>
      </w:r>
      <w:r>
        <w:t>.</w:t>
      </w:r>
      <w:r w:rsidR="0043452F">
        <w:rPr>
          <w:rStyle w:val="FootnoteReference"/>
        </w:rPr>
        <w:footnoteReference w:id="45"/>
      </w:r>
      <w:r>
        <w:t xml:space="preserve"> </w:t>
      </w:r>
      <w:r w:rsidR="004506C9">
        <w:t xml:space="preserve">Accordingly, we </w:t>
      </w:r>
      <w:r w:rsidR="008D6A51">
        <w:t xml:space="preserve">have </w:t>
      </w:r>
      <w:r w:rsidR="004506C9">
        <w:t>applied the AER approved</w:t>
      </w:r>
      <w:r w:rsidR="00B21F6F">
        <w:t xml:space="preserve"> remaining asset</w:t>
      </w:r>
      <w:r w:rsidR="004506C9">
        <w:t xml:space="preserve"> lives</w:t>
      </w:r>
      <w:r w:rsidR="005B3C9D">
        <w:t xml:space="preserve"> in the RFM as required for the proper function of the RAB roll forward process</w:t>
      </w:r>
      <w:r w:rsidR="004506C9">
        <w:t>.</w:t>
      </w:r>
    </w:p>
    <w:p w:rsidR="001510D7" w:rsidRDefault="000C2059" w:rsidP="00DB5074">
      <w:r>
        <w:t>The</w:t>
      </w:r>
      <w:r w:rsidR="009C48EC">
        <w:t xml:space="preserve"> correct</w:t>
      </w:r>
      <w:r>
        <w:t xml:space="preserve"> remaining asset lives were generally longer than those </w:t>
      </w:r>
      <w:r w:rsidR="005B3C9D">
        <w:t xml:space="preserve">in </w:t>
      </w:r>
      <w:r>
        <w:t>Energex</w:t>
      </w:r>
      <w:r w:rsidR="005B3C9D">
        <w:t>'s</w:t>
      </w:r>
      <w:r>
        <w:t xml:space="preserve"> p</w:t>
      </w:r>
      <w:r w:rsidR="009C48EC">
        <w:t>roposed</w:t>
      </w:r>
      <w:r w:rsidR="005B3C9D">
        <w:t xml:space="preserve"> RFM</w:t>
      </w:r>
      <w:r w:rsidR="009C48EC">
        <w:t>. This means depreciation f</w:t>
      </w:r>
      <w:r w:rsidR="005B3C9D">
        <w:t>or</w:t>
      </w:r>
      <w:r w:rsidR="009C48EC">
        <w:t xml:space="preserve"> 2010</w:t>
      </w:r>
      <w:r w:rsidR="005B3C9D">
        <w:t>–</w:t>
      </w:r>
      <w:r w:rsidR="009C48EC">
        <w:t xml:space="preserve">15 </w:t>
      </w:r>
      <w:r w:rsidR="008D6A51">
        <w:t>is</w:t>
      </w:r>
      <w:r w:rsidR="009C48EC">
        <w:t xml:space="preserve"> lower than proposed, and Energex's closing RAB as at 30 June 2015</w:t>
      </w:r>
      <w:r w:rsidR="008D6A51">
        <w:t xml:space="preserve"> is consequently</w:t>
      </w:r>
      <w:r w:rsidR="009C48EC">
        <w:t xml:space="preserve"> higher than proposed by about </w:t>
      </w:r>
      <w:r w:rsidR="00822730">
        <w:t xml:space="preserve">$41.9 </w:t>
      </w:r>
      <w:r w:rsidR="009C48EC">
        <w:t>million</w:t>
      </w:r>
      <w:r w:rsidR="008D6A51">
        <w:t>, other things being equal</w:t>
      </w:r>
      <w:r w:rsidR="009C48EC">
        <w:t>.</w:t>
      </w:r>
    </w:p>
    <w:p w:rsidR="00CB0279" w:rsidRDefault="00542E8E" w:rsidP="00BA4A28">
      <w:pPr>
        <w:pStyle w:val="HeadingBoldBlue"/>
      </w:pPr>
      <w:bookmarkStart w:id="33" w:name="_Toc413831040"/>
      <w:r>
        <w:t>Capitalised provision</w:t>
      </w:r>
      <w:r w:rsidR="00D56300">
        <w:t>s</w:t>
      </w:r>
      <w:bookmarkEnd w:id="33"/>
    </w:p>
    <w:p w:rsidR="00542E8E" w:rsidRDefault="00542E8E" w:rsidP="00290C63">
      <w:r>
        <w:t>The AER considers that the movement in capitalised provision</w:t>
      </w:r>
      <w:r w:rsidR="008D6A51">
        <w:t>s</w:t>
      </w:r>
      <w:r>
        <w:t xml:space="preserve"> during the regulatory control period should be removed from </w:t>
      </w:r>
      <w:r w:rsidR="005B1940">
        <w:t xml:space="preserve">actual </w:t>
      </w:r>
      <w:r>
        <w:t xml:space="preserve">capex in the </w:t>
      </w:r>
      <w:r w:rsidR="005B1940">
        <w:t>RFM</w:t>
      </w:r>
      <w:r>
        <w:t>. This approach means capitalised costs related to these provision</w:t>
      </w:r>
      <w:r w:rsidR="00C82CFB">
        <w:t>s</w:t>
      </w:r>
      <w:r>
        <w:t xml:space="preserve"> </w:t>
      </w:r>
      <w:proofErr w:type="gramStart"/>
      <w:r w:rsidR="002F081A">
        <w:t>are</w:t>
      </w:r>
      <w:proofErr w:type="gramEnd"/>
      <w:r w:rsidR="002F081A">
        <w:t xml:space="preserve"> included in</w:t>
      </w:r>
      <w:r>
        <w:t xml:space="preserve"> the RAB </w:t>
      </w:r>
      <w:r w:rsidR="002F081A">
        <w:t xml:space="preserve">only </w:t>
      </w:r>
      <w:r>
        <w:t xml:space="preserve">when they are paid out by the business. This approach </w:t>
      </w:r>
      <w:r w:rsidR="00C82CFB">
        <w:t xml:space="preserve">is consistent with adding capex as incurred and </w:t>
      </w:r>
      <w:r>
        <w:t xml:space="preserve">has been applied in other </w:t>
      </w:r>
      <w:r w:rsidR="00C82CFB">
        <w:t xml:space="preserve">AER </w:t>
      </w:r>
      <w:r>
        <w:t>decisions.</w:t>
      </w:r>
      <w:r w:rsidR="000923C2">
        <w:rPr>
          <w:rStyle w:val="FootnoteReference"/>
        </w:rPr>
        <w:footnoteReference w:id="46"/>
      </w:r>
    </w:p>
    <w:p w:rsidR="003E4E6C" w:rsidRDefault="005B1940" w:rsidP="00290C63">
      <w:r>
        <w:t>T</w:t>
      </w:r>
      <w:r w:rsidR="00542E8E">
        <w:t xml:space="preserve">his approach </w:t>
      </w:r>
      <w:r>
        <w:t xml:space="preserve">was not applied </w:t>
      </w:r>
      <w:r w:rsidR="00542E8E">
        <w:t>to the period</w:t>
      </w:r>
      <w:r>
        <w:t>s</w:t>
      </w:r>
      <w:r w:rsidR="00542E8E">
        <w:t xml:space="preserve"> that the Queensland Competition Authority regulated the Q</w:t>
      </w:r>
      <w:r w:rsidR="00A626E7">
        <w:t>ueens</w:t>
      </w:r>
      <w:r w:rsidR="00542E8E">
        <w:t>l</w:t>
      </w:r>
      <w:r w:rsidR="00A626E7">
        <w:t>an</w:t>
      </w:r>
      <w:r w:rsidR="00542E8E">
        <w:t xml:space="preserve">d </w:t>
      </w:r>
      <w:r w:rsidR="00C94B89">
        <w:t>distributors</w:t>
      </w:r>
      <w:r w:rsidR="00542E8E">
        <w:t>. However,</w:t>
      </w:r>
      <w:r>
        <w:t xml:space="preserve"> we</w:t>
      </w:r>
      <w:r w:rsidR="00542E8E">
        <w:t xml:space="preserve"> will apply it </w:t>
      </w:r>
      <w:r w:rsidR="000923C2">
        <w:t>g</w:t>
      </w:r>
      <w:r w:rsidR="00542E8E">
        <w:t>oing forward. In Energex's case, the movement in capitalised provision</w:t>
      </w:r>
      <w:r>
        <w:t>s</w:t>
      </w:r>
      <w:r w:rsidR="00542E8E">
        <w:t xml:space="preserve"> is shown in </w:t>
      </w:r>
      <w:r w:rsidR="00D811DC">
        <w:fldChar w:fldCharType="begin"/>
      </w:r>
      <w:r w:rsidR="00D811DC">
        <w:instrText xml:space="preserve"> REF _Ref411592499 \h </w:instrText>
      </w:r>
      <w:r w:rsidR="00D811DC">
        <w:fldChar w:fldCharType="separate"/>
      </w:r>
      <w:r w:rsidR="001E624E">
        <w:t xml:space="preserve">Table </w:t>
      </w:r>
      <w:r w:rsidR="001E624E">
        <w:rPr>
          <w:noProof/>
        </w:rPr>
        <w:t>2</w:t>
      </w:r>
      <w:r w:rsidR="001E624E">
        <w:t>.</w:t>
      </w:r>
      <w:r w:rsidR="001E624E">
        <w:rPr>
          <w:noProof/>
        </w:rPr>
        <w:t>5</w:t>
      </w:r>
      <w:r w:rsidR="00D811DC">
        <w:fldChar w:fldCharType="end"/>
      </w:r>
      <w:r w:rsidR="00542E8E">
        <w:t>.</w:t>
      </w:r>
      <w:r w:rsidR="003E4E6C">
        <w:rPr>
          <w:rStyle w:val="FootnoteReference"/>
        </w:rPr>
        <w:footnoteReference w:id="47"/>
      </w:r>
      <w:r w:rsidR="00542E8E">
        <w:t xml:space="preserve"> These amounts have been used to adjust the capex entering the RFM. The total adjustment for each year is pro</w:t>
      </w:r>
      <w:r>
        <w:t>-</w:t>
      </w:r>
      <w:r w:rsidR="00542E8E">
        <w:t>rated across asset c</w:t>
      </w:r>
      <w:r>
        <w:t>lasses</w:t>
      </w:r>
      <w:r w:rsidR="00542E8E">
        <w:t xml:space="preserve"> based on the size of the capex in that asset class for the relevant year. Overall, </w:t>
      </w:r>
      <w:r w:rsidR="008D6A51">
        <w:t xml:space="preserve">this adjustment reduces </w:t>
      </w:r>
      <w:r w:rsidR="00542E8E">
        <w:t xml:space="preserve">Energex's </w:t>
      </w:r>
      <w:r w:rsidR="008D6A51">
        <w:t xml:space="preserve">proposed opening </w:t>
      </w:r>
      <w:r w:rsidR="00542E8E">
        <w:t xml:space="preserve">RAB </w:t>
      </w:r>
      <w:r w:rsidR="008D6A51">
        <w:t>by</w:t>
      </w:r>
      <w:r w:rsidR="007D5D11">
        <w:t xml:space="preserve"> </w:t>
      </w:r>
      <w:r w:rsidR="003E4E6C">
        <w:t>about</w:t>
      </w:r>
      <w:r w:rsidR="007D5D11">
        <w:t xml:space="preserve"> </w:t>
      </w:r>
      <w:r>
        <w:t>$</w:t>
      </w:r>
      <w:r w:rsidR="003E4E6C">
        <w:t>9.7</w:t>
      </w:r>
      <w:r w:rsidR="007D5D11">
        <w:t xml:space="preserve"> </w:t>
      </w:r>
      <w:r w:rsidR="003E4E6C">
        <w:t>million</w:t>
      </w:r>
      <w:r w:rsidR="007D5D11">
        <w:t>, other things being equal</w:t>
      </w:r>
      <w:r w:rsidR="00542E8E">
        <w:t>.</w:t>
      </w:r>
    </w:p>
    <w:p w:rsidR="003E4E6C" w:rsidRPr="00924046" w:rsidRDefault="00D811DC" w:rsidP="00D811DC">
      <w:pPr>
        <w:pStyle w:val="Caption"/>
      </w:pPr>
      <w:bookmarkStart w:id="34" w:name="_Ref411592499"/>
      <w:r>
        <w:t xml:space="preserve">Table </w:t>
      </w:r>
      <w:r w:rsidR="00055416">
        <w:fldChar w:fldCharType="begin"/>
      </w:r>
      <w:r w:rsidR="00055416">
        <w:instrText xml:space="preserve"> STYLEREF 1 \s </w:instrText>
      </w:r>
      <w:r w:rsidR="00055416">
        <w:fldChar w:fldCharType="separate"/>
      </w:r>
      <w:r w:rsidR="001E624E">
        <w:rPr>
          <w:noProof/>
        </w:rPr>
        <w:t>2</w:t>
      </w:r>
      <w:r w:rsidR="00055416">
        <w:rPr>
          <w:noProof/>
        </w:rPr>
        <w:fldChar w:fldCharType="end"/>
      </w:r>
      <w:r>
        <w:t>.</w:t>
      </w:r>
      <w:r w:rsidR="00055416">
        <w:fldChar w:fldCharType="begin"/>
      </w:r>
      <w:r w:rsidR="00055416">
        <w:instrText xml:space="preserve"> SEQ Table \* ARABIC \s 1 </w:instrText>
      </w:r>
      <w:r w:rsidR="00055416">
        <w:fldChar w:fldCharType="separate"/>
      </w:r>
      <w:r w:rsidR="001E624E">
        <w:rPr>
          <w:noProof/>
        </w:rPr>
        <w:t>5</w:t>
      </w:r>
      <w:r w:rsidR="00055416">
        <w:rPr>
          <w:noProof/>
        </w:rPr>
        <w:fldChar w:fldCharType="end"/>
      </w:r>
      <w:bookmarkEnd w:id="34"/>
      <w:r>
        <w:tab/>
      </w:r>
      <w:r w:rsidR="003E4E6C">
        <w:t xml:space="preserve">Energex's movement in capitalised provisions </w:t>
      </w:r>
      <w:r w:rsidR="003E4E6C" w:rsidRPr="00924046">
        <w:t>($million, nominal)</w:t>
      </w:r>
    </w:p>
    <w:tbl>
      <w:tblPr>
        <w:tblStyle w:val="AERtable-numbers"/>
        <w:tblW w:w="8755" w:type="dxa"/>
        <w:tblLayout w:type="fixed"/>
        <w:tblLook w:val="04A0" w:firstRow="1" w:lastRow="0" w:firstColumn="1" w:lastColumn="0" w:noHBand="0" w:noVBand="1"/>
      </w:tblPr>
      <w:tblGrid>
        <w:gridCol w:w="3416"/>
        <w:gridCol w:w="1067"/>
        <w:gridCol w:w="1068"/>
        <w:gridCol w:w="1068"/>
        <w:gridCol w:w="1068"/>
        <w:gridCol w:w="1068"/>
      </w:tblGrid>
      <w:tr w:rsidR="003E4E6C" w:rsidRPr="00F30662" w:rsidTr="00237902">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3416" w:type="dxa"/>
            <w:noWrap/>
            <w:hideMark/>
          </w:tcPr>
          <w:p w:rsidR="003E4E6C" w:rsidRPr="00F30662" w:rsidRDefault="003E4E6C" w:rsidP="00237902">
            <w:r w:rsidRPr="00F30662">
              <w:t> </w:t>
            </w:r>
          </w:p>
        </w:tc>
        <w:tc>
          <w:tcPr>
            <w:tcW w:w="1067" w:type="dxa"/>
            <w:noWrap/>
            <w:vAlign w:val="top"/>
            <w:hideMark/>
          </w:tcPr>
          <w:p w:rsidR="003E4E6C" w:rsidRPr="00F30662" w:rsidRDefault="003E4E6C">
            <w:pPr>
              <w:cnfStyle w:val="100000000000" w:firstRow="1" w:lastRow="0" w:firstColumn="0" w:lastColumn="0" w:oddVBand="0" w:evenVBand="0" w:oddHBand="0" w:evenHBand="0" w:firstRowFirstColumn="0" w:firstRowLastColumn="0" w:lastRowFirstColumn="0" w:lastRowLastColumn="0"/>
            </w:pPr>
            <w:r w:rsidRPr="00F30662">
              <w:t>2010–11</w:t>
            </w:r>
          </w:p>
        </w:tc>
        <w:tc>
          <w:tcPr>
            <w:tcW w:w="1068" w:type="dxa"/>
            <w:noWrap/>
            <w:vAlign w:val="top"/>
            <w:hideMark/>
          </w:tcPr>
          <w:p w:rsidR="003E4E6C" w:rsidRPr="00F30662" w:rsidRDefault="003E4E6C">
            <w:pPr>
              <w:cnfStyle w:val="100000000000" w:firstRow="1" w:lastRow="0" w:firstColumn="0" w:lastColumn="0" w:oddVBand="0" w:evenVBand="0" w:oddHBand="0" w:evenHBand="0" w:firstRowFirstColumn="0" w:firstRowLastColumn="0" w:lastRowFirstColumn="0" w:lastRowLastColumn="0"/>
            </w:pPr>
            <w:r w:rsidRPr="00F30662">
              <w:t>2011–12</w:t>
            </w:r>
          </w:p>
        </w:tc>
        <w:tc>
          <w:tcPr>
            <w:tcW w:w="1068" w:type="dxa"/>
            <w:noWrap/>
            <w:vAlign w:val="top"/>
            <w:hideMark/>
          </w:tcPr>
          <w:p w:rsidR="003E4E6C" w:rsidRPr="00F30662" w:rsidRDefault="003E4E6C">
            <w:pPr>
              <w:cnfStyle w:val="100000000000" w:firstRow="1" w:lastRow="0" w:firstColumn="0" w:lastColumn="0" w:oddVBand="0" w:evenVBand="0" w:oddHBand="0" w:evenHBand="0" w:firstRowFirstColumn="0" w:firstRowLastColumn="0" w:lastRowFirstColumn="0" w:lastRowLastColumn="0"/>
            </w:pPr>
            <w:r w:rsidRPr="00F30662">
              <w:t>2012–13</w:t>
            </w:r>
          </w:p>
        </w:tc>
        <w:tc>
          <w:tcPr>
            <w:tcW w:w="1068" w:type="dxa"/>
            <w:noWrap/>
            <w:vAlign w:val="top"/>
            <w:hideMark/>
          </w:tcPr>
          <w:p w:rsidR="003E4E6C" w:rsidRPr="00F30662" w:rsidRDefault="003E4E6C">
            <w:pPr>
              <w:cnfStyle w:val="100000000000" w:firstRow="1" w:lastRow="0" w:firstColumn="0" w:lastColumn="0" w:oddVBand="0" w:evenVBand="0" w:oddHBand="0" w:evenHBand="0" w:firstRowFirstColumn="0" w:firstRowLastColumn="0" w:lastRowFirstColumn="0" w:lastRowLastColumn="0"/>
            </w:pPr>
            <w:r w:rsidRPr="00F30662">
              <w:t>2013–14</w:t>
            </w:r>
          </w:p>
        </w:tc>
        <w:tc>
          <w:tcPr>
            <w:tcW w:w="1068" w:type="dxa"/>
            <w:noWrap/>
            <w:vAlign w:val="top"/>
            <w:hideMark/>
          </w:tcPr>
          <w:p w:rsidR="003E4E6C" w:rsidRPr="00F30662" w:rsidRDefault="003E4E6C">
            <w:pPr>
              <w:cnfStyle w:val="100000000000" w:firstRow="1" w:lastRow="0" w:firstColumn="0" w:lastColumn="0" w:oddVBand="0" w:evenVBand="0" w:oddHBand="0" w:evenHBand="0" w:firstRowFirstColumn="0" w:firstRowLastColumn="0" w:lastRowFirstColumn="0" w:lastRowLastColumn="0"/>
            </w:pPr>
            <w:r w:rsidRPr="00F30662">
              <w:t>2014–15</w:t>
            </w:r>
          </w:p>
        </w:tc>
      </w:tr>
      <w:tr w:rsidR="00C82CFB" w:rsidRPr="00237902" w:rsidTr="00237902">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C82CFB" w:rsidRPr="00237902" w:rsidRDefault="00C82CFB" w:rsidP="00237902">
            <w:r w:rsidRPr="00237902">
              <w:t>Movement in capitalised provisions</w:t>
            </w:r>
          </w:p>
        </w:tc>
        <w:tc>
          <w:tcPr>
            <w:tcW w:w="1067" w:type="dxa"/>
            <w:noWrap/>
            <w:vAlign w:val="top"/>
          </w:tcPr>
          <w:p w:rsidR="00C82CFB" w:rsidRPr="00237902" w:rsidRDefault="00C82CFB" w:rsidP="00237902">
            <w:pPr>
              <w:cnfStyle w:val="000000000000" w:firstRow="0" w:lastRow="0" w:firstColumn="0" w:lastColumn="0" w:oddVBand="0" w:evenVBand="0" w:oddHBand="0" w:evenHBand="0" w:firstRowFirstColumn="0" w:firstRowLastColumn="0" w:lastRowFirstColumn="0" w:lastRowLastColumn="0"/>
            </w:pPr>
            <w:r w:rsidRPr="00237902">
              <w:t>0.8</w:t>
            </w:r>
          </w:p>
        </w:tc>
        <w:tc>
          <w:tcPr>
            <w:tcW w:w="1068" w:type="dxa"/>
            <w:noWrap/>
            <w:vAlign w:val="top"/>
          </w:tcPr>
          <w:p w:rsidR="00C82CFB" w:rsidRPr="00237902" w:rsidRDefault="00C82CFB" w:rsidP="00237902">
            <w:pPr>
              <w:cnfStyle w:val="000000000000" w:firstRow="0" w:lastRow="0" w:firstColumn="0" w:lastColumn="0" w:oddVBand="0" w:evenVBand="0" w:oddHBand="0" w:evenHBand="0" w:firstRowFirstColumn="0" w:firstRowLastColumn="0" w:lastRowFirstColumn="0" w:lastRowLastColumn="0"/>
            </w:pPr>
            <w:r w:rsidRPr="00237902">
              <w:t>24.4</w:t>
            </w:r>
          </w:p>
        </w:tc>
        <w:tc>
          <w:tcPr>
            <w:tcW w:w="1068" w:type="dxa"/>
            <w:noWrap/>
            <w:vAlign w:val="top"/>
          </w:tcPr>
          <w:p w:rsidR="00C82CFB" w:rsidRPr="00237902" w:rsidRDefault="00C82CFB" w:rsidP="00237902">
            <w:pPr>
              <w:cnfStyle w:val="000000000000" w:firstRow="0" w:lastRow="0" w:firstColumn="0" w:lastColumn="0" w:oddVBand="0" w:evenVBand="0" w:oddHBand="0" w:evenHBand="0" w:firstRowFirstColumn="0" w:firstRowLastColumn="0" w:lastRowFirstColumn="0" w:lastRowLastColumn="0"/>
            </w:pPr>
            <w:r w:rsidRPr="00237902">
              <w:t>–11.2</w:t>
            </w:r>
          </w:p>
        </w:tc>
        <w:tc>
          <w:tcPr>
            <w:tcW w:w="1068" w:type="dxa"/>
            <w:noWrap/>
            <w:vAlign w:val="top"/>
          </w:tcPr>
          <w:p w:rsidR="00C82CFB" w:rsidRPr="00237902" w:rsidRDefault="00C82CFB" w:rsidP="00237902">
            <w:pPr>
              <w:cnfStyle w:val="000000000000" w:firstRow="0" w:lastRow="0" w:firstColumn="0" w:lastColumn="0" w:oddVBand="0" w:evenVBand="0" w:oddHBand="0" w:evenHBand="0" w:firstRowFirstColumn="0" w:firstRowLastColumn="0" w:lastRowFirstColumn="0" w:lastRowLastColumn="0"/>
            </w:pPr>
            <w:r w:rsidRPr="00237902">
              <w:t>–4.2</w:t>
            </w:r>
          </w:p>
        </w:tc>
        <w:tc>
          <w:tcPr>
            <w:tcW w:w="1068" w:type="dxa"/>
            <w:noWrap/>
            <w:vAlign w:val="top"/>
          </w:tcPr>
          <w:p w:rsidR="00C82CFB" w:rsidRPr="00237902" w:rsidRDefault="00C82CFB" w:rsidP="00237902">
            <w:pPr>
              <w:cnfStyle w:val="000000000000" w:firstRow="0" w:lastRow="0" w:firstColumn="0" w:lastColumn="0" w:oddVBand="0" w:evenVBand="0" w:oddHBand="0" w:evenHBand="0" w:firstRowFirstColumn="0" w:firstRowLastColumn="0" w:lastRowFirstColumn="0" w:lastRowLastColumn="0"/>
            </w:pPr>
            <w:r w:rsidRPr="00237902">
              <w:t>0.0</w:t>
            </w:r>
          </w:p>
        </w:tc>
      </w:tr>
    </w:tbl>
    <w:p w:rsidR="00D56300" w:rsidRDefault="00D56300" w:rsidP="00BA4A28">
      <w:pPr>
        <w:pStyle w:val="HeadingBoldBlue"/>
      </w:pPr>
      <w:bookmarkStart w:id="35" w:name="_Toc413831041"/>
      <w:r>
        <w:t>Asset class movements</w:t>
      </w:r>
      <w:bookmarkEnd w:id="35"/>
    </w:p>
    <w:p w:rsidR="003B461F" w:rsidRDefault="00E11FD7" w:rsidP="00290C63">
      <w:r>
        <w:t>In 2013</w:t>
      </w:r>
      <w:r w:rsidR="005B1940">
        <w:t>–</w:t>
      </w:r>
      <w:r>
        <w:t xml:space="preserve">14 Energex reclassified assets that were in the low voltage asset class to the metering asset class in its </w:t>
      </w:r>
      <w:r w:rsidR="005B1940">
        <w:t>annual reporting RIN</w:t>
      </w:r>
      <w:r>
        <w:t xml:space="preserve">. Energex explained this change </w:t>
      </w:r>
      <w:r w:rsidR="005B1940">
        <w:t>w</w:t>
      </w:r>
      <w:r>
        <w:t xml:space="preserve">as </w:t>
      </w:r>
      <w:r>
        <w:lastRenderedPageBreak/>
        <w:t xml:space="preserve">designed to prepare for the </w:t>
      </w:r>
      <w:r w:rsidR="003B461F">
        <w:t>separation</w:t>
      </w:r>
      <w:r>
        <w:t xml:space="preserve"> of meters as </w:t>
      </w:r>
      <w:r w:rsidR="00981F53">
        <w:t>ACS</w:t>
      </w:r>
      <w:r>
        <w:t xml:space="preserve"> by moving assets to the metering asset class that are better associated with </w:t>
      </w:r>
      <w:r w:rsidR="003B461F">
        <w:t>metering.</w:t>
      </w:r>
      <w:r w:rsidR="003B461F">
        <w:rPr>
          <w:rStyle w:val="FootnoteReference"/>
        </w:rPr>
        <w:footnoteReference w:id="48"/>
      </w:r>
    </w:p>
    <w:p w:rsidR="003B461F" w:rsidRDefault="003B461F" w:rsidP="00290C63">
      <w:r>
        <w:t>The AER's usual practice is to make any adjustments to asset classes at the end o</w:t>
      </w:r>
      <w:r w:rsidR="004E20EB">
        <w:t xml:space="preserve">f the regulatory control period. This means </w:t>
      </w:r>
      <w:r>
        <w:t xml:space="preserve">the depreciation schedules remain consistent with those approved at the last reset. However, in the present case we </w:t>
      </w:r>
      <w:r w:rsidR="004E20EB">
        <w:t>consider that</w:t>
      </w:r>
      <w:r>
        <w:t xml:space="preserve"> the shift results in a small reduction in the RAB</w:t>
      </w:r>
      <w:r w:rsidR="004E20EB">
        <w:t xml:space="preserve"> and it would be preferable to maintain consistency with the annual </w:t>
      </w:r>
      <w:r w:rsidR="005B1940">
        <w:t>reporting RINs</w:t>
      </w:r>
      <w:r w:rsidR="004E20EB">
        <w:t xml:space="preserve">. We do have concerns with the impact of this reallocation on the remaining asset lives of the two asset classes in question. We consider that aspect does require amendment, as discussed in the depreciation </w:t>
      </w:r>
      <w:r w:rsidR="00C41F00">
        <w:t xml:space="preserve">and </w:t>
      </w:r>
      <w:r w:rsidR="00981F53">
        <w:t>ACS</w:t>
      </w:r>
      <w:r w:rsidR="00C41F00">
        <w:t xml:space="preserve"> </w:t>
      </w:r>
      <w:r w:rsidR="004E20EB">
        <w:t>attachment</w:t>
      </w:r>
      <w:r w:rsidR="00C41F00">
        <w:t>s</w:t>
      </w:r>
      <w:r w:rsidR="005B1940">
        <w:t xml:space="preserve"> (5 and 16 respectively)</w:t>
      </w:r>
      <w:r w:rsidR="004E20EB">
        <w:t>.</w:t>
      </w:r>
    </w:p>
    <w:p w:rsidR="001510D7" w:rsidRPr="00810A1F" w:rsidRDefault="00881163" w:rsidP="00BA4A28">
      <w:pPr>
        <w:pStyle w:val="HeadingBoldBlue"/>
      </w:pPr>
      <w:bookmarkStart w:id="36" w:name="_Toc413831042"/>
      <w:r w:rsidRPr="00810A1F">
        <w:t>Separation of alternative control services</w:t>
      </w:r>
      <w:r w:rsidR="000D453F" w:rsidRPr="00810A1F">
        <w:t xml:space="preserve"> and unregulated</w:t>
      </w:r>
      <w:r w:rsidRPr="00810A1F">
        <w:t xml:space="preserve"> assets</w:t>
      </w:r>
      <w:bookmarkEnd w:id="36"/>
    </w:p>
    <w:p w:rsidR="00D811DC" w:rsidRDefault="000D453F" w:rsidP="00290C63">
      <w:r>
        <w:t>Energex's proposal removed both metering assets and certain</w:t>
      </w:r>
      <w:r w:rsidR="0042625A">
        <w:t xml:space="preserve"> proportion of</w:t>
      </w:r>
      <w:r>
        <w:t xml:space="preserve"> assets used to </w:t>
      </w:r>
      <w:r w:rsidR="0042625A">
        <w:t xml:space="preserve">provide unregulated services. </w:t>
      </w:r>
      <w:r w:rsidR="00D811DC">
        <w:t>We have accepted the adjustment to the RAB proposed by Energex in relation to these assets</w:t>
      </w:r>
      <w:r w:rsidR="001E6C3F">
        <w:t xml:space="preserve"> and have made </w:t>
      </w:r>
      <w:r w:rsidR="0093092A">
        <w:t>further</w:t>
      </w:r>
      <w:r w:rsidR="001E6C3F">
        <w:t xml:space="preserve"> adjustments related to </w:t>
      </w:r>
      <w:r w:rsidR="001E6C3F">
        <w:rPr>
          <w:rStyle w:val="AERbody"/>
        </w:rPr>
        <w:t>load control assets which are associated with newer meter types</w:t>
      </w:r>
      <w:r w:rsidR="00D811DC">
        <w:t>.</w:t>
      </w:r>
    </w:p>
    <w:p w:rsidR="0058755C" w:rsidRDefault="00320C20" w:rsidP="00290C63">
      <w:r>
        <w:t xml:space="preserve">Meters are to be reclassified as </w:t>
      </w:r>
      <w:r w:rsidR="00981F53">
        <w:t>ACS</w:t>
      </w:r>
      <w:r>
        <w:t xml:space="preserve"> from 1 July 2015. </w:t>
      </w:r>
      <w:r w:rsidR="00396C17">
        <w:t xml:space="preserve">Energex </w:t>
      </w:r>
      <w:r w:rsidR="0096726E">
        <w:t>removed</w:t>
      </w:r>
      <w:r w:rsidR="00810A1F">
        <w:t xml:space="preserve"> certain metering assets </w:t>
      </w:r>
      <w:r>
        <w:t xml:space="preserve">from the RAB and included </w:t>
      </w:r>
      <w:r w:rsidR="00810A1F">
        <w:t xml:space="preserve">them </w:t>
      </w:r>
      <w:r>
        <w:t xml:space="preserve">in the metering asset base as at 1 July 2015. </w:t>
      </w:r>
      <w:r w:rsidR="00810A1F">
        <w:t xml:space="preserve">Because of the </w:t>
      </w:r>
      <w:r w:rsidR="001E6C3F">
        <w:t xml:space="preserve">classification </w:t>
      </w:r>
      <w:r w:rsidR="00810A1F">
        <w:t xml:space="preserve">changes </w:t>
      </w:r>
      <w:r w:rsidR="001E6C3F">
        <w:t>discussed in attachment 16</w:t>
      </w:r>
      <w:r w:rsidR="00810A1F">
        <w:t>, we have revised th</w:t>
      </w:r>
      <w:r w:rsidR="001E6C3F">
        <w:t>e proposed</w:t>
      </w:r>
      <w:r w:rsidR="00810A1F">
        <w:t xml:space="preserve"> amount. </w:t>
      </w:r>
      <w:r w:rsidR="00396C17">
        <w:t xml:space="preserve">We also </w:t>
      </w:r>
      <w:r w:rsidR="001C634B">
        <w:t>removed from the RAB</w:t>
      </w:r>
      <w:r w:rsidR="00396C17">
        <w:t xml:space="preserve"> certain load control assets </w:t>
      </w:r>
      <w:r w:rsidR="00680890">
        <w:t xml:space="preserve">embedded </w:t>
      </w:r>
      <w:r w:rsidR="00396C17">
        <w:t>with newer meter types</w:t>
      </w:r>
      <w:r w:rsidR="001C634B">
        <w:t>.</w:t>
      </w:r>
      <w:r w:rsidR="001C634B">
        <w:rPr>
          <w:rStyle w:val="FootnoteReference"/>
        </w:rPr>
        <w:footnoteReference w:id="49"/>
      </w:r>
      <w:r w:rsidR="001C634B">
        <w:t xml:space="preserve"> These </w:t>
      </w:r>
      <w:r w:rsidR="00680890">
        <w:t xml:space="preserve">embedded </w:t>
      </w:r>
      <w:r w:rsidR="001C634B">
        <w:t xml:space="preserve">load control assets </w:t>
      </w:r>
      <w:r w:rsidR="0093092A">
        <w:t>amount to</w:t>
      </w:r>
      <w:r w:rsidR="001C634B">
        <w:t xml:space="preserve"> $</w:t>
      </w:r>
      <w:r w:rsidR="00810A1F">
        <w:t>8.0</w:t>
      </w:r>
      <w:r w:rsidR="001C634B">
        <w:t xml:space="preserve"> million as at 1 July 2015.</w:t>
      </w:r>
      <w:r w:rsidR="00810A1F">
        <w:rPr>
          <w:rStyle w:val="FootnoteReference"/>
        </w:rPr>
        <w:footnoteReference w:id="50"/>
      </w:r>
      <w:r w:rsidR="00810A1F">
        <w:t xml:space="preserve"> In total</w:t>
      </w:r>
      <w:r w:rsidR="0096726E">
        <w:t>,</w:t>
      </w:r>
      <w:r w:rsidR="00810A1F">
        <w:t xml:space="preserve"> $</w:t>
      </w:r>
      <w:r w:rsidR="0096726E">
        <w:t xml:space="preserve">448.8 </w:t>
      </w:r>
      <w:r w:rsidR="00810A1F">
        <w:t>million of metering assets have been removed from the RAB as at 1 July 2015.</w:t>
      </w:r>
      <w:r w:rsidR="00396C17">
        <w:t xml:space="preserve"> </w:t>
      </w:r>
    </w:p>
    <w:p w:rsidR="00881163" w:rsidRDefault="00D811DC" w:rsidP="00290C63">
      <w:r>
        <w:t>In addition, other unregulated assets of $</w:t>
      </w:r>
      <w:r w:rsidR="0096726E">
        <w:t>40.1</w:t>
      </w:r>
      <w:r>
        <w:t xml:space="preserve"> million have been removed from the RAB as at 1 July 2015.</w:t>
      </w:r>
      <w:r w:rsidR="0096726E">
        <w:rPr>
          <w:rStyle w:val="FootnoteReference"/>
        </w:rPr>
        <w:footnoteReference w:id="51"/>
      </w:r>
      <w:r>
        <w:t xml:space="preserve"> </w:t>
      </w:r>
      <w:r w:rsidR="00320C20" w:rsidRPr="00320C20">
        <w:t xml:space="preserve">The unregulated assets </w:t>
      </w:r>
      <w:r w:rsidR="00320C20">
        <w:t xml:space="preserve">removed from the RAB </w:t>
      </w:r>
      <w:r w:rsidR="00320C20" w:rsidRPr="00320C20">
        <w:t>were a form of shared asset</w:t>
      </w:r>
      <w:r w:rsidR="005B1940">
        <w:t>s</w:t>
      </w:r>
      <w:r w:rsidR="00320C20" w:rsidRPr="00320C20">
        <w:t xml:space="preserve"> allowed under the Queensland transitional rules. They were included in the RAB during </w:t>
      </w:r>
      <w:r w:rsidR="000A792F">
        <w:t xml:space="preserve">the </w:t>
      </w:r>
      <w:r w:rsidR="00320C20" w:rsidRPr="00320C20">
        <w:t>2010</w:t>
      </w:r>
      <w:r w:rsidR="000A792F">
        <w:t>–</w:t>
      </w:r>
      <w:r w:rsidR="00320C20" w:rsidRPr="00320C20">
        <w:t xml:space="preserve">15 </w:t>
      </w:r>
      <w:r w:rsidR="000A792F">
        <w:t xml:space="preserve">regulatory control period in the 2010 determination </w:t>
      </w:r>
      <w:r w:rsidR="00320C20" w:rsidRPr="00320C20">
        <w:t>and a</w:t>
      </w:r>
      <w:r w:rsidR="00320C20">
        <w:t>n offsetting revenue adjustment</w:t>
      </w:r>
      <w:r w:rsidR="00320C20" w:rsidRPr="00320C20">
        <w:t xml:space="preserve"> applied for the expected use of these assets for unregulated services. This approach will end going forward</w:t>
      </w:r>
      <w:r w:rsidR="000A792F">
        <w:t>, commencing from 1 July 2015,</w:t>
      </w:r>
      <w:r w:rsidR="00320C20" w:rsidRPr="00320C20">
        <w:t xml:space="preserve"> with the unregulated proportion of the assets removed from the RAB.</w:t>
      </w:r>
      <w:r w:rsidR="0042625A">
        <w:t xml:space="preserve"> </w:t>
      </w:r>
    </w:p>
    <w:p w:rsidR="001510D7" w:rsidRDefault="00AA6F8E" w:rsidP="00AA6F8E">
      <w:pPr>
        <w:pStyle w:val="Heading3"/>
      </w:pPr>
      <w:bookmarkStart w:id="37" w:name="_Toc413831043"/>
      <w:r>
        <w:lastRenderedPageBreak/>
        <w:t>Forecast closing RAB as at 30 June 2020</w:t>
      </w:r>
      <w:bookmarkEnd w:id="37"/>
    </w:p>
    <w:p w:rsidR="00AA6F8E" w:rsidRDefault="00AA6F8E" w:rsidP="00AA6F8E">
      <w:pPr>
        <w:rPr>
          <w:rStyle w:val="AERbody"/>
        </w:rPr>
      </w:pPr>
      <w:r w:rsidRPr="00270D69">
        <w:rPr>
          <w:rStyle w:val="AERbody"/>
        </w:rPr>
        <w:t>We forecast a closing RAB value of $</w:t>
      </w:r>
      <w:r w:rsidR="00714554">
        <w:rPr>
          <w:rStyle w:val="AERbody"/>
        </w:rPr>
        <w:t>13</w:t>
      </w:r>
      <w:r w:rsidR="001E624E">
        <w:rPr>
          <w:rStyle w:val="AERbody"/>
        </w:rPr>
        <w:t> </w:t>
      </w:r>
      <w:r w:rsidR="00714554">
        <w:rPr>
          <w:rStyle w:val="AERbody"/>
        </w:rPr>
        <w:t>32</w:t>
      </w:r>
      <w:r w:rsidR="00E9105B">
        <w:rPr>
          <w:rStyle w:val="AERbody"/>
        </w:rPr>
        <w:t>9.9</w:t>
      </w:r>
      <w:r w:rsidR="00714554" w:rsidRPr="00270D69">
        <w:rPr>
          <w:rStyle w:val="AERbody"/>
        </w:rPr>
        <w:t xml:space="preserve"> </w:t>
      </w:r>
      <w:r w:rsidRPr="00270D69">
        <w:rPr>
          <w:rStyle w:val="AERbody"/>
        </w:rPr>
        <w:t xml:space="preserve">million by 30 June 2020 for </w:t>
      </w:r>
      <w:r w:rsidR="00270D69">
        <w:rPr>
          <w:rStyle w:val="AERbody"/>
        </w:rPr>
        <w:t>Energex</w:t>
      </w:r>
      <w:r w:rsidRPr="00270D69">
        <w:rPr>
          <w:rStyle w:val="AERbody"/>
        </w:rPr>
        <w:t xml:space="preserve">. This represents a reduction of </w:t>
      </w:r>
      <w:r w:rsidR="00BE3794">
        <w:rPr>
          <w:rStyle w:val="AERbody"/>
        </w:rPr>
        <w:t>$</w:t>
      </w:r>
      <w:r w:rsidR="00714554">
        <w:rPr>
          <w:rStyle w:val="AERbody"/>
        </w:rPr>
        <w:t>92</w:t>
      </w:r>
      <w:r w:rsidR="00E9105B">
        <w:rPr>
          <w:rStyle w:val="AERbody"/>
        </w:rPr>
        <w:t>5.2</w:t>
      </w:r>
      <w:r w:rsidR="00714554" w:rsidRPr="00270D69">
        <w:rPr>
          <w:rStyle w:val="AERbody"/>
        </w:rPr>
        <w:t xml:space="preserve"> </w:t>
      </w:r>
      <w:r w:rsidRPr="00270D69">
        <w:rPr>
          <w:rStyle w:val="AERbody"/>
        </w:rPr>
        <w:t xml:space="preserve">million, or </w:t>
      </w:r>
      <w:r w:rsidR="00714554">
        <w:rPr>
          <w:rStyle w:val="AERbody"/>
        </w:rPr>
        <w:t>6.5</w:t>
      </w:r>
      <w:r w:rsidRPr="00270D69">
        <w:rPr>
          <w:rStyle w:val="AERbody"/>
        </w:rPr>
        <w:t xml:space="preserve"> per cent to </w:t>
      </w:r>
      <w:r w:rsidR="00270D69">
        <w:rPr>
          <w:rStyle w:val="AERbody"/>
        </w:rPr>
        <w:t>Energex's</w:t>
      </w:r>
      <w:r w:rsidRPr="00270D69">
        <w:rPr>
          <w:rStyle w:val="AERbody"/>
        </w:rPr>
        <w:t xml:space="preserve"> proposal. This reduction reflects our preliminary decision on the required inputs for determining the forecast RAB in the PTRM. To determine the forecast RAB value, we amended the following PTRM inputs:</w:t>
      </w:r>
    </w:p>
    <w:p w:rsidR="00822730" w:rsidRPr="00270D69" w:rsidRDefault="00822730" w:rsidP="00822730">
      <w:pPr>
        <w:pStyle w:val="AERbulletlistfirststyle"/>
        <w:rPr>
          <w:rStyle w:val="AERbody"/>
        </w:rPr>
      </w:pPr>
      <w:r>
        <w:rPr>
          <w:rStyle w:val="AERbody"/>
        </w:rPr>
        <w:t xml:space="preserve">We adjusted the opening RAB </w:t>
      </w:r>
      <w:r w:rsidR="009E311A">
        <w:rPr>
          <w:rStyle w:val="AERbody"/>
        </w:rPr>
        <w:t xml:space="preserve">as </w:t>
      </w:r>
      <w:r w:rsidR="00686A58">
        <w:rPr>
          <w:rStyle w:val="AERbody"/>
        </w:rPr>
        <w:t xml:space="preserve">at 1 July 2015, </w:t>
      </w:r>
      <w:r>
        <w:rPr>
          <w:rStyle w:val="AERbody"/>
        </w:rPr>
        <w:t xml:space="preserve">as discussed </w:t>
      </w:r>
      <w:r w:rsidR="004A25DA">
        <w:rPr>
          <w:rStyle w:val="AERbody"/>
        </w:rPr>
        <w:t xml:space="preserve">in section </w:t>
      </w:r>
      <w:r w:rsidR="004A25DA">
        <w:rPr>
          <w:rStyle w:val="AERbody"/>
        </w:rPr>
        <w:fldChar w:fldCharType="begin"/>
      </w:r>
      <w:r w:rsidR="004A25DA">
        <w:rPr>
          <w:rStyle w:val="AERbody"/>
        </w:rPr>
        <w:instrText xml:space="preserve"> REF _Ref413830659 \r \h </w:instrText>
      </w:r>
      <w:r w:rsidR="004A25DA">
        <w:rPr>
          <w:rStyle w:val="AERbody"/>
        </w:rPr>
      </w:r>
      <w:r w:rsidR="004A25DA">
        <w:rPr>
          <w:rStyle w:val="AERbody"/>
        </w:rPr>
        <w:fldChar w:fldCharType="separate"/>
      </w:r>
      <w:r w:rsidR="001E624E">
        <w:rPr>
          <w:rStyle w:val="AERbody"/>
        </w:rPr>
        <w:t>2.4.1</w:t>
      </w:r>
      <w:r w:rsidR="004A25DA">
        <w:rPr>
          <w:rStyle w:val="AERbody"/>
        </w:rPr>
        <w:fldChar w:fldCharType="end"/>
      </w:r>
      <w:r>
        <w:rPr>
          <w:rStyle w:val="AERbody"/>
        </w:rPr>
        <w:t>.</w:t>
      </w:r>
    </w:p>
    <w:p w:rsidR="00AA6F8E" w:rsidRPr="00270D69" w:rsidRDefault="00AA6F8E" w:rsidP="00AA6F8E">
      <w:pPr>
        <w:pStyle w:val="AERbulletlistfirststyle"/>
        <w:rPr>
          <w:rStyle w:val="AERbody"/>
        </w:rPr>
      </w:pPr>
      <w:r w:rsidRPr="00270D69">
        <w:rPr>
          <w:rStyle w:val="AERbody"/>
        </w:rPr>
        <w:t xml:space="preserve">We reduced </w:t>
      </w:r>
      <w:r w:rsidR="00270D69">
        <w:rPr>
          <w:rStyle w:val="AERbody"/>
        </w:rPr>
        <w:t>the</w:t>
      </w:r>
      <w:r w:rsidRPr="00270D69">
        <w:rPr>
          <w:rStyle w:val="AERbody"/>
        </w:rPr>
        <w:t xml:space="preserve"> </w:t>
      </w:r>
      <w:r w:rsidR="00686A58">
        <w:rPr>
          <w:rStyle w:val="AERbody"/>
        </w:rPr>
        <w:t xml:space="preserve">proposed </w:t>
      </w:r>
      <w:r w:rsidRPr="00270D69">
        <w:rPr>
          <w:rStyle w:val="AERbody"/>
        </w:rPr>
        <w:t>forecast capex</w:t>
      </w:r>
      <w:r w:rsidR="00270D69">
        <w:rPr>
          <w:rStyle w:val="AERbody"/>
        </w:rPr>
        <w:t xml:space="preserve"> </w:t>
      </w:r>
      <w:r w:rsidRPr="00270D69">
        <w:rPr>
          <w:rStyle w:val="AERbody"/>
        </w:rPr>
        <w:t xml:space="preserve">for the 2015–20 </w:t>
      </w:r>
      <w:r w:rsidR="00686A58">
        <w:rPr>
          <w:rStyle w:val="AERbody"/>
        </w:rPr>
        <w:t xml:space="preserve">regulatory control </w:t>
      </w:r>
      <w:r w:rsidRPr="00270D69">
        <w:rPr>
          <w:rStyle w:val="AERbody"/>
        </w:rPr>
        <w:t>period by $</w:t>
      </w:r>
      <w:r w:rsidR="0026669C">
        <w:rPr>
          <w:rStyle w:val="AERbody"/>
        </w:rPr>
        <w:t>992.1</w:t>
      </w:r>
      <w:r w:rsidR="00F21D0E" w:rsidRPr="00270D69">
        <w:rPr>
          <w:rStyle w:val="AERbody"/>
        </w:rPr>
        <w:t xml:space="preserve"> </w:t>
      </w:r>
      <w:r w:rsidRPr="00270D69">
        <w:rPr>
          <w:rStyle w:val="AERbody"/>
        </w:rPr>
        <w:t xml:space="preserve">million or </w:t>
      </w:r>
      <w:r w:rsidR="00F21D0E">
        <w:rPr>
          <w:rStyle w:val="AERbody"/>
        </w:rPr>
        <w:t>2</w:t>
      </w:r>
      <w:r w:rsidR="0026669C">
        <w:rPr>
          <w:rStyle w:val="AERbody"/>
        </w:rPr>
        <w:t>8.8</w:t>
      </w:r>
      <w:r w:rsidRPr="00270D69">
        <w:rPr>
          <w:rStyle w:val="AERbody"/>
        </w:rPr>
        <w:t xml:space="preserve"> per cent (attachment 6).</w:t>
      </w:r>
    </w:p>
    <w:p w:rsidR="00AA6F8E" w:rsidRPr="00270D69" w:rsidRDefault="00AA6F8E" w:rsidP="00AA6F8E">
      <w:pPr>
        <w:pStyle w:val="AERbulletlistfirststyle"/>
        <w:rPr>
          <w:rStyle w:val="AERbody"/>
        </w:rPr>
      </w:pPr>
      <w:r w:rsidRPr="00270D69">
        <w:rPr>
          <w:rStyle w:val="AERbody"/>
        </w:rPr>
        <w:t xml:space="preserve">We reduced </w:t>
      </w:r>
      <w:r w:rsidR="00270D69">
        <w:rPr>
          <w:rStyle w:val="AERbody"/>
        </w:rPr>
        <w:t>the</w:t>
      </w:r>
      <w:r w:rsidRPr="00270D69">
        <w:rPr>
          <w:rStyle w:val="AERbody"/>
        </w:rPr>
        <w:t xml:space="preserve"> </w:t>
      </w:r>
      <w:r w:rsidR="00686A58">
        <w:rPr>
          <w:rStyle w:val="AERbody"/>
        </w:rPr>
        <w:t>proposed</w:t>
      </w:r>
      <w:r w:rsidR="00686A58" w:rsidRPr="00270D69">
        <w:rPr>
          <w:rStyle w:val="AERbody"/>
        </w:rPr>
        <w:t xml:space="preserve"> </w:t>
      </w:r>
      <w:r w:rsidRPr="00270D69">
        <w:rPr>
          <w:rStyle w:val="AERbody"/>
        </w:rPr>
        <w:t xml:space="preserve">forecast regulatory depreciation </w:t>
      </w:r>
      <w:r w:rsidR="00686A58">
        <w:rPr>
          <w:rStyle w:val="AERbody"/>
        </w:rPr>
        <w:t xml:space="preserve">allowance </w:t>
      </w:r>
      <w:r w:rsidRPr="00270D69">
        <w:rPr>
          <w:rStyle w:val="AERbody"/>
        </w:rPr>
        <w:t>by $</w:t>
      </w:r>
      <w:r w:rsidR="00F21D0E">
        <w:rPr>
          <w:rStyle w:val="AERbody"/>
        </w:rPr>
        <w:t>4</w:t>
      </w:r>
      <w:r w:rsidR="00E9105B">
        <w:rPr>
          <w:rStyle w:val="AERbody"/>
        </w:rPr>
        <w:t>6.3</w:t>
      </w:r>
      <w:r w:rsidR="00F21D0E">
        <w:rPr>
          <w:rStyle w:val="AERbody"/>
        </w:rPr>
        <w:t xml:space="preserve"> </w:t>
      </w:r>
      <w:r w:rsidRPr="00270D69">
        <w:rPr>
          <w:rStyle w:val="AERbody"/>
        </w:rPr>
        <w:t xml:space="preserve">million or </w:t>
      </w:r>
      <w:r w:rsidR="00F21D0E">
        <w:rPr>
          <w:rStyle w:val="AERbody"/>
        </w:rPr>
        <w:t>9.</w:t>
      </w:r>
      <w:r w:rsidR="00E9105B">
        <w:rPr>
          <w:rStyle w:val="AERbody"/>
        </w:rPr>
        <w:t>2</w:t>
      </w:r>
      <w:r w:rsidRPr="00270D69">
        <w:rPr>
          <w:rStyle w:val="AERbody"/>
        </w:rPr>
        <w:t xml:space="preserve"> per cent (attachment 5).</w:t>
      </w:r>
    </w:p>
    <w:p w:rsidR="001177F1" w:rsidRPr="000D005A" w:rsidRDefault="001177F1" w:rsidP="001177F1">
      <w:pPr>
        <w:pStyle w:val="Heading3"/>
      </w:pPr>
      <w:bookmarkStart w:id="38" w:name="_Toc404276964"/>
      <w:bookmarkStart w:id="39" w:name="_Toc413830947"/>
      <w:bookmarkStart w:id="40" w:name="_Toc413831044"/>
      <w:r w:rsidRPr="000D005A">
        <w:t>Application of depreciation approach in RAB roll forward for next reset</w:t>
      </w:r>
      <w:bookmarkEnd w:id="38"/>
      <w:bookmarkEnd w:id="39"/>
      <w:bookmarkEnd w:id="40"/>
    </w:p>
    <w:p w:rsidR="00724588" w:rsidRDefault="00270D69" w:rsidP="00270D69">
      <w:r>
        <w:t xml:space="preserve">Energex proposed a forecast depreciation approach </w:t>
      </w:r>
      <w:r w:rsidR="00686A58">
        <w:t xml:space="preserve">be used to establish the RAB at the commencement of its 2020–25 regulatory control period, </w:t>
      </w:r>
      <w:r>
        <w:t>consistent with the AER's framework and approach</w:t>
      </w:r>
      <w:r w:rsidR="00686A58">
        <w:t xml:space="preserve"> paper</w:t>
      </w:r>
      <w:r>
        <w:t>.</w:t>
      </w:r>
      <w:r w:rsidR="00724588">
        <w:rPr>
          <w:rStyle w:val="FootnoteReference"/>
        </w:rPr>
        <w:footnoteReference w:id="52"/>
      </w:r>
      <w:r>
        <w:t xml:space="preserve"> </w:t>
      </w:r>
    </w:p>
    <w:p w:rsidR="00270D69" w:rsidRPr="00270D69" w:rsidRDefault="001B029A" w:rsidP="00724588">
      <w:pPr>
        <w:numPr>
          <w:ilvl w:val="0"/>
          <w:numId w:val="25"/>
        </w:numPr>
      </w:pPr>
      <w:r>
        <w:t xml:space="preserve">As discussed in attachment 10, </w:t>
      </w:r>
      <w:r w:rsidRPr="004A4595">
        <w:t xml:space="preserve">Energex is not currently subject to a capital expenditure sharing scheme (CESS) but we will apply the CESS to Energex over the 2015–20 regulatory control period. </w:t>
      </w:r>
      <w:r w:rsidR="004A4595" w:rsidRPr="004A4595">
        <w:t xml:space="preserve">We consider this </w:t>
      </w:r>
      <w:r>
        <w:t>scheme</w:t>
      </w:r>
      <w:r w:rsidRPr="004A4595">
        <w:t xml:space="preserve"> </w:t>
      </w:r>
      <w:r w:rsidR="004A4595" w:rsidRPr="004A4595">
        <w:t>will provide sufficient incentives for Energex to achieve capex efficiency gains over th</w:t>
      </w:r>
      <w:r w:rsidR="00F85318">
        <w:t>e 2015–20</w:t>
      </w:r>
      <w:r w:rsidR="004A4595" w:rsidRPr="004A4595">
        <w:t xml:space="preserve"> regulatory control period. </w:t>
      </w:r>
      <w:r w:rsidR="00724588" w:rsidRPr="00604A5F">
        <w:t xml:space="preserve">We </w:t>
      </w:r>
      <w:r w:rsidR="00724588">
        <w:t>are satisfied that</w:t>
      </w:r>
      <w:r w:rsidR="00724588" w:rsidRPr="00604A5F">
        <w:t xml:space="preserve"> the use of a forecast depreciation approach in combination with the application of the CESS and our other ex post capex measures are sufficient to achieve the capex incentive objective.</w:t>
      </w:r>
      <w:r w:rsidR="00724588" w:rsidRPr="00604A5F">
        <w:rPr>
          <w:rStyle w:val="FootnoteReference"/>
        </w:rPr>
        <w:t xml:space="preserve"> </w:t>
      </w:r>
      <w:r w:rsidR="00724588" w:rsidRPr="00604A5F">
        <w:rPr>
          <w:rStyle w:val="FootnoteReference"/>
        </w:rPr>
        <w:footnoteReference w:id="53"/>
      </w:r>
      <w:r w:rsidR="00724588">
        <w:t xml:space="preserve"> </w:t>
      </w:r>
      <w:r w:rsidR="00270D69">
        <w:t>We</w:t>
      </w:r>
      <w:r w:rsidR="004A4595">
        <w:t xml:space="preserve"> therefore accept Energex's proposed depreciation approach</w:t>
      </w:r>
      <w:r w:rsidR="00724588" w:rsidRPr="00724588">
        <w:t xml:space="preserve"> </w:t>
      </w:r>
      <w:r w:rsidR="00724588">
        <w:t>based on forecast capex (updated for actual inflation)</w:t>
      </w:r>
      <w:r w:rsidR="00270D69">
        <w:t>.</w:t>
      </w:r>
    </w:p>
    <w:sectPr w:rsidR="00270D69" w:rsidRPr="00270D69"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76B" w:rsidRPr="00290C63" w:rsidRDefault="001C776B" w:rsidP="00290C63">
      <w:r>
        <w:separator/>
      </w:r>
    </w:p>
    <w:p w:rsidR="001C776B" w:rsidRDefault="001C776B"/>
  </w:endnote>
  <w:endnote w:type="continuationSeparator" w:id="0">
    <w:p w:rsidR="001C776B" w:rsidRPr="00290C63" w:rsidRDefault="001C776B" w:rsidP="00290C63">
      <w:r>
        <w:continuationSeparator/>
      </w:r>
    </w:p>
    <w:p w:rsidR="001C776B" w:rsidRDefault="001C7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76B" w:rsidRPr="00290C63" w:rsidRDefault="001C776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C776B" w:rsidRDefault="001C776B"/>
  <w:p w:rsidR="001C776B" w:rsidRDefault="001C776B"/>
  <w:p w:rsidR="001C776B" w:rsidRDefault="001C776B"/>
  <w:p w:rsidR="001C776B" w:rsidRDefault="001C776B"/>
  <w:p w:rsidR="001C776B" w:rsidRDefault="001C776B"/>
  <w:p w:rsidR="001C776B" w:rsidRDefault="001C776B"/>
  <w:p w:rsidR="001C776B" w:rsidRDefault="001C77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1C776B" w:rsidRDefault="001C776B">
        <w:pPr>
          <w:pStyle w:val="Footer"/>
        </w:pPr>
        <w:r>
          <w:t>2-</w:t>
        </w:r>
        <w:r>
          <w:fldChar w:fldCharType="begin"/>
        </w:r>
        <w:r>
          <w:instrText xml:space="preserve"> PAGE   \* MERGEFORMAT </w:instrText>
        </w:r>
        <w:r>
          <w:fldChar w:fldCharType="separate"/>
        </w:r>
        <w:r w:rsidR="005A35CF">
          <w:rPr>
            <w:noProof/>
          </w:rPr>
          <w:t>16</w:t>
        </w:r>
        <w:r>
          <w:rPr>
            <w:noProof/>
          </w:rPr>
          <w:fldChar w:fldCharType="end"/>
        </w:r>
        <w:r>
          <w:rPr>
            <w:noProof/>
          </w:rPr>
          <w:t xml:space="preserve">      </w:t>
        </w:r>
        <w:r>
          <w:t xml:space="preserve">           </w:t>
        </w:r>
        <w:r>
          <w:rPr>
            <w:noProof/>
          </w:rPr>
          <w:t xml:space="preserve"> </w:t>
        </w:r>
        <w:r>
          <w:t xml:space="preserve">                           </w:t>
        </w:r>
        <w:r>
          <w:rPr>
            <w:noProof/>
          </w:rPr>
          <w:t xml:space="preserve"> Attachment </w:t>
        </w:r>
        <w:r>
          <w:t>2</w:t>
        </w:r>
        <w:r>
          <w:rPr>
            <w:noProof/>
          </w:rPr>
          <w:t xml:space="preserve"> </w:t>
        </w:r>
        <w:r>
          <w:rPr>
            <w:rFonts w:cs="Gautami"/>
            <w:noProof/>
          </w:rPr>
          <w:t xml:space="preserve">– </w:t>
        </w:r>
        <w:r>
          <w:t>Regulatory asset base</w:t>
        </w:r>
        <w:r>
          <w:rPr>
            <w:rFonts w:cs="Gautami"/>
            <w:noProof/>
          </w:rPr>
          <w:t xml:space="preserve"> | </w:t>
        </w:r>
        <w:r>
          <w:t>Energex</w:t>
        </w:r>
        <w:r>
          <w:rPr>
            <w:rFonts w:cs="Gautami"/>
            <w:noProof/>
          </w:rPr>
          <w:t xml:space="preserve"> determination 2015–20</w:t>
        </w:r>
      </w:p>
    </w:sdtContent>
  </w:sdt>
  <w:p w:rsidR="001C776B" w:rsidRDefault="001C77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76B" w:rsidRPr="00290C63" w:rsidRDefault="001C776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C776B" w:rsidRDefault="001C776B">
    <w:pPr>
      <w:pStyle w:val="Footer"/>
    </w:pPr>
  </w:p>
  <w:p w:rsidR="001C776B" w:rsidRDefault="001C776B"/>
  <w:p w:rsidR="001C776B" w:rsidRDefault="001C776B"/>
  <w:p w:rsidR="001C776B" w:rsidRDefault="001C776B"/>
  <w:p w:rsidR="001C776B" w:rsidRDefault="001C776B"/>
  <w:p w:rsidR="001C776B" w:rsidRDefault="001C776B"/>
  <w:p w:rsidR="001C776B" w:rsidRDefault="001C776B"/>
  <w:p w:rsidR="001C776B" w:rsidRDefault="001C77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76B" w:rsidRPr="00290C63" w:rsidRDefault="001C776B" w:rsidP="00290C63">
      <w:r>
        <w:separator/>
      </w:r>
    </w:p>
    <w:p w:rsidR="001C776B" w:rsidRDefault="001C776B"/>
  </w:footnote>
  <w:footnote w:type="continuationSeparator" w:id="0">
    <w:p w:rsidR="001C776B" w:rsidRPr="00290C63" w:rsidRDefault="001C776B" w:rsidP="00290C63">
      <w:r>
        <w:continuationSeparator/>
      </w:r>
    </w:p>
    <w:p w:rsidR="001C776B" w:rsidRDefault="001C776B"/>
  </w:footnote>
  <w:footnote w:id="1">
    <w:p w:rsidR="001C776B" w:rsidRDefault="001C776B" w:rsidP="000F67F7">
      <w:pPr>
        <w:pStyle w:val="FootnoteText"/>
      </w:pPr>
      <w:r>
        <w:rPr>
          <w:rStyle w:val="FootnoteReference"/>
        </w:rPr>
        <w:footnoteRef/>
      </w:r>
      <w:r>
        <w:t xml:space="preserve"> </w:t>
      </w:r>
      <w:r>
        <w:tab/>
      </w:r>
      <w:r w:rsidRPr="003540A6">
        <w:t xml:space="preserve">NER, </w:t>
      </w:r>
      <w:r>
        <w:t>cl.</w:t>
      </w:r>
      <w:r w:rsidRPr="003540A6">
        <w:t xml:space="preserve"> 6.12.1(6).</w:t>
      </w:r>
    </w:p>
  </w:footnote>
  <w:footnote w:id="2">
    <w:p w:rsidR="001C776B" w:rsidRDefault="001C776B" w:rsidP="000F67F7">
      <w:pPr>
        <w:pStyle w:val="FootnoteText"/>
      </w:pPr>
      <w:r>
        <w:rPr>
          <w:rStyle w:val="FootnoteReference"/>
        </w:rPr>
        <w:footnoteRef/>
      </w:r>
      <w:r>
        <w:t xml:space="preserve"> </w:t>
      </w:r>
      <w:r>
        <w:tab/>
      </w:r>
      <w:r w:rsidRPr="00445029">
        <w:t xml:space="preserve">Energex, </w:t>
      </w:r>
      <w:r w:rsidRPr="00445029">
        <w:rPr>
          <w:rStyle w:val="AERtextitalic"/>
        </w:rPr>
        <w:t>Regulatory proposal</w:t>
      </w:r>
      <w:r w:rsidRPr="00445029">
        <w:t>, October 2014, p. 148, Table 12.1.</w:t>
      </w:r>
    </w:p>
  </w:footnote>
  <w:footnote w:id="3">
    <w:p w:rsidR="001C776B" w:rsidRDefault="001C776B">
      <w:pPr>
        <w:pStyle w:val="FootnoteText"/>
      </w:pPr>
      <w:r>
        <w:rPr>
          <w:rStyle w:val="FootnoteReference"/>
        </w:rPr>
        <w:footnoteRef/>
      </w:r>
      <w:r>
        <w:t xml:space="preserve"> </w:t>
      </w:r>
      <w:r>
        <w:tab/>
        <w:t>The unregulated assets were a form of shared assets allowed under the Queensland transitional rules. They were included in the RAB during the 2010 distribution determination and an offsetting revenue adjustment applied for the expected use of these assets for unregulated services. This approach will end going forward with the unregulated proportion of the assets to be removed from the opening RAB in this distribution determination.</w:t>
      </w:r>
    </w:p>
  </w:footnote>
  <w:footnote w:id="4">
    <w:p w:rsidR="001C776B" w:rsidRDefault="001C776B" w:rsidP="000F67F7">
      <w:pPr>
        <w:pStyle w:val="FootnoteText"/>
      </w:pPr>
      <w:r>
        <w:rPr>
          <w:rStyle w:val="FootnoteReference"/>
        </w:rPr>
        <w:footnoteRef/>
      </w:r>
      <w:r>
        <w:t xml:space="preserve"> </w:t>
      </w:r>
      <w:r>
        <w:tab/>
        <w:t>The end of period adjustment will be positive (negative) if actual capex is higher (lower) than the estimate approved at the 2010–15 determination.</w:t>
      </w:r>
    </w:p>
  </w:footnote>
  <w:footnote w:id="5">
    <w:p w:rsidR="001C776B" w:rsidRDefault="001C776B" w:rsidP="000F67F7">
      <w:pPr>
        <w:pStyle w:val="FootnoteText"/>
      </w:pPr>
      <w:r>
        <w:rPr>
          <w:rStyle w:val="FootnoteReference"/>
        </w:rPr>
        <w:footnoteRef/>
      </w:r>
      <w:r>
        <w:t xml:space="preserve"> </w:t>
      </w:r>
      <w:r>
        <w:tab/>
        <w:t>NER, cl. 6.12.1(18).</w:t>
      </w:r>
    </w:p>
  </w:footnote>
  <w:footnote w:id="6">
    <w:p w:rsidR="001C776B" w:rsidRDefault="001C776B" w:rsidP="000F67F7">
      <w:pPr>
        <w:pStyle w:val="FootnoteText"/>
      </w:pPr>
      <w:r>
        <w:rPr>
          <w:rStyle w:val="FootnoteReference"/>
        </w:rPr>
        <w:footnoteRef/>
      </w:r>
      <w:r>
        <w:t xml:space="preserve"> </w:t>
      </w:r>
      <w:r>
        <w:tab/>
        <w:t>Energex</w:t>
      </w:r>
      <w:r w:rsidRPr="00DC4EE3">
        <w:t xml:space="preserve">, </w:t>
      </w:r>
      <w:r w:rsidRPr="00DC4EE3">
        <w:rPr>
          <w:rStyle w:val="AERtextitalic"/>
        </w:rPr>
        <w:t>Regulatory proposal</w:t>
      </w:r>
      <w:r>
        <w:t>, October</w:t>
      </w:r>
      <w:r w:rsidRPr="00DC4EE3">
        <w:t xml:space="preserve"> 201</w:t>
      </w:r>
      <w:r>
        <w:t>4</w:t>
      </w:r>
      <w:r w:rsidRPr="00DC4EE3">
        <w:t xml:space="preserve">, </w:t>
      </w:r>
      <w:r>
        <w:t xml:space="preserve">p. 148, Table 12.1.  </w:t>
      </w:r>
    </w:p>
  </w:footnote>
  <w:footnote w:id="7">
    <w:p w:rsidR="001C776B" w:rsidRDefault="001C776B" w:rsidP="00000A6C">
      <w:pPr>
        <w:pStyle w:val="FootnoteText"/>
      </w:pPr>
      <w:r>
        <w:rPr>
          <w:rStyle w:val="FootnoteReference"/>
        </w:rPr>
        <w:footnoteRef/>
      </w:r>
      <w:r>
        <w:t xml:space="preserve"> </w:t>
      </w:r>
      <w:r>
        <w:tab/>
      </w:r>
      <w:r w:rsidRPr="009E311A">
        <w:t xml:space="preserve">Energex, </w:t>
      </w:r>
      <w:r w:rsidRPr="00DE351E">
        <w:rPr>
          <w:rStyle w:val="AERtextitalic"/>
        </w:rPr>
        <w:t>Regulatory proposal</w:t>
      </w:r>
      <w:r>
        <w:t xml:space="preserve">, October 2014, p. 143. </w:t>
      </w:r>
    </w:p>
  </w:footnote>
  <w:footnote w:id="8">
    <w:p w:rsidR="001C776B" w:rsidRDefault="001C776B" w:rsidP="000F67F7">
      <w:pPr>
        <w:pStyle w:val="FootnoteText"/>
      </w:pPr>
      <w:r>
        <w:rPr>
          <w:rStyle w:val="FootnoteReference"/>
        </w:rPr>
        <w:footnoteRef/>
      </w:r>
      <w:r>
        <w:t xml:space="preserve"> </w:t>
      </w:r>
      <w:r>
        <w:tab/>
        <w:t>NER, cl.</w:t>
      </w:r>
      <w:r w:rsidRPr="0075167F">
        <w:t xml:space="preserve"> S6.2.1.</w:t>
      </w:r>
    </w:p>
  </w:footnote>
  <w:footnote w:id="9">
    <w:p w:rsidR="001C776B" w:rsidRDefault="001C776B" w:rsidP="000F67F7">
      <w:pPr>
        <w:pStyle w:val="FootnoteText"/>
      </w:pPr>
      <w:r>
        <w:rPr>
          <w:rStyle w:val="FootnoteReference"/>
        </w:rPr>
        <w:footnoteRef/>
      </w:r>
      <w:r>
        <w:t xml:space="preserve"> </w:t>
      </w:r>
      <w:r>
        <w:tab/>
      </w:r>
      <w:r w:rsidRPr="0075167F">
        <w:t>NER, cl</w:t>
      </w:r>
      <w:r>
        <w:t>.</w:t>
      </w:r>
      <w:r w:rsidRPr="0075167F">
        <w:t xml:space="preserve"> 6.5.1.</w:t>
      </w:r>
    </w:p>
  </w:footnote>
  <w:footnote w:id="10">
    <w:p w:rsidR="001C776B" w:rsidRDefault="001C776B">
      <w:pPr>
        <w:pStyle w:val="FootnoteText"/>
      </w:pPr>
      <w:r>
        <w:rPr>
          <w:rStyle w:val="FootnoteReference"/>
        </w:rPr>
        <w:footnoteRef/>
      </w:r>
      <w:r>
        <w:t xml:space="preserve"> </w:t>
      </w:r>
      <w:r>
        <w:tab/>
        <w:t>NER, cl.S6.1.3(7).</w:t>
      </w:r>
    </w:p>
  </w:footnote>
  <w:footnote w:id="11">
    <w:p w:rsidR="001C776B" w:rsidRDefault="001C776B" w:rsidP="000F67F7">
      <w:pPr>
        <w:pStyle w:val="FootnoteText"/>
      </w:pPr>
      <w:r>
        <w:rPr>
          <w:rStyle w:val="FootnoteReference"/>
        </w:rPr>
        <w:footnoteRef/>
      </w:r>
      <w:r>
        <w:t xml:space="preserve"> </w:t>
      </w:r>
      <w:r>
        <w:tab/>
      </w:r>
      <w:r w:rsidRPr="0075167F">
        <w:t>NER, cl</w:t>
      </w:r>
      <w:r>
        <w:t>.</w:t>
      </w:r>
      <w:r w:rsidRPr="0075167F">
        <w:t xml:space="preserve"> 6.5.1(e)(3).</w:t>
      </w:r>
    </w:p>
  </w:footnote>
  <w:footnote w:id="12">
    <w:p w:rsidR="001C776B" w:rsidRDefault="001C776B">
      <w:pPr>
        <w:pStyle w:val="FootnoteText"/>
      </w:pPr>
      <w:r>
        <w:rPr>
          <w:rStyle w:val="FootnoteReference"/>
        </w:rPr>
        <w:footnoteRef/>
      </w:r>
      <w:r>
        <w:t xml:space="preserve"> </w:t>
      </w:r>
      <w:r>
        <w:tab/>
      </w:r>
      <w:r w:rsidRPr="00FF6253">
        <w:t>Capital contributions are not usually included in the RAB. This is a unique situation in Queensland, allowed under transitional rules for the 2010</w:t>
      </w:r>
      <w:r>
        <w:t>–</w:t>
      </w:r>
      <w:r w:rsidRPr="00FF6253">
        <w:t xml:space="preserve">15 regulatory control period. </w:t>
      </w:r>
      <w:r>
        <w:t>At this stage the AER does not intend to include c</w:t>
      </w:r>
      <w:r w:rsidRPr="00FF6253">
        <w:t xml:space="preserve">apital contributions </w:t>
      </w:r>
      <w:r>
        <w:t>in</w:t>
      </w:r>
      <w:r w:rsidRPr="00FF6253">
        <w:t xml:space="preserve"> the RAB in subsequent regulatory control periods</w:t>
      </w:r>
      <w:r>
        <w:t>.</w:t>
      </w:r>
    </w:p>
  </w:footnote>
  <w:footnote w:id="13">
    <w:p w:rsidR="001C776B" w:rsidRDefault="001C776B" w:rsidP="000F67F7">
      <w:pPr>
        <w:pStyle w:val="FootnoteText"/>
      </w:pPr>
      <w:r>
        <w:rPr>
          <w:rStyle w:val="FootnoteReference"/>
        </w:rPr>
        <w:footnoteRef/>
      </w:r>
      <w:r>
        <w:t xml:space="preserve"> </w:t>
      </w:r>
      <w:r>
        <w:tab/>
      </w:r>
      <w:r w:rsidRPr="0075167F">
        <w:t>NER, cl</w:t>
      </w:r>
      <w:r>
        <w:t>.</w:t>
      </w:r>
      <w:r w:rsidRPr="0075167F">
        <w:t xml:space="preserve"> S6.2.1(e)(4).</w:t>
      </w:r>
    </w:p>
  </w:footnote>
  <w:footnote w:id="14">
    <w:p w:rsidR="001C776B" w:rsidRDefault="001C776B" w:rsidP="000F67F7">
      <w:pPr>
        <w:pStyle w:val="FootnoteText"/>
      </w:pPr>
      <w:r>
        <w:rPr>
          <w:rStyle w:val="FootnoteReference"/>
        </w:rPr>
        <w:footnoteRef/>
      </w:r>
      <w:r>
        <w:t xml:space="preserve"> </w:t>
      </w:r>
      <w:r>
        <w:tab/>
        <w:t>NER, cl. S6.2.2A.</w:t>
      </w:r>
    </w:p>
  </w:footnote>
  <w:footnote w:id="15">
    <w:p w:rsidR="001C776B" w:rsidRDefault="001C776B" w:rsidP="00925F11">
      <w:pPr>
        <w:pStyle w:val="FootnoteText"/>
      </w:pPr>
      <w:r>
        <w:rPr>
          <w:rStyle w:val="FootnoteReference"/>
        </w:rPr>
        <w:footnoteRef/>
      </w:r>
      <w:r>
        <w:t xml:space="preserve"> </w:t>
      </w:r>
      <w:r>
        <w:tab/>
        <w:t xml:space="preserve">AER, </w:t>
      </w:r>
      <w:r w:rsidRPr="000B006F">
        <w:rPr>
          <w:rStyle w:val="AERtextitalic"/>
        </w:rPr>
        <w:t xml:space="preserve">Capital </w:t>
      </w:r>
      <w:r>
        <w:rPr>
          <w:rStyle w:val="AERtextitalic"/>
        </w:rPr>
        <w:t>e</w:t>
      </w:r>
      <w:r w:rsidRPr="000B006F">
        <w:rPr>
          <w:rStyle w:val="AERtextitalic"/>
        </w:rPr>
        <w:t xml:space="preserve">xpenditure </w:t>
      </w:r>
      <w:r>
        <w:rPr>
          <w:rStyle w:val="AERtextitalic"/>
        </w:rPr>
        <w:t>i</w:t>
      </w:r>
      <w:r w:rsidRPr="000B006F">
        <w:rPr>
          <w:rStyle w:val="AERtextitalic"/>
        </w:rPr>
        <w:t xml:space="preserve">ncentive </w:t>
      </w:r>
      <w:r>
        <w:rPr>
          <w:rStyle w:val="AERtextitalic"/>
        </w:rPr>
        <w:t>g</w:t>
      </w:r>
      <w:r w:rsidRPr="000B006F">
        <w:rPr>
          <w:rStyle w:val="AERtextitalic"/>
        </w:rPr>
        <w:t>uideline</w:t>
      </w:r>
      <w:r>
        <w:t>, November 2013, pp. 12–20.</w:t>
      </w:r>
      <w:r w:rsidRPr="00953101">
        <w:t xml:space="preserve"> </w:t>
      </w:r>
    </w:p>
    <w:p w:rsidR="001C776B" w:rsidRDefault="001C776B" w:rsidP="00925F11">
      <w:pPr>
        <w:pStyle w:val="FootnoteText"/>
      </w:pPr>
      <w:r>
        <w:tab/>
        <w:t xml:space="preserve">Under the NER, cl S6.2.2A(b), the exclusion of </w:t>
      </w:r>
      <w:r w:rsidRPr="00166EE4">
        <w:t>inefficient</w:t>
      </w:r>
      <w:r>
        <w:t xml:space="preserve"> capex could only come from three areas including overspend in capex , margin paid to third party and capitalisation of opex as defined in </w:t>
      </w:r>
      <w:proofErr w:type="spellStart"/>
      <w:r>
        <w:t>cll</w:t>
      </w:r>
      <w:proofErr w:type="spellEnd"/>
      <w:r>
        <w:t>. S6.2.2A (c), (d) and (e) of the NER.</w:t>
      </w:r>
    </w:p>
  </w:footnote>
  <w:footnote w:id="16">
    <w:p w:rsidR="001C776B" w:rsidRDefault="001C776B" w:rsidP="000F67F7">
      <w:pPr>
        <w:pStyle w:val="FootnoteText"/>
      </w:pPr>
      <w:r>
        <w:rPr>
          <w:rStyle w:val="FootnoteReference"/>
        </w:rPr>
        <w:footnoteRef/>
      </w:r>
      <w:r>
        <w:t xml:space="preserve"> </w:t>
      </w:r>
      <w:r>
        <w:tab/>
        <w:t xml:space="preserve">NER, </w:t>
      </w:r>
      <w:proofErr w:type="spellStart"/>
      <w:r>
        <w:t>cll</w:t>
      </w:r>
      <w:proofErr w:type="spellEnd"/>
      <w:r>
        <w:t>. 11.60.5 and 11.62.</w:t>
      </w:r>
    </w:p>
  </w:footnote>
  <w:footnote w:id="17">
    <w:p w:rsidR="001C776B" w:rsidRDefault="001C776B" w:rsidP="000F67F7">
      <w:pPr>
        <w:pStyle w:val="FootnoteText"/>
      </w:pPr>
      <w:r>
        <w:rPr>
          <w:rStyle w:val="FootnoteReference"/>
        </w:rPr>
        <w:footnoteRef/>
      </w:r>
      <w:r>
        <w:t xml:space="preserve"> </w:t>
      </w:r>
      <w:r>
        <w:tab/>
      </w:r>
      <w:r w:rsidRPr="00850BFE">
        <w:t>NER, cl</w:t>
      </w:r>
      <w:r>
        <w:t>.</w:t>
      </w:r>
      <w:r w:rsidRPr="00850BFE">
        <w:t xml:space="preserve"> S6.2.1(e)(5).</w:t>
      </w:r>
    </w:p>
  </w:footnote>
  <w:footnote w:id="18">
    <w:p w:rsidR="001C776B" w:rsidRDefault="001C776B" w:rsidP="000F67F7">
      <w:pPr>
        <w:pStyle w:val="FootnoteText"/>
      </w:pPr>
      <w:r>
        <w:rPr>
          <w:rStyle w:val="FootnoteReference"/>
        </w:rPr>
        <w:footnoteRef/>
      </w:r>
      <w:r>
        <w:t xml:space="preserve"> </w:t>
      </w:r>
      <w:r>
        <w:tab/>
        <w:t>NER, cl. 6.12.1(18).</w:t>
      </w:r>
    </w:p>
  </w:footnote>
  <w:footnote w:id="19">
    <w:p w:rsidR="001C776B" w:rsidRDefault="001C776B" w:rsidP="000F67F7">
      <w:pPr>
        <w:pStyle w:val="FootnoteText"/>
      </w:pPr>
      <w:r>
        <w:rPr>
          <w:rStyle w:val="FootnoteReference"/>
        </w:rPr>
        <w:footnoteRef/>
      </w:r>
      <w:r>
        <w:t xml:space="preserve"> </w:t>
      </w:r>
      <w:r>
        <w:tab/>
      </w:r>
      <w:r w:rsidRPr="006B735D">
        <w:t>The use of actual depreciation is consistent with the depreciation approach established in the 20</w:t>
      </w:r>
      <w:r>
        <w:t>10</w:t>
      </w:r>
      <w:r w:rsidRPr="006B735D">
        <w:t xml:space="preserve"> </w:t>
      </w:r>
      <w:r>
        <w:t xml:space="preserve">distribution </w:t>
      </w:r>
      <w:r w:rsidRPr="006B735D">
        <w:t xml:space="preserve">determination for </w:t>
      </w:r>
      <w:r>
        <w:t>Energex</w:t>
      </w:r>
      <w:r w:rsidRPr="006B735D">
        <w:t>.</w:t>
      </w:r>
    </w:p>
  </w:footnote>
  <w:footnote w:id="20">
    <w:p w:rsidR="001C776B" w:rsidRDefault="001C776B">
      <w:pPr>
        <w:pStyle w:val="FootnoteText"/>
      </w:pPr>
      <w:r>
        <w:rPr>
          <w:rStyle w:val="FootnoteReference"/>
        </w:rPr>
        <w:footnoteRef/>
      </w:r>
      <w:r>
        <w:t xml:space="preserve"> </w:t>
      </w:r>
      <w:r>
        <w:tab/>
        <w:t xml:space="preserve">Refer to section 2.4.3 for the reasons. </w:t>
      </w:r>
    </w:p>
  </w:footnote>
  <w:footnote w:id="21">
    <w:p w:rsidR="001C776B" w:rsidRDefault="001C776B" w:rsidP="000F67F7">
      <w:pPr>
        <w:pStyle w:val="FootnoteText"/>
      </w:pPr>
      <w:r>
        <w:rPr>
          <w:rStyle w:val="FootnoteReference"/>
        </w:rPr>
        <w:footnoteRef/>
      </w:r>
      <w:r>
        <w:t xml:space="preserve"> </w:t>
      </w:r>
      <w:r>
        <w:tab/>
        <w:t>NER, cl.</w:t>
      </w:r>
      <w:r w:rsidRPr="00850BFE">
        <w:t xml:space="preserve"> S6.2.1(e)(6).</w:t>
      </w:r>
    </w:p>
  </w:footnote>
  <w:footnote w:id="22">
    <w:p w:rsidR="001C776B" w:rsidRDefault="001C776B" w:rsidP="000F67F7">
      <w:pPr>
        <w:pStyle w:val="FootnoteText"/>
      </w:pPr>
      <w:r>
        <w:rPr>
          <w:rStyle w:val="FootnoteReference"/>
        </w:rPr>
        <w:footnoteRef/>
      </w:r>
      <w:r>
        <w:t xml:space="preserve"> </w:t>
      </w:r>
      <w:r>
        <w:tab/>
        <w:t>NER, cl. S6.2.2B.</w:t>
      </w:r>
    </w:p>
  </w:footnote>
  <w:footnote w:id="23">
    <w:p w:rsidR="001C776B" w:rsidRDefault="001C776B" w:rsidP="000F67F7">
      <w:pPr>
        <w:pStyle w:val="FootnoteText"/>
      </w:pPr>
      <w:r>
        <w:rPr>
          <w:rStyle w:val="FootnoteReference"/>
        </w:rPr>
        <w:footnoteRef/>
      </w:r>
      <w:r>
        <w:t xml:space="preserve"> </w:t>
      </w:r>
      <w:r>
        <w:tab/>
        <w:t>NER, cl. S6.2.2B(c).</w:t>
      </w:r>
    </w:p>
  </w:footnote>
  <w:footnote w:id="24">
    <w:p w:rsidR="001C776B" w:rsidRDefault="001C776B" w:rsidP="000F67F7">
      <w:pPr>
        <w:pStyle w:val="FootnoteText"/>
      </w:pPr>
      <w:r>
        <w:rPr>
          <w:rStyle w:val="FootnoteReference"/>
        </w:rPr>
        <w:footnoteRef/>
      </w:r>
      <w:r>
        <w:t xml:space="preserve"> </w:t>
      </w:r>
      <w:r>
        <w:tab/>
        <w:t>The size of the RAB also impacts the benchmark debt raising cost allowance. However, this amount is usually relatively small and therefore not a significant determinant of revenues overall.</w:t>
      </w:r>
    </w:p>
  </w:footnote>
  <w:footnote w:id="25">
    <w:p w:rsidR="001C776B" w:rsidRDefault="001C776B" w:rsidP="000F67F7">
      <w:pPr>
        <w:pStyle w:val="FootnoteText"/>
      </w:pPr>
      <w:r>
        <w:rPr>
          <w:rStyle w:val="FootnoteReference"/>
        </w:rPr>
        <w:footnoteRef/>
      </w:r>
      <w:r>
        <w:t xml:space="preserve"> </w:t>
      </w:r>
      <w:r>
        <w:tab/>
        <w:t xml:space="preserve">Net capex is gross capex less disposals and capital contributions. The rate of return or WACC also influences the size of the capex. This is because the capex is not depreciated in the year it is first incurred, but added to the RAB at the end of the year. Instead, the capex amount is escalated by half a WACC to arrive at an end of year value. It then begins depreciating the following year. </w:t>
      </w:r>
    </w:p>
  </w:footnote>
  <w:footnote w:id="26">
    <w:p w:rsidR="001C776B" w:rsidRDefault="001C776B">
      <w:pPr>
        <w:pStyle w:val="FootnoteText"/>
      </w:pPr>
      <w:r>
        <w:rPr>
          <w:rStyle w:val="FootnoteReference"/>
        </w:rPr>
        <w:footnoteRef/>
      </w:r>
      <w:r>
        <w:t xml:space="preserve"> </w:t>
      </w:r>
      <w:r>
        <w:tab/>
        <w:t>NER, cl. 6.5.1(e</w:t>
      </w:r>
      <w:proofErr w:type="gramStart"/>
      <w:r>
        <w:t>)(</w:t>
      </w:r>
      <w:proofErr w:type="gramEnd"/>
      <w:r>
        <w:t>3).</w:t>
      </w:r>
    </w:p>
  </w:footnote>
  <w:footnote w:id="27">
    <w:p w:rsidR="001C776B" w:rsidRDefault="001C776B">
      <w:pPr>
        <w:pStyle w:val="FootnoteText"/>
      </w:pPr>
      <w:r>
        <w:rPr>
          <w:rStyle w:val="FootnoteReference"/>
        </w:rPr>
        <w:footnoteRef/>
      </w:r>
      <w:r>
        <w:t xml:space="preserve"> </w:t>
      </w:r>
      <w:r>
        <w:tab/>
        <w:t>Such an impact would also be reflected if we were to switch methods midway through an asset's life.</w:t>
      </w:r>
    </w:p>
  </w:footnote>
  <w:footnote w:id="28">
    <w:p w:rsidR="001C776B" w:rsidRDefault="001C776B" w:rsidP="00183690">
      <w:pPr>
        <w:pStyle w:val="FootnoteText"/>
      </w:pPr>
      <w:r>
        <w:rPr>
          <w:rStyle w:val="FootnoteReference"/>
        </w:rPr>
        <w:footnoteRef/>
      </w:r>
      <w:r>
        <w:t xml:space="preserve"> </w:t>
      </w:r>
      <w:r>
        <w:tab/>
      </w:r>
      <w:r w:rsidRPr="00183690">
        <w:t>Central Highlands Cotton Gro</w:t>
      </w:r>
      <w:r>
        <w:t xml:space="preserve">wers and Irrigators Association &amp; </w:t>
      </w:r>
      <w:r w:rsidRPr="00183690">
        <w:t>Darling Downs Cotton Growers</w:t>
      </w:r>
      <w:r>
        <w:t xml:space="preserve">, </w:t>
      </w:r>
      <w:r w:rsidRPr="00183690">
        <w:rPr>
          <w:rStyle w:val="AERtextitalic"/>
        </w:rPr>
        <w:t>Submission to Energex's regulatory proposal</w:t>
      </w:r>
      <w:r>
        <w:t xml:space="preserve">, </w:t>
      </w:r>
      <w:r w:rsidRPr="00D97A57">
        <w:t xml:space="preserve">January 2015, </w:t>
      </w:r>
      <w:r>
        <w:t xml:space="preserve">p.1. EUAA, </w:t>
      </w:r>
      <w:r w:rsidRPr="00183690">
        <w:rPr>
          <w:rStyle w:val="AERtextitalic"/>
        </w:rPr>
        <w:t>Submission to Energex's regulatory proposal</w:t>
      </w:r>
      <w:r>
        <w:t>, January 2015, p.31.</w:t>
      </w:r>
    </w:p>
  </w:footnote>
  <w:footnote w:id="29">
    <w:p w:rsidR="001C776B" w:rsidRDefault="001C776B" w:rsidP="00DD6B4F">
      <w:pPr>
        <w:pStyle w:val="FootnoteText"/>
      </w:pPr>
      <w:r>
        <w:rPr>
          <w:rStyle w:val="FootnoteReference"/>
        </w:rPr>
        <w:footnoteRef/>
      </w:r>
      <w:r>
        <w:t xml:space="preserve"> </w:t>
      </w:r>
      <w:r>
        <w:tab/>
        <w:t>The indexation of the RAB was a matter discussed extensively in the AER's final decision on APA GasNet's access arrangement. This matter also went before the Australian Competition Tribunal, who found in favour of the AER's reasoning in that final decision. See AER,</w:t>
      </w:r>
      <w:r w:rsidRPr="00DD6B4F">
        <w:t xml:space="preserve"> </w:t>
      </w:r>
      <w:r w:rsidRPr="00DD6B4F">
        <w:rPr>
          <w:rStyle w:val="AERtextitalic"/>
        </w:rPr>
        <w:t>Access arrangement final decision</w:t>
      </w:r>
      <w:r>
        <w:rPr>
          <w:rStyle w:val="AERtextitalic"/>
        </w:rPr>
        <w:t>,</w:t>
      </w:r>
      <w:r w:rsidRPr="00DD6B4F">
        <w:rPr>
          <w:rStyle w:val="AERtextitalic"/>
        </w:rPr>
        <w:t xml:space="preserve"> APA GasNet Australia (Operations) Pty Ltd</w:t>
      </w:r>
      <w:r>
        <w:rPr>
          <w:rStyle w:val="AERtextitalic"/>
        </w:rPr>
        <w:t>,</w:t>
      </w:r>
      <w:r w:rsidRPr="00DD6B4F">
        <w:rPr>
          <w:rStyle w:val="AERtextitalic"/>
        </w:rPr>
        <w:t xml:space="preserve"> 2013–17, Part 2: Attachments</w:t>
      </w:r>
      <w:r>
        <w:t xml:space="preserve">, 15 March 2013, pp.102-116. </w:t>
      </w:r>
    </w:p>
  </w:footnote>
  <w:footnote w:id="30">
    <w:p w:rsidR="001C776B" w:rsidRDefault="001C776B">
      <w:pPr>
        <w:pStyle w:val="FootnoteText"/>
      </w:pPr>
      <w:r>
        <w:rPr>
          <w:rStyle w:val="FootnoteReference"/>
        </w:rPr>
        <w:footnoteRef/>
      </w:r>
      <w:r>
        <w:t xml:space="preserve"> </w:t>
      </w:r>
      <w:r>
        <w:tab/>
        <w:t>Refer to attachment 5 for the discussion on regulatory depreciation.</w:t>
      </w:r>
    </w:p>
  </w:footnote>
  <w:footnote w:id="31">
    <w:p w:rsidR="001C776B" w:rsidRDefault="001C776B" w:rsidP="000F67F7">
      <w:pPr>
        <w:pStyle w:val="FootnoteText"/>
      </w:pPr>
      <w:r>
        <w:rPr>
          <w:rStyle w:val="FootnoteReference"/>
        </w:rPr>
        <w:footnoteRef/>
      </w:r>
      <w:r>
        <w:t xml:space="preserve"> </w:t>
      </w:r>
      <w:r>
        <w:tab/>
      </w:r>
      <w:r w:rsidRPr="002C733C">
        <w:t xml:space="preserve">If capex causes the RAB increase, return on capital, depreciation, and debt raising costs all increase too. If a reduction in depreciation causes the RAB increase, revenue could increase or decrease. In this case, the higher return on capital is offset (perhaps more than offset) by the reduction in depreciation allowance. Inflation naturally increases the RAB in nominal terms. </w:t>
      </w:r>
    </w:p>
  </w:footnote>
  <w:footnote w:id="32">
    <w:p w:rsidR="001C776B" w:rsidRDefault="001C776B">
      <w:pPr>
        <w:pStyle w:val="FootnoteText"/>
      </w:pPr>
      <w:r>
        <w:rPr>
          <w:rStyle w:val="FootnoteReference"/>
        </w:rPr>
        <w:footnoteRef/>
      </w:r>
      <w:r>
        <w:t xml:space="preserve"> </w:t>
      </w:r>
      <w:r>
        <w:tab/>
      </w:r>
      <w:r w:rsidRPr="008914BF">
        <w:t xml:space="preserve">At the time of this </w:t>
      </w:r>
      <w:r>
        <w:t>preliminary</w:t>
      </w:r>
      <w:r w:rsidRPr="008914BF">
        <w:t xml:space="preserve"> decision</w:t>
      </w:r>
      <w:r>
        <w:t>,</w:t>
      </w:r>
      <w:r w:rsidRPr="008914BF">
        <w:t xml:space="preserve"> the roll forward of </w:t>
      </w:r>
      <w:r>
        <w:t>Energex's RAB</w:t>
      </w:r>
      <w:r w:rsidRPr="008914BF">
        <w:t xml:space="preserve"> includes </w:t>
      </w:r>
      <w:r>
        <w:t>estimated</w:t>
      </w:r>
      <w:r w:rsidRPr="008914BF">
        <w:t xml:space="preserve"> capex</w:t>
      </w:r>
      <w:r>
        <w:t xml:space="preserve"> values</w:t>
      </w:r>
      <w:r w:rsidRPr="008914BF">
        <w:t xml:space="preserve"> for </w:t>
      </w:r>
      <w:r>
        <w:t xml:space="preserve">2014–15. </w:t>
      </w:r>
      <w:r w:rsidRPr="00516A5D">
        <w:t>We will update the 201</w:t>
      </w:r>
      <w:r>
        <w:t>4</w:t>
      </w:r>
      <w:r w:rsidRPr="00516A5D">
        <w:t>–1</w:t>
      </w:r>
      <w:r>
        <w:t>5</w:t>
      </w:r>
      <w:r w:rsidRPr="00516A5D">
        <w:t xml:space="preserve"> estimated capex value</w:t>
      </w:r>
      <w:r>
        <w:t xml:space="preserve">s </w:t>
      </w:r>
      <w:r w:rsidRPr="00516A5D">
        <w:t xml:space="preserve">for the </w:t>
      </w:r>
      <w:r>
        <w:t>substitute</w:t>
      </w:r>
      <w:r w:rsidRPr="00516A5D">
        <w:t xml:space="preserve"> decision</w:t>
      </w:r>
      <w:r>
        <w:t>.</w:t>
      </w:r>
    </w:p>
  </w:footnote>
  <w:footnote w:id="33">
    <w:p w:rsidR="001C776B" w:rsidRDefault="001C776B">
      <w:pPr>
        <w:pStyle w:val="FootnoteText"/>
      </w:pPr>
      <w:r>
        <w:rPr>
          <w:rStyle w:val="FootnoteReference"/>
        </w:rPr>
        <w:footnoteRef/>
      </w:r>
      <w:r>
        <w:t xml:space="preserve"> </w:t>
      </w:r>
      <w:r>
        <w:tab/>
      </w:r>
      <w:r w:rsidRPr="002E5452">
        <w:t xml:space="preserve">EUAA, </w:t>
      </w:r>
      <w:r w:rsidRPr="002E5452">
        <w:rPr>
          <w:rStyle w:val="AERtextitalic"/>
        </w:rPr>
        <w:t>Submission to Energex's regulatory proposal,</w:t>
      </w:r>
      <w:r w:rsidRPr="002E5452">
        <w:t xml:space="preserve"> January 2015, p</w:t>
      </w:r>
      <w:r>
        <w:t>p</w:t>
      </w:r>
      <w:r w:rsidRPr="002E5452">
        <w:t>.16-17.</w:t>
      </w:r>
      <w:r>
        <w:t xml:space="preserve"> ETU, </w:t>
      </w:r>
      <w:r w:rsidRPr="002E5452">
        <w:rPr>
          <w:rStyle w:val="AERtextitalic"/>
        </w:rPr>
        <w:t>Submission to Energex's regulatory proposal</w:t>
      </w:r>
      <w:r>
        <w:t xml:space="preserve">, January 2015, p.5. </w:t>
      </w:r>
      <w:proofErr w:type="gramStart"/>
      <w:r>
        <w:t xml:space="preserve">Canegrowers, </w:t>
      </w:r>
      <w:r w:rsidRPr="002E5452">
        <w:rPr>
          <w:rStyle w:val="AERtextitalic"/>
        </w:rPr>
        <w:t>Submission to Energex's regulatory proposal,</w:t>
      </w:r>
      <w:r>
        <w:t xml:space="preserve"> January 2015, p.</w:t>
      </w:r>
      <w:r w:rsidR="00055416">
        <w:t xml:space="preserve"> </w:t>
      </w:r>
      <w:r>
        <w:t>3</w:t>
      </w:r>
      <w:r w:rsidRPr="002E5452">
        <w:t>.</w:t>
      </w:r>
      <w:proofErr w:type="gramEnd"/>
    </w:p>
  </w:footnote>
  <w:footnote w:id="34">
    <w:p w:rsidR="001C776B" w:rsidRDefault="001C776B">
      <w:pPr>
        <w:pStyle w:val="FootnoteText"/>
      </w:pPr>
      <w:r>
        <w:rPr>
          <w:rStyle w:val="FootnoteReference"/>
        </w:rPr>
        <w:footnoteRef/>
      </w:r>
      <w:r>
        <w:t xml:space="preserve"> </w:t>
      </w:r>
      <w:r>
        <w:tab/>
        <w:t xml:space="preserve">EUAA, </w:t>
      </w:r>
      <w:r w:rsidRPr="002E5452">
        <w:rPr>
          <w:rStyle w:val="AERtextitalic"/>
        </w:rPr>
        <w:t>Submission to Energex's regulatory proposal,</w:t>
      </w:r>
      <w:r w:rsidRPr="002E5452">
        <w:t xml:space="preserve"> January 2015, p</w:t>
      </w:r>
      <w:r>
        <w:t>p</w:t>
      </w:r>
      <w:r w:rsidRPr="002E5452">
        <w:t>.1</w:t>
      </w:r>
      <w:r>
        <w:t>6-17</w:t>
      </w:r>
      <w:r w:rsidRPr="002E5452">
        <w:t xml:space="preserve">. ETU, </w:t>
      </w:r>
      <w:r w:rsidRPr="002E5452">
        <w:rPr>
          <w:rStyle w:val="AERtextitalic"/>
        </w:rPr>
        <w:t>Submission to Energex's regulatory proposal,</w:t>
      </w:r>
      <w:r w:rsidRPr="002E5452">
        <w:t xml:space="preserve"> January 2015, p.5. </w:t>
      </w:r>
      <w:proofErr w:type="gramStart"/>
      <w:r w:rsidRPr="002E5452">
        <w:t xml:space="preserve">Canegrowers, </w:t>
      </w:r>
      <w:r w:rsidRPr="002E5452">
        <w:rPr>
          <w:rStyle w:val="AERtextitalic"/>
        </w:rPr>
        <w:t>Submission to Energex's regulatory proposal</w:t>
      </w:r>
      <w:r w:rsidRPr="002E5452">
        <w:t>, January 2015, p.</w:t>
      </w:r>
      <w:r w:rsidR="00055416">
        <w:t xml:space="preserve"> </w:t>
      </w:r>
      <w:r w:rsidRPr="002E5452">
        <w:t>3.</w:t>
      </w:r>
      <w:proofErr w:type="gramEnd"/>
    </w:p>
  </w:footnote>
  <w:footnote w:id="35">
    <w:p w:rsidR="001C776B" w:rsidRDefault="001C776B">
      <w:pPr>
        <w:pStyle w:val="FootnoteText"/>
      </w:pPr>
      <w:r>
        <w:rPr>
          <w:rStyle w:val="FootnoteReference"/>
        </w:rPr>
        <w:footnoteRef/>
      </w:r>
      <w:r>
        <w:t xml:space="preserve"> </w:t>
      </w:r>
      <w:r>
        <w:tab/>
      </w:r>
      <w:proofErr w:type="gramStart"/>
      <w:r>
        <w:t>UDIA</w:t>
      </w:r>
      <w:r w:rsidRPr="002E5452">
        <w:t xml:space="preserve">, </w:t>
      </w:r>
      <w:r w:rsidRPr="002E5452">
        <w:rPr>
          <w:rStyle w:val="AERtextitalic"/>
        </w:rPr>
        <w:t>Submission to Energex's regulatory proposal</w:t>
      </w:r>
      <w:r>
        <w:t>, January 2015, p.</w:t>
      </w:r>
      <w:r w:rsidR="00055416">
        <w:t xml:space="preserve"> </w:t>
      </w:r>
      <w:r>
        <w:t>2</w:t>
      </w:r>
      <w:r w:rsidRPr="002E5452">
        <w:t>.</w:t>
      </w:r>
      <w:proofErr w:type="gramEnd"/>
    </w:p>
  </w:footnote>
  <w:footnote w:id="36">
    <w:p w:rsidR="001C776B" w:rsidRDefault="001C776B" w:rsidP="00925F11">
      <w:pPr>
        <w:pStyle w:val="FootnoteText"/>
      </w:pPr>
      <w:r>
        <w:rPr>
          <w:rStyle w:val="FootnoteReference"/>
        </w:rPr>
        <w:footnoteRef/>
      </w:r>
      <w:r>
        <w:t xml:space="preserve"> </w:t>
      </w:r>
      <w:r>
        <w:tab/>
        <w:t xml:space="preserve">Under the NER, cl. S6.2.2A(b), the exclusion of </w:t>
      </w:r>
      <w:r w:rsidRPr="00166EE4">
        <w:t>inefficient</w:t>
      </w:r>
      <w:r>
        <w:t xml:space="preserve"> capex could only come from three areas including overspend in capex , margin paid to third party and capitalisation of opex as defined in </w:t>
      </w:r>
      <w:proofErr w:type="spellStart"/>
      <w:r>
        <w:t>cll</w:t>
      </w:r>
      <w:proofErr w:type="spellEnd"/>
      <w:r>
        <w:t xml:space="preserve">. S6.2.2A (c), (d) and (e) of the NER. </w:t>
      </w:r>
    </w:p>
  </w:footnote>
  <w:footnote w:id="37">
    <w:p w:rsidR="001C776B" w:rsidRDefault="001C776B" w:rsidP="00925F11">
      <w:pPr>
        <w:pStyle w:val="FootnoteText"/>
      </w:pPr>
      <w:r>
        <w:rPr>
          <w:rStyle w:val="FootnoteReference"/>
        </w:rPr>
        <w:footnoteRef/>
      </w:r>
      <w:r>
        <w:t xml:space="preserve"> </w:t>
      </w:r>
      <w:r>
        <w:tab/>
        <w:t xml:space="preserve">AER, </w:t>
      </w:r>
      <w:r w:rsidRPr="000B006F">
        <w:rPr>
          <w:rStyle w:val="AERtextitalic"/>
        </w:rPr>
        <w:t xml:space="preserve">Capital </w:t>
      </w:r>
      <w:r>
        <w:rPr>
          <w:rStyle w:val="AERtextitalic"/>
        </w:rPr>
        <w:t>e</w:t>
      </w:r>
      <w:r w:rsidRPr="000B006F">
        <w:rPr>
          <w:rStyle w:val="AERtextitalic"/>
        </w:rPr>
        <w:t xml:space="preserve">xpenditure </w:t>
      </w:r>
      <w:r>
        <w:rPr>
          <w:rStyle w:val="AERtextitalic"/>
        </w:rPr>
        <w:t>i</w:t>
      </w:r>
      <w:r w:rsidRPr="000B006F">
        <w:rPr>
          <w:rStyle w:val="AERtextitalic"/>
        </w:rPr>
        <w:t xml:space="preserve">ncentive </w:t>
      </w:r>
      <w:r>
        <w:rPr>
          <w:rStyle w:val="AERtextitalic"/>
        </w:rPr>
        <w:t>g</w:t>
      </w:r>
      <w:r w:rsidRPr="000B006F">
        <w:rPr>
          <w:rStyle w:val="AERtextitalic"/>
        </w:rPr>
        <w:t>uideline</w:t>
      </w:r>
      <w:r>
        <w:t>, November 2013, pp. 12–20.</w:t>
      </w:r>
    </w:p>
  </w:footnote>
  <w:footnote w:id="38">
    <w:p w:rsidR="001C776B" w:rsidRDefault="001C776B">
      <w:pPr>
        <w:pStyle w:val="FootnoteText"/>
      </w:pPr>
      <w:r>
        <w:rPr>
          <w:rStyle w:val="FootnoteReference"/>
        </w:rPr>
        <w:footnoteRef/>
      </w:r>
      <w:r>
        <w:t xml:space="preserve"> </w:t>
      </w:r>
      <w:r>
        <w:tab/>
      </w:r>
      <w:r w:rsidRPr="008C4FBB">
        <w:t>This approach was allowed under transitional rules for Queensland.</w:t>
      </w:r>
    </w:p>
  </w:footnote>
  <w:footnote w:id="39">
    <w:p w:rsidR="001C776B" w:rsidRDefault="001C776B">
      <w:pPr>
        <w:pStyle w:val="FootnoteText"/>
      </w:pPr>
      <w:r>
        <w:rPr>
          <w:rStyle w:val="FootnoteReference"/>
        </w:rPr>
        <w:footnoteRef/>
      </w:r>
      <w:r>
        <w:t xml:space="preserve"> </w:t>
      </w:r>
      <w:r>
        <w:tab/>
      </w:r>
      <w:r w:rsidRPr="008C76BC">
        <w:t>The forecast customer contributions were added to the forecast RAB and an equivalent amount removed from forecast revenues to prevent double counting. Each year during the price approval process adjustment were made to revenues for any difference between actual and forecast customer contributions.</w:t>
      </w:r>
    </w:p>
  </w:footnote>
  <w:footnote w:id="40">
    <w:p w:rsidR="001C776B" w:rsidRDefault="001C776B">
      <w:pPr>
        <w:pStyle w:val="FootnoteText"/>
      </w:pPr>
      <w:r>
        <w:rPr>
          <w:rStyle w:val="FootnoteReference"/>
        </w:rPr>
        <w:footnoteRef/>
      </w:r>
      <w:r>
        <w:t xml:space="preserve"> </w:t>
      </w:r>
      <w:r>
        <w:tab/>
        <w:t xml:space="preserve">CCP (Bruce Mountain), </w:t>
      </w:r>
      <w:r w:rsidRPr="00F14CEF">
        <w:rPr>
          <w:rStyle w:val="AERtextitalic"/>
        </w:rPr>
        <w:t>Submission on Energex, Ergon and SAPN revenues controls</w:t>
      </w:r>
      <w:r>
        <w:t>, 2 February 2015, pp.</w:t>
      </w:r>
      <w:r w:rsidR="00055416">
        <w:t xml:space="preserve"> </w:t>
      </w:r>
      <w:r>
        <w:t>4-9.</w:t>
      </w:r>
    </w:p>
  </w:footnote>
  <w:footnote w:id="41">
    <w:p w:rsidR="001C776B" w:rsidRDefault="001C776B">
      <w:pPr>
        <w:pStyle w:val="FootnoteText"/>
      </w:pPr>
      <w:r>
        <w:rPr>
          <w:rStyle w:val="FootnoteReference"/>
        </w:rPr>
        <w:footnoteRef/>
      </w:r>
      <w:r>
        <w:t xml:space="preserve"> </w:t>
      </w:r>
      <w:r>
        <w:tab/>
      </w:r>
      <w:r w:rsidRPr="009F4A67">
        <w:t>CCP (</w:t>
      </w:r>
      <w:r>
        <w:t>Bruce Mountain</w:t>
      </w:r>
      <w:r w:rsidRPr="009F4A67">
        <w:t xml:space="preserve">), </w:t>
      </w:r>
      <w:r w:rsidRPr="00F14CEF">
        <w:rPr>
          <w:rStyle w:val="AERtextitalic"/>
        </w:rPr>
        <w:t>Submission on Energex, Ergon and SAPN revenues controls</w:t>
      </w:r>
      <w:r w:rsidRPr="009F4A67">
        <w:t xml:space="preserve">, 2 February 2015, </w:t>
      </w:r>
      <w:r>
        <w:t>p.</w:t>
      </w:r>
      <w:r w:rsidR="00055416">
        <w:t xml:space="preserve"> </w:t>
      </w:r>
      <w:r>
        <w:t>4</w:t>
      </w:r>
      <w:r w:rsidRPr="009F4A67">
        <w:t>.</w:t>
      </w:r>
    </w:p>
  </w:footnote>
  <w:footnote w:id="42">
    <w:p w:rsidR="001C776B" w:rsidRDefault="001C776B">
      <w:pPr>
        <w:pStyle w:val="FootnoteText"/>
      </w:pPr>
      <w:r>
        <w:rPr>
          <w:rStyle w:val="FootnoteReference"/>
        </w:rPr>
        <w:footnoteRef/>
      </w:r>
      <w:r>
        <w:t xml:space="preserve"> </w:t>
      </w:r>
      <w:r>
        <w:tab/>
        <w:t xml:space="preserve">AER, </w:t>
      </w:r>
      <w:r w:rsidRPr="00F14CEF">
        <w:rPr>
          <w:rStyle w:val="AERtextitalic"/>
        </w:rPr>
        <w:t xml:space="preserve">Final decision: Queensland distribution determination 2010–11 to 2014–15, </w:t>
      </w:r>
      <w:r w:rsidRPr="00F61851">
        <w:t xml:space="preserve">May 2010, </w:t>
      </w:r>
      <w:r>
        <w:t>pp.</w:t>
      </w:r>
      <w:r w:rsidR="00055416">
        <w:t xml:space="preserve"> </w:t>
      </w:r>
      <w:r>
        <w:t>33-34 and 37.</w:t>
      </w:r>
    </w:p>
  </w:footnote>
  <w:footnote w:id="43">
    <w:p w:rsidR="001C776B" w:rsidRDefault="001C776B">
      <w:pPr>
        <w:pStyle w:val="FootnoteText"/>
      </w:pPr>
      <w:r>
        <w:rPr>
          <w:rStyle w:val="FootnoteReference"/>
        </w:rPr>
        <w:footnoteRef/>
      </w:r>
      <w:r>
        <w:t xml:space="preserve"> </w:t>
      </w:r>
      <w:r>
        <w:tab/>
        <w:t>The depreciation approach for the 2015–20 regulatory control period is discussed in section 2.4.3 of this attachment.</w:t>
      </w:r>
    </w:p>
  </w:footnote>
  <w:footnote w:id="44">
    <w:p w:rsidR="001C776B" w:rsidRDefault="001C776B">
      <w:pPr>
        <w:pStyle w:val="FootnoteText"/>
      </w:pPr>
      <w:r>
        <w:rPr>
          <w:rStyle w:val="FootnoteReference"/>
        </w:rPr>
        <w:footnoteRef/>
      </w:r>
      <w:r>
        <w:t xml:space="preserve"> </w:t>
      </w:r>
      <w:r>
        <w:tab/>
        <w:t xml:space="preserve">The adjustment was referred to as the C factor in the control equation. See, </w:t>
      </w:r>
      <w:r w:rsidRPr="00F14CEF">
        <w:rPr>
          <w:rStyle w:val="AERtextitalic"/>
        </w:rPr>
        <w:t>AER, Final decision: Queensland distribution determination 2010–11 to 2014–15</w:t>
      </w:r>
      <w:r>
        <w:t xml:space="preserve">, </w:t>
      </w:r>
      <w:r w:rsidRPr="00152C15">
        <w:t>May 2010</w:t>
      </w:r>
      <w:r>
        <w:t xml:space="preserve">, p.27.  </w:t>
      </w:r>
    </w:p>
  </w:footnote>
  <w:footnote w:id="45">
    <w:p w:rsidR="001C776B" w:rsidRDefault="001C776B">
      <w:pPr>
        <w:pStyle w:val="FootnoteText"/>
      </w:pPr>
      <w:r>
        <w:rPr>
          <w:rStyle w:val="FootnoteReference"/>
        </w:rPr>
        <w:footnoteRef/>
      </w:r>
      <w:r>
        <w:t xml:space="preserve"> </w:t>
      </w:r>
      <w:r>
        <w:tab/>
        <w:t>Energex, E-mail:</w:t>
      </w:r>
      <w:r w:rsidRPr="004506C9">
        <w:rPr>
          <w:rStyle w:val="AERtextitalic"/>
        </w:rPr>
        <w:t xml:space="preserve"> AER Energex 019</w:t>
      </w:r>
      <w:r>
        <w:t>, 27 January 2015.</w:t>
      </w:r>
    </w:p>
  </w:footnote>
  <w:footnote w:id="46">
    <w:p w:rsidR="001C776B" w:rsidRDefault="001C776B">
      <w:pPr>
        <w:pStyle w:val="FootnoteText"/>
      </w:pPr>
      <w:r>
        <w:rPr>
          <w:rStyle w:val="FootnoteReference"/>
        </w:rPr>
        <w:footnoteRef/>
      </w:r>
      <w:r>
        <w:t xml:space="preserve"> </w:t>
      </w:r>
      <w:r>
        <w:tab/>
      </w:r>
      <w:r w:rsidRPr="00047FB1">
        <w:t xml:space="preserve">AER, </w:t>
      </w:r>
      <w:r w:rsidRPr="00FB5D0F">
        <w:rPr>
          <w:rStyle w:val="AERtextitalic"/>
        </w:rPr>
        <w:t>Final decision: ElectraNet transmission determination 2013–14 to 2017–18</w:t>
      </w:r>
      <w:r w:rsidRPr="00047FB1">
        <w:t>,</w:t>
      </w:r>
      <w:r>
        <w:t xml:space="preserve"> April 2013, pp. 196–202. </w:t>
      </w:r>
      <w:r w:rsidRPr="00C40F24">
        <w:t xml:space="preserve">AER, </w:t>
      </w:r>
      <w:r w:rsidRPr="00C40F24">
        <w:rPr>
          <w:rStyle w:val="AERtextitalic"/>
        </w:rPr>
        <w:t>Draft decision: Draft Distribution Determination Aurora Energy Pty Ltd, 2012–13 to 2016–17,</w:t>
      </w:r>
      <w:r w:rsidRPr="00C40F24">
        <w:t xml:space="preserve"> November 2011, pp. 197-201.</w:t>
      </w:r>
    </w:p>
  </w:footnote>
  <w:footnote w:id="47">
    <w:p w:rsidR="001C776B" w:rsidRDefault="001C776B">
      <w:pPr>
        <w:pStyle w:val="FootnoteText"/>
      </w:pPr>
      <w:r>
        <w:rPr>
          <w:rStyle w:val="FootnoteReference"/>
        </w:rPr>
        <w:footnoteRef/>
      </w:r>
      <w:r>
        <w:t xml:space="preserve"> </w:t>
      </w:r>
      <w:r>
        <w:tab/>
        <w:t>Positive amounts are net increases in capitalised provisions, while negatives mean there has been a net payout by Energex in capitalised provisions.</w:t>
      </w:r>
    </w:p>
  </w:footnote>
  <w:footnote w:id="48">
    <w:p w:rsidR="001C776B" w:rsidRDefault="001C776B">
      <w:pPr>
        <w:pStyle w:val="FootnoteText"/>
      </w:pPr>
      <w:r>
        <w:rPr>
          <w:rStyle w:val="FootnoteReference"/>
        </w:rPr>
        <w:footnoteRef/>
      </w:r>
      <w:r>
        <w:t xml:space="preserve">  </w:t>
      </w:r>
      <w:r>
        <w:tab/>
        <w:t xml:space="preserve">Energex, E-mail: </w:t>
      </w:r>
      <w:r w:rsidRPr="004506C9">
        <w:rPr>
          <w:rStyle w:val="AERtextitalic"/>
        </w:rPr>
        <w:t>AER Energex 019,</w:t>
      </w:r>
      <w:r w:rsidRPr="004506C9">
        <w:t xml:space="preserve"> 27 January 2015.</w:t>
      </w:r>
    </w:p>
  </w:footnote>
  <w:footnote w:id="49">
    <w:p w:rsidR="001C776B" w:rsidRDefault="001C776B">
      <w:pPr>
        <w:pStyle w:val="FootnoteText"/>
      </w:pPr>
      <w:r>
        <w:rPr>
          <w:rStyle w:val="FootnoteReference"/>
        </w:rPr>
        <w:footnoteRef/>
      </w:r>
      <w:r>
        <w:t xml:space="preserve"> </w:t>
      </w:r>
      <w:r>
        <w:tab/>
        <w:t>See attachment 16 for a discussion on this classification issue.</w:t>
      </w:r>
    </w:p>
  </w:footnote>
  <w:footnote w:id="50">
    <w:p w:rsidR="001C776B" w:rsidRDefault="001C776B">
      <w:pPr>
        <w:pStyle w:val="FootnoteText"/>
      </w:pPr>
      <w:r>
        <w:rPr>
          <w:rStyle w:val="FootnoteReference"/>
        </w:rPr>
        <w:footnoteRef/>
      </w:r>
      <w:r>
        <w:t xml:space="preserve"> </w:t>
      </w:r>
      <w:r>
        <w:tab/>
        <w:t>This amount is based on the proportion of such load control assets in the residual meters asset class. Energex identified $9.6 million of load control assets in the residual asset class value of $60.2 million as at 1 July 2015 in an email to us on 25 March 2015. That is, those assets make up 15.9 percent of the metering asset class. We applied this percentage to the revised value of the metering asset class we determined after making the other adjustments above.</w:t>
      </w:r>
    </w:p>
  </w:footnote>
  <w:footnote w:id="51">
    <w:p w:rsidR="001C776B" w:rsidRDefault="001C776B">
      <w:pPr>
        <w:pStyle w:val="FootnoteText"/>
      </w:pPr>
      <w:r>
        <w:rPr>
          <w:rStyle w:val="FootnoteReference"/>
        </w:rPr>
        <w:footnoteRef/>
      </w:r>
      <w:r>
        <w:t xml:space="preserve"> </w:t>
      </w:r>
      <w:r>
        <w:tab/>
        <w:t>On page 148 of its regulatory proposal, Energex refers to $61.3 million being removed from the RAB for expiry of transitional arrangements. However, about $20 million related to non-system metering assets that have been included in the metering asset base. We have therefore included this amount in the total of metering assets adjustment discussed above.</w:t>
      </w:r>
    </w:p>
  </w:footnote>
  <w:footnote w:id="52">
    <w:p w:rsidR="001C776B" w:rsidRDefault="001C776B">
      <w:pPr>
        <w:pStyle w:val="FootnoteText"/>
      </w:pPr>
      <w:r>
        <w:rPr>
          <w:rStyle w:val="FootnoteReference"/>
        </w:rPr>
        <w:footnoteRef/>
      </w:r>
      <w:r>
        <w:t xml:space="preserve"> </w:t>
      </w:r>
      <w:r>
        <w:tab/>
        <w:t xml:space="preserve">AER, </w:t>
      </w:r>
      <w:r>
        <w:rPr>
          <w:rStyle w:val="AERtextitalic"/>
        </w:rPr>
        <w:t>Final f</w:t>
      </w:r>
      <w:r w:rsidRPr="003948FF">
        <w:rPr>
          <w:rStyle w:val="AERtextitalic"/>
        </w:rPr>
        <w:t>ramework and approach paper</w:t>
      </w:r>
      <w:r>
        <w:rPr>
          <w:rStyle w:val="AERtextitalic"/>
        </w:rPr>
        <w:t xml:space="preserve"> for Energex and Ergon Energy</w:t>
      </w:r>
      <w:r>
        <w:t>, April 2014, pp. 89–92.</w:t>
      </w:r>
    </w:p>
  </w:footnote>
  <w:footnote w:id="53">
    <w:p w:rsidR="001C776B" w:rsidRDefault="001C776B" w:rsidP="00724588">
      <w:pPr>
        <w:pStyle w:val="FootnoteText"/>
      </w:pPr>
      <w:r>
        <w:rPr>
          <w:rStyle w:val="FootnoteReference"/>
        </w:rPr>
        <w:footnoteRef/>
      </w:r>
      <w:r>
        <w:t xml:space="preserve"> </w:t>
      </w:r>
      <w:r>
        <w:tab/>
        <w:t xml:space="preserve">Our ex post capex measures are set out in the capex incentives guideline, AER, </w:t>
      </w:r>
      <w:r w:rsidRPr="00CA0D0A">
        <w:rPr>
          <w:rStyle w:val="AERtextitalic"/>
        </w:rPr>
        <w:t>Capital expenditure incentive guideline for electricity network service providers</w:t>
      </w:r>
      <w:r>
        <w:t xml:space="preserve">, November 2013, pp. 13–19, 20–21. The guideline also sets out how all our capex incentive measures </w:t>
      </w:r>
      <w:r w:rsidRPr="008269B2">
        <w:t>are consistent with the capex incentive objective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2"/>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19B1745"/>
    <w:multiLevelType w:val="multilevel"/>
    <w:tmpl w:val="950A1C52"/>
    <w:numStyleLink w:val="AERHeadings"/>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BC8CED18"/>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0"/>
  </w:num>
  <w:num w:numId="15">
    <w:abstractNumId w:val="12"/>
  </w:num>
  <w:num w:numId="16">
    <w:abstractNumId w:val="25"/>
  </w:num>
  <w:num w:numId="17">
    <w:abstractNumId w:val="9"/>
  </w:num>
  <w:num w:numId="18">
    <w:abstractNumId w:val="16"/>
  </w:num>
  <w:num w:numId="19">
    <w:abstractNumId w:val="26"/>
  </w:num>
  <w:num w:numId="20">
    <w:abstractNumId w:val="33"/>
  </w:num>
  <w:num w:numId="21">
    <w:abstractNumId w:val="13"/>
  </w:num>
  <w:num w:numId="22">
    <w:abstractNumId w:val="29"/>
  </w:num>
  <w:num w:numId="23">
    <w:abstractNumId w:val="27"/>
  </w:num>
  <w:num w:numId="24">
    <w:abstractNumId w:val="18"/>
  </w:num>
  <w:num w:numId="25">
    <w:abstractNumId w:val="28"/>
  </w:num>
  <w:num w:numId="26">
    <w:abstractNumId w:val="30"/>
  </w:num>
  <w:num w:numId="27">
    <w:abstractNumId w:val="20"/>
  </w:num>
  <w:num w:numId="28">
    <w:abstractNumId w:val="17"/>
  </w:num>
  <w:num w:numId="29">
    <w:abstractNumId w:val="15"/>
  </w:num>
  <w:num w:numId="30">
    <w:abstractNumId w:val="34"/>
  </w:num>
  <w:num w:numId="31">
    <w:abstractNumId w:val="14"/>
  </w:num>
  <w:num w:numId="32">
    <w:abstractNumId w:val="23"/>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24"/>
  </w:num>
  <w:num w:numId="38">
    <w:abstractNumId w:val="22"/>
  </w:num>
  <w:num w:numId="39">
    <w:abstractNumId w:val="19"/>
  </w:num>
  <w:num w:numId="40">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tNgIWAMkDkmeR+/y6P6+hMNHL1Z0tEyKRYLFri+uxc0=" w:saltValue="KvluWOJo/7d+f/ArU2RX4Q==" w:algorithmName="SHA-256"/>
  <w:defaultTabStop w:val="34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776\AER15 180  NEW - Energex - prelim decision - Attach 18 - Connection policy.DOCX"/>
  </w:docVars>
  <w:rsids>
    <w:rsidRoot w:val="00961A4A"/>
    <w:rsid w:val="00000A6C"/>
    <w:rsid w:val="00021202"/>
    <w:rsid w:val="00022F42"/>
    <w:rsid w:val="0002517F"/>
    <w:rsid w:val="00026E85"/>
    <w:rsid w:val="0003578C"/>
    <w:rsid w:val="00051679"/>
    <w:rsid w:val="00055416"/>
    <w:rsid w:val="00063247"/>
    <w:rsid w:val="00070F9F"/>
    <w:rsid w:val="0007137B"/>
    <w:rsid w:val="0007702D"/>
    <w:rsid w:val="00085663"/>
    <w:rsid w:val="00085EBF"/>
    <w:rsid w:val="000923C2"/>
    <w:rsid w:val="000A3020"/>
    <w:rsid w:val="000A6C7B"/>
    <w:rsid w:val="000A792F"/>
    <w:rsid w:val="000B5ADF"/>
    <w:rsid w:val="000C2059"/>
    <w:rsid w:val="000C4E1F"/>
    <w:rsid w:val="000D122C"/>
    <w:rsid w:val="000D453F"/>
    <w:rsid w:val="000D7F26"/>
    <w:rsid w:val="000E1819"/>
    <w:rsid w:val="000E2112"/>
    <w:rsid w:val="000E4821"/>
    <w:rsid w:val="000E6C72"/>
    <w:rsid w:val="000F67F7"/>
    <w:rsid w:val="001026AE"/>
    <w:rsid w:val="00116EB2"/>
    <w:rsid w:val="00117175"/>
    <w:rsid w:val="001177F1"/>
    <w:rsid w:val="001201F1"/>
    <w:rsid w:val="00124609"/>
    <w:rsid w:val="00126A4C"/>
    <w:rsid w:val="0014573B"/>
    <w:rsid w:val="001510D7"/>
    <w:rsid w:val="00155389"/>
    <w:rsid w:val="001573E4"/>
    <w:rsid w:val="00160756"/>
    <w:rsid w:val="0017232E"/>
    <w:rsid w:val="00174102"/>
    <w:rsid w:val="00180157"/>
    <w:rsid w:val="00180E1B"/>
    <w:rsid w:val="00183690"/>
    <w:rsid w:val="00185CB9"/>
    <w:rsid w:val="00186F77"/>
    <w:rsid w:val="001926A4"/>
    <w:rsid w:val="00192AD5"/>
    <w:rsid w:val="001B029A"/>
    <w:rsid w:val="001B0FB7"/>
    <w:rsid w:val="001B45A0"/>
    <w:rsid w:val="001C0332"/>
    <w:rsid w:val="001C634B"/>
    <w:rsid w:val="001C776B"/>
    <w:rsid w:val="001D055E"/>
    <w:rsid w:val="001E624E"/>
    <w:rsid w:val="001E6C3F"/>
    <w:rsid w:val="001F492E"/>
    <w:rsid w:val="001F6DA3"/>
    <w:rsid w:val="002010BC"/>
    <w:rsid w:val="00202E03"/>
    <w:rsid w:val="0020492C"/>
    <w:rsid w:val="00224DB9"/>
    <w:rsid w:val="00233775"/>
    <w:rsid w:val="00237902"/>
    <w:rsid w:val="00251745"/>
    <w:rsid w:val="0025486B"/>
    <w:rsid w:val="00263AC0"/>
    <w:rsid w:val="00264264"/>
    <w:rsid w:val="0026669C"/>
    <w:rsid w:val="0026772D"/>
    <w:rsid w:val="00270D69"/>
    <w:rsid w:val="002758BA"/>
    <w:rsid w:val="00283FD8"/>
    <w:rsid w:val="00286874"/>
    <w:rsid w:val="00290C63"/>
    <w:rsid w:val="00296B65"/>
    <w:rsid w:val="002A22AC"/>
    <w:rsid w:val="002A7DEF"/>
    <w:rsid w:val="002D7CCD"/>
    <w:rsid w:val="002E1E54"/>
    <w:rsid w:val="002E5452"/>
    <w:rsid w:val="002E7B22"/>
    <w:rsid w:val="002F081A"/>
    <w:rsid w:val="002F5949"/>
    <w:rsid w:val="002F7986"/>
    <w:rsid w:val="00301B40"/>
    <w:rsid w:val="003029EE"/>
    <w:rsid w:val="00305CC8"/>
    <w:rsid w:val="00306F3E"/>
    <w:rsid w:val="00307F6D"/>
    <w:rsid w:val="003177A2"/>
    <w:rsid w:val="00320C20"/>
    <w:rsid w:val="003239DD"/>
    <w:rsid w:val="003271B5"/>
    <w:rsid w:val="00327A1E"/>
    <w:rsid w:val="00331264"/>
    <w:rsid w:val="00334C8D"/>
    <w:rsid w:val="00341192"/>
    <w:rsid w:val="00343A18"/>
    <w:rsid w:val="003518B3"/>
    <w:rsid w:val="00375552"/>
    <w:rsid w:val="003846F1"/>
    <w:rsid w:val="00396C17"/>
    <w:rsid w:val="003B461F"/>
    <w:rsid w:val="003B484F"/>
    <w:rsid w:val="003C1C2A"/>
    <w:rsid w:val="003C77F1"/>
    <w:rsid w:val="003D6FE7"/>
    <w:rsid w:val="003E4E6C"/>
    <w:rsid w:val="003F174D"/>
    <w:rsid w:val="0042625A"/>
    <w:rsid w:val="0043452F"/>
    <w:rsid w:val="00437280"/>
    <w:rsid w:val="00442526"/>
    <w:rsid w:val="00445029"/>
    <w:rsid w:val="004506C9"/>
    <w:rsid w:val="00453138"/>
    <w:rsid w:val="0045777E"/>
    <w:rsid w:val="00465039"/>
    <w:rsid w:val="00480B4B"/>
    <w:rsid w:val="00485DC4"/>
    <w:rsid w:val="00486D86"/>
    <w:rsid w:val="00492BD7"/>
    <w:rsid w:val="004A25DA"/>
    <w:rsid w:val="004A43D1"/>
    <w:rsid w:val="004A4595"/>
    <w:rsid w:val="004A57D5"/>
    <w:rsid w:val="004B4412"/>
    <w:rsid w:val="004C348C"/>
    <w:rsid w:val="004C76ED"/>
    <w:rsid w:val="004D55BA"/>
    <w:rsid w:val="004D6AF5"/>
    <w:rsid w:val="004E20EB"/>
    <w:rsid w:val="004E22EC"/>
    <w:rsid w:val="00530128"/>
    <w:rsid w:val="00532467"/>
    <w:rsid w:val="00542E8E"/>
    <w:rsid w:val="00551071"/>
    <w:rsid w:val="00564A4D"/>
    <w:rsid w:val="00567BA5"/>
    <w:rsid w:val="00571B35"/>
    <w:rsid w:val="00571D57"/>
    <w:rsid w:val="00577A09"/>
    <w:rsid w:val="00577AC3"/>
    <w:rsid w:val="005829C2"/>
    <w:rsid w:val="00584D8F"/>
    <w:rsid w:val="0058755C"/>
    <w:rsid w:val="005A35CF"/>
    <w:rsid w:val="005A404D"/>
    <w:rsid w:val="005B1940"/>
    <w:rsid w:val="005B1E3C"/>
    <w:rsid w:val="005B3C9D"/>
    <w:rsid w:val="005C26CC"/>
    <w:rsid w:val="005D6477"/>
    <w:rsid w:val="005D7BA2"/>
    <w:rsid w:val="005E36C2"/>
    <w:rsid w:val="005F477C"/>
    <w:rsid w:val="00615C6B"/>
    <w:rsid w:val="00621DCE"/>
    <w:rsid w:val="00623BCD"/>
    <w:rsid w:val="006311E4"/>
    <w:rsid w:val="00632D6D"/>
    <w:rsid w:val="00642C3E"/>
    <w:rsid w:val="0066104A"/>
    <w:rsid w:val="00663DAD"/>
    <w:rsid w:val="00675E20"/>
    <w:rsid w:val="00676679"/>
    <w:rsid w:val="00680890"/>
    <w:rsid w:val="00683C89"/>
    <w:rsid w:val="006857BD"/>
    <w:rsid w:val="00686A58"/>
    <w:rsid w:val="006B2395"/>
    <w:rsid w:val="006B4CF9"/>
    <w:rsid w:val="006B7AC8"/>
    <w:rsid w:val="006D18C5"/>
    <w:rsid w:val="006D550F"/>
    <w:rsid w:val="00701CAB"/>
    <w:rsid w:val="00707563"/>
    <w:rsid w:val="00714554"/>
    <w:rsid w:val="00721D32"/>
    <w:rsid w:val="0072348C"/>
    <w:rsid w:val="00724588"/>
    <w:rsid w:val="00724A37"/>
    <w:rsid w:val="007303C3"/>
    <w:rsid w:val="00740832"/>
    <w:rsid w:val="007429BE"/>
    <w:rsid w:val="00743223"/>
    <w:rsid w:val="00746E01"/>
    <w:rsid w:val="00757BDF"/>
    <w:rsid w:val="00763E5D"/>
    <w:rsid w:val="00767740"/>
    <w:rsid w:val="00777EE6"/>
    <w:rsid w:val="00782EEA"/>
    <w:rsid w:val="007B2C72"/>
    <w:rsid w:val="007C1C53"/>
    <w:rsid w:val="007C74BB"/>
    <w:rsid w:val="007D5D11"/>
    <w:rsid w:val="007E0CAC"/>
    <w:rsid w:val="007E4904"/>
    <w:rsid w:val="007E4CB5"/>
    <w:rsid w:val="007F066B"/>
    <w:rsid w:val="008033C4"/>
    <w:rsid w:val="00806C88"/>
    <w:rsid w:val="0081034E"/>
    <w:rsid w:val="00810A1F"/>
    <w:rsid w:val="00814035"/>
    <w:rsid w:val="00822730"/>
    <w:rsid w:val="008237CC"/>
    <w:rsid w:val="008344F6"/>
    <w:rsid w:val="0083510F"/>
    <w:rsid w:val="00837C71"/>
    <w:rsid w:val="00851209"/>
    <w:rsid w:val="00881163"/>
    <w:rsid w:val="008837AC"/>
    <w:rsid w:val="008A587D"/>
    <w:rsid w:val="008B35CD"/>
    <w:rsid w:val="008B46F3"/>
    <w:rsid w:val="008B5FCC"/>
    <w:rsid w:val="008C213E"/>
    <w:rsid w:val="008C4FBB"/>
    <w:rsid w:val="008C5486"/>
    <w:rsid w:val="008C63EE"/>
    <w:rsid w:val="008C76BC"/>
    <w:rsid w:val="008D1661"/>
    <w:rsid w:val="008D6A51"/>
    <w:rsid w:val="008D6FBE"/>
    <w:rsid w:val="008E6E77"/>
    <w:rsid w:val="008E7031"/>
    <w:rsid w:val="008E77DE"/>
    <w:rsid w:val="008F07A3"/>
    <w:rsid w:val="008F4950"/>
    <w:rsid w:val="008F7754"/>
    <w:rsid w:val="009006CA"/>
    <w:rsid w:val="00900E1B"/>
    <w:rsid w:val="009233EE"/>
    <w:rsid w:val="00923709"/>
    <w:rsid w:val="00925F11"/>
    <w:rsid w:val="0093092A"/>
    <w:rsid w:val="009460AA"/>
    <w:rsid w:val="00951978"/>
    <w:rsid w:val="00961A4A"/>
    <w:rsid w:val="009661DE"/>
    <w:rsid w:val="0096726E"/>
    <w:rsid w:val="00981F53"/>
    <w:rsid w:val="00983C25"/>
    <w:rsid w:val="009856B7"/>
    <w:rsid w:val="00985C86"/>
    <w:rsid w:val="009A5FC3"/>
    <w:rsid w:val="009B74B0"/>
    <w:rsid w:val="009C48EC"/>
    <w:rsid w:val="009C57F2"/>
    <w:rsid w:val="009D6B46"/>
    <w:rsid w:val="009E311A"/>
    <w:rsid w:val="009E3A97"/>
    <w:rsid w:val="009F4940"/>
    <w:rsid w:val="009F5BA1"/>
    <w:rsid w:val="00A01361"/>
    <w:rsid w:val="00A0215D"/>
    <w:rsid w:val="00A02A88"/>
    <w:rsid w:val="00A04FBE"/>
    <w:rsid w:val="00A0523E"/>
    <w:rsid w:val="00A0562E"/>
    <w:rsid w:val="00A0726D"/>
    <w:rsid w:val="00A27998"/>
    <w:rsid w:val="00A31A72"/>
    <w:rsid w:val="00A32FBB"/>
    <w:rsid w:val="00A428EE"/>
    <w:rsid w:val="00A4295F"/>
    <w:rsid w:val="00A4478A"/>
    <w:rsid w:val="00A44852"/>
    <w:rsid w:val="00A546B4"/>
    <w:rsid w:val="00A54C89"/>
    <w:rsid w:val="00A57D04"/>
    <w:rsid w:val="00A60A26"/>
    <w:rsid w:val="00A61598"/>
    <w:rsid w:val="00A626E7"/>
    <w:rsid w:val="00A700AB"/>
    <w:rsid w:val="00A71699"/>
    <w:rsid w:val="00A84A99"/>
    <w:rsid w:val="00A84F46"/>
    <w:rsid w:val="00A871F4"/>
    <w:rsid w:val="00AA6F8E"/>
    <w:rsid w:val="00AC1B2C"/>
    <w:rsid w:val="00AC22DB"/>
    <w:rsid w:val="00AC3264"/>
    <w:rsid w:val="00AD40C3"/>
    <w:rsid w:val="00AE1BF1"/>
    <w:rsid w:val="00AF0DD2"/>
    <w:rsid w:val="00B11055"/>
    <w:rsid w:val="00B12663"/>
    <w:rsid w:val="00B13048"/>
    <w:rsid w:val="00B1716D"/>
    <w:rsid w:val="00B17A1D"/>
    <w:rsid w:val="00B207A0"/>
    <w:rsid w:val="00B21F6F"/>
    <w:rsid w:val="00B21F98"/>
    <w:rsid w:val="00B30560"/>
    <w:rsid w:val="00B35204"/>
    <w:rsid w:val="00B514DD"/>
    <w:rsid w:val="00B52AF0"/>
    <w:rsid w:val="00B561BD"/>
    <w:rsid w:val="00B56E03"/>
    <w:rsid w:val="00B61303"/>
    <w:rsid w:val="00B8080B"/>
    <w:rsid w:val="00B87BA5"/>
    <w:rsid w:val="00B87C39"/>
    <w:rsid w:val="00B9704F"/>
    <w:rsid w:val="00BA1A5D"/>
    <w:rsid w:val="00BA4665"/>
    <w:rsid w:val="00BA4A28"/>
    <w:rsid w:val="00BB2FB2"/>
    <w:rsid w:val="00BB3304"/>
    <w:rsid w:val="00BD297E"/>
    <w:rsid w:val="00BD3446"/>
    <w:rsid w:val="00BE1F1B"/>
    <w:rsid w:val="00BE3794"/>
    <w:rsid w:val="00BE47B5"/>
    <w:rsid w:val="00BF2A16"/>
    <w:rsid w:val="00C01174"/>
    <w:rsid w:val="00C04DDC"/>
    <w:rsid w:val="00C25FA6"/>
    <w:rsid w:val="00C41F00"/>
    <w:rsid w:val="00C538A9"/>
    <w:rsid w:val="00C53B5A"/>
    <w:rsid w:val="00C54F5A"/>
    <w:rsid w:val="00C569B4"/>
    <w:rsid w:val="00C63170"/>
    <w:rsid w:val="00C67A92"/>
    <w:rsid w:val="00C82CFB"/>
    <w:rsid w:val="00C86679"/>
    <w:rsid w:val="00C93102"/>
    <w:rsid w:val="00C94B89"/>
    <w:rsid w:val="00CA489E"/>
    <w:rsid w:val="00CA5AEA"/>
    <w:rsid w:val="00CB0279"/>
    <w:rsid w:val="00CB666B"/>
    <w:rsid w:val="00CC7F1D"/>
    <w:rsid w:val="00CD5EC7"/>
    <w:rsid w:val="00D006AE"/>
    <w:rsid w:val="00D01CF0"/>
    <w:rsid w:val="00D0442A"/>
    <w:rsid w:val="00D56300"/>
    <w:rsid w:val="00D61388"/>
    <w:rsid w:val="00D61A54"/>
    <w:rsid w:val="00D64DEA"/>
    <w:rsid w:val="00D67DD6"/>
    <w:rsid w:val="00D7168E"/>
    <w:rsid w:val="00D71E57"/>
    <w:rsid w:val="00D80893"/>
    <w:rsid w:val="00D811AF"/>
    <w:rsid w:val="00D811DC"/>
    <w:rsid w:val="00D84854"/>
    <w:rsid w:val="00D92CF1"/>
    <w:rsid w:val="00D92D38"/>
    <w:rsid w:val="00D950F5"/>
    <w:rsid w:val="00D96EE1"/>
    <w:rsid w:val="00D97A57"/>
    <w:rsid w:val="00DA078F"/>
    <w:rsid w:val="00DA4752"/>
    <w:rsid w:val="00DA61F3"/>
    <w:rsid w:val="00DB0F93"/>
    <w:rsid w:val="00DB1A67"/>
    <w:rsid w:val="00DB5074"/>
    <w:rsid w:val="00DC7981"/>
    <w:rsid w:val="00DD6B4F"/>
    <w:rsid w:val="00DE1093"/>
    <w:rsid w:val="00DE351E"/>
    <w:rsid w:val="00DE4EFA"/>
    <w:rsid w:val="00DE5520"/>
    <w:rsid w:val="00DE563D"/>
    <w:rsid w:val="00DE6C6D"/>
    <w:rsid w:val="00E00467"/>
    <w:rsid w:val="00E04818"/>
    <w:rsid w:val="00E06442"/>
    <w:rsid w:val="00E11FD7"/>
    <w:rsid w:val="00E12880"/>
    <w:rsid w:val="00E13096"/>
    <w:rsid w:val="00E23993"/>
    <w:rsid w:val="00E25B8C"/>
    <w:rsid w:val="00E27834"/>
    <w:rsid w:val="00E571F6"/>
    <w:rsid w:val="00E60A0B"/>
    <w:rsid w:val="00E65C85"/>
    <w:rsid w:val="00E66199"/>
    <w:rsid w:val="00E755EC"/>
    <w:rsid w:val="00E7624D"/>
    <w:rsid w:val="00E86998"/>
    <w:rsid w:val="00E9105B"/>
    <w:rsid w:val="00EA3D42"/>
    <w:rsid w:val="00EA41D6"/>
    <w:rsid w:val="00EA6B1B"/>
    <w:rsid w:val="00EC3EC2"/>
    <w:rsid w:val="00ED7323"/>
    <w:rsid w:val="00EE28F3"/>
    <w:rsid w:val="00EE2F66"/>
    <w:rsid w:val="00EF5110"/>
    <w:rsid w:val="00F10411"/>
    <w:rsid w:val="00F15882"/>
    <w:rsid w:val="00F171E0"/>
    <w:rsid w:val="00F20BD3"/>
    <w:rsid w:val="00F21D0E"/>
    <w:rsid w:val="00F30662"/>
    <w:rsid w:val="00F31C16"/>
    <w:rsid w:val="00F36788"/>
    <w:rsid w:val="00F373A5"/>
    <w:rsid w:val="00F37D9F"/>
    <w:rsid w:val="00F47559"/>
    <w:rsid w:val="00F546DC"/>
    <w:rsid w:val="00F64C7B"/>
    <w:rsid w:val="00F676DD"/>
    <w:rsid w:val="00F75A26"/>
    <w:rsid w:val="00F76706"/>
    <w:rsid w:val="00F83919"/>
    <w:rsid w:val="00F83FAD"/>
    <w:rsid w:val="00F85318"/>
    <w:rsid w:val="00F952A0"/>
    <w:rsid w:val="00FA3C7F"/>
    <w:rsid w:val="00FB74E2"/>
    <w:rsid w:val="00FC10C4"/>
    <w:rsid w:val="00FD5614"/>
    <w:rsid w:val="00FE0BE1"/>
    <w:rsid w:val="00FE1DE9"/>
    <w:rsid w:val="00FE36AF"/>
    <w:rsid w:val="00FE39C2"/>
    <w:rsid w:val="00FE3C32"/>
    <w:rsid w:val="00FE64AE"/>
    <w:rsid w:val="00FF2CB7"/>
    <w:rsid w:val="00FF62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3E4E6C"/>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A078F"/>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3E4E6C"/>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A078F"/>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1A89E19F</Template>
  <TotalTime>0</TotalTime>
  <Pages>19</Pages>
  <Words>4734</Words>
  <Characters>26990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2015-04-27T00:28:00Z</dcterms:created>
  <dcterms:modified xsi:type="dcterms:W3CDTF">2015-04-27T00:29:00Z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8355420</vt:lpwstr>
  </property>
  <property fmtid="{D5CDD505-2E9C-101B-9397-08002B2CF9AE}" pid="3" name="_MarkAsFinal">
    <vt:bool>true</vt:bool>
  </property>
</Properties>
</file>