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927EAE" w:rsidP="00927EAE">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57EBEFFB" wp14:editId="11625F3B">
                <wp:simplePos x="0" y="0"/>
                <wp:positionH relativeFrom="column">
                  <wp:posOffset>-457200</wp:posOffset>
                </wp:positionH>
                <wp:positionV relativeFrom="paragraph">
                  <wp:posOffset>241300</wp:posOffset>
                </wp:positionV>
                <wp:extent cx="7556500" cy="1345565"/>
                <wp:effectExtent l="0" t="0" r="6350" b="6985"/>
                <wp:wrapTopAndBottom/>
                <wp:docPr id="5" name="Group 5"/>
                <wp:cNvGraphicFramePr/>
                <a:graphic xmlns:a="http://schemas.openxmlformats.org/drawingml/2006/main">
                  <a:graphicData uri="http://schemas.microsoft.com/office/word/2010/wordprocessingGroup">
                    <wpg:wgp>
                      <wpg:cNvGrpSpPr/>
                      <wpg:grpSpPr>
                        <a:xfrm>
                          <a:off x="0" y="0"/>
                          <a:ext cx="7556500" cy="1345565"/>
                          <a:chOff x="0" y="0"/>
                          <a:chExt cx="7557315" cy="1346194"/>
                        </a:xfrm>
                      </wpg:grpSpPr>
                      <wps:wsp>
                        <wps:cNvPr id="2" name="Text Box 2"/>
                        <wps:cNvSpPr txBox="1">
                          <a:spLocks noChangeArrowheads="1"/>
                        </wps:cNvSpPr>
                        <wps:spPr bwMode="auto">
                          <a:xfrm>
                            <a:off x="0" y="787180"/>
                            <a:ext cx="7557315" cy="559014"/>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927EAE" w:rsidRDefault="00C34B06" w:rsidP="00927EAE">
                              <w:pPr>
                                <w:spacing w:before="120"/>
                                <w:ind w:left="567"/>
                                <w:rPr>
                                  <w:rFonts w:ascii="MS Reference Sans Serif" w:hAnsi="MS Reference Sans Serif" w:cs="Tunga"/>
                                  <w:color w:val="FFFFFF"/>
                                  <w:spacing w:val="10"/>
                                  <w:w w:val="99"/>
                                  <w:kern w:val="44"/>
                                  <w:sz w:val="38"/>
                                  <w:szCs w:val="38"/>
                                </w:rPr>
                              </w:pPr>
                              <w:r w:rsidRPr="00927EAE">
                                <w:rPr>
                                  <w:rFonts w:ascii="MS Reference Sans Serif" w:hAnsi="MS Reference Sans Serif" w:cs="Tunga"/>
                                  <w:color w:val="FFFFFF"/>
                                  <w:spacing w:val="10"/>
                                  <w:w w:val="99"/>
                                  <w:kern w:val="44"/>
                                  <w:sz w:val="38"/>
                                  <w:szCs w:val="38"/>
                                </w:rPr>
                                <w:t xml:space="preserve">Preliminary </w:t>
                              </w:r>
                              <w:r w:rsidR="005A26FD" w:rsidRPr="00927EAE">
                                <w:rPr>
                                  <w:rFonts w:ascii="MS Reference Sans Serif" w:hAnsi="MS Reference Sans Serif" w:cs="Tunga"/>
                                  <w:color w:val="FFFFFF"/>
                                  <w:spacing w:val="10"/>
                                  <w:w w:val="99"/>
                                  <w:kern w:val="44"/>
                                  <w:sz w:val="38"/>
                                  <w:szCs w:val="38"/>
                                </w:rPr>
                                <w:t>decision:</w:t>
                              </w:r>
                              <w:r w:rsidR="00927EAE" w:rsidRPr="00927EAE">
                                <w:rPr>
                                  <w:rFonts w:ascii="MS Reference Sans Serif" w:hAnsi="MS Reference Sans Serif" w:cs="Tunga"/>
                                  <w:color w:val="FFFFFF"/>
                                  <w:spacing w:val="10"/>
                                  <w:w w:val="99"/>
                                  <w:kern w:val="44"/>
                                  <w:sz w:val="38"/>
                                  <w:szCs w:val="38"/>
                                </w:rPr>
                                <w:t xml:space="preserve"> </w:t>
                              </w:r>
                              <w:r w:rsidRPr="00927EAE">
                                <w:rPr>
                                  <w:rFonts w:ascii="MS Reference Sans Serif" w:hAnsi="MS Reference Sans Serif" w:cs="Tunga"/>
                                  <w:color w:val="FFFFFF"/>
                                  <w:spacing w:val="10"/>
                                  <w:w w:val="99"/>
                                  <w:kern w:val="44"/>
                                  <w:sz w:val="38"/>
                                  <w:szCs w:val="38"/>
                                </w:rPr>
                                <w:t>Energex</w:t>
                              </w:r>
                              <w:r w:rsidR="005A26FD" w:rsidRPr="00927EAE">
                                <w:rPr>
                                  <w:rFonts w:ascii="MS Reference Sans Serif" w:hAnsi="MS Reference Sans Serif" w:cs="Tunga"/>
                                  <w:color w:val="FFFFFF"/>
                                  <w:spacing w:val="10"/>
                                  <w:w w:val="99"/>
                                  <w:kern w:val="44"/>
                                  <w:sz w:val="38"/>
                                  <w:szCs w:val="38"/>
                                </w:rPr>
                                <w:t xml:space="preserve"> (</w:t>
                              </w:r>
                              <w:r w:rsidR="0016401A" w:rsidRPr="00927EAE">
                                <w:rPr>
                                  <w:rFonts w:ascii="MS Reference Sans Serif" w:hAnsi="MS Reference Sans Serif" w:cs="Tunga"/>
                                  <w:color w:val="FFFFFF"/>
                                  <w:spacing w:val="10"/>
                                  <w:w w:val="99"/>
                                  <w:kern w:val="44"/>
                                  <w:sz w:val="38"/>
                                  <w:szCs w:val="38"/>
                                </w:rPr>
                                <w:t>distribution</w:t>
                              </w:r>
                              <w:r w:rsidR="005A26FD" w:rsidRPr="00927EAE">
                                <w:rPr>
                                  <w:rFonts w:ascii="MS Reference Sans Serif" w:hAnsi="MS Reference Sans Serif" w:cs="Tunga"/>
                                  <w:color w:val="FFFFFF"/>
                                  <w:spacing w:val="10"/>
                                  <w:w w:val="99"/>
                                  <w:kern w:val="44"/>
                                  <w:sz w:val="38"/>
                                  <w:szCs w:val="38"/>
                                </w:rPr>
                                <w:t>) 201</w:t>
                              </w:r>
                              <w:r w:rsidR="000F75F1" w:rsidRPr="00927EAE">
                                <w:rPr>
                                  <w:rFonts w:ascii="MS Reference Sans Serif" w:hAnsi="MS Reference Sans Serif" w:cs="Tunga"/>
                                  <w:color w:val="FFFFFF"/>
                                  <w:spacing w:val="10"/>
                                  <w:w w:val="99"/>
                                  <w:kern w:val="44"/>
                                  <w:sz w:val="38"/>
                                  <w:szCs w:val="38"/>
                                </w:rPr>
                                <w:t>5</w:t>
                              </w:r>
                              <w:r w:rsidR="00142B21" w:rsidRPr="00927EAE">
                                <w:rPr>
                                  <w:rFonts w:ascii="MS Reference Sans Serif" w:hAnsi="MS Reference Sans Serif" w:cs="Tunga"/>
                                  <w:color w:val="FFFFFF"/>
                                  <w:spacing w:val="10"/>
                                  <w:w w:val="99"/>
                                  <w:kern w:val="44"/>
                                  <w:sz w:val="38"/>
                                  <w:szCs w:val="38"/>
                                </w:rPr>
                                <w:t>–20</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19pt;width:595pt;height:105.95pt;z-index:251657216;mso-width-relative:margin;mso-height-relative:margin" coordsize="75573,13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">
                <v:shapetype id="_x0000_t202" coordsize="21600,21600" o:spt="202" path="m,l,21600r21600,l21600,xe">
                  <v:stroke joinstyle="miter"/>
                  <v:path gradientshapeok="t" o:connecttype="rect"/>
                </v:shapetype>
                <v:shape id="Text Box 2" o:spid="_x0000_s1027" type="#_x0000_t202" style="position:absolute;top:7871;width:75573;height:55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927EAE" w:rsidRDefault="00C34B06" w:rsidP="00927EAE">
                        <w:pPr>
                          <w:spacing w:before="120"/>
                          <w:ind w:left="567"/>
                          <w:rPr>
                            <w:rFonts w:ascii="MS Reference Sans Serif" w:hAnsi="MS Reference Sans Serif" w:cs="Tunga"/>
                            <w:color w:val="FFFFFF"/>
                            <w:spacing w:val="10"/>
                            <w:w w:val="99"/>
                            <w:kern w:val="44"/>
                            <w:sz w:val="38"/>
                            <w:szCs w:val="38"/>
                          </w:rPr>
                        </w:pPr>
                        <w:r w:rsidRPr="00927EAE">
                          <w:rPr>
                            <w:rFonts w:ascii="MS Reference Sans Serif" w:hAnsi="MS Reference Sans Serif" w:cs="Tunga"/>
                            <w:color w:val="FFFFFF"/>
                            <w:spacing w:val="10"/>
                            <w:w w:val="99"/>
                            <w:kern w:val="44"/>
                            <w:sz w:val="38"/>
                            <w:szCs w:val="38"/>
                          </w:rPr>
                          <w:t xml:space="preserve">Preliminary </w:t>
                        </w:r>
                        <w:r w:rsidR="005A26FD" w:rsidRPr="00927EAE">
                          <w:rPr>
                            <w:rFonts w:ascii="MS Reference Sans Serif" w:hAnsi="MS Reference Sans Serif" w:cs="Tunga"/>
                            <w:color w:val="FFFFFF"/>
                            <w:spacing w:val="10"/>
                            <w:w w:val="99"/>
                            <w:kern w:val="44"/>
                            <w:sz w:val="38"/>
                            <w:szCs w:val="38"/>
                          </w:rPr>
                          <w:t>decision:</w:t>
                        </w:r>
                        <w:r w:rsidR="00927EAE" w:rsidRPr="00927EAE">
                          <w:rPr>
                            <w:rFonts w:ascii="MS Reference Sans Serif" w:hAnsi="MS Reference Sans Serif" w:cs="Tunga"/>
                            <w:color w:val="FFFFFF"/>
                            <w:spacing w:val="10"/>
                            <w:w w:val="99"/>
                            <w:kern w:val="44"/>
                            <w:sz w:val="38"/>
                            <w:szCs w:val="38"/>
                          </w:rPr>
                          <w:t xml:space="preserve"> </w:t>
                        </w:r>
                        <w:r w:rsidRPr="00927EAE">
                          <w:rPr>
                            <w:rFonts w:ascii="MS Reference Sans Serif" w:hAnsi="MS Reference Sans Serif" w:cs="Tunga"/>
                            <w:color w:val="FFFFFF"/>
                            <w:spacing w:val="10"/>
                            <w:w w:val="99"/>
                            <w:kern w:val="44"/>
                            <w:sz w:val="38"/>
                            <w:szCs w:val="38"/>
                          </w:rPr>
                          <w:t>Energex</w:t>
                        </w:r>
                        <w:r w:rsidR="005A26FD" w:rsidRPr="00927EAE">
                          <w:rPr>
                            <w:rFonts w:ascii="MS Reference Sans Serif" w:hAnsi="MS Reference Sans Serif" w:cs="Tunga"/>
                            <w:color w:val="FFFFFF"/>
                            <w:spacing w:val="10"/>
                            <w:w w:val="99"/>
                            <w:kern w:val="44"/>
                            <w:sz w:val="38"/>
                            <w:szCs w:val="38"/>
                          </w:rPr>
                          <w:t xml:space="preserve"> (</w:t>
                        </w:r>
                        <w:r w:rsidR="0016401A" w:rsidRPr="00927EAE">
                          <w:rPr>
                            <w:rFonts w:ascii="MS Reference Sans Serif" w:hAnsi="MS Reference Sans Serif" w:cs="Tunga"/>
                            <w:color w:val="FFFFFF"/>
                            <w:spacing w:val="10"/>
                            <w:w w:val="99"/>
                            <w:kern w:val="44"/>
                            <w:sz w:val="38"/>
                            <w:szCs w:val="38"/>
                          </w:rPr>
                          <w:t>distribution</w:t>
                        </w:r>
                        <w:r w:rsidR="005A26FD" w:rsidRPr="00927EAE">
                          <w:rPr>
                            <w:rFonts w:ascii="MS Reference Sans Serif" w:hAnsi="MS Reference Sans Serif" w:cs="Tunga"/>
                            <w:color w:val="FFFFFF"/>
                            <w:spacing w:val="10"/>
                            <w:w w:val="99"/>
                            <w:kern w:val="44"/>
                            <w:sz w:val="38"/>
                            <w:szCs w:val="38"/>
                          </w:rPr>
                          <w:t>) 201</w:t>
                        </w:r>
                        <w:r w:rsidR="000F75F1" w:rsidRPr="00927EAE">
                          <w:rPr>
                            <w:rFonts w:ascii="MS Reference Sans Serif" w:hAnsi="MS Reference Sans Serif" w:cs="Tunga"/>
                            <w:color w:val="FFFFFF"/>
                            <w:spacing w:val="10"/>
                            <w:w w:val="99"/>
                            <w:kern w:val="44"/>
                            <w:sz w:val="38"/>
                            <w:szCs w:val="38"/>
                          </w:rPr>
                          <w:t>5</w:t>
                        </w:r>
                        <w:r w:rsidR="00142B21" w:rsidRPr="00927EAE">
                          <w:rPr>
                            <w:rFonts w:ascii="MS Reference Sans Serif" w:hAnsi="MS Reference Sans Serif" w:cs="Tunga"/>
                            <w:color w:val="FFFFFF"/>
                            <w:spacing w:val="10"/>
                            <w:w w:val="99"/>
                            <w:kern w:val="44"/>
                            <w:sz w:val="38"/>
                            <w:szCs w:val="38"/>
                          </w:rPr>
                          <w:t>–20</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C34B06">
        <w:t>preliminary</w:t>
      </w:r>
      <w:r w:rsidR="001A3D6B">
        <w:t xml:space="preserve"> </w:t>
      </w:r>
      <w:r w:rsidR="00751069">
        <w:t>decision for</w:t>
      </w:r>
      <w:r w:rsidR="009F2A09">
        <w:t xml:space="preserve"> </w:t>
      </w:r>
      <w:r w:rsidR="00C34B06">
        <w:t>Energex</w:t>
      </w:r>
      <w:r w:rsidR="009F2A09">
        <w:t xml:space="preserve">, </w:t>
      </w:r>
      <w:r w:rsidR="00681CA2">
        <w:t>one of two</w:t>
      </w:r>
      <w:r w:rsidR="007A7B70">
        <w:t xml:space="preserve"> electricity</w:t>
      </w:r>
      <w:r w:rsidR="00D02EF5">
        <w:t xml:space="preserve"> </w:t>
      </w:r>
      <w:r w:rsidR="00681CA2">
        <w:t>distributors</w:t>
      </w:r>
      <w:r w:rsidR="00751069">
        <w:t xml:space="preserve"> in </w:t>
      </w:r>
      <w:r w:rsidR="005D69ED">
        <w:t>Queensland</w:t>
      </w:r>
      <w:r w:rsidR="00751069">
        <w:t xml:space="preserve">. </w:t>
      </w:r>
      <w:r w:rsidR="00245AD1">
        <w:t xml:space="preserve">Our </w:t>
      </w:r>
      <w:r w:rsidR="00C34B06">
        <w:t>preliminary</w:t>
      </w:r>
      <w:r w:rsidR="001A3D6B">
        <w:t xml:space="preserve"> </w:t>
      </w:r>
      <w:r w:rsidR="00245AD1">
        <w:t>decision</w:t>
      </w:r>
      <w:r w:rsidR="00751069">
        <w:t xml:space="preserve"> </w:t>
      </w:r>
      <w:r w:rsidR="001A3D6B">
        <w:t>allows</w:t>
      </w:r>
      <w:r w:rsidR="00C34B06">
        <w:t xml:space="preserve"> Energex</w:t>
      </w:r>
      <w:r w:rsidR="00751069">
        <w:t xml:space="preserve"> </w:t>
      </w:r>
      <w:r w:rsidR="001A3D6B">
        <w:t xml:space="preserve">to </w:t>
      </w:r>
      <w:r w:rsidR="00751069" w:rsidRPr="00166EF1">
        <w:rPr>
          <w:szCs w:val="24"/>
        </w:rPr>
        <w:t>recover $</w:t>
      </w:r>
      <w:r w:rsidR="00C33659" w:rsidRPr="00166EF1">
        <w:rPr>
          <w:rStyle w:val="AERbodytextChar"/>
          <w:rFonts w:ascii="Tunga" w:eastAsiaTheme="minorHAnsi" w:hAnsi="Tunga"/>
        </w:rPr>
        <w:t>6528.1</w:t>
      </w:r>
      <w:r w:rsidR="007A7B70" w:rsidRPr="00166EF1">
        <w:rPr>
          <w:rStyle w:val="AERbodytextChar"/>
          <w:rFonts w:eastAsiaTheme="minorHAnsi"/>
        </w:rPr>
        <w:t xml:space="preserve"> </w:t>
      </w:r>
      <w:r w:rsidR="00751069" w:rsidRPr="00166EF1">
        <w:t xml:space="preserve">million </w:t>
      </w:r>
      <w:r w:rsidR="000F75F1" w:rsidRPr="00166EF1">
        <w:t>($</w:t>
      </w:r>
      <w:r w:rsidR="000F75F1">
        <w:t xml:space="preserve">nominal) </w:t>
      </w:r>
      <w:r w:rsidR="00751069">
        <w:t>from its customers</w:t>
      </w:r>
      <w:r w:rsidR="00AE4C05">
        <w:t xml:space="preserve"> over </w:t>
      </w:r>
      <w:r w:rsidR="00142B21">
        <w:t>five</w:t>
      </w:r>
      <w:r w:rsidR="00AE4C05">
        <w:t xml:space="preserve"> years</w:t>
      </w:r>
      <w:r w:rsidR="00751069">
        <w:t xml:space="preserve"> </w:t>
      </w:r>
      <w:r w:rsidR="00C81134">
        <w:t>commencing</w:t>
      </w:r>
      <w:r w:rsidR="00751069">
        <w:t xml:space="preserve"> 1 </w:t>
      </w:r>
      <w:r w:rsidR="000F75F1">
        <w:t>July 2015</w:t>
      </w:r>
      <w:r w:rsidR="00C81134">
        <w:t xml:space="preserve">. </w:t>
      </w:r>
    </w:p>
    <w:p w:rsidR="00130DB2" w:rsidRPr="00130DB2" w:rsidRDefault="00130DB2" w:rsidP="000E1E87">
      <w:pPr>
        <w:jc w:val="both"/>
        <w:rPr>
          <w:lang w:val="en"/>
        </w:rPr>
        <w:sectPr w:rsidR="00130DB2" w:rsidRPr="00130DB2" w:rsidSect="00BE5A7F">
          <w:footerReference w:type="default" r:id="rId11"/>
          <w:pgSz w:w="11906" w:h="16838"/>
          <w:pgMar w:top="720" w:right="720" w:bottom="720" w:left="720" w:header="708" w:footer="708" w:gutter="0"/>
          <w:cols w:space="284"/>
          <w:docGrid w:linePitch="360"/>
        </w:sectPr>
      </w:pPr>
    </w:p>
    <w:p w:rsidR="00AC0236" w:rsidRPr="00697FF1" w:rsidRDefault="0057269F" w:rsidP="00E3560F">
      <w:pPr>
        <w:pStyle w:val="AERFactsheetHeading1"/>
        <w:keepNext w:val="0"/>
        <w:widowControl w:val="0"/>
        <w:spacing w:before="0"/>
        <w:jc w:val="both"/>
      </w:pPr>
      <w:r>
        <w:lastRenderedPageBreak/>
        <w:t>Overview</w:t>
      </w:r>
    </w:p>
    <w:p w:rsidR="00331F64" w:rsidRDefault="00FE7F4D" w:rsidP="005E197C">
      <w:pPr>
        <w:pStyle w:val="AERfactsheetbodytext"/>
        <w:widowControl w:val="0"/>
        <w:jc w:val="both"/>
      </w:pPr>
      <w:r>
        <w:t>T</w:t>
      </w:r>
      <w:r w:rsidRPr="0057178D">
        <w:t>he Australian Energy Regulator (AER</w:t>
      </w:r>
      <w:r>
        <w:t>) r</w:t>
      </w:r>
      <w:r w:rsidRPr="0057178D">
        <w:t>egulate</w:t>
      </w:r>
      <w:r>
        <w:t>s</w:t>
      </w:r>
      <w:r w:rsidRPr="0057178D">
        <w:t xml:space="preserve"> </w:t>
      </w:r>
      <w:r w:rsidR="005E2E25">
        <w:t xml:space="preserve">the revenues of </w:t>
      </w:r>
      <w:r w:rsidR="002A0E6A">
        <w:t>Energex</w:t>
      </w:r>
      <w:r w:rsidRPr="0057178D">
        <w:t xml:space="preserve"> by setting the </w:t>
      </w:r>
      <w:r>
        <w:t xml:space="preserve">annual </w:t>
      </w:r>
      <w:r w:rsidRPr="0057178D">
        <w:t xml:space="preserve">revenue </w:t>
      </w:r>
      <w:r>
        <w:t>requirement</w:t>
      </w:r>
      <w:r w:rsidRPr="0057178D">
        <w:t xml:space="preserve"> </w:t>
      </w:r>
      <w:r w:rsidR="005E2E25">
        <w:t>it may recover from customers</w:t>
      </w:r>
      <w:r>
        <w:t>.</w:t>
      </w:r>
    </w:p>
    <w:p w:rsidR="00D561CF" w:rsidRDefault="00F91C7B" w:rsidP="005E197C">
      <w:pPr>
        <w:pStyle w:val="AERfactsheetbodytext"/>
        <w:widowControl w:val="0"/>
        <w:jc w:val="both"/>
      </w:pPr>
      <w:r>
        <w:t xml:space="preserve">Our preliminary decision allows Energex to recover $$6528 million ($nominal) from its customers over five years commencing 1 July 2015. </w:t>
      </w:r>
      <w:r w:rsidR="00CA4074" w:rsidRPr="0057178D">
        <w:t xml:space="preserve">If we had accepted </w:t>
      </w:r>
      <w:r w:rsidR="00C34B06">
        <w:t>Energex</w:t>
      </w:r>
      <w:r w:rsidR="00CA4074" w:rsidRPr="0057178D">
        <w:t xml:space="preserve">’s proposal, it would have recovered </w:t>
      </w:r>
      <w:r w:rsidR="00CA4074" w:rsidRPr="00F821BB">
        <w:t>$</w:t>
      </w:r>
      <w:r w:rsidR="00295698">
        <w:t>8432.4</w:t>
      </w:r>
      <w:r w:rsidR="007A7B70" w:rsidRPr="000F5B95">
        <w:t xml:space="preserve"> </w:t>
      </w:r>
      <w:r w:rsidR="00CA4074" w:rsidRPr="007A7B70">
        <w:t>million ($ nominal</w:t>
      </w:r>
      <w:r w:rsidR="00CA4074" w:rsidRPr="00166EF1">
        <w:t>) over the 2015</w:t>
      </w:r>
      <w:r w:rsidR="00FD29ED" w:rsidRPr="00166EF1">
        <w:rPr>
          <w:rFonts w:ascii="Arial" w:hAnsi="Arial" w:cs="Arial"/>
        </w:rPr>
        <w:t>−</w:t>
      </w:r>
      <w:r w:rsidR="00142B21" w:rsidRPr="00166EF1">
        <w:t>20</w:t>
      </w:r>
      <w:r w:rsidR="00CA4074" w:rsidRPr="00166EF1">
        <w:t xml:space="preserve"> regulatory control period. </w:t>
      </w:r>
      <w:r w:rsidR="005E2E25" w:rsidRPr="00166EF1">
        <w:t xml:space="preserve">Our preliminary decision is </w:t>
      </w:r>
      <w:r w:rsidR="00295698" w:rsidRPr="00166EF1">
        <w:t>22.</w:t>
      </w:r>
      <w:r w:rsidR="00295698">
        <w:t xml:space="preserve">6 </w:t>
      </w:r>
      <w:r w:rsidR="005E2E25">
        <w:t>per cent less revenue than Energex’s proposal</w:t>
      </w:r>
      <w:r w:rsidR="006265AD" w:rsidRPr="0057178D">
        <w:t>.</w:t>
      </w:r>
      <w:r w:rsidR="00F821BB">
        <w:t xml:space="preserve"> </w:t>
      </w:r>
    </w:p>
    <w:p w:rsidR="005E2E25" w:rsidRDefault="005E2E25" w:rsidP="005E197C">
      <w:pPr>
        <w:pStyle w:val="AERfactsheetbodytext"/>
        <w:widowControl w:val="0"/>
        <w:jc w:val="both"/>
        <w:rPr>
          <w:rStyle w:val="AERtextbold"/>
        </w:rPr>
      </w:pPr>
      <w:r>
        <w:t>The figure below shows the difference between Energex’s proposed revenue, and what we have allowed for each year of this preliminary decision.</w:t>
      </w:r>
    </w:p>
    <w:p w:rsidR="00E3560F" w:rsidRDefault="00C34B06" w:rsidP="000E1E87">
      <w:pPr>
        <w:pStyle w:val="AERfactsheetbodytext"/>
        <w:widowControl w:val="0"/>
        <w:jc w:val="both"/>
        <w:rPr>
          <w:noProof/>
          <w:lang w:eastAsia="en-AU"/>
        </w:rPr>
      </w:pPr>
      <w:r>
        <w:rPr>
          <w:rStyle w:val="AERtextbold"/>
        </w:rPr>
        <w:t>Energex</w:t>
      </w:r>
      <w:r w:rsidR="00F943EE" w:rsidRPr="0057178D">
        <w:rPr>
          <w:rStyle w:val="AERtextbold"/>
        </w:rPr>
        <w:t xml:space="preserve">'s past total revenue, proposed total revenue and AER </w:t>
      </w:r>
      <w:r w:rsidR="00A274AF">
        <w:rPr>
          <w:rStyle w:val="AERtextbold"/>
        </w:rPr>
        <w:t>preliminary</w:t>
      </w:r>
      <w:r w:rsidR="00F943EE" w:rsidRPr="0057178D">
        <w:rPr>
          <w:rStyle w:val="AERtextbold"/>
        </w:rPr>
        <w:t xml:space="preserve"> decision revenue allowance ($ million, </w:t>
      </w:r>
      <w:r w:rsidR="00E4284F">
        <w:rPr>
          <w:rStyle w:val="AERtextbold"/>
        </w:rPr>
        <w:t>2014</w:t>
      </w:r>
      <w:r w:rsidR="00E4284F" w:rsidRPr="00E4284F">
        <w:rPr>
          <w:rStyle w:val="AERtextbold"/>
          <w:rFonts w:ascii="Arial" w:hAnsi="Arial" w:cs="Arial"/>
        </w:rPr>
        <w:t>−</w:t>
      </w:r>
      <w:r w:rsidR="00E4284F">
        <w:rPr>
          <w:rStyle w:val="AERtextbold"/>
        </w:rPr>
        <w:t>15</w:t>
      </w:r>
      <w:r w:rsidR="00F943EE" w:rsidRPr="0057178D">
        <w:rPr>
          <w:rStyle w:val="AERtextbold"/>
        </w:rPr>
        <w:t>)</w:t>
      </w:r>
    </w:p>
    <w:p w:rsidR="00F943EE" w:rsidRPr="0057178D" w:rsidRDefault="002271BA" w:rsidP="000E1E87">
      <w:pPr>
        <w:pStyle w:val="AERfactsheetbodytext"/>
        <w:widowControl w:val="0"/>
        <w:jc w:val="both"/>
      </w:pPr>
      <w:r w:rsidRPr="00186632">
        <w:rPr>
          <w:noProof/>
          <w:lang w:eastAsia="en-AU"/>
        </w:rPr>
        <w:drawing>
          <wp:inline distT="0" distB="0" distL="0" distR="0" wp14:anchorId="3DEC6A83" wp14:editId="31BEFF3A">
            <wp:extent cx="3215005" cy="1914894"/>
            <wp:effectExtent l="0" t="0" r="444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5005" cy="1914894"/>
                    </a:xfrm>
                    <a:prstGeom prst="rect">
                      <a:avLst/>
                    </a:prstGeom>
                    <a:noFill/>
                    <a:ln>
                      <a:noFill/>
                    </a:ln>
                  </pic:spPr>
                </pic:pic>
              </a:graphicData>
            </a:graphic>
          </wp:inline>
        </w:drawing>
      </w:r>
    </w:p>
    <w:p w:rsidR="005E2E25" w:rsidRDefault="000A3CF4" w:rsidP="005E197C">
      <w:pPr>
        <w:pStyle w:val="AERfactsheetbodytext"/>
        <w:widowControl w:val="0"/>
        <w:jc w:val="both"/>
      </w:pPr>
      <w:r w:rsidRPr="007E0179">
        <w:rPr>
          <w:noProof/>
          <w:lang w:eastAsia="en-AU"/>
        </w:rPr>
        <w:drawing>
          <wp:anchor distT="0" distB="0" distL="114300" distR="114300" simplePos="0" relativeHeight="251704320" behindDoc="0" locked="0" layoutInCell="1" allowOverlap="1" wp14:anchorId="07523388" wp14:editId="778FAB9D">
            <wp:simplePos x="0" y="0"/>
            <wp:positionH relativeFrom="column">
              <wp:posOffset>-461748</wp:posOffset>
            </wp:positionH>
            <wp:positionV relativeFrom="page">
              <wp:posOffset>10193020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E3560F">
        <w:t>T</w:t>
      </w:r>
      <w:r w:rsidR="004A5A86" w:rsidRPr="007E0179">
        <w:t xml:space="preserve">he revenue we determine affects the </w:t>
      </w:r>
      <w:r w:rsidR="007E0179" w:rsidRPr="007E0179">
        <w:t>distribution</w:t>
      </w:r>
      <w:r w:rsidR="004A5A86" w:rsidRPr="007E0179">
        <w:t xml:space="preserve"> component of a customer’s </w:t>
      </w:r>
      <w:r w:rsidR="005E2E25">
        <w:t>electricity</w:t>
      </w:r>
      <w:r w:rsidR="004A5A86" w:rsidRPr="007E0179">
        <w:t xml:space="preserve"> bill. </w:t>
      </w:r>
      <w:r w:rsidR="00D561CF">
        <w:t xml:space="preserve">Distribution charges </w:t>
      </w:r>
      <w:r w:rsidR="005E2E25">
        <w:t xml:space="preserve">can </w:t>
      </w:r>
      <w:r w:rsidR="00D561CF">
        <w:t xml:space="preserve">make up </w:t>
      </w:r>
      <w:r w:rsidR="005E2E25">
        <w:t xml:space="preserve">to </w:t>
      </w:r>
      <w:r w:rsidR="00D561CF">
        <w:t xml:space="preserve">about </w:t>
      </w:r>
      <w:r w:rsidR="00295698">
        <w:t xml:space="preserve">42 </w:t>
      </w:r>
      <w:r w:rsidR="005E2E25">
        <w:t xml:space="preserve">per cent of the bill for one of </w:t>
      </w:r>
      <w:r w:rsidR="00D561CF">
        <w:t>Energex’s</w:t>
      </w:r>
      <w:r w:rsidR="00D17B7C">
        <w:t xml:space="preserve"> typical residential customer</w:t>
      </w:r>
      <w:r w:rsidR="005E2E25">
        <w:t>s</w:t>
      </w:r>
      <w:r w:rsidR="00D561CF">
        <w:t xml:space="preserve">. </w:t>
      </w:r>
    </w:p>
    <w:p w:rsidR="004A5A86" w:rsidRDefault="00F833BC" w:rsidP="005E197C">
      <w:pPr>
        <w:pStyle w:val="AERfactsheetbodytext"/>
        <w:widowControl w:val="0"/>
        <w:jc w:val="both"/>
      </w:pPr>
      <w:r w:rsidRPr="007E0179">
        <w:t>O</w:t>
      </w:r>
      <w:r w:rsidR="004A5A86" w:rsidRPr="007E0179">
        <w:t xml:space="preserve">ther components </w:t>
      </w:r>
      <w:r w:rsidRPr="007E0179">
        <w:t>in c</w:t>
      </w:r>
      <w:r w:rsidR="006943A2">
        <w:t>ustomer</w:t>
      </w:r>
      <w:r w:rsidRPr="007E0179">
        <w:t xml:space="preserve"> bills include </w:t>
      </w:r>
      <w:r w:rsidR="004A5A86" w:rsidRPr="007E0179">
        <w:t xml:space="preserve">the cost of </w:t>
      </w:r>
      <w:r w:rsidR="004A5A86" w:rsidRPr="00AC0B2B">
        <w:t xml:space="preserve">generation, </w:t>
      </w:r>
      <w:r w:rsidR="002C0A83" w:rsidRPr="00AC0B2B">
        <w:t>transmission</w:t>
      </w:r>
      <w:r w:rsidR="004A5A86" w:rsidRPr="00AC0B2B">
        <w:t xml:space="preserve"> network charges and retailer costs.</w:t>
      </w:r>
      <w:r w:rsidR="005E2E25">
        <w:t xml:space="preserve"> The AER does not set retail prices.</w:t>
      </w:r>
      <w:r w:rsidR="001B5680" w:rsidRPr="00AC0B2B">
        <w:t xml:space="preserve"> </w:t>
      </w:r>
    </w:p>
    <w:p w:rsidR="007A7B70" w:rsidRDefault="007A7B70" w:rsidP="005E197C">
      <w:pPr>
        <w:pStyle w:val="AERfactsheetbodytext"/>
        <w:jc w:val="both"/>
      </w:pPr>
      <w:r w:rsidRPr="00AC0B2B">
        <w:t xml:space="preserve">Within the figures presented </w:t>
      </w:r>
      <w:r w:rsidR="00C33659">
        <w:t xml:space="preserve">in the chart </w:t>
      </w:r>
      <w:r w:rsidRPr="00AC0B2B">
        <w:t xml:space="preserve">above we have included a number of additional adjustments to the annual revenues to be recovered from electricity customers. These include the costs relating to the Queensland Government's Solar Bonus Scheme </w:t>
      </w:r>
      <w:r w:rsidR="00AC0B2B" w:rsidRPr="00AC0B2B">
        <w:t xml:space="preserve">and under </w:t>
      </w:r>
      <w:r w:rsidRPr="00AC0B2B">
        <w:t>recoveries. The most significant of these is the Solar</w:t>
      </w:r>
      <w:r w:rsidRPr="007A7B70">
        <w:t xml:space="preserve"> Bonus Scheme feed in tariffs </w:t>
      </w:r>
      <w:r w:rsidRPr="007A7B70">
        <w:lastRenderedPageBreak/>
        <w:t>(</w:t>
      </w:r>
      <w:proofErr w:type="spellStart"/>
      <w:r w:rsidRPr="007A7B70">
        <w:t>FiT</w:t>
      </w:r>
      <w:proofErr w:type="spellEnd"/>
      <w:r w:rsidRPr="007A7B70">
        <w:t xml:space="preserve">). Neither </w:t>
      </w:r>
      <w:r>
        <w:t>Energex</w:t>
      </w:r>
      <w:r w:rsidRPr="007A7B70">
        <w:t xml:space="preserve"> nor we are able to affect the amount of the costs to be recovered from network charges. However, we are able to smooth the impacts to avoid price fluctuations.</w:t>
      </w:r>
    </w:p>
    <w:p w:rsidR="00C604E8" w:rsidRDefault="00295698" w:rsidP="009A36FA">
      <w:pPr>
        <w:rPr>
          <w:rFonts w:ascii="MS Reference Sans Serif" w:hAnsi="MS Reference Sans Serif"/>
          <w:sz w:val="18"/>
          <w:szCs w:val="18"/>
        </w:rPr>
      </w:pPr>
      <w:r>
        <w:rPr>
          <w:rFonts w:ascii="MS Reference Sans Serif" w:hAnsi="MS Reference Sans Serif"/>
          <w:noProof/>
          <w:sz w:val="18"/>
          <w:szCs w:val="18"/>
          <w:lang w:eastAsia="en-AU"/>
        </w:rPr>
        <mc:AlternateContent>
          <mc:Choice Requires="wps">
            <w:drawing>
              <wp:anchor distT="0" distB="0" distL="114300" distR="114300" simplePos="0" relativeHeight="251705344" behindDoc="0" locked="0" layoutInCell="1" allowOverlap="1" wp14:anchorId="3EB0F82F" wp14:editId="262DEBFB">
                <wp:simplePos x="0" y="0"/>
                <wp:positionH relativeFrom="column">
                  <wp:posOffset>11035</wp:posOffset>
                </wp:positionH>
                <wp:positionV relativeFrom="paragraph">
                  <wp:posOffset>4853</wp:posOffset>
                </wp:positionV>
                <wp:extent cx="3208655" cy="2907102"/>
                <wp:effectExtent l="0" t="0" r="10795" b="26670"/>
                <wp:wrapNone/>
                <wp:docPr id="1" name="Text Box 1"/>
                <wp:cNvGraphicFramePr/>
                <a:graphic xmlns:a="http://schemas.openxmlformats.org/drawingml/2006/main">
                  <a:graphicData uri="http://schemas.microsoft.com/office/word/2010/wordprocessingShape">
                    <wps:wsp>
                      <wps:cNvSpPr txBox="1"/>
                      <wps:spPr>
                        <a:xfrm>
                          <a:off x="0" y="0"/>
                          <a:ext cx="3208655" cy="2907102"/>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04E8" w:rsidRPr="00C604E8" w:rsidRDefault="00C604E8" w:rsidP="00C604E8">
                            <w:pPr>
                              <w:spacing w:after="120"/>
                              <w:rPr>
                                <w:b/>
                              </w:rPr>
                            </w:pPr>
                            <w:r w:rsidRPr="00C604E8">
                              <w:rPr>
                                <w:b/>
                              </w:rPr>
                              <w:t>Estimated price impact</w:t>
                            </w:r>
                          </w:p>
                          <w:p w:rsidR="00C604E8" w:rsidRDefault="000A0DB0" w:rsidP="008C5688">
                            <w:pPr>
                              <w:pStyle w:val="AERfactsheetbodytext"/>
                              <w:widowControl w:val="0"/>
                              <w:jc w:val="both"/>
                            </w:pPr>
                            <w:r>
                              <w:t>If t</w:t>
                            </w:r>
                            <w:r w:rsidR="00C604E8">
                              <w:t>he lower distribution charges from our preliminary decision are passed through to customers, we would expect average annual electricity bills for residential customers to reduce by $</w:t>
                            </w:r>
                            <w:r w:rsidR="00295698" w:rsidRPr="00166EF1">
                              <w:t xml:space="preserve">34 </w:t>
                            </w:r>
                            <w:r w:rsidR="005E2E25" w:rsidRPr="00166EF1">
                              <w:t>(or</w:t>
                            </w:r>
                            <w:r w:rsidR="000353C2">
                              <w:t xml:space="preserve"> </w:t>
                            </w:r>
                            <w:r w:rsidR="00295698" w:rsidRPr="00166EF1">
                              <w:t>1.8</w:t>
                            </w:r>
                            <w:r w:rsidR="000353C2">
                              <w:t xml:space="preserve"> per cent</w:t>
                            </w:r>
                            <w:r w:rsidR="005E2E25" w:rsidRPr="00166EF1">
                              <w:t>)</w:t>
                            </w:r>
                            <w:r w:rsidR="0092218F" w:rsidRPr="00166EF1">
                              <w:t xml:space="preserve"> </w:t>
                            </w:r>
                            <w:r w:rsidR="00295698" w:rsidRPr="00166EF1">
                              <w:t>in 20</w:t>
                            </w:r>
                            <w:r w:rsidR="00295698">
                              <w:t xml:space="preserve">15-16, followed by reductions of $16 to $44 over the rest of the period covered by this decision. </w:t>
                            </w:r>
                          </w:p>
                          <w:p w:rsidR="00C604E8" w:rsidRDefault="00C604E8" w:rsidP="008C5688">
                            <w:pPr>
                              <w:pStyle w:val="AERfactsheetbodytext"/>
                              <w:widowControl w:val="0"/>
                              <w:jc w:val="both"/>
                            </w:pPr>
                            <w:r>
                              <w:t>For small business customers</w:t>
                            </w:r>
                            <w:r w:rsidR="000A0DB0">
                              <w:t>,</w:t>
                            </w:r>
                            <w:r>
                              <w:t xml:space="preserve"> we estimate reductions of $</w:t>
                            </w:r>
                            <w:r w:rsidR="00295698">
                              <w:t>53 (or 1.8</w:t>
                            </w:r>
                            <w:r w:rsidR="000353C2">
                              <w:t xml:space="preserve"> per cent</w:t>
                            </w:r>
                            <w:r w:rsidR="00295698">
                              <w:t xml:space="preserve">) in 2015-16, followed by reductions of $25 to $69 over the rest of the </w:t>
                            </w:r>
                            <w:r>
                              <w:t>period.</w:t>
                            </w:r>
                          </w:p>
                          <w:p w:rsidR="00C604E8" w:rsidRDefault="00C604E8" w:rsidP="008C5688">
                            <w:pPr>
                              <w:pStyle w:val="AERfactsheetbodytext"/>
                              <w:widowControl w:val="0"/>
                              <w:jc w:val="both"/>
                            </w:pPr>
                            <w:r>
                              <w:t>These are only estimates, and are based on the data we have about how much energy customers in Qld use. There are a number of other factors that also affect a customer’s electricity bill, such as the wholesale price of electricity. You can read more about what makes up the energy prices on customers’ bills on our website: www.aer.gov.au/Consumers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85pt;margin-top:.4pt;width:252.65pt;height:228.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" fillcolor="#c6d9f1 [671]" strokeweight=".5pt">
                <v:textbox>
                  <w:txbxContent>
                    <w:p w:rsidR="00C604E8" w:rsidRPr="00C604E8" w:rsidRDefault="00C604E8" w:rsidP="00C604E8">
                      <w:pPr>
                        <w:spacing w:after="120"/>
                        <w:rPr>
                          <w:b/>
                        </w:rPr>
                      </w:pPr>
                      <w:r w:rsidRPr="00C604E8">
                        <w:rPr>
                          <w:b/>
                        </w:rPr>
                        <w:t>Estimated price impact</w:t>
                      </w:r>
                    </w:p>
                    <w:p w:rsidR="00C604E8" w:rsidRDefault="000A0DB0" w:rsidP="008C5688">
                      <w:pPr>
                        <w:pStyle w:val="AERfactsheetbodytext"/>
                        <w:widowControl w:val="0"/>
                        <w:jc w:val="both"/>
                      </w:pPr>
                      <w:r>
                        <w:t>If t</w:t>
                      </w:r>
                      <w:r w:rsidR="00C604E8">
                        <w:t>he lower distribution charges from our preliminary decision are passed through to customers, we would expect average annual electricity bills for residential customers to reduce by $</w:t>
                      </w:r>
                      <w:r w:rsidR="00295698" w:rsidRPr="00166EF1">
                        <w:t xml:space="preserve">34 </w:t>
                      </w:r>
                      <w:r w:rsidR="005E2E25" w:rsidRPr="00166EF1">
                        <w:t>(or</w:t>
                      </w:r>
                      <w:r w:rsidR="000353C2">
                        <w:t xml:space="preserve"> </w:t>
                      </w:r>
                      <w:r w:rsidR="00295698" w:rsidRPr="00166EF1">
                        <w:t>1.8</w:t>
                      </w:r>
                      <w:r w:rsidR="000353C2">
                        <w:t xml:space="preserve"> per cent</w:t>
                      </w:r>
                      <w:r w:rsidR="005E2E25" w:rsidRPr="00166EF1">
                        <w:t>)</w:t>
                      </w:r>
                      <w:r w:rsidR="0092218F" w:rsidRPr="00166EF1">
                        <w:t xml:space="preserve"> </w:t>
                      </w:r>
                      <w:r w:rsidR="00295698" w:rsidRPr="00166EF1">
                        <w:t>in 20</w:t>
                      </w:r>
                      <w:r w:rsidR="00295698">
                        <w:t xml:space="preserve">15-16, followed by reductions of $16 to $44 over the rest of the period covered by this decision. </w:t>
                      </w:r>
                    </w:p>
                    <w:p w:rsidR="00C604E8" w:rsidRDefault="00C604E8" w:rsidP="008C5688">
                      <w:pPr>
                        <w:pStyle w:val="AERfactsheetbodytext"/>
                        <w:widowControl w:val="0"/>
                        <w:jc w:val="both"/>
                      </w:pPr>
                      <w:r>
                        <w:t>For small business customers</w:t>
                      </w:r>
                      <w:r w:rsidR="000A0DB0">
                        <w:t>,</w:t>
                      </w:r>
                      <w:r>
                        <w:t xml:space="preserve"> we estimate reductions of $</w:t>
                      </w:r>
                      <w:r w:rsidR="00295698">
                        <w:t>53 (or 1.8</w:t>
                      </w:r>
                      <w:r w:rsidR="000353C2">
                        <w:t xml:space="preserve"> per cent</w:t>
                      </w:r>
                      <w:r w:rsidR="00295698">
                        <w:t xml:space="preserve">) in 2015-16, followed by reductions of $25 to $69 over the rest of the </w:t>
                      </w:r>
                      <w:r>
                        <w:t>period.</w:t>
                      </w:r>
                    </w:p>
                    <w:p w:rsidR="00C604E8" w:rsidRDefault="00C604E8" w:rsidP="008C5688">
                      <w:pPr>
                        <w:pStyle w:val="AERfactsheetbodytext"/>
                        <w:widowControl w:val="0"/>
                        <w:jc w:val="both"/>
                      </w:pPr>
                      <w:r>
                        <w:t>These are only estimates, and are based on the data we have about how much energy customers in Qld use. There are a number of other factors that also affect a customer’s electricity bill, such as the wholesale price of electricity. You can read more about what makes up the energy prices on customers’ bills on our website: www.aer.gov.au/Consumers</w:t>
                      </w:r>
                    </w:p>
                  </w:txbxContent>
                </v:textbox>
              </v:shape>
            </w:pict>
          </mc:Fallback>
        </mc:AlternateContent>
      </w:r>
    </w:p>
    <w:p w:rsidR="00C604E8" w:rsidRDefault="00C604E8" w:rsidP="009A36FA">
      <w:pPr>
        <w:rPr>
          <w:rFonts w:ascii="MS Reference Sans Serif" w:hAnsi="MS Reference Sans Serif"/>
          <w:sz w:val="18"/>
          <w:szCs w:val="18"/>
        </w:rPr>
      </w:pPr>
    </w:p>
    <w:p w:rsidR="00C604E8" w:rsidRDefault="00C604E8" w:rsidP="009A36FA">
      <w:pPr>
        <w:rPr>
          <w:rFonts w:ascii="MS Reference Sans Serif" w:hAnsi="MS Reference Sans Serif"/>
          <w:sz w:val="18"/>
          <w:szCs w:val="18"/>
        </w:rPr>
      </w:pPr>
    </w:p>
    <w:p w:rsidR="00C604E8" w:rsidRDefault="00C604E8" w:rsidP="009A36FA">
      <w:pPr>
        <w:rPr>
          <w:rFonts w:ascii="MS Reference Sans Serif" w:hAnsi="MS Reference Sans Serif"/>
          <w:sz w:val="18"/>
          <w:szCs w:val="18"/>
        </w:rPr>
      </w:pPr>
    </w:p>
    <w:p w:rsidR="00331F64" w:rsidRDefault="00331F64" w:rsidP="009A36FA">
      <w:pPr>
        <w:spacing w:line="252" w:lineRule="auto"/>
        <w:rPr>
          <w:rFonts w:ascii="Tunga" w:eastAsia="Times New Roman" w:hAnsi="Tunga" w:cs="Tunga"/>
          <w:b/>
          <w:iCs/>
          <w:color w:val="006799"/>
          <w:kern w:val="24"/>
          <w:sz w:val="24"/>
          <w:szCs w:val="24"/>
        </w:rPr>
      </w:pPr>
    </w:p>
    <w:p w:rsidR="00331F64" w:rsidRDefault="00331F64" w:rsidP="009A36FA">
      <w:pPr>
        <w:spacing w:line="252" w:lineRule="auto"/>
        <w:rPr>
          <w:rFonts w:ascii="Tunga" w:eastAsia="Times New Roman" w:hAnsi="Tunga" w:cs="Tunga"/>
          <w:b/>
          <w:iCs/>
          <w:color w:val="006799"/>
          <w:kern w:val="24"/>
          <w:sz w:val="24"/>
          <w:szCs w:val="24"/>
        </w:rPr>
      </w:pPr>
    </w:p>
    <w:p w:rsidR="00331F64" w:rsidRDefault="00331F64" w:rsidP="009A36FA">
      <w:pPr>
        <w:spacing w:line="252" w:lineRule="auto"/>
        <w:rPr>
          <w:rFonts w:ascii="Tunga" w:eastAsia="Times New Roman" w:hAnsi="Tunga" w:cs="Tunga"/>
          <w:b/>
          <w:iCs/>
          <w:color w:val="006799"/>
          <w:kern w:val="24"/>
          <w:sz w:val="24"/>
          <w:szCs w:val="24"/>
        </w:rPr>
      </w:pPr>
    </w:p>
    <w:p w:rsidR="00331F64" w:rsidRDefault="00331F64" w:rsidP="009A36FA">
      <w:pPr>
        <w:spacing w:line="252" w:lineRule="auto"/>
        <w:rPr>
          <w:rFonts w:ascii="Tunga" w:eastAsia="Times New Roman" w:hAnsi="Tunga" w:cs="Tunga"/>
          <w:b/>
          <w:iCs/>
          <w:color w:val="006799"/>
          <w:kern w:val="24"/>
          <w:sz w:val="24"/>
          <w:szCs w:val="24"/>
        </w:rPr>
      </w:pPr>
    </w:p>
    <w:p w:rsidR="00331F64" w:rsidRDefault="00331F64" w:rsidP="009A36FA">
      <w:pPr>
        <w:spacing w:line="252" w:lineRule="auto"/>
        <w:rPr>
          <w:rFonts w:ascii="Tunga" w:eastAsia="Times New Roman" w:hAnsi="Tunga" w:cs="Tunga"/>
          <w:b/>
          <w:iCs/>
          <w:color w:val="006799"/>
          <w:kern w:val="24"/>
          <w:sz w:val="24"/>
          <w:szCs w:val="24"/>
        </w:rPr>
      </w:pPr>
    </w:p>
    <w:p w:rsidR="00331F64" w:rsidRDefault="00331F64" w:rsidP="009A36FA">
      <w:pPr>
        <w:spacing w:line="252" w:lineRule="auto"/>
        <w:rPr>
          <w:rFonts w:ascii="Tunga" w:eastAsia="Times New Roman" w:hAnsi="Tunga" w:cs="Tunga"/>
          <w:b/>
          <w:iCs/>
          <w:color w:val="006799"/>
          <w:kern w:val="24"/>
          <w:sz w:val="24"/>
          <w:szCs w:val="24"/>
        </w:rPr>
      </w:pPr>
    </w:p>
    <w:p w:rsidR="00331F64" w:rsidRDefault="00331F64" w:rsidP="009A36FA">
      <w:pPr>
        <w:spacing w:line="252" w:lineRule="auto"/>
        <w:rPr>
          <w:rFonts w:ascii="Tunga" w:eastAsia="Times New Roman" w:hAnsi="Tunga" w:cs="Tunga"/>
          <w:b/>
          <w:iCs/>
          <w:color w:val="006799"/>
          <w:kern w:val="24"/>
          <w:sz w:val="24"/>
          <w:szCs w:val="24"/>
        </w:rPr>
      </w:pPr>
    </w:p>
    <w:p w:rsidR="00331F64" w:rsidRDefault="00331F64" w:rsidP="009A36FA">
      <w:pPr>
        <w:spacing w:line="252" w:lineRule="auto"/>
        <w:rPr>
          <w:rFonts w:ascii="Tunga" w:eastAsia="Times New Roman" w:hAnsi="Tunga" w:cs="Tunga"/>
          <w:b/>
          <w:iCs/>
          <w:color w:val="006799"/>
          <w:kern w:val="24"/>
          <w:sz w:val="24"/>
          <w:szCs w:val="24"/>
        </w:rPr>
      </w:pPr>
    </w:p>
    <w:p w:rsidR="0010549E" w:rsidRPr="00DA7AD5" w:rsidRDefault="008C1F2D" w:rsidP="008C5688">
      <w:pPr>
        <w:spacing w:before="240" w:line="252" w:lineRule="auto"/>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8C1F2D" w:rsidRDefault="008C1F2D" w:rsidP="005E197C">
      <w:pPr>
        <w:pStyle w:val="AERfactsheetbodytext"/>
        <w:widowControl w:val="0"/>
        <w:spacing w:before="60" w:after="60"/>
        <w:jc w:val="both"/>
      </w:pPr>
      <w:r>
        <w:t xml:space="preserve">Our assessment of Energex’s proposed revenue is based on a number of components. These include expenditure to maintain and operate the network and the return to </w:t>
      </w:r>
      <w:r w:rsidR="005E2E25">
        <w:t>investors</w:t>
      </w:r>
      <w:r>
        <w:t xml:space="preserve"> on their investment. Together, these determine </w:t>
      </w:r>
      <w:r w:rsidR="009F2A09">
        <w:t>the revenue</w:t>
      </w:r>
      <w:r w:rsidR="00F1050B" w:rsidRPr="007E0179">
        <w:t xml:space="preserve"> </w:t>
      </w:r>
      <w:r w:rsidR="00C34B06">
        <w:t>Energex</w:t>
      </w:r>
      <w:r w:rsidR="005E2E25">
        <w:t xml:space="preserve"> may recover from its</w:t>
      </w:r>
      <w:r w:rsidR="00F1050B" w:rsidRPr="007E0179">
        <w:t xml:space="preserve"> customers. </w:t>
      </w:r>
    </w:p>
    <w:p w:rsidR="00FE30E8" w:rsidRPr="00FE30E8" w:rsidRDefault="00FE30E8" w:rsidP="005E197C">
      <w:pPr>
        <w:pStyle w:val="AERfactsheetbodytext"/>
        <w:jc w:val="both"/>
      </w:pPr>
      <w:r w:rsidRPr="00FE30E8">
        <w:t>Our pre</w:t>
      </w:r>
      <w:r>
        <w:t xml:space="preserve">liminary decision is to accept Energex’s forecast </w:t>
      </w:r>
      <w:r w:rsidR="0067255E">
        <w:t>operating expenditure (</w:t>
      </w:r>
      <w:r>
        <w:t>opex</w:t>
      </w:r>
      <w:r w:rsidR="0067255E">
        <w:t>)</w:t>
      </w:r>
      <w:r>
        <w:t xml:space="preserve"> and most of its proposed forecast </w:t>
      </w:r>
      <w:r w:rsidR="0067255E">
        <w:t>capital expenditure (</w:t>
      </w:r>
      <w:r>
        <w:t>capex</w:t>
      </w:r>
      <w:r w:rsidR="0067255E">
        <w:t>)</w:t>
      </w:r>
      <w:r>
        <w:t xml:space="preserve">. The component of our preliminary decision that has had the greatest impact on the total revenue allowance is rate of return. It drives most of the revenue gap between our preliminary decision and Energex’s regulatory proposal. </w:t>
      </w:r>
      <w:r w:rsidR="000A0DB0">
        <w:t>W</w:t>
      </w:r>
      <w:r>
        <w:t>e discuss each of these</w:t>
      </w:r>
      <w:r w:rsidR="00AE1A2A">
        <w:t xml:space="preserve"> issues</w:t>
      </w:r>
      <w:r>
        <w:t xml:space="preserve"> below. </w:t>
      </w:r>
    </w:p>
    <w:p w:rsidR="00865AD3" w:rsidRDefault="00865AD3" w:rsidP="009A36FA">
      <w:pPr>
        <w:pStyle w:val="AERfactsheetbodytext"/>
        <w:widowControl w:val="0"/>
        <w:spacing w:after="0"/>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6F1847" w:rsidRPr="00B671F0" w:rsidRDefault="006F1847" w:rsidP="005E197C">
      <w:pPr>
        <w:pStyle w:val="AERfactsheetbodytext"/>
        <w:jc w:val="both"/>
      </w:pPr>
      <w:r w:rsidRPr="00B671F0">
        <w:t xml:space="preserve">Significant investment is required to build a distribution network. The return </w:t>
      </w:r>
      <w:r>
        <w:t xml:space="preserve">Energex </w:t>
      </w:r>
      <w:r w:rsidRPr="00B671F0">
        <w:t xml:space="preserve">must pay lenders and investors is referred to as the rate of return. Even a small difference in the rate of return can have a big impact on revenues. </w:t>
      </w:r>
    </w:p>
    <w:p w:rsidR="00865AD3" w:rsidRDefault="00865AD3" w:rsidP="005E197C">
      <w:pPr>
        <w:pStyle w:val="AERfactsheetbodytext"/>
        <w:widowControl w:val="0"/>
        <w:jc w:val="both"/>
      </w:pPr>
      <w:r w:rsidRPr="00B671F0">
        <w:t xml:space="preserve">Our </w:t>
      </w:r>
      <w:r>
        <w:t>preliminary</w:t>
      </w:r>
      <w:r w:rsidRPr="00B671F0">
        <w:t xml:space="preserve"> decision sets the allowed rate of retur</w:t>
      </w:r>
      <w:r>
        <w:t xml:space="preserve">n (or ‘cost of </w:t>
      </w:r>
      <w:r w:rsidRPr="00166EF1">
        <w:t>capital’) at</w:t>
      </w:r>
      <w:r w:rsidR="00FE30E8" w:rsidRPr="00166EF1">
        <w:t xml:space="preserve"> 5.85 per cent</w:t>
      </w:r>
      <w:r w:rsidR="00FE30E8">
        <w:t xml:space="preserve"> for 2015</w:t>
      </w:r>
      <w:r w:rsidR="00FE30E8">
        <w:rPr>
          <w:rFonts w:ascii="Arial" w:hAnsi="Arial" w:cs="Arial"/>
        </w:rPr>
        <w:t>−</w:t>
      </w:r>
      <w:r w:rsidR="00FE30E8">
        <w:t>16</w:t>
      </w:r>
      <w:r w:rsidRPr="00B671F0">
        <w:t xml:space="preserve">. </w:t>
      </w:r>
      <w:r w:rsidR="00FE30E8">
        <w:t xml:space="preserve">We have not </w:t>
      </w:r>
      <w:r w:rsidR="00FE30E8">
        <w:lastRenderedPageBreak/>
        <w:t>accepted Energex’s propos</w:t>
      </w:r>
      <w:r w:rsidR="00871E1E">
        <w:t>al for a rate of return of</w:t>
      </w:r>
      <w:r w:rsidR="00FE30E8">
        <w:t xml:space="preserve"> 7.75 per cent.</w:t>
      </w:r>
      <w:r w:rsidR="00871E1E">
        <w:rPr>
          <w:rStyle w:val="EndnoteReference"/>
        </w:rPr>
        <w:endnoteReference w:id="1"/>
      </w:r>
      <w:r w:rsidR="00FE30E8">
        <w:t xml:space="preserve"> </w:t>
      </w:r>
    </w:p>
    <w:p w:rsidR="00865AD3" w:rsidRDefault="00871E1E" w:rsidP="005E197C">
      <w:pPr>
        <w:pStyle w:val="AERfactsheetbodytext"/>
        <w:widowControl w:val="0"/>
        <w:jc w:val="both"/>
      </w:pPr>
      <w:r>
        <w:t>T</w:t>
      </w:r>
      <w:r w:rsidR="00FE30E8">
        <w:t xml:space="preserve">he </w:t>
      </w:r>
      <w:r w:rsidR="00865AD3" w:rsidRPr="00B671F0">
        <w:t xml:space="preserve">investment environment has improved since our previous decision, which was made during the height of uncertainty surrounding the global financial crisis. </w:t>
      </w:r>
      <w:r w:rsidR="00FE30E8">
        <w:t>This improved investment environment translates to lower financing costs necessary to attract efficient investment</w:t>
      </w:r>
      <w:r w:rsidR="00865AD3" w:rsidRPr="00B671F0">
        <w:t>.</w:t>
      </w:r>
      <w:r w:rsidR="008C5688">
        <w:t xml:space="preserve"> We consider that Energex has sought a rate of return that is higher than necessary given the current investment environment. </w:t>
      </w:r>
    </w:p>
    <w:p w:rsidR="008C5688" w:rsidRDefault="008C5688" w:rsidP="005E197C">
      <w:pPr>
        <w:pStyle w:val="AERfactsheetbodytext"/>
        <w:widowControl w:val="0"/>
        <w:jc w:val="both"/>
      </w:pPr>
      <w:r>
        <w:t>In our final decision we did not accept the methodology proposed by Energex to set its rate of return. Instead, we have used our methodology developed with extensive consultation during our Better Regulation program in 2013. We consider that our approach provides for a rate of return that better reflects the allowed rate of return objective.</w:t>
      </w:r>
    </w:p>
    <w:p w:rsidR="00FE30E8" w:rsidRPr="00B671F0" w:rsidRDefault="00FE30E8" w:rsidP="005E197C">
      <w:pPr>
        <w:pStyle w:val="AERfactsheetbodytext"/>
        <w:widowControl w:val="0"/>
        <w:jc w:val="both"/>
      </w:pPr>
      <w:r>
        <w:t xml:space="preserve">The lower rate of return in this preliminary decision will reduce Energex’s average revenue compared to the past. </w:t>
      </w:r>
    </w:p>
    <w:p w:rsidR="006564F0" w:rsidRPr="00697FF1" w:rsidRDefault="006564F0" w:rsidP="009A36FA">
      <w:pPr>
        <w:pStyle w:val="AERFactsheetHeading1"/>
        <w:keepNext w:val="0"/>
        <w:widowControl w:val="0"/>
        <w:spacing w:before="0" w:after="0"/>
      </w:pPr>
      <w:r>
        <w:t>Operating expenditure</w:t>
      </w:r>
    </w:p>
    <w:p w:rsidR="00871E1E" w:rsidRDefault="006F1847" w:rsidP="005E197C">
      <w:pPr>
        <w:pStyle w:val="AERfactsheetbodytext"/>
        <w:widowControl w:val="0"/>
        <w:jc w:val="both"/>
      </w:pPr>
      <w:r>
        <w:t xml:space="preserve">Opex includes forecast operating, maintenance and other non-capital costs incurred in the provision of distribution network services. </w:t>
      </w:r>
    </w:p>
    <w:p w:rsidR="006F1847" w:rsidRDefault="006F1847" w:rsidP="005E197C">
      <w:pPr>
        <w:pStyle w:val="AERfactsheetbodytext"/>
        <w:widowControl w:val="0"/>
        <w:jc w:val="both"/>
      </w:pPr>
      <w:r>
        <w:t>It includes labour and other non-capital costs that Energex is likely to require during the 2015</w:t>
      </w:r>
      <w:r>
        <w:rPr>
          <w:rFonts w:ascii="Arial" w:hAnsi="Arial" w:cs="Arial"/>
        </w:rPr>
        <w:t>−</w:t>
      </w:r>
      <w:r>
        <w:t>20 regulatory control period for the efficient operation of its network</w:t>
      </w:r>
      <w:r w:rsidR="00FD5F29">
        <w:t>.</w:t>
      </w:r>
      <w:r>
        <w:t xml:space="preserve"> </w:t>
      </w:r>
    </w:p>
    <w:p w:rsidR="009B26BA" w:rsidRPr="004C0E3D" w:rsidRDefault="00CA33A6" w:rsidP="005E197C">
      <w:pPr>
        <w:pStyle w:val="AERfactsheetbodytext"/>
        <w:widowControl w:val="0"/>
        <w:jc w:val="both"/>
      </w:pPr>
      <w:r>
        <w:t xml:space="preserve">Our </w:t>
      </w:r>
      <w:r w:rsidRPr="00166EF1">
        <w:t xml:space="preserve">preliminary decision </w:t>
      </w:r>
      <w:r w:rsidR="0067255E" w:rsidRPr="00166EF1">
        <w:t>is to accept</w:t>
      </w:r>
      <w:r w:rsidRPr="00166EF1">
        <w:t xml:space="preserve"> Energex</w:t>
      </w:r>
      <w:r w:rsidR="0067255E" w:rsidRPr="00166EF1">
        <w:t>’s proposed opex forecast</w:t>
      </w:r>
      <w:r w:rsidRPr="00166EF1">
        <w:t xml:space="preserve"> </w:t>
      </w:r>
      <w:r w:rsidR="0067255E" w:rsidRPr="00166EF1">
        <w:t>of</w:t>
      </w:r>
      <w:r w:rsidRPr="00166EF1">
        <w:t xml:space="preserve"> $</w:t>
      </w:r>
      <w:r w:rsidR="00C33659" w:rsidRPr="00166EF1">
        <w:t>1738.2</w:t>
      </w:r>
      <w:r w:rsidRPr="00166EF1">
        <w:t xml:space="preserve"> million</w:t>
      </w:r>
      <w:r>
        <w:t xml:space="preserve"> ($2014</w:t>
      </w:r>
      <w:r>
        <w:rPr>
          <w:rFonts w:ascii="Arial" w:hAnsi="Arial" w:cs="Arial"/>
        </w:rPr>
        <w:t>−</w:t>
      </w:r>
      <w:r w:rsidR="0067255E">
        <w:t>15).</w:t>
      </w:r>
    </w:p>
    <w:p w:rsidR="000D2530" w:rsidRDefault="00B932CF" w:rsidP="005E197C">
      <w:pPr>
        <w:pStyle w:val="AERfactsheetbodytext"/>
        <w:widowControl w:val="0"/>
        <w:jc w:val="both"/>
        <w:rPr>
          <w:rStyle w:val="Strong"/>
        </w:rPr>
      </w:pPr>
      <w:r w:rsidRPr="00697FF1">
        <w:rPr>
          <w:noProof/>
          <w:lang w:eastAsia="en-AU"/>
        </w:rPr>
        <w:drawing>
          <wp:anchor distT="0" distB="0" distL="114300" distR="114300" simplePos="0" relativeHeight="251697152" behindDoc="0" locked="0" layoutInCell="1" allowOverlap="1" wp14:anchorId="4AC2CBE8" wp14:editId="2E156750">
            <wp:simplePos x="0" y="0"/>
            <wp:positionH relativeFrom="column">
              <wp:posOffset>-461010</wp:posOffset>
            </wp:positionH>
            <wp:positionV relativeFrom="page">
              <wp:posOffset>10203180</wp:posOffset>
            </wp:positionV>
            <wp:extent cx="8310880" cy="492125"/>
            <wp:effectExtent l="0" t="0" r="0" b="3175"/>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0D2530">
        <w:rPr>
          <w:rStyle w:val="Strong"/>
          <w:b w:val="0"/>
        </w:rPr>
        <w:t xml:space="preserve">In reaching our preliminary decision we have compared Energex’s opex proposal with our alternative estimate of total opex. While we have reached a different position on specific elements that make up the opex forecast, our preliminary decision is to accept Energex’s forecast of total opex. </w:t>
      </w:r>
      <w:r w:rsidR="000A0DB0">
        <w:rPr>
          <w:rStyle w:val="Strong"/>
          <w:b w:val="0"/>
        </w:rPr>
        <w:t>That is, overall, we are satisfied that Energex’s level of forecast opex reflects costs that a prudent operator</w:t>
      </w:r>
      <w:r w:rsidR="000A0DB0">
        <w:rPr>
          <w:rStyle w:val="Strong"/>
          <w:rFonts w:ascii="Arial" w:hAnsi="Arial" w:cs="Arial"/>
          <w:b w:val="0"/>
        </w:rPr>
        <w:t>—</w:t>
      </w:r>
      <w:r w:rsidR="000A0DB0">
        <w:rPr>
          <w:rStyle w:val="Strong"/>
          <w:b w:val="0"/>
        </w:rPr>
        <w:t>with efficient costs and a realistic expectation of demand</w:t>
      </w:r>
      <w:r w:rsidR="00C31B03">
        <w:rPr>
          <w:rStyle w:val="Strong"/>
          <w:b w:val="0"/>
        </w:rPr>
        <w:t xml:space="preserve"> and cost inputs</w:t>
      </w:r>
      <w:r w:rsidR="000A0DB0">
        <w:rPr>
          <w:rStyle w:val="Strong"/>
          <w:rFonts w:ascii="Arial" w:hAnsi="Arial" w:cs="Arial"/>
          <w:b w:val="0"/>
        </w:rPr>
        <w:t>—</w:t>
      </w:r>
      <w:r w:rsidR="000A0DB0">
        <w:rPr>
          <w:rStyle w:val="Strong"/>
          <w:b w:val="0"/>
        </w:rPr>
        <w:t>would need to operate its network safely and comply with its obligations and service  standards.</w:t>
      </w:r>
    </w:p>
    <w:p w:rsidR="00346F85" w:rsidRDefault="00346F85" w:rsidP="009A36FA">
      <w:pPr>
        <w:pStyle w:val="AERfactsheetbodytext"/>
        <w:rPr>
          <w:rStyle w:val="Strong"/>
        </w:rPr>
      </w:pPr>
      <w:r w:rsidRPr="00346F85">
        <w:rPr>
          <w:rStyle w:val="Strong"/>
        </w:rPr>
        <w:t xml:space="preserve">AER </w:t>
      </w:r>
      <w:r w:rsidR="00A274AF">
        <w:rPr>
          <w:rStyle w:val="Strong"/>
        </w:rPr>
        <w:t>preliminary</w:t>
      </w:r>
      <w:r w:rsidRPr="00346F85">
        <w:rPr>
          <w:rStyle w:val="Strong"/>
        </w:rPr>
        <w:t xml:space="preserve"> decision compared to </w:t>
      </w:r>
      <w:r w:rsidR="00C34B06">
        <w:rPr>
          <w:rStyle w:val="Strong"/>
        </w:rPr>
        <w:t>Energex</w:t>
      </w:r>
      <w:r w:rsidRPr="00346F85">
        <w:rPr>
          <w:rStyle w:val="Strong"/>
        </w:rPr>
        <w:t xml:space="preserve">'s past and proposed opex ($million, </w:t>
      </w:r>
      <w:r w:rsidRPr="006C16F4">
        <w:rPr>
          <w:rStyle w:val="Strong"/>
        </w:rPr>
        <w:t>201</w:t>
      </w:r>
      <w:r w:rsidR="006C16F4" w:rsidRPr="006C16F4">
        <w:rPr>
          <w:rStyle w:val="Strong"/>
        </w:rPr>
        <w:t>4</w:t>
      </w:r>
      <w:r w:rsidRPr="006C16F4">
        <w:rPr>
          <w:rStyle w:val="Strong"/>
        </w:rPr>
        <w:t>-1</w:t>
      </w:r>
      <w:r w:rsidR="006C16F4" w:rsidRPr="006C16F4">
        <w:rPr>
          <w:rStyle w:val="Strong"/>
        </w:rPr>
        <w:t>5</w:t>
      </w:r>
      <w:r w:rsidRPr="00346F85">
        <w:rPr>
          <w:rStyle w:val="Strong"/>
        </w:rPr>
        <w:t>)</w:t>
      </w:r>
    </w:p>
    <w:p w:rsidR="00F762F3" w:rsidRDefault="009F75AB" w:rsidP="009A36FA">
      <w:pPr>
        <w:pStyle w:val="AERfactsheetbodytext"/>
        <w:rPr>
          <w:noProof/>
          <w:lang w:eastAsia="en-AU"/>
        </w:rPr>
      </w:pPr>
      <w:r w:rsidRPr="00D5634F">
        <w:rPr>
          <w:noProof/>
          <w:lang w:eastAsia="en-AU"/>
        </w:rPr>
        <w:drawing>
          <wp:inline distT="0" distB="0" distL="0" distR="0" wp14:anchorId="6BE9EAA6" wp14:editId="07DBE416">
            <wp:extent cx="3215005" cy="1895931"/>
            <wp:effectExtent l="0" t="0" r="444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5005" cy="1895931"/>
                    </a:xfrm>
                    <a:prstGeom prst="rect">
                      <a:avLst/>
                    </a:prstGeom>
                    <a:noFill/>
                    <a:ln>
                      <a:noFill/>
                    </a:ln>
                  </pic:spPr>
                </pic:pic>
              </a:graphicData>
            </a:graphic>
          </wp:inline>
        </w:drawing>
      </w:r>
    </w:p>
    <w:p w:rsidR="0067255E" w:rsidRPr="00C059E5" w:rsidRDefault="0067255E" w:rsidP="009A36FA">
      <w:pPr>
        <w:pStyle w:val="AERfactsheetbodytext"/>
        <w:widowControl w:val="0"/>
        <w:spacing w:after="0"/>
      </w:pPr>
      <w:r w:rsidRPr="00DE12B1">
        <w:rPr>
          <w:rFonts w:ascii="Tunga" w:eastAsia="Times New Roman" w:hAnsi="Tunga" w:cs="Tunga"/>
          <w:b/>
          <w:iCs/>
          <w:color w:val="006A99"/>
          <w:kern w:val="24"/>
          <w:sz w:val="24"/>
          <w:szCs w:val="24"/>
        </w:rPr>
        <w:t>Capital expenditure</w:t>
      </w:r>
    </w:p>
    <w:p w:rsidR="006F1847" w:rsidRDefault="006F1847" w:rsidP="005E197C">
      <w:pPr>
        <w:jc w:val="both"/>
        <w:rPr>
          <w:rFonts w:ascii="MS Reference Sans Serif" w:hAnsi="MS Reference Sans Serif" w:cs="Shruti"/>
          <w:spacing w:val="-10"/>
          <w:sz w:val="18"/>
          <w:szCs w:val="22"/>
        </w:rPr>
      </w:pPr>
      <w:r>
        <w:rPr>
          <w:rFonts w:ascii="MS Reference Sans Serif" w:hAnsi="MS Reference Sans Serif" w:cs="Shruti"/>
          <w:spacing w:val="-10"/>
          <w:sz w:val="18"/>
          <w:szCs w:val="22"/>
        </w:rPr>
        <w:t xml:space="preserve">Capex refers to the cost of building new facilities or replacing existing infrastructure. Factors that influence our required level of capex include the age and condition of existing assets. </w:t>
      </w:r>
    </w:p>
    <w:p w:rsidR="006F1847" w:rsidRDefault="006F1847" w:rsidP="005E197C">
      <w:pPr>
        <w:jc w:val="both"/>
        <w:rPr>
          <w:rFonts w:ascii="MS Reference Sans Serif" w:hAnsi="MS Reference Sans Serif" w:cs="Shruti"/>
          <w:spacing w:val="-10"/>
          <w:sz w:val="18"/>
          <w:szCs w:val="22"/>
        </w:rPr>
      </w:pPr>
    </w:p>
    <w:p w:rsidR="00871E1E" w:rsidRDefault="00871E1E" w:rsidP="005E197C">
      <w:pPr>
        <w:jc w:val="both"/>
        <w:rPr>
          <w:rFonts w:ascii="MS Reference Sans Serif" w:hAnsi="MS Reference Sans Serif" w:cs="Arial"/>
          <w:spacing w:val="-10"/>
          <w:sz w:val="18"/>
          <w:szCs w:val="22"/>
        </w:rPr>
      </w:pPr>
      <w:r>
        <w:rPr>
          <w:rFonts w:ascii="MS Reference Sans Serif" w:hAnsi="MS Reference Sans Serif" w:cs="Shruti"/>
          <w:spacing w:val="-10"/>
          <w:sz w:val="18"/>
          <w:szCs w:val="22"/>
        </w:rPr>
        <w:lastRenderedPageBreak/>
        <w:t>We must be satisfied that the level of capex proposed by Energex reflects the capex criteria: the costs that a prudent operator</w:t>
      </w:r>
      <w:r>
        <w:rPr>
          <w:rFonts w:ascii="Arial" w:hAnsi="Arial" w:cs="Arial"/>
          <w:spacing w:val="-10"/>
          <w:sz w:val="18"/>
          <w:szCs w:val="22"/>
        </w:rPr>
        <w:t>—</w:t>
      </w:r>
      <w:r>
        <w:rPr>
          <w:rFonts w:ascii="MS Reference Sans Serif" w:hAnsi="MS Reference Sans Serif" w:cs="Arial"/>
          <w:spacing w:val="-10"/>
          <w:sz w:val="18"/>
          <w:szCs w:val="22"/>
        </w:rPr>
        <w:t>with efficient costs and a realistic expectation of demand and cost inputs</w:t>
      </w:r>
      <w:r>
        <w:rPr>
          <w:rFonts w:ascii="Arial" w:hAnsi="Arial" w:cs="Arial"/>
          <w:spacing w:val="-10"/>
          <w:sz w:val="18"/>
          <w:szCs w:val="22"/>
        </w:rPr>
        <w:t>—</w:t>
      </w:r>
      <w:r>
        <w:rPr>
          <w:rFonts w:ascii="MS Reference Sans Serif" w:hAnsi="MS Reference Sans Serif" w:cs="Arial"/>
          <w:spacing w:val="-10"/>
          <w:sz w:val="18"/>
          <w:szCs w:val="22"/>
        </w:rPr>
        <w:t xml:space="preserve">would need to operate its network safely and comply with its obligations and services standards. </w:t>
      </w:r>
    </w:p>
    <w:p w:rsidR="0067255E" w:rsidRPr="002C0A83" w:rsidRDefault="00871E1E" w:rsidP="00166EF1">
      <w:pPr>
        <w:spacing w:after="120"/>
        <w:jc w:val="both"/>
        <w:rPr>
          <w:rFonts w:ascii="MS Reference Sans Serif" w:hAnsi="MS Reference Sans Serif" w:cs="Shruti"/>
          <w:spacing w:val="-10"/>
          <w:sz w:val="18"/>
          <w:szCs w:val="22"/>
        </w:rPr>
      </w:pPr>
      <w:r>
        <w:rPr>
          <w:rFonts w:ascii="MS Reference Sans Serif" w:hAnsi="MS Reference Sans Serif" w:cs="Arial"/>
          <w:spacing w:val="-10"/>
          <w:sz w:val="18"/>
          <w:szCs w:val="22"/>
        </w:rPr>
        <w:t xml:space="preserve">We did </w:t>
      </w:r>
      <w:r w:rsidRPr="00166EF1">
        <w:rPr>
          <w:rFonts w:ascii="MS Reference Sans Serif" w:hAnsi="MS Reference Sans Serif" w:cs="Arial"/>
          <w:spacing w:val="-10"/>
          <w:sz w:val="18"/>
          <w:szCs w:val="22"/>
        </w:rPr>
        <w:t>not accept Energex’s proposed forecast capex of $</w:t>
      </w:r>
      <w:r w:rsidR="00C33659" w:rsidRPr="00166EF1">
        <w:rPr>
          <w:rFonts w:ascii="MS Reference Sans Serif" w:hAnsi="MS Reference Sans Serif" w:cs="Arial"/>
          <w:spacing w:val="-10"/>
          <w:sz w:val="18"/>
          <w:szCs w:val="22"/>
        </w:rPr>
        <w:t>3239.6</w:t>
      </w:r>
      <w:r w:rsidRPr="00166EF1">
        <w:rPr>
          <w:rFonts w:ascii="MS Reference Sans Serif" w:hAnsi="MS Reference Sans Serif" w:cs="Arial"/>
          <w:spacing w:val="-10"/>
          <w:sz w:val="18"/>
          <w:szCs w:val="22"/>
        </w:rPr>
        <w:t xml:space="preserve"> million ($2014</w:t>
      </w:r>
      <w:r w:rsidRPr="00166EF1">
        <w:rPr>
          <w:rFonts w:ascii="Arial" w:hAnsi="Arial" w:cs="Arial"/>
          <w:spacing w:val="-10"/>
          <w:sz w:val="18"/>
          <w:szCs w:val="22"/>
        </w:rPr>
        <w:t>−</w:t>
      </w:r>
      <w:r w:rsidRPr="00166EF1">
        <w:rPr>
          <w:rFonts w:ascii="MS Reference Sans Serif" w:hAnsi="MS Reference Sans Serif" w:cs="Arial"/>
          <w:spacing w:val="-10"/>
          <w:sz w:val="18"/>
          <w:szCs w:val="22"/>
        </w:rPr>
        <w:t xml:space="preserve">15). </w:t>
      </w:r>
      <w:r w:rsidR="00C47453" w:rsidRPr="00166EF1">
        <w:rPr>
          <w:rFonts w:ascii="MS Reference Sans Serif" w:hAnsi="MS Reference Sans Serif" w:cs="Shruti"/>
          <w:spacing w:val="-10"/>
          <w:sz w:val="18"/>
          <w:szCs w:val="22"/>
        </w:rPr>
        <w:t>We have estimated total forecast capex of $</w:t>
      </w:r>
      <w:r w:rsidR="00C33659" w:rsidRPr="00166EF1">
        <w:rPr>
          <w:rFonts w:ascii="MS Reference Sans Serif" w:hAnsi="MS Reference Sans Serif" w:cs="Shruti"/>
          <w:spacing w:val="-10"/>
          <w:sz w:val="18"/>
          <w:szCs w:val="22"/>
        </w:rPr>
        <w:t>2361.5</w:t>
      </w:r>
      <w:r w:rsidR="00C47453" w:rsidRPr="00166EF1">
        <w:rPr>
          <w:rFonts w:ascii="MS Reference Sans Serif" w:hAnsi="MS Reference Sans Serif" w:cs="Shruti"/>
          <w:spacing w:val="-10"/>
          <w:sz w:val="18"/>
          <w:szCs w:val="22"/>
        </w:rPr>
        <w:t xml:space="preserve"> million ($2014</w:t>
      </w:r>
      <w:r w:rsidR="00C47453">
        <w:rPr>
          <w:rFonts w:ascii="Arial" w:hAnsi="Arial" w:cs="Arial"/>
          <w:spacing w:val="-10"/>
          <w:sz w:val="18"/>
          <w:szCs w:val="22"/>
        </w:rPr>
        <w:t>−</w:t>
      </w:r>
      <w:r w:rsidR="00C47453">
        <w:rPr>
          <w:rFonts w:ascii="MS Reference Sans Serif" w:hAnsi="MS Reference Sans Serif" w:cs="Shruti"/>
          <w:spacing w:val="-10"/>
          <w:sz w:val="18"/>
          <w:szCs w:val="22"/>
        </w:rPr>
        <w:t>15) for Energex’s 2015</w:t>
      </w:r>
      <w:r w:rsidR="00C47453">
        <w:rPr>
          <w:rFonts w:ascii="Arial" w:hAnsi="Arial" w:cs="Arial"/>
          <w:spacing w:val="-10"/>
          <w:sz w:val="18"/>
          <w:szCs w:val="22"/>
        </w:rPr>
        <w:t>−</w:t>
      </w:r>
      <w:r w:rsidR="00C47453">
        <w:rPr>
          <w:rFonts w:ascii="MS Reference Sans Serif" w:hAnsi="MS Reference Sans Serif" w:cs="Shruti"/>
          <w:spacing w:val="-10"/>
          <w:sz w:val="18"/>
          <w:szCs w:val="22"/>
        </w:rPr>
        <w:t xml:space="preserve">20 </w:t>
      </w:r>
      <w:r w:rsidR="0050296A">
        <w:rPr>
          <w:rFonts w:ascii="MS Reference Sans Serif" w:hAnsi="MS Reference Sans Serif" w:cs="Shruti"/>
          <w:spacing w:val="-10"/>
          <w:sz w:val="18"/>
          <w:szCs w:val="22"/>
        </w:rPr>
        <w:t xml:space="preserve">regulatory </w:t>
      </w:r>
      <w:r w:rsidR="0050296A" w:rsidRPr="00166EF1">
        <w:rPr>
          <w:rFonts w:ascii="MS Reference Sans Serif" w:hAnsi="MS Reference Sans Serif" w:cs="Shruti"/>
          <w:spacing w:val="-10"/>
          <w:sz w:val="18"/>
          <w:szCs w:val="22"/>
        </w:rPr>
        <w:t xml:space="preserve">control </w:t>
      </w:r>
      <w:r w:rsidRPr="00166EF1">
        <w:rPr>
          <w:rFonts w:ascii="MS Reference Sans Serif" w:hAnsi="MS Reference Sans Serif" w:cs="Shruti"/>
          <w:spacing w:val="-10"/>
          <w:sz w:val="18"/>
          <w:szCs w:val="22"/>
        </w:rPr>
        <w:t xml:space="preserve">period or </w:t>
      </w:r>
      <w:r w:rsidR="00C33659" w:rsidRPr="00166EF1">
        <w:rPr>
          <w:rFonts w:ascii="MS Reference Sans Serif" w:hAnsi="MS Reference Sans Serif" w:cs="Shruti"/>
          <w:spacing w:val="-10"/>
          <w:sz w:val="18"/>
          <w:szCs w:val="22"/>
        </w:rPr>
        <w:t>27</w:t>
      </w:r>
      <w:r w:rsidR="000353C2">
        <w:rPr>
          <w:rFonts w:ascii="MS Reference Sans Serif" w:hAnsi="MS Reference Sans Serif" w:cs="Shruti"/>
          <w:spacing w:val="-10"/>
          <w:sz w:val="18"/>
          <w:szCs w:val="22"/>
        </w:rPr>
        <w:t xml:space="preserve"> per cent</w:t>
      </w:r>
      <w:r w:rsidRPr="00166EF1">
        <w:rPr>
          <w:rFonts w:ascii="MS Reference Sans Serif" w:hAnsi="MS Reference Sans Serif" w:cs="Shruti"/>
          <w:spacing w:val="-10"/>
          <w:sz w:val="18"/>
          <w:szCs w:val="22"/>
        </w:rPr>
        <w:t xml:space="preserve"> lower</w:t>
      </w:r>
      <w:r>
        <w:rPr>
          <w:rFonts w:ascii="MS Reference Sans Serif" w:hAnsi="MS Reference Sans Serif" w:cs="Shruti"/>
          <w:spacing w:val="-10"/>
          <w:sz w:val="18"/>
          <w:szCs w:val="22"/>
        </w:rPr>
        <w:t xml:space="preserve"> than Energex’s proposal.</w:t>
      </w:r>
    </w:p>
    <w:p w:rsidR="00B52F8B" w:rsidRDefault="00C47453" w:rsidP="005E197C">
      <w:pPr>
        <w:pStyle w:val="AERfactsheetbodytext"/>
        <w:jc w:val="both"/>
      </w:pPr>
      <w:r>
        <w:t>Energex</w:t>
      </w:r>
      <w:r w:rsidRPr="002C0A83">
        <w:t xml:space="preserve">’s forecast capex includes less expenditure on new assets to grow its network than in previous periods, because of slower demand growth. </w:t>
      </w:r>
      <w:r>
        <w:t>N</w:t>
      </w:r>
      <w:r w:rsidR="00B52F8B">
        <w:t>otwithstanding this reduction, our capex estimate includes lower exp</w:t>
      </w:r>
      <w:r w:rsidR="000A0DB0">
        <w:t>enditure on asset replacement, augmentation (or upgrades)</w:t>
      </w:r>
      <w:r w:rsidR="00B52F8B">
        <w:t xml:space="preserve"> of the network and capitalised overheads like information, communications and technology services. We are satisfied that our estimate will allow Energex to comply with its regulatory obligations and requirements and maintain the safety and reliability of its distr</w:t>
      </w:r>
      <w:r w:rsidR="0050296A">
        <w:t>ibution network</w:t>
      </w:r>
      <w:r w:rsidR="00B52F8B">
        <w:t xml:space="preserve">. </w:t>
      </w:r>
    </w:p>
    <w:p w:rsidR="0067255E" w:rsidRPr="002C0A83" w:rsidRDefault="0067255E" w:rsidP="0067255E">
      <w:pPr>
        <w:pStyle w:val="AERfactsheetbodytext"/>
        <w:rPr>
          <w:rStyle w:val="Strong"/>
        </w:rPr>
      </w:pPr>
      <w:r w:rsidRPr="002C0A83">
        <w:rPr>
          <w:rStyle w:val="Strong"/>
        </w:rPr>
        <w:t xml:space="preserve">AER </w:t>
      </w:r>
      <w:r>
        <w:rPr>
          <w:rStyle w:val="Strong"/>
        </w:rPr>
        <w:t>preliminary</w:t>
      </w:r>
      <w:r w:rsidRPr="002C0A83">
        <w:rPr>
          <w:rStyle w:val="Strong"/>
        </w:rPr>
        <w:t xml:space="preserve"> decision compared to </w:t>
      </w:r>
      <w:r>
        <w:rPr>
          <w:rStyle w:val="Strong"/>
        </w:rPr>
        <w:t>Energex</w:t>
      </w:r>
      <w:r w:rsidRPr="002C0A83">
        <w:rPr>
          <w:rStyle w:val="Strong"/>
        </w:rPr>
        <w:t xml:space="preserve">'s past and proposed capex ($million, </w:t>
      </w:r>
      <w:r w:rsidRPr="00EA72FA">
        <w:rPr>
          <w:rStyle w:val="Strong"/>
        </w:rPr>
        <w:t>2014-15</w:t>
      </w:r>
      <w:r w:rsidRPr="002C0A83">
        <w:rPr>
          <w:rStyle w:val="Strong"/>
        </w:rPr>
        <w:t xml:space="preserve">) </w:t>
      </w:r>
    </w:p>
    <w:p w:rsidR="0067255E" w:rsidRDefault="00960A65" w:rsidP="000E1E87">
      <w:pPr>
        <w:pStyle w:val="AERfactsheetbodytext"/>
        <w:widowControl w:val="0"/>
        <w:jc w:val="both"/>
        <w:rPr>
          <w:rFonts w:ascii="Tunga" w:eastAsia="Times New Roman" w:hAnsi="Tunga" w:cs="Tunga"/>
          <w:b/>
          <w:iCs/>
          <w:color w:val="006A99"/>
          <w:spacing w:val="0"/>
          <w:kern w:val="24"/>
          <w:sz w:val="24"/>
          <w:szCs w:val="24"/>
        </w:rPr>
      </w:pPr>
      <w:r>
        <w:rPr>
          <w:noProof/>
          <w:lang w:eastAsia="en-AU"/>
        </w:rPr>
        <w:drawing>
          <wp:inline distT="0" distB="0" distL="0" distR="0" wp14:anchorId="19C9C42F" wp14:editId="6C780EA5">
            <wp:extent cx="3215005" cy="1939334"/>
            <wp:effectExtent l="0" t="0" r="444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5005" cy="1939334"/>
                    </a:xfrm>
                    <a:prstGeom prst="rect">
                      <a:avLst/>
                    </a:prstGeom>
                    <a:noFill/>
                  </pic:spPr>
                </pic:pic>
              </a:graphicData>
            </a:graphic>
          </wp:inline>
        </w:drawing>
      </w:r>
    </w:p>
    <w:p w:rsidR="00595459" w:rsidRPr="00F762F3" w:rsidRDefault="00595459" w:rsidP="000D2530">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3B2359" w:rsidRPr="00B671F0" w:rsidRDefault="00BF2A12" w:rsidP="005E197C">
      <w:pPr>
        <w:pStyle w:val="AERfactsheetbodytext"/>
        <w:jc w:val="both"/>
      </w:pPr>
      <w:r>
        <w:rPr>
          <w:rStyle w:val="Hyperlink"/>
          <w:color w:val="auto"/>
          <w:u w:val="none"/>
        </w:rPr>
        <w:t xml:space="preserve">Stakeholders may make written submissions on our preliminary decision by </w:t>
      </w:r>
      <w:r w:rsidR="000A7C12">
        <w:rPr>
          <w:rStyle w:val="Hyperlink"/>
          <w:color w:val="auto"/>
          <w:u w:val="none"/>
        </w:rPr>
        <w:t>3</w:t>
      </w:r>
      <w:r>
        <w:rPr>
          <w:rStyle w:val="Hyperlink"/>
          <w:color w:val="auto"/>
          <w:u w:val="none"/>
        </w:rPr>
        <w:t xml:space="preserve"> July 2015. </w:t>
      </w:r>
      <w:r w:rsidR="00C34B06" w:rsidRPr="00D52BA7">
        <w:rPr>
          <w:rStyle w:val="Hyperlink"/>
          <w:color w:val="auto"/>
          <w:u w:val="none"/>
        </w:rPr>
        <w:t>Energex</w:t>
      </w:r>
      <w:r w:rsidR="000D3B8F" w:rsidRPr="00D52BA7">
        <w:t xml:space="preserve"> </w:t>
      </w:r>
      <w:r w:rsidR="00DC27B8" w:rsidRPr="00D52BA7">
        <w:t xml:space="preserve">may submit a revised proposal in response to our </w:t>
      </w:r>
      <w:r w:rsidR="00A274AF" w:rsidRPr="00D52BA7">
        <w:t>preliminary</w:t>
      </w:r>
      <w:r>
        <w:t xml:space="preserve"> decision also by </w:t>
      </w:r>
      <w:r w:rsidR="000A7C12">
        <w:t>3</w:t>
      </w:r>
      <w:r>
        <w:t xml:space="preserve"> July 2015</w:t>
      </w:r>
      <w:r w:rsidR="00DC27B8" w:rsidRPr="00D52BA7">
        <w:t xml:space="preserve">. Stakeholders will </w:t>
      </w:r>
      <w:r>
        <w:t xml:space="preserve">then have until 24 July 2015 to make submissions on Energex’s revised proposal. Our final decision is due for release by 31 October 2015. </w:t>
      </w:r>
    </w:p>
    <w:p w:rsidR="00CA4074" w:rsidRDefault="00DC27B8" w:rsidP="005E197C">
      <w:pPr>
        <w:pStyle w:val="AERfactsheetbodytext"/>
        <w:widowControl w:val="0"/>
        <w:jc w:val="both"/>
        <w:rPr>
          <w:rStyle w:val="Hyperlink"/>
        </w:rPr>
      </w:pPr>
      <w:r w:rsidRPr="00B671F0">
        <w:t xml:space="preserve">More information on </w:t>
      </w:r>
      <w:r w:rsidR="00C34B06">
        <w:t>Energex</w:t>
      </w:r>
      <w:r w:rsidRPr="00B671F0">
        <w:t xml:space="preserve">’s proposal, our </w:t>
      </w:r>
      <w:r w:rsidR="00A274AF">
        <w:t>preliminary</w:t>
      </w:r>
      <w:r w:rsidRPr="00B671F0">
        <w:t xml:space="preserve"> decision, and how to make a submission </w:t>
      </w:r>
      <w:r w:rsidR="00B52F8B">
        <w:t xml:space="preserve">can be found on </w:t>
      </w:r>
      <w:r w:rsidRPr="00B671F0">
        <w:t xml:space="preserve">our website: </w:t>
      </w:r>
      <w:hyperlink r:id="rId16" w:history="1">
        <w:r w:rsidRPr="00365950">
          <w:rPr>
            <w:rStyle w:val="Hyperlink"/>
          </w:rPr>
          <w:t>www.aer.gov.au</w:t>
        </w:r>
      </w:hyperlink>
      <w:r>
        <w:rPr>
          <w:rStyle w:val="Hyperlink"/>
        </w:rPr>
        <w:t>.</w:t>
      </w:r>
    </w:p>
    <w:sectPr w:rsidR="00CA4074"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 w:id="1">
    <w:p w:rsidR="00871E1E" w:rsidRPr="00871E1E" w:rsidRDefault="00871E1E" w:rsidP="005E197C">
      <w:pPr>
        <w:pStyle w:val="EndnoteText"/>
        <w:jc w:val="both"/>
        <w:rPr>
          <w:rFonts w:ascii="MS Reference Sans Serif" w:hAnsi="MS Reference Sans Serif"/>
          <w:sz w:val="16"/>
          <w:szCs w:val="16"/>
        </w:rPr>
      </w:pPr>
      <w:r>
        <w:rPr>
          <w:rStyle w:val="EndnoteReference"/>
        </w:rPr>
        <w:endnoteRef/>
      </w:r>
      <w:r>
        <w:t xml:space="preserve"> </w:t>
      </w:r>
      <w:r w:rsidRPr="000353C2">
        <w:rPr>
          <w:rFonts w:asciiTheme="minorHAnsi" w:hAnsiTheme="minorHAnsi"/>
          <w:sz w:val="16"/>
          <w:szCs w:val="16"/>
        </w:rPr>
        <w:t>The rate of return that Energex included in its proposal is an indicative value. Its proposal included provision for the AER to adjust this value based on updated information that was not available when Energex submitted its regulatory proposal. More information on the rate of return can be found in our Rate of Return Fact Sheet.</w:t>
      </w:r>
      <w:r w:rsidRPr="00871E1E">
        <w:rPr>
          <w:rFonts w:ascii="MS Reference Sans Serif" w:hAnsi="MS Reference Sans Serif"/>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FD" w:rsidRDefault="005A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electricity 2015-20 resets\Energex\Prelim decision - Public\Media release and fact sheets\AER - Preliminary decision Energex distribution determination - factsheet - April 2015.docx"/>
  </w:docVars>
  <w:rsids>
    <w:rsidRoot w:val="00021F03"/>
    <w:rsid w:val="00012AC9"/>
    <w:rsid w:val="00014437"/>
    <w:rsid w:val="000173D5"/>
    <w:rsid w:val="000175A4"/>
    <w:rsid w:val="000211A7"/>
    <w:rsid w:val="00021F03"/>
    <w:rsid w:val="00022077"/>
    <w:rsid w:val="00025FB1"/>
    <w:rsid w:val="00027076"/>
    <w:rsid w:val="00033439"/>
    <w:rsid w:val="000353C2"/>
    <w:rsid w:val="00035993"/>
    <w:rsid w:val="000437AC"/>
    <w:rsid w:val="000454A0"/>
    <w:rsid w:val="000466AF"/>
    <w:rsid w:val="00057D2B"/>
    <w:rsid w:val="00064272"/>
    <w:rsid w:val="00073789"/>
    <w:rsid w:val="000742B2"/>
    <w:rsid w:val="0007657B"/>
    <w:rsid w:val="00076AAB"/>
    <w:rsid w:val="00082625"/>
    <w:rsid w:val="00084C36"/>
    <w:rsid w:val="000864DB"/>
    <w:rsid w:val="00097937"/>
    <w:rsid w:val="000A0DB0"/>
    <w:rsid w:val="000A13A8"/>
    <w:rsid w:val="000A3CF4"/>
    <w:rsid w:val="000A7C12"/>
    <w:rsid w:val="000B05F7"/>
    <w:rsid w:val="000C025A"/>
    <w:rsid w:val="000C07AD"/>
    <w:rsid w:val="000C712D"/>
    <w:rsid w:val="000D2530"/>
    <w:rsid w:val="000D3B8F"/>
    <w:rsid w:val="000D4524"/>
    <w:rsid w:val="000D4877"/>
    <w:rsid w:val="000E1E87"/>
    <w:rsid w:val="000E2D55"/>
    <w:rsid w:val="000E4995"/>
    <w:rsid w:val="000E50A8"/>
    <w:rsid w:val="000F75F1"/>
    <w:rsid w:val="0010059A"/>
    <w:rsid w:val="00100E7B"/>
    <w:rsid w:val="0010549E"/>
    <w:rsid w:val="00113361"/>
    <w:rsid w:val="0011527B"/>
    <w:rsid w:val="001152BD"/>
    <w:rsid w:val="001152E2"/>
    <w:rsid w:val="00117167"/>
    <w:rsid w:val="00130988"/>
    <w:rsid w:val="00130DB2"/>
    <w:rsid w:val="00131521"/>
    <w:rsid w:val="00131C78"/>
    <w:rsid w:val="00134644"/>
    <w:rsid w:val="001364E9"/>
    <w:rsid w:val="00140E1A"/>
    <w:rsid w:val="00140E62"/>
    <w:rsid w:val="00142B21"/>
    <w:rsid w:val="00144296"/>
    <w:rsid w:val="0016071A"/>
    <w:rsid w:val="00161050"/>
    <w:rsid w:val="00161423"/>
    <w:rsid w:val="00163E50"/>
    <w:rsid w:val="0016401A"/>
    <w:rsid w:val="00166EF1"/>
    <w:rsid w:val="00170E1B"/>
    <w:rsid w:val="00177190"/>
    <w:rsid w:val="00180ECE"/>
    <w:rsid w:val="00193770"/>
    <w:rsid w:val="00193867"/>
    <w:rsid w:val="00194A45"/>
    <w:rsid w:val="001A041D"/>
    <w:rsid w:val="001A231A"/>
    <w:rsid w:val="001A23C5"/>
    <w:rsid w:val="001A3711"/>
    <w:rsid w:val="001A3D6B"/>
    <w:rsid w:val="001A49DA"/>
    <w:rsid w:val="001A5BC1"/>
    <w:rsid w:val="001B10C7"/>
    <w:rsid w:val="001B2A48"/>
    <w:rsid w:val="001B5680"/>
    <w:rsid w:val="001C00E4"/>
    <w:rsid w:val="001C2482"/>
    <w:rsid w:val="001C6507"/>
    <w:rsid w:val="001C7EA5"/>
    <w:rsid w:val="001D3D87"/>
    <w:rsid w:val="001D49FD"/>
    <w:rsid w:val="001E42DA"/>
    <w:rsid w:val="001F15F8"/>
    <w:rsid w:val="001F2550"/>
    <w:rsid w:val="00206513"/>
    <w:rsid w:val="002106B5"/>
    <w:rsid w:val="00211FD6"/>
    <w:rsid w:val="00216967"/>
    <w:rsid w:val="00223084"/>
    <w:rsid w:val="00225391"/>
    <w:rsid w:val="0022594B"/>
    <w:rsid w:val="002271BA"/>
    <w:rsid w:val="0023200B"/>
    <w:rsid w:val="00234EA7"/>
    <w:rsid w:val="00235775"/>
    <w:rsid w:val="00235852"/>
    <w:rsid w:val="00235EBD"/>
    <w:rsid w:val="00236E3C"/>
    <w:rsid w:val="00240C5B"/>
    <w:rsid w:val="002425E7"/>
    <w:rsid w:val="002426F1"/>
    <w:rsid w:val="00244D7A"/>
    <w:rsid w:val="00245AD1"/>
    <w:rsid w:val="00257B6D"/>
    <w:rsid w:val="00260768"/>
    <w:rsid w:val="00263811"/>
    <w:rsid w:val="00266275"/>
    <w:rsid w:val="00285C21"/>
    <w:rsid w:val="002942E5"/>
    <w:rsid w:val="002952EB"/>
    <w:rsid w:val="00295698"/>
    <w:rsid w:val="002A0E6A"/>
    <w:rsid w:val="002A473F"/>
    <w:rsid w:val="002B5A61"/>
    <w:rsid w:val="002B7BBC"/>
    <w:rsid w:val="002C0A83"/>
    <w:rsid w:val="002C4380"/>
    <w:rsid w:val="002C451E"/>
    <w:rsid w:val="002D0A13"/>
    <w:rsid w:val="002E328E"/>
    <w:rsid w:val="002E3F5B"/>
    <w:rsid w:val="002E57B4"/>
    <w:rsid w:val="002E7F4D"/>
    <w:rsid w:val="002F5CD2"/>
    <w:rsid w:val="002F62A0"/>
    <w:rsid w:val="00302FC9"/>
    <w:rsid w:val="00305687"/>
    <w:rsid w:val="003118DF"/>
    <w:rsid w:val="0031269F"/>
    <w:rsid w:val="00320979"/>
    <w:rsid w:val="003224AC"/>
    <w:rsid w:val="00327E8A"/>
    <w:rsid w:val="00331F64"/>
    <w:rsid w:val="00333650"/>
    <w:rsid w:val="003408CD"/>
    <w:rsid w:val="00342DB1"/>
    <w:rsid w:val="00346F63"/>
    <w:rsid w:val="00346F85"/>
    <w:rsid w:val="00354991"/>
    <w:rsid w:val="00355463"/>
    <w:rsid w:val="00356833"/>
    <w:rsid w:val="00360C93"/>
    <w:rsid w:val="00363D63"/>
    <w:rsid w:val="00365A4D"/>
    <w:rsid w:val="003851C0"/>
    <w:rsid w:val="00385BB9"/>
    <w:rsid w:val="003861C5"/>
    <w:rsid w:val="003870D8"/>
    <w:rsid w:val="003876E1"/>
    <w:rsid w:val="00390127"/>
    <w:rsid w:val="00391B7D"/>
    <w:rsid w:val="00392D55"/>
    <w:rsid w:val="003A2EB7"/>
    <w:rsid w:val="003A683A"/>
    <w:rsid w:val="003B202F"/>
    <w:rsid w:val="003B2359"/>
    <w:rsid w:val="003B46EA"/>
    <w:rsid w:val="003D1BCE"/>
    <w:rsid w:val="003F527A"/>
    <w:rsid w:val="00404570"/>
    <w:rsid w:val="00420648"/>
    <w:rsid w:val="00422BE8"/>
    <w:rsid w:val="0042329B"/>
    <w:rsid w:val="004310E5"/>
    <w:rsid w:val="00431C84"/>
    <w:rsid w:val="004407B3"/>
    <w:rsid w:val="00441A76"/>
    <w:rsid w:val="004429B7"/>
    <w:rsid w:val="00446186"/>
    <w:rsid w:val="0045172C"/>
    <w:rsid w:val="004548EF"/>
    <w:rsid w:val="004579EB"/>
    <w:rsid w:val="00457E3A"/>
    <w:rsid w:val="00474754"/>
    <w:rsid w:val="00483901"/>
    <w:rsid w:val="004842F6"/>
    <w:rsid w:val="004971B8"/>
    <w:rsid w:val="004A08FC"/>
    <w:rsid w:val="004A5A86"/>
    <w:rsid w:val="004A6F3A"/>
    <w:rsid w:val="004B0368"/>
    <w:rsid w:val="004B40E2"/>
    <w:rsid w:val="004B680E"/>
    <w:rsid w:val="004C029B"/>
    <w:rsid w:val="004C0E3D"/>
    <w:rsid w:val="004C1027"/>
    <w:rsid w:val="004C19B8"/>
    <w:rsid w:val="004C2E85"/>
    <w:rsid w:val="004C3EF6"/>
    <w:rsid w:val="004C5F9A"/>
    <w:rsid w:val="004D1DC0"/>
    <w:rsid w:val="004D1FEB"/>
    <w:rsid w:val="004D52BB"/>
    <w:rsid w:val="004E03D0"/>
    <w:rsid w:val="004E0FF6"/>
    <w:rsid w:val="004E1208"/>
    <w:rsid w:val="004E1E2E"/>
    <w:rsid w:val="004E4F29"/>
    <w:rsid w:val="004E5204"/>
    <w:rsid w:val="004F139D"/>
    <w:rsid w:val="0050296A"/>
    <w:rsid w:val="00502E7D"/>
    <w:rsid w:val="0050430D"/>
    <w:rsid w:val="005064D7"/>
    <w:rsid w:val="00511B82"/>
    <w:rsid w:val="00513FFD"/>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82E9E"/>
    <w:rsid w:val="0058422A"/>
    <w:rsid w:val="00585B4E"/>
    <w:rsid w:val="005936A7"/>
    <w:rsid w:val="00595459"/>
    <w:rsid w:val="005A1CBA"/>
    <w:rsid w:val="005A26FD"/>
    <w:rsid w:val="005A468C"/>
    <w:rsid w:val="005A5E2A"/>
    <w:rsid w:val="005B07A5"/>
    <w:rsid w:val="005B6DAC"/>
    <w:rsid w:val="005C144C"/>
    <w:rsid w:val="005C2225"/>
    <w:rsid w:val="005D2EBB"/>
    <w:rsid w:val="005D66B5"/>
    <w:rsid w:val="005D69ED"/>
    <w:rsid w:val="005E0762"/>
    <w:rsid w:val="005E197C"/>
    <w:rsid w:val="005E1E92"/>
    <w:rsid w:val="005E2E25"/>
    <w:rsid w:val="005E3842"/>
    <w:rsid w:val="005E4018"/>
    <w:rsid w:val="005F2DC5"/>
    <w:rsid w:val="005F4DFA"/>
    <w:rsid w:val="006030C0"/>
    <w:rsid w:val="0061155D"/>
    <w:rsid w:val="00617335"/>
    <w:rsid w:val="006204C6"/>
    <w:rsid w:val="006246A9"/>
    <w:rsid w:val="006265AD"/>
    <w:rsid w:val="00637A50"/>
    <w:rsid w:val="0064571A"/>
    <w:rsid w:val="00650D15"/>
    <w:rsid w:val="00652BED"/>
    <w:rsid w:val="006564F0"/>
    <w:rsid w:val="00661A9B"/>
    <w:rsid w:val="00662BB4"/>
    <w:rsid w:val="00664010"/>
    <w:rsid w:val="0066415A"/>
    <w:rsid w:val="006658A5"/>
    <w:rsid w:val="006710DB"/>
    <w:rsid w:val="006721DC"/>
    <w:rsid w:val="0067255E"/>
    <w:rsid w:val="00681CA2"/>
    <w:rsid w:val="00684BCF"/>
    <w:rsid w:val="0069021E"/>
    <w:rsid w:val="006943A2"/>
    <w:rsid w:val="00697FF1"/>
    <w:rsid w:val="006A07F6"/>
    <w:rsid w:val="006B1A2B"/>
    <w:rsid w:val="006B322A"/>
    <w:rsid w:val="006B39DB"/>
    <w:rsid w:val="006B52B4"/>
    <w:rsid w:val="006B6050"/>
    <w:rsid w:val="006B73DD"/>
    <w:rsid w:val="006C16F4"/>
    <w:rsid w:val="006C4CC5"/>
    <w:rsid w:val="006D0E7F"/>
    <w:rsid w:val="006D137A"/>
    <w:rsid w:val="006D5C4C"/>
    <w:rsid w:val="006D63E8"/>
    <w:rsid w:val="006E2F2F"/>
    <w:rsid w:val="006F1847"/>
    <w:rsid w:val="006F2E4F"/>
    <w:rsid w:val="006F47BA"/>
    <w:rsid w:val="00701628"/>
    <w:rsid w:val="00702500"/>
    <w:rsid w:val="00704EDA"/>
    <w:rsid w:val="007101C1"/>
    <w:rsid w:val="007132F5"/>
    <w:rsid w:val="00722466"/>
    <w:rsid w:val="00726CCA"/>
    <w:rsid w:val="00731173"/>
    <w:rsid w:val="007325CC"/>
    <w:rsid w:val="00742DF1"/>
    <w:rsid w:val="00751069"/>
    <w:rsid w:val="00753DF7"/>
    <w:rsid w:val="00754FD0"/>
    <w:rsid w:val="00761697"/>
    <w:rsid w:val="00776ACC"/>
    <w:rsid w:val="007853FF"/>
    <w:rsid w:val="00785986"/>
    <w:rsid w:val="00792075"/>
    <w:rsid w:val="00792091"/>
    <w:rsid w:val="00792BC5"/>
    <w:rsid w:val="00794A3A"/>
    <w:rsid w:val="007952B3"/>
    <w:rsid w:val="007A0EEB"/>
    <w:rsid w:val="007A1104"/>
    <w:rsid w:val="007A6497"/>
    <w:rsid w:val="007A7B70"/>
    <w:rsid w:val="007B591B"/>
    <w:rsid w:val="007B6947"/>
    <w:rsid w:val="007C2B2C"/>
    <w:rsid w:val="007C3C57"/>
    <w:rsid w:val="007C5329"/>
    <w:rsid w:val="007C54FB"/>
    <w:rsid w:val="007C6152"/>
    <w:rsid w:val="007D4099"/>
    <w:rsid w:val="007E0179"/>
    <w:rsid w:val="007F437A"/>
    <w:rsid w:val="007F7B29"/>
    <w:rsid w:val="00807259"/>
    <w:rsid w:val="00815B7E"/>
    <w:rsid w:val="00823290"/>
    <w:rsid w:val="0082631D"/>
    <w:rsid w:val="008472A8"/>
    <w:rsid w:val="0085345D"/>
    <w:rsid w:val="008535C7"/>
    <w:rsid w:val="00856D44"/>
    <w:rsid w:val="00865AD3"/>
    <w:rsid w:val="008665CD"/>
    <w:rsid w:val="0087003A"/>
    <w:rsid w:val="00871903"/>
    <w:rsid w:val="00871E1E"/>
    <w:rsid w:val="00877259"/>
    <w:rsid w:val="00877A69"/>
    <w:rsid w:val="00880946"/>
    <w:rsid w:val="00893B2B"/>
    <w:rsid w:val="008A0F39"/>
    <w:rsid w:val="008A1608"/>
    <w:rsid w:val="008A2314"/>
    <w:rsid w:val="008A7F44"/>
    <w:rsid w:val="008B28DF"/>
    <w:rsid w:val="008B33C3"/>
    <w:rsid w:val="008B3DF3"/>
    <w:rsid w:val="008B4DBF"/>
    <w:rsid w:val="008C1F2D"/>
    <w:rsid w:val="008C1F3B"/>
    <w:rsid w:val="008C32AF"/>
    <w:rsid w:val="008C5688"/>
    <w:rsid w:val="008C5689"/>
    <w:rsid w:val="008D1861"/>
    <w:rsid w:val="008D2A86"/>
    <w:rsid w:val="008D722A"/>
    <w:rsid w:val="008E0A6B"/>
    <w:rsid w:val="008F6C14"/>
    <w:rsid w:val="009032EB"/>
    <w:rsid w:val="00916002"/>
    <w:rsid w:val="0092057B"/>
    <w:rsid w:val="00921442"/>
    <w:rsid w:val="0092218F"/>
    <w:rsid w:val="00922AE8"/>
    <w:rsid w:val="00927EAE"/>
    <w:rsid w:val="00930D72"/>
    <w:rsid w:val="0093250A"/>
    <w:rsid w:val="00935936"/>
    <w:rsid w:val="00935CAA"/>
    <w:rsid w:val="00937101"/>
    <w:rsid w:val="009462FA"/>
    <w:rsid w:val="00960A65"/>
    <w:rsid w:val="00960E54"/>
    <w:rsid w:val="009612A1"/>
    <w:rsid w:val="00963F5A"/>
    <w:rsid w:val="00974FE1"/>
    <w:rsid w:val="00993D60"/>
    <w:rsid w:val="009A2BB4"/>
    <w:rsid w:val="009A36FA"/>
    <w:rsid w:val="009A702D"/>
    <w:rsid w:val="009B2454"/>
    <w:rsid w:val="009B26BA"/>
    <w:rsid w:val="009B3201"/>
    <w:rsid w:val="009B4D12"/>
    <w:rsid w:val="009B60B7"/>
    <w:rsid w:val="009B6DEB"/>
    <w:rsid w:val="009C0036"/>
    <w:rsid w:val="009D246A"/>
    <w:rsid w:val="009D2CBF"/>
    <w:rsid w:val="009D3F78"/>
    <w:rsid w:val="009E0E68"/>
    <w:rsid w:val="009E7CD2"/>
    <w:rsid w:val="009F2A09"/>
    <w:rsid w:val="009F664C"/>
    <w:rsid w:val="009F6F78"/>
    <w:rsid w:val="009F6FCF"/>
    <w:rsid w:val="009F75AB"/>
    <w:rsid w:val="009F7619"/>
    <w:rsid w:val="00A010CF"/>
    <w:rsid w:val="00A02015"/>
    <w:rsid w:val="00A02437"/>
    <w:rsid w:val="00A0352C"/>
    <w:rsid w:val="00A13058"/>
    <w:rsid w:val="00A1351A"/>
    <w:rsid w:val="00A16F47"/>
    <w:rsid w:val="00A17707"/>
    <w:rsid w:val="00A20962"/>
    <w:rsid w:val="00A20B7E"/>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603AC"/>
    <w:rsid w:val="00A62140"/>
    <w:rsid w:val="00A805D8"/>
    <w:rsid w:val="00A93E42"/>
    <w:rsid w:val="00A940F1"/>
    <w:rsid w:val="00A95A1E"/>
    <w:rsid w:val="00A95AD6"/>
    <w:rsid w:val="00A964D1"/>
    <w:rsid w:val="00AA1677"/>
    <w:rsid w:val="00AA3341"/>
    <w:rsid w:val="00AA408F"/>
    <w:rsid w:val="00AA4694"/>
    <w:rsid w:val="00AA7208"/>
    <w:rsid w:val="00AB2954"/>
    <w:rsid w:val="00AC0236"/>
    <w:rsid w:val="00AC0B2B"/>
    <w:rsid w:val="00AC2166"/>
    <w:rsid w:val="00AC5FBF"/>
    <w:rsid w:val="00AD2EBC"/>
    <w:rsid w:val="00AD53EF"/>
    <w:rsid w:val="00AE1A2A"/>
    <w:rsid w:val="00AE4C05"/>
    <w:rsid w:val="00AE5222"/>
    <w:rsid w:val="00AE5F05"/>
    <w:rsid w:val="00AF076F"/>
    <w:rsid w:val="00B0183D"/>
    <w:rsid w:val="00B2084F"/>
    <w:rsid w:val="00B221EC"/>
    <w:rsid w:val="00B237E5"/>
    <w:rsid w:val="00B3667B"/>
    <w:rsid w:val="00B36F51"/>
    <w:rsid w:val="00B4272E"/>
    <w:rsid w:val="00B4379E"/>
    <w:rsid w:val="00B52F8B"/>
    <w:rsid w:val="00B54743"/>
    <w:rsid w:val="00B54816"/>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A0682"/>
    <w:rsid w:val="00BA3177"/>
    <w:rsid w:val="00BA42E7"/>
    <w:rsid w:val="00BB5A5D"/>
    <w:rsid w:val="00BB6ACB"/>
    <w:rsid w:val="00BB7E86"/>
    <w:rsid w:val="00BB7E90"/>
    <w:rsid w:val="00BC450B"/>
    <w:rsid w:val="00BC47C6"/>
    <w:rsid w:val="00BD076A"/>
    <w:rsid w:val="00BD5AB6"/>
    <w:rsid w:val="00BE470F"/>
    <w:rsid w:val="00BE5708"/>
    <w:rsid w:val="00BE5A7F"/>
    <w:rsid w:val="00BF24CD"/>
    <w:rsid w:val="00BF2A12"/>
    <w:rsid w:val="00BF463A"/>
    <w:rsid w:val="00BF5D39"/>
    <w:rsid w:val="00C0165F"/>
    <w:rsid w:val="00C034EE"/>
    <w:rsid w:val="00C039EB"/>
    <w:rsid w:val="00C059E5"/>
    <w:rsid w:val="00C11E06"/>
    <w:rsid w:val="00C12C1F"/>
    <w:rsid w:val="00C13A11"/>
    <w:rsid w:val="00C162C3"/>
    <w:rsid w:val="00C258B0"/>
    <w:rsid w:val="00C31B03"/>
    <w:rsid w:val="00C33659"/>
    <w:rsid w:val="00C34B06"/>
    <w:rsid w:val="00C410E6"/>
    <w:rsid w:val="00C410F4"/>
    <w:rsid w:val="00C47453"/>
    <w:rsid w:val="00C5335F"/>
    <w:rsid w:val="00C604E8"/>
    <w:rsid w:val="00C70125"/>
    <w:rsid w:val="00C71947"/>
    <w:rsid w:val="00C722CD"/>
    <w:rsid w:val="00C73523"/>
    <w:rsid w:val="00C76528"/>
    <w:rsid w:val="00C81134"/>
    <w:rsid w:val="00C866CD"/>
    <w:rsid w:val="00C87AC3"/>
    <w:rsid w:val="00C919E6"/>
    <w:rsid w:val="00C92E99"/>
    <w:rsid w:val="00C93D3E"/>
    <w:rsid w:val="00C949E3"/>
    <w:rsid w:val="00C95BF3"/>
    <w:rsid w:val="00C97E4C"/>
    <w:rsid w:val="00CA0863"/>
    <w:rsid w:val="00CA171E"/>
    <w:rsid w:val="00CA33A6"/>
    <w:rsid w:val="00CA4074"/>
    <w:rsid w:val="00CA4673"/>
    <w:rsid w:val="00CB3718"/>
    <w:rsid w:val="00CB3B02"/>
    <w:rsid w:val="00CD4560"/>
    <w:rsid w:val="00CE16B5"/>
    <w:rsid w:val="00CF228C"/>
    <w:rsid w:val="00CF3FBE"/>
    <w:rsid w:val="00CF44C4"/>
    <w:rsid w:val="00CF5427"/>
    <w:rsid w:val="00D015A2"/>
    <w:rsid w:val="00D02EF5"/>
    <w:rsid w:val="00D04E24"/>
    <w:rsid w:val="00D068AD"/>
    <w:rsid w:val="00D0705E"/>
    <w:rsid w:val="00D113E9"/>
    <w:rsid w:val="00D17B7C"/>
    <w:rsid w:val="00D202AC"/>
    <w:rsid w:val="00D23092"/>
    <w:rsid w:val="00D23CBD"/>
    <w:rsid w:val="00D25B65"/>
    <w:rsid w:val="00D30B52"/>
    <w:rsid w:val="00D403E1"/>
    <w:rsid w:val="00D40D57"/>
    <w:rsid w:val="00D421A7"/>
    <w:rsid w:val="00D52BA7"/>
    <w:rsid w:val="00D53B60"/>
    <w:rsid w:val="00D53ED7"/>
    <w:rsid w:val="00D5558F"/>
    <w:rsid w:val="00D561CF"/>
    <w:rsid w:val="00D61CE8"/>
    <w:rsid w:val="00D67257"/>
    <w:rsid w:val="00D74296"/>
    <w:rsid w:val="00D94B4D"/>
    <w:rsid w:val="00DA03CB"/>
    <w:rsid w:val="00DA1E63"/>
    <w:rsid w:val="00DA2F78"/>
    <w:rsid w:val="00DA34C6"/>
    <w:rsid w:val="00DA4F7E"/>
    <w:rsid w:val="00DA69C9"/>
    <w:rsid w:val="00DA7AD5"/>
    <w:rsid w:val="00DB74EF"/>
    <w:rsid w:val="00DC20AA"/>
    <w:rsid w:val="00DC27B8"/>
    <w:rsid w:val="00DC5F2B"/>
    <w:rsid w:val="00DC7296"/>
    <w:rsid w:val="00DD18BD"/>
    <w:rsid w:val="00DD5448"/>
    <w:rsid w:val="00DD7D2E"/>
    <w:rsid w:val="00DE12B1"/>
    <w:rsid w:val="00DE54CB"/>
    <w:rsid w:val="00DE5EEE"/>
    <w:rsid w:val="00DF28BC"/>
    <w:rsid w:val="00DF7134"/>
    <w:rsid w:val="00E02013"/>
    <w:rsid w:val="00E0500A"/>
    <w:rsid w:val="00E0551D"/>
    <w:rsid w:val="00E1275F"/>
    <w:rsid w:val="00E16101"/>
    <w:rsid w:val="00E26825"/>
    <w:rsid w:val="00E273E5"/>
    <w:rsid w:val="00E32544"/>
    <w:rsid w:val="00E342E9"/>
    <w:rsid w:val="00E3560F"/>
    <w:rsid w:val="00E36170"/>
    <w:rsid w:val="00E4284F"/>
    <w:rsid w:val="00E43302"/>
    <w:rsid w:val="00E472EA"/>
    <w:rsid w:val="00E51A4A"/>
    <w:rsid w:val="00E54B7A"/>
    <w:rsid w:val="00E55E88"/>
    <w:rsid w:val="00E61AE2"/>
    <w:rsid w:val="00E63B8E"/>
    <w:rsid w:val="00E67143"/>
    <w:rsid w:val="00E673A3"/>
    <w:rsid w:val="00E674FC"/>
    <w:rsid w:val="00E679DD"/>
    <w:rsid w:val="00E86ED3"/>
    <w:rsid w:val="00E8783E"/>
    <w:rsid w:val="00E91EBB"/>
    <w:rsid w:val="00E939E0"/>
    <w:rsid w:val="00EA61F6"/>
    <w:rsid w:val="00EA72FA"/>
    <w:rsid w:val="00EC0CD5"/>
    <w:rsid w:val="00EC1F29"/>
    <w:rsid w:val="00EC43B5"/>
    <w:rsid w:val="00EC50E9"/>
    <w:rsid w:val="00ED6886"/>
    <w:rsid w:val="00EE1BA4"/>
    <w:rsid w:val="00EE2A87"/>
    <w:rsid w:val="00EF1802"/>
    <w:rsid w:val="00EF2D77"/>
    <w:rsid w:val="00EF4789"/>
    <w:rsid w:val="00EF5B47"/>
    <w:rsid w:val="00EF68F5"/>
    <w:rsid w:val="00F06A11"/>
    <w:rsid w:val="00F0776A"/>
    <w:rsid w:val="00F1050B"/>
    <w:rsid w:val="00F12886"/>
    <w:rsid w:val="00F12DB4"/>
    <w:rsid w:val="00F13827"/>
    <w:rsid w:val="00F17869"/>
    <w:rsid w:val="00F209E0"/>
    <w:rsid w:val="00F26297"/>
    <w:rsid w:val="00F27ABE"/>
    <w:rsid w:val="00F31EAA"/>
    <w:rsid w:val="00F44A65"/>
    <w:rsid w:val="00F4505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91200"/>
    <w:rsid w:val="00F91C7B"/>
    <w:rsid w:val="00F924B4"/>
    <w:rsid w:val="00F943EE"/>
    <w:rsid w:val="00FA406F"/>
    <w:rsid w:val="00FB1910"/>
    <w:rsid w:val="00FB7D9A"/>
    <w:rsid w:val="00FC5AB0"/>
    <w:rsid w:val="00FD29ED"/>
    <w:rsid w:val="00FD34FF"/>
    <w:rsid w:val="00FD5F29"/>
    <w:rsid w:val="00FD6465"/>
    <w:rsid w:val="00FE03E9"/>
    <w:rsid w:val="00FE30E8"/>
    <w:rsid w:val="00FE7F4D"/>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FD29ED"/>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D29ED"/>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FD29ED"/>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FD29ED"/>
    <w:rPr>
      <w:vertAlign w:val="superscript"/>
    </w:rPr>
  </w:style>
  <w:style w:type="paragraph" w:styleId="ListBullet">
    <w:name w:val="List Bullet"/>
    <w:basedOn w:val="Normal"/>
    <w:uiPriority w:val="99"/>
    <w:semiHidden/>
    <w:unhideWhenUsed/>
    <w:rsid w:val="00FD29ED"/>
    <w:pPr>
      <w:ind w:left="360" w:hanging="360"/>
      <w:contextualSpacing/>
    </w:pPr>
  </w:style>
  <w:style w:type="paragraph" w:styleId="EndnoteText">
    <w:name w:val="endnote text"/>
    <w:basedOn w:val="Normal"/>
    <w:link w:val="EndnoteTextChar"/>
    <w:uiPriority w:val="99"/>
    <w:semiHidden/>
    <w:unhideWhenUsed/>
    <w:rsid w:val="00871E1E"/>
  </w:style>
  <w:style w:type="character" w:customStyle="1" w:styleId="EndnoteTextChar">
    <w:name w:val="Endnote Text Char"/>
    <w:basedOn w:val="DefaultParagraphFont"/>
    <w:link w:val="EndnoteText"/>
    <w:uiPriority w:val="99"/>
    <w:semiHidden/>
    <w:rsid w:val="00871E1E"/>
  </w:style>
  <w:style w:type="character" w:styleId="EndnoteReference">
    <w:name w:val="endnote reference"/>
    <w:basedOn w:val="DefaultParagraphFont"/>
    <w:uiPriority w:val="99"/>
    <w:semiHidden/>
    <w:unhideWhenUsed/>
    <w:rsid w:val="00871E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FD29ED"/>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D29ED"/>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FD29ED"/>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FD29ED"/>
    <w:rPr>
      <w:vertAlign w:val="superscript"/>
    </w:rPr>
  </w:style>
  <w:style w:type="paragraph" w:styleId="ListBullet">
    <w:name w:val="List Bullet"/>
    <w:basedOn w:val="Normal"/>
    <w:uiPriority w:val="99"/>
    <w:semiHidden/>
    <w:unhideWhenUsed/>
    <w:rsid w:val="00FD29ED"/>
    <w:pPr>
      <w:ind w:left="360" w:hanging="360"/>
      <w:contextualSpacing/>
    </w:pPr>
  </w:style>
  <w:style w:type="paragraph" w:styleId="EndnoteText">
    <w:name w:val="endnote text"/>
    <w:basedOn w:val="Normal"/>
    <w:link w:val="EndnoteTextChar"/>
    <w:uiPriority w:val="99"/>
    <w:semiHidden/>
    <w:unhideWhenUsed/>
    <w:rsid w:val="00871E1E"/>
  </w:style>
  <w:style w:type="character" w:customStyle="1" w:styleId="EndnoteTextChar">
    <w:name w:val="Endnote Text Char"/>
    <w:basedOn w:val="DefaultParagraphFont"/>
    <w:link w:val="EndnoteText"/>
    <w:uiPriority w:val="99"/>
    <w:semiHidden/>
    <w:rsid w:val="00871E1E"/>
  </w:style>
  <w:style w:type="character" w:styleId="EndnoteReference">
    <w:name w:val="endnote reference"/>
    <w:basedOn w:val="DefaultParagraphFont"/>
    <w:uiPriority w:val="99"/>
    <w:semiHidden/>
    <w:unhideWhenUsed/>
    <w:rsid w:val="00871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er.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CAE42831</Template>
  <TotalTime>0</TotalTime>
  <Pages>2</Pages>
  <Words>1046</Words>
  <Characters>5965</Characters>
  <Application>Microsoft Office Word</Application>
  <DocSecurity>0</DocSecurity>
  <Lines>49</Lines>
  <Paragraphs>13</Paragraphs>
  <ScaleCrop>false</ScaleCrop>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2015-04-28T09:12:00Z</dcterms:created>
  <dcterms:modified xsi:type="dcterms:W3CDTF">2015-04-28T09:12:00Z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8402954</vt:lpwstr>
  </property>
</Properties>
</file>