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653A4DB" wp14:editId="51E827B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893040" w:rsidRDefault="0089304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AE735C"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521204" w:rsidP="008F07A3">
          <w:pPr>
            <w:pStyle w:val="ReportSubtitle"/>
          </w:pPr>
          <w:r>
            <w:t>Overview</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79150E" w:rsidRPr="0079150E" w:rsidRDefault="000A6C7B" w:rsidP="00983C25">
      <w:pPr>
        <w:pStyle w:val="AERbulletlistfirststyle"/>
        <w:rPr>
          <w:sz w:val="20"/>
        </w:rPr>
      </w:pPr>
      <w:r w:rsidRPr="00983C25">
        <w:rPr>
          <w:sz w:val="20"/>
        </w:rPr>
        <w:t xml:space="preserve">any illustration, </w:t>
      </w:r>
    </w:p>
    <w:p w:rsidR="000A6C7B" w:rsidRPr="00983C25" w:rsidRDefault="000A6C7B" w:rsidP="00983C25">
      <w:pPr>
        <w:pStyle w:val="AERbulletlistfirststyle"/>
        <w:rPr>
          <w:sz w:val="20"/>
        </w:rPr>
      </w:pPr>
      <w:r w:rsidRPr="00983C25">
        <w:rPr>
          <w:sz w:val="20"/>
        </w:rPr>
        <w:t>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521204" w:rsidRDefault="00554360">
      <w:pPr>
        <w:spacing w:line="240" w:lineRule="auto"/>
      </w:pPr>
      <w:r>
        <w:t>AER reference: 54677</w:t>
      </w:r>
      <w:r w:rsidR="00521204">
        <w:br w:type="page"/>
      </w:r>
    </w:p>
    <w:p w:rsidR="008F07A3" w:rsidRDefault="00DA61F3" w:rsidP="008F07A3">
      <w:pPr>
        <w:pStyle w:val="UnnumberedHeading"/>
        <w:numPr>
          <w:ilvl w:val="0"/>
          <w:numId w:val="24"/>
        </w:numPr>
      </w:pPr>
      <w:bookmarkStart w:id="0" w:name="_Toc404354899"/>
      <w:bookmarkStart w:id="1" w:name="_Toc404353070"/>
      <w:bookmarkStart w:id="2" w:name="_Toc404684201"/>
      <w:bookmarkStart w:id="3" w:name="_Toc404700923"/>
      <w:bookmarkStart w:id="4" w:name="_Toc417973126"/>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w:t>
      </w:r>
      <w:r w:rsidR="0025769C">
        <w:t xml:space="preserve">overview </w:t>
      </w:r>
      <w:r>
        <w:t xml:space="preserve">forms part of the AER's preliminary decision </w:t>
      </w:r>
      <w:r w:rsidR="00AE735C">
        <w:t>on Energex's</w:t>
      </w:r>
      <w:r>
        <w:t xml:space="preserve"> 2015–20 distribution determination. It should be read with </w:t>
      </w:r>
      <w:r w:rsidR="004A4D49">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DB23EF">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7973127"/>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27B44" w:rsidRDefault="005E643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973126" w:history="1">
            <w:r w:rsidR="00527B44" w:rsidRPr="004E1E6B">
              <w:rPr>
                <w:rStyle w:val="Hyperlink"/>
              </w:rPr>
              <w:t>Note</w:t>
            </w:r>
            <w:r w:rsidR="00527B44">
              <w:rPr>
                <w:webHidden/>
              </w:rPr>
              <w:tab/>
            </w:r>
            <w:r w:rsidR="00527B44">
              <w:rPr>
                <w:webHidden/>
              </w:rPr>
              <w:fldChar w:fldCharType="begin"/>
            </w:r>
            <w:r w:rsidR="00527B44">
              <w:rPr>
                <w:webHidden/>
              </w:rPr>
              <w:instrText xml:space="preserve"> PAGEREF _Toc417973126 \h </w:instrText>
            </w:r>
            <w:r w:rsidR="00527B44">
              <w:rPr>
                <w:webHidden/>
              </w:rPr>
            </w:r>
            <w:r w:rsidR="00527B44">
              <w:rPr>
                <w:webHidden/>
              </w:rPr>
              <w:fldChar w:fldCharType="separate"/>
            </w:r>
            <w:r w:rsidR="00527B44">
              <w:rPr>
                <w:webHidden/>
              </w:rPr>
              <w:t>2</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27" w:history="1">
            <w:r w:rsidR="00527B44" w:rsidRPr="004E1E6B">
              <w:rPr>
                <w:rStyle w:val="Hyperlink"/>
              </w:rPr>
              <w:t>Contents</w:t>
            </w:r>
            <w:r w:rsidR="00527B44">
              <w:rPr>
                <w:webHidden/>
              </w:rPr>
              <w:tab/>
            </w:r>
            <w:r w:rsidR="00527B44">
              <w:rPr>
                <w:webHidden/>
              </w:rPr>
              <w:fldChar w:fldCharType="begin"/>
            </w:r>
            <w:r w:rsidR="00527B44">
              <w:rPr>
                <w:webHidden/>
              </w:rPr>
              <w:instrText xml:space="preserve"> PAGEREF _Toc417973127 \h </w:instrText>
            </w:r>
            <w:r w:rsidR="00527B44">
              <w:rPr>
                <w:webHidden/>
              </w:rPr>
            </w:r>
            <w:r w:rsidR="00527B44">
              <w:rPr>
                <w:webHidden/>
              </w:rPr>
              <w:fldChar w:fldCharType="separate"/>
            </w:r>
            <w:r w:rsidR="00527B44">
              <w:rPr>
                <w:webHidden/>
              </w:rPr>
              <w:t>3</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28" w:history="1">
            <w:r w:rsidR="00527B44" w:rsidRPr="004E1E6B">
              <w:rPr>
                <w:rStyle w:val="Hyperlink"/>
              </w:rPr>
              <w:t>Shortened forms</w:t>
            </w:r>
            <w:r w:rsidR="00527B44">
              <w:rPr>
                <w:webHidden/>
              </w:rPr>
              <w:tab/>
            </w:r>
            <w:r w:rsidR="00527B44">
              <w:rPr>
                <w:webHidden/>
              </w:rPr>
              <w:fldChar w:fldCharType="begin"/>
            </w:r>
            <w:r w:rsidR="00527B44">
              <w:rPr>
                <w:webHidden/>
              </w:rPr>
              <w:instrText xml:space="preserve"> PAGEREF _Toc417973128 \h </w:instrText>
            </w:r>
            <w:r w:rsidR="00527B44">
              <w:rPr>
                <w:webHidden/>
              </w:rPr>
            </w:r>
            <w:r w:rsidR="00527B44">
              <w:rPr>
                <w:webHidden/>
              </w:rPr>
              <w:fldChar w:fldCharType="separate"/>
            </w:r>
            <w:r w:rsidR="00527B44">
              <w:rPr>
                <w:webHidden/>
              </w:rPr>
              <w:t>5</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29" w:history="1">
            <w:r w:rsidR="00527B44" w:rsidRPr="004E1E6B">
              <w:rPr>
                <w:rStyle w:val="Hyperlink"/>
              </w:rPr>
              <w:t>1</w:t>
            </w:r>
            <w:r w:rsidR="00527B44">
              <w:rPr>
                <w:rFonts w:asciiTheme="minorHAnsi" w:eastAsiaTheme="minorEastAsia" w:hAnsiTheme="minorHAnsi"/>
                <w:b w:val="0"/>
                <w:color w:val="auto"/>
                <w:sz w:val="22"/>
                <w:lang w:val="en-AU" w:eastAsia="en-AU"/>
              </w:rPr>
              <w:tab/>
            </w:r>
            <w:r w:rsidR="00527B44" w:rsidRPr="004E1E6B">
              <w:rPr>
                <w:rStyle w:val="Hyperlink"/>
              </w:rPr>
              <w:t>Our preliminary decision</w:t>
            </w:r>
            <w:r w:rsidR="00527B44">
              <w:rPr>
                <w:webHidden/>
              </w:rPr>
              <w:tab/>
            </w:r>
            <w:r w:rsidR="00527B44">
              <w:rPr>
                <w:webHidden/>
              </w:rPr>
              <w:fldChar w:fldCharType="begin"/>
            </w:r>
            <w:r w:rsidR="00527B44">
              <w:rPr>
                <w:webHidden/>
              </w:rPr>
              <w:instrText xml:space="preserve"> PAGEREF _Toc417973129 \h </w:instrText>
            </w:r>
            <w:r w:rsidR="00527B44">
              <w:rPr>
                <w:webHidden/>
              </w:rPr>
            </w:r>
            <w:r w:rsidR="00527B44">
              <w:rPr>
                <w:webHidden/>
              </w:rPr>
              <w:fldChar w:fldCharType="separate"/>
            </w:r>
            <w:r w:rsidR="00527B44">
              <w:rPr>
                <w:webHidden/>
              </w:rPr>
              <w:t>7</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30" w:history="1">
            <w:r w:rsidR="00527B44" w:rsidRPr="004E1E6B">
              <w:rPr>
                <w:rStyle w:val="Hyperlink"/>
              </w:rPr>
              <w:t>1.1</w:t>
            </w:r>
            <w:r w:rsidR="00527B44">
              <w:rPr>
                <w:rFonts w:asciiTheme="minorHAnsi" w:eastAsiaTheme="minorEastAsia" w:hAnsiTheme="minorHAnsi"/>
                <w:b w:val="0"/>
                <w:color w:val="auto"/>
                <w:sz w:val="22"/>
                <w:lang w:eastAsia="en-AU"/>
              </w:rPr>
              <w:tab/>
            </w:r>
            <w:r w:rsidR="00527B44" w:rsidRPr="004E1E6B">
              <w:rPr>
                <w:rStyle w:val="Hyperlink"/>
              </w:rPr>
              <w:t>Decision</w:t>
            </w:r>
            <w:r w:rsidR="00527B44">
              <w:rPr>
                <w:webHidden/>
              </w:rPr>
              <w:tab/>
            </w:r>
            <w:r w:rsidR="00527B44">
              <w:rPr>
                <w:webHidden/>
              </w:rPr>
              <w:fldChar w:fldCharType="begin"/>
            </w:r>
            <w:r w:rsidR="00527B44">
              <w:rPr>
                <w:webHidden/>
              </w:rPr>
              <w:instrText xml:space="preserve"> PAGEREF _Toc417973130 \h </w:instrText>
            </w:r>
            <w:r w:rsidR="00527B44">
              <w:rPr>
                <w:webHidden/>
              </w:rPr>
            </w:r>
            <w:r w:rsidR="00527B44">
              <w:rPr>
                <w:webHidden/>
              </w:rPr>
              <w:fldChar w:fldCharType="separate"/>
            </w:r>
            <w:r w:rsidR="00527B44">
              <w:rPr>
                <w:webHidden/>
              </w:rPr>
              <w:t>8</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31" w:history="1">
            <w:r w:rsidR="00527B44" w:rsidRPr="004E1E6B">
              <w:rPr>
                <w:rStyle w:val="Hyperlink"/>
              </w:rPr>
              <w:t>1.2</w:t>
            </w:r>
            <w:r w:rsidR="00527B44">
              <w:rPr>
                <w:rFonts w:asciiTheme="minorHAnsi" w:eastAsiaTheme="minorEastAsia" w:hAnsiTheme="minorHAnsi"/>
                <w:b w:val="0"/>
                <w:color w:val="auto"/>
                <w:sz w:val="22"/>
                <w:lang w:eastAsia="en-AU"/>
              </w:rPr>
              <w:tab/>
            </w:r>
            <w:r w:rsidR="00527B44" w:rsidRPr="004E1E6B">
              <w:rPr>
                <w:rStyle w:val="Hyperlink"/>
              </w:rPr>
              <w:t>Contribution to the achievement of the NEO</w:t>
            </w:r>
            <w:r w:rsidR="00527B44">
              <w:rPr>
                <w:webHidden/>
              </w:rPr>
              <w:tab/>
            </w:r>
            <w:r w:rsidR="00527B44">
              <w:rPr>
                <w:webHidden/>
              </w:rPr>
              <w:fldChar w:fldCharType="begin"/>
            </w:r>
            <w:r w:rsidR="00527B44">
              <w:rPr>
                <w:webHidden/>
              </w:rPr>
              <w:instrText xml:space="preserve"> PAGEREF _Toc417973131 \h </w:instrText>
            </w:r>
            <w:r w:rsidR="00527B44">
              <w:rPr>
                <w:webHidden/>
              </w:rPr>
            </w:r>
            <w:r w:rsidR="00527B44">
              <w:rPr>
                <w:webHidden/>
              </w:rPr>
              <w:fldChar w:fldCharType="separate"/>
            </w:r>
            <w:r w:rsidR="00527B44">
              <w:rPr>
                <w:webHidden/>
              </w:rPr>
              <w:t>11</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32" w:history="1">
            <w:r w:rsidR="00527B44" w:rsidRPr="004E1E6B">
              <w:rPr>
                <w:rStyle w:val="Hyperlink"/>
              </w:rPr>
              <w:t>1.2.1</w:t>
            </w:r>
            <w:r w:rsidR="00527B44">
              <w:rPr>
                <w:rFonts w:asciiTheme="minorHAnsi" w:eastAsiaTheme="minorEastAsia" w:hAnsiTheme="minorHAnsi"/>
                <w:lang w:eastAsia="en-AU"/>
              </w:rPr>
              <w:tab/>
            </w:r>
            <w:r w:rsidR="00527B44" w:rsidRPr="004E1E6B">
              <w:rPr>
                <w:rStyle w:val="Hyperlink"/>
              </w:rPr>
              <w:t>Rate of return</w:t>
            </w:r>
            <w:r w:rsidR="00527B44">
              <w:rPr>
                <w:webHidden/>
              </w:rPr>
              <w:tab/>
            </w:r>
            <w:r w:rsidR="00527B44">
              <w:rPr>
                <w:webHidden/>
              </w:rPr>
              <w:fldChar w:fldCharType="begin"/>
            </w:r>
            <w:r w:rsidR="00527B44">
              <w:rPr>
                <w:webHidden/>
              </w:rPr>
              <w:instrText xml:space="preserve"> PAGEREF _Toc417973132 \h </w:instrText>
            </w:r>
            <w:r w:rsidR="00527B44">
              <w:rPr>
                <w:webHidden/>
              </w:rPr>
            </w:r>
            <w:r w:rsidR="00527B44">
              <w:rPr>
                <w:webHidden/>
              </w:rPr>
              <w:fldChar w:fldCharType="separate"/>
            </w:r>
            <w:r w:rsidR="00527B44">
              <w:rPr>
                <w:webHidden/>
              </w:rPr>
              <w:t>13</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33" w:history="1">
            <w:r w:rsidR="00527B44" w:rsidRPr="004E1E6B">
              <w:rPr>
                <w:rStyle w:val="Hyperlink"/>
              </w:rPr>
              <w:t>1.3</w:t>
            </w:r>
            <w:r w:rsidR="00527B44">
              <w:rPr>
                <w:rFonts w:asciiTheme="minorHAnsi" w:eastAsiaTheme="minorEastAsia" w:hAnsiTheme="minorHAnsi"/>
                <w:b w:val="0"/>
                <w:color w:val="auto"/>
                <w:sz w:val="22"/>
                <w:lang w:eastAsia="en-AU"/>
              </w:rPr>
              <w:tab/>
            </w:r>
            <w:r w:rsidR="00527B44" w:rsidRPr="004E1E6B">
              <w:rPr>
                <w:rStyle w:val="Hyperlink"/>
              </w:rPr>
              <w:t>Assessment of options under the NEO</w:t>
            </w:r>
            <w:r w:rsidR="00527B44">
              <w:rPr>
                <w:webHidden/>
              </w:rPr>
              <w:tab/>
            </w:r>
            <w:r w:rsidR="00527B44">
              <w:rPr>
                <w:webHidden/>
              </w:rPr>
              <w:fldChar w:fldCharType="begin"/>
            </w:r>
            <w:r w:rsidR="00527B44">
              <w:rPr>
                <w:webHidden/>
              </w:rPr>
              <w:instrText xml:space="preserve"> PAGEREF _Toc417973133 \h </w:instrText>
            </w:r>
            <w:r w:rsidR="00527B44">
              <w:rPr>
                <w:webHidden/>
              </w:rPr>
            </w:r>
            <w:r w:rsidR="00527B44">
              <w:rPr>
                <w:webHidden/>
              </w:rPr>
              <w:fldChar w:fldCharType="separate"/>
            </w:r>
            <w:r w:rsidR="00527B44">
              <w:rPr>
                <w:webHidden/>
              </w:rPr>
              <w:t>14</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34" w:history="1">
            <w:r w:rsidR="00527B44" w:rsidRPr="004E1E6B">
              <w:rPr>
                <w:rStyle w:val="Hyperlink"/>
              </w:rPr>
              <w:t>1.4</w:t>
            </w:r>
            <w:r w:rsidR="00527B44">
              <w:rPr>
                <w:rFonts w:asciiTheme="minorHAnsi" w:eastAsiaTheme="minorEastAsia" w:hAnsiTheme="minorHAnsi"/>
                <w:b w:val="0"/>
                <w:color w:val="auto"/>
                <w:sz w:val="22"/>
                <w:lang w:eastAsia="en-AU"/>
              </w:rPr>
              <w:tab/>
            </w:r>
            <w:r w:rsidR="00527B44" w:rsidRPr="004E1E6B">
              <w:rPr>
                <w:rStyle w:val="Hyperlink"/>
              </w:rPr>
              <w:t>Structure of the overview</w:t>
            </w:r>
            <w:r w:rsidR="00527B44">
              <w:rPr>
                <w:webHidden/>
              </w:rPr>
              <w:tab/>
            </w:r>
            <w:r w:rsidR="00527B44">
              <w:rPr>
                <w:webHidden/>
              </w:rPr>
              <w:fldChar w:fldCharType="begin"/>
            </w:r>
            <w:r w:rsidR="00527B44">
              <w:rPr>
                <w:webHidden/>
              </w:rPr>
              <w:instrText xml:space="preserve"> PAGEREF _Toc417973134 \h </w:instrText>
            </w:r>
            <w:r w:rsidR="00527B44">
              <w:rPr>
                <w:webHidden/>
              </w:rPr>
            </w:r>
            <w:r w:rsidR="00527B44">
              <w:rPr>
                <w:webHidden/>
              </w:rPr>
              <w:fldChar w:fldCharType="separate"/>
            </w:r>
            <w:r w:rsidR="00527B44">
              <w:rPr>
                <w:webHidden/>
              </w:rPr>
              <w:t>15</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35" w:history="1">
            <w:r w:rsidR="00527B44" w:rsidRPr="004E1E6B">
              <w:rPr>
                <w:rStyle w:val="Hyperlink"/>
              </w:rPr>
              <w:t>2</w:t>
            </w:r>
            <w:r w:rsidR="00527B44">
              <w:rPr>
                <w:rFonts w:asciiTheme="minorHAnsi" w:eastAsiaTheme="minorEastAsia" w:hAnsiTheme="minorHAnsi"/>
                <w:b w:val="0"/>
                <w:color w:val="auto"/>
                <w:sz w:val="22"/>
                <w:lang w:val="en-AU" w:eastAsia="en-AU"/>
              </w:rPr>
              <w:tab/>
            </w:r>
            <w:r w:rsidR="00527B44" w:rsidRPr="004E1E6B">
              <w:rPr>
                <w:rStyle w:val="Hyperlink"/>
              </w:rPr>
              <w:t>Key elements of the building blocks</w:t>
            </w:r>
            <w:r w:rsidR="00527B44">
              <w:rPr>
                <w:webHidden/>
              </w:rPr>
              <w:tab/>
            </w:r>
            <w:r w:rsidR="00527B44">
              <w:rPr>
                <w:webHidden/>
              </w:rPr>
              <w:fldChar w:fldCharType="begin"/>
            </w:r>
            <w:r w:rsidR="00527B44">
              <w:rPr>
                <w:webHidden/>
              </w:rPr>
              <w:instrText xml:space="preserve"> PAGEREF _Toc417973135 \h </w:instrText>
            </w:r>
            <w:r w:rsidR="00527B44">
              <w:rPr>
                <w:webHidden/>
              </w:rPr>
            </w:r>
            <w:r w:rsidR="00527B44">
              <w:rPr>
                <w:webHidden/>
              </w:rPr>
              <w:fldChar w:fldCharType="separate"/>
            </w:r>
            <w:r w:rsidR="00527B44">
              <w:rPr>
                <w:webHidden/>
              </w:rPr>
              <w:t>16</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36" w:history="1">
            <w:r w:rsidR="00527B44" w:rsidRPr="004E1E6B">
              <w:rPr>
                <w:rStyle w:val="Hyperlink"/>
              </w:rPr>
              <w:t>2.1</w:t>
            </w:r>
            <w:r w:rsidR="00527B44">
              <w:rPr>
                <w:rFonts w:asciiTheme="minorHAnsi" w:eastAsiaTheme="minorEastAsia" w:hAnsiTheme="minorHAnsi"/>
                <w:b w:val="0"/>
                <w:color w:val="auto"/>
                <w:sz w:val="22"/>
                <w:lang w:eastAsia="en-AU"/>
              </w:rPr>
              <w:tab/>
            </w:r>
            <w:r w:rsidR="00527B44" w:rsidRPr="004E1E6B">
              <w:rPr>
                <w:rStyle w:val="Hyperlink"/>
              </w:rPr>
              <w:t>The building block approach</w:t>
            </w:r>
            <w:r w:rsidR="00527B44">
              <w:rPr>
                <w:webHidden/>
              </w:rPr>
              <w:tab/>
            </w:r>
            <w:r w:rsidR="00527B44">
              <w:rPr>
                <w:webHidden/>
              </w:rPr>
              <w:fldChar w:fldCharType="begin"/>
            </w:r>
            <w:r w:rsidR="00527B44">
              <w:rPr>
                <w:webHidden/>
              </w:rPr>
              <w:instrText xml:space="preserve"> PAGEREF _Toc417973136 \h </w:instrText>
            </w:r>
            <w:r w:rsidR="00527B44">
              <w:rPr>
                <w:webHidden/>
              </w:rPr>
            </w:r>
            <w:r w:rsidR="00527B44">
              <w:rPr>
                <w:webHidden/>
              </w:rPr>
              <w:fldChar w:fldCharType="separate"/>
            </w:r>
            <w:r w:rsidR="00527B44">
              <w:rPr>
                <w:webHidden/>
              </w:rPr>
              <w:t>17</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37" w:history="1">
            <w:r w:rsidR="00527B44" w:rsidRPr="004E1E6B">
              <w:rPr>
                <w:rStyle w:val="Hyperlink"/>
              </w:rPr>
              <w:t>2.2</w:t>
            </w:r>
            <w:r w:rsidR="00527B44">
              <w:rPr>
                <w:rFonts w:asciiTheme="minorHAnsi" w:eastAsiaTheme="minorEastAsia" w:hAnsiTheme="minorHAnsi"/>
                <w:b w:val="0"/>
                <w:color w:val="auto"/>
                <w:sz w:val="22"/>
                <w:lang w:eastAsia="en-AU"/>
              </w:rPr>
              <w:tab/>
            </w:r>
            <w:r w:rsidR="00527B44" w:rsidRPr="004E1E6B">
              <w:rPr>
                <w:rStyle w:val="Hyperlink"/>
              </w:rPr>
              <w:t>Regulatory asset base</w:t>
            </w:r>
            <w:r w:rsidR="00527B44">
              <w:rPr>
                <w:webHidden/>
              </w:rPr>
              <w:tab/>
            </w:r>
            <w:r w:rsidR="00527B44">
              <w:rPr>
                <w:webHidden/>
              </w:rPr>
              <w:fldChar w:fldCharType="begin"/>
            </w:r>
            <w:r w:rsidR="00527B44">
              <w:rPr>
                <w:webHidden/>
              </w:rPr>
              <w:instrText xml:space="preserve"> PAGEREF _Toc417973137 \h </w:instrText>
            </w:r>
            <w:r w:rsidR="00527B44">
              <w:rPr>
                <w:webHidden/>
              </w:rPr>
            </w:r>
            <w:r w:rsidR="00527B44">
              <w:rPr>
                <w:webHidden/>
              </w:rPr>
              <w:fldChar w:fldCharType="separate"/>
            </w:r>
            <w:r w:rsidR="00527B44">
              <w:rPr>
                <w:webHidden/>
              </w:rPr>
              <w:t>18</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38" w:history="1">
            <w:r w:rsidR="00527B44" w:rsidRPr="004E1E6B">
              <w:rPr>
                <w:rStyle w:val="Hyperlink"/>
              </w:rPr>
              <w:t>2.3</w:t>
            </w:r>
            <w:r w:rsidR="00527B44">
              <w:rPr>
                <w:rFonts w:asciiTheme="minorHAnsi" w:eastAsiaTheme="minorEastAsia" w:hAnsiTheme="minorHAnsi"/>
                <w:b w:val="0"/>
                <w:color w:val="auto"/>
                <w:sz w:val="22"/>
                <w:lang w:eastAsia="en-AU"/>
              </w:rPr>
              <w:tab/>
            </w:r>
            <w:r w:rsidR="00527B44" w:rsidRPr="004E1E6B">
              <w:rPr>
                <w:rStyle w:val="Hyperlink"/>
              </w:rPr>
              <w:t>Rate of return (return on capital)</w:t>
            </w:r>
            <w:r w:rsidR="00527B44">
              <w:rPr>
                <w:webHidden/>
              </w:rPr>
              <w:tab/>
            </w:r>
            <w:r w:rsidR="00527B44">
              <w:rPr>
                <w:webHidden/>
              </w:rPr>
              <w:fldChar w:fldCharType="begin"/>
            </w:r>
            <w:r w:rsidR="00527B44">
              <w:rPr>
                <w:webHidden/>
              </w:rPr>
              <w:instrText xml:space="preserve"> PAGEREF _Toc417973138 \h </w:instrText>
            </w:r>
            <w:r w:rsidR="00527B44">
              <w:rPr>
                <w:webHidden/>
              </w:rPr>
            </w:r>
            <w:r w:rsidR="00527B44">
              <w:rPr>
                <w:webHidden/>
              </w:rPr>
              <w:fldChar w:fldCharType="separate"/>
            </w:r>
            <w:r w:rsidR="00527B44">
              <w:rPr>
                <w:webHidden/>
              </w:rPr>
              <w:t>21</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39" w:history="1">
            <w:r w:rsidR="00527B44" w:rsidRPr="004E1E6B">
              <w:rPr>
                <w:rStyle w:val="Hyperlink"/>
              </w:rPr>
              <w:t>Our approach</w:t>
            </w:r>
            <w:r w:rsidR="00527B44">
              <w:rPr>
                <w:webHidden/>
              </w:rPr>
              <w:tab/>
            </w:r>
            <w:r w:rsidR="00527B44">
              <w:rPr>
                <w:webHidden/>
              </w:rPr>
              <w:fldChar w:fldCharType="begin"/>
            </w:r>
            <w:r w:rsidR="00527B44">
              <w:rPr>
                <w:webHidden/>
              </w:rPr>
              <w:instrText xml:space="preserve"> PAGEREF _Toc417973139 \h </w:instrText>
            </w:r>
            <w:r w:rsidR="00527B44">
              <w:rPr>
                <w:webHidden/>
              </w:rPr>
            </w:r>
            <w:r w:rsidR="00527B44">
              <w:rPr>
                <w:webHidden/>
              </w:rPr>
              <w:fldChar w:fldCharType="separate"/>
            </w:r>
            <w:r w:rsidR="00527B44">
              <w:rPr>
                <w:webHidden/>
              </w:rPr>
              <w:t>22</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40" w:history="1">
            <w:r w:rsidR="00527B44" w:rsidRPr="004E1E6B">
              <w:rPr>
                <w:rStyle w:val="Hyperlink"/>
              </w:rPr>
              <w:t>Return on debt</w:t>
            </w:r>
            <w:r w:rsidR="00527B44">
              <w:rPr>
                <w:webHidden/>
              </w:rPr>
              <w:tab/>
            </w:r>
            <w:r w:rsidR="00527B44">
              <w:rPr>
                <w:webHidden/>
              </w:rPr>
              <w:fldChar w:fldCharType="begin"/>
            </w:r>
            <w:r w:rsidR="00527B44">
              <w:rPr>
                <w:webHidden/>
              </w:rPr>
              <w:instrText xml:space="preserve"> PAGEREF _Toc417973140 \h </w:instrText>
            </w:r>
            <w:r w:rsidR="00527B44">
              <w:rPr>
                <w:webHidden/>
              </w:rPr>
            </w:r>
            <w:r w:rsidR="00527B44">
              <w:rPr>
                <w:webHidden/>
              </w:rPr>
              <w:fldChar w:fldCharType="separate"/>
            </w:r>
            <w:r w:rsidR="00527B44">
              <w:rPr>
                <w:webHidden/>
              </w:rPr>
              <w:t>22</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41" w:history="1">
            <w:r w:rsidR="00527B44" w:rsidRPr="004E1E6B">
              <w:rPr>
                <w:rStyle w:val="Hyperlink"/>
              </w:rPr>
              <w:t>Return on equity</w:t>
            </w:r>
            <w:r w:rsidR="00527B44">
              <w:rPr>
                <w:webHidden/>
              </w:rPr>
              <w:tab/>
            </w:r>
            <w:r w:rsidR="00527B44">
              <w:rPr>
                <w:webHidden/>
              </w:rPr>
              <w:fldChar w:fldCharType="begin"/>
            </w:r>
            <w:r w:rsidR="00527B44">
              <w:rPr>
                <w:webHidden/>
              </w:rPr>
              <w:instrText xml:space="preserve"> PAGEREF _Toc417973141 \h </w:instrText>
            </w:r>
            <w:r w:rsidR="00527B44">
              <w:rPr>
                <w:webHidden/>
              </w:rPr>
            </w:r>
            <w:r w:rsidR="00527B44">
              <w:rPr>
                <w:webHidden/>
              </w:rPr>
              <w:fldChar w:fldCharType="separate"/>
            </w:r>
            <w:r w:rsidR="00527B44">
              <w:rPr>
                <w:webHidden/>
              </w:rPr>
              <w:t>23</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42" w:history="1">
            <w:r w:rsidR="00527B44" w:rsidRPr="004E1E6B">
              <w:rPr>
                <w:rStyle w:val="Hyperlink"/>
              </w:rPr>
              <w:t>2.4</w:t>
            </w:r>
            <w:r w:rsidR="00527B44">
              <w:rPr>
                <w:rFonts w:asciiTheme="minorHAnsi" w:eastAsiaTheme="minorEastAsia" w:hAnsiTheme="minorHAnsi"/>
                <w:b w:val="0"/>
                <w:color w:val="auto"/>
                <w:sz w:val="22"/>
                <w:lang w:eastAsia="en-AU"/>
              </w:rPr>
              <w:tab/>
            </w:r>
            <w:r w:rsidR="00527B44" w:rsidRPr="004E1E6B">
              <w:rPr>
                <w:rStyle w:val="Hyperlink"/>
              </w:rPr>
              <w:t>Value of imputation credits (gamma)</w:t>
            </w:r>
            <w:r w:rsidR="00527B44">
              <w:rPr>
                <w:webHidden/>
              </w:rPr>
              <w:tab/>
            </w:r>
            <w:r w:rsidR="00527B44">
              <w:rPr>
                <w:webHidden/>
              </w:rPr>
              <w:fldChar w:fldCharType="begin"/>
            </w:r>
            <w:r w:rsidR="00527B44">
              <w:rPr>
                <w:webHidden/>
              </w:rPr>
              <w:instrText xml:space="preserve"> PAGEREF _Toc417973142 \h </w:instrText>
            </w:r>
            <w:r w:rsidR="00527B44">
              <w:rPr>
                <w:webHidden/>
              </w:rPr>
            </w:r>
            <w:r w:rsidR="00527B44">
              <w:rPr>
                <w:webHidden/>
              </w:rPr>
              <w:fldChar w:fldCharType="separate"/>
            </w:r>
            <w:r w:rsidR="00527B44">
              <w:rPr>
                <w:webHidden/>
              </w:rPr>
              <w:t>25</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43" w:history="1">
            <w:r w:rsidR="00527B44" w:rsidRPr="004E1E6B">
              <w:rPr>
                <w:rStyle w:val="Hyperlink"/>
              </w:rPr>
              <w:t>2.5</w:t>
            </w:r>
            <w:r w:rsidR="00527B44">
              <w:rPr>
                <w:rFonts w:asciiTheme="minorHAnsi" w:eastAsiaTheme="minorEastAsia" w:hAnsiTheme="minorHAnsi"/>
                <w:b w:val="0"/>
                <w:color w:val="auto"/>
                <w:sz w:val="22"/>
                <w:lang w:eastAsia="en-AU"/>
              </w:rPr>
              <w:tab/>
            </w:r>
            <w:r w:rsidR="00527B44" w:rsidRPr="004E1E6B">
              <w:rPr>
                <w:rStyle w:val="Hyperlink"/>
              </w:rPr>
              <w:t>Regulatory depreciation (return of capital)</w:t>
            </w:r>
            <w:r w:rsidR="00527B44">
              <w:rPr>
                <w:webHidden/>
              </w:rPr>
              <w:tab/>
            </w:r>
            <w:r w:rsidR="00527B44">
              <w:rPr>
                <w:webHidden/>
              </w:rPr>
              <w:fldChar w:fldCharType="begin"/>
            </w:r>
            <w:r w:rsidR="00527B44">
              <w:rPr>
                <w:webHidden/>
              </w:rPr>
              <w:instrText xml:space="preserve"> PAGEREF _Toc417973143 \h </w:instrText>
            </w:r>
            <w:r w:rsidR="00527B44">
              <w:rPr>
                <w:webHidden/>
              </w:rPr>
            </w:r>
            <w:r w:rsidR="00527B44">
              <w:rPr>
                <w:webHidden/>
              </w:rPr>
              <w:fldChar w:fldCharType="separate"/>
            </w:r>
            <w:r w:rsidR="00527B44">
              <w:rPr>
                <w:webHidden/>
              </w:rPr>
              <w:t>26</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44" w:history="1">
            <w:r w:rsidR="00527B44" w:rsidRPr="004E1E6B">
              <w:rPr>
                <w:rStyle w:val="Hyperlink"/>
              </w:rPr>
              <w:t>2.6</w:t>
            </w:r>
            <w:r w:rsidR="00527B44">
              <w:rPr>
                <w:rFonts w:asciiTheme="minorHAnsi" w:eastAsiaTheme="minorEastAsia" w:hAnsiTheme="minorHAnsi"/>
                <w:b w:val="0"/>
                <w:color w:val="auto"/>
                <w:sz w:val="22"/>
                <w:lang w:eastAsia="en-AU"/>
              </w:rPr>
              <w:tab/>
            </w:r>
            <w:r w:rsidR="00527B44" w:rsidRPr="004E1E6B">
              <w:rPr>
                <w:rStyle w:val="Hyperlink"/>
              </w:rPr>
              <w:t>Capital expenditure</w:t>
            </w:r>
            <w:r w:rsidR="00527B44">
              <w:rPr>
                <w:webHidden/>
              </w:rPr>
              <w:tab/>
            </w:r>
            <w:r w:rsidR="00527B44">
              <w:rPr>
                <w:webHidden/>
              </w:rPr>
              <w:fldChar w:fldCharType="begin"/>
            </w:r>
            <w:r w:rsidR="00527B44">
              <w:rPr>
                <w:webHidden/>
              </w:rPr>
              <w:instrText xml:space="preserve"> PAGEREF _Toc417973144 \h </w:instrText>
            </w:r>
            <w:r w:rsidR="00527B44">
              <w:rPr>
                <w:webHidden/>
              </w:rPr>
            </w:r>
            <w:r w:rsidR="00527B44">
              <w:rPr>
                <w:webHidden/>
              </w:rPr>
              <w:fldChar w:fldCharType="separate"/>
            </w:r>
            <w:r w:rsidR="00527B44">
              <w:rPr>
                <w:webHidden/>
              </w:rPr>
              <w:t>28</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45" w:history="1">
            <w:r w:rsidR="00527B44" w:rsidRPr="004E1E6B">
              <w:rPr>
                <w:rStyle w:val="Hyperlink"/>
              </w:rPr>
              <w:t>2.7</w:t>
            </w:r>
            <w:r w:rsidR="00527B44">
              <w:rPr>
                <w:rFonts w:asciiTheme="minorHAnsi" w:eastAsiaTheme="minorEastAsia" w:hAnsiTheme="minorHAnsi"/>
                <w:b w:val="0"/>
                <w:color w:val="auto"/>
                <w:sz w:val="22"/>
                <w:lang w:eastAsia="en-AU"/>
              </w:rPr>
              <w:tab/>
            </w:r>
            <w:r w:rsidR="00527B44" w:rsidRPr="004E1E6B">
              <w:rPr>
                <w:rStyle w:val="Hyperlink"/>
              </w:rPr>
              <w:t>Operating expenditure</w:t>
            </w:r>
            <w:r w:rsidR="00527B44">
              <w:rPr>
                <w:webHidden/>
              </w:rPr>
              <w:tab/>
            </w:r>
            <w:r w:rsidR="00527B44">
              <w:rPr>
                <w:webHidden/>
              </w:rPr>
              <w:fldChar w:fldCharType="begin"/>
            </w:r>
            <w:r w:rsidR="00527B44">
              <w:rPr>
                <w:webHidden/>
              </w:rPr>
              <w:instrText xml:space="preserve"> PAGEREF _Toc417973145 \h </w:instrText>
            </w:r>
            <w:r w:rsidR="00527B44">
              <w:rPr>
                <w:webHidden/>
              </w:rPr>
            </w:r>
            <w:r w:rsidR="00527B44">
              <w:rPr>
                <w:webHidden/>
              </w:rPr>
              <w:fldChar w:fldCharType="separate"/>
            </w:r>
            <w:r w:rsidR="00527B44">
              <w:rPr>
                <w:webHidden/>
              </w:rPr>
              <w:t>30</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46" w:history="1">
            <w:r w:rsidR="00527B44" w:rsidRPr="004E1E6B">
              <w:rPr>
                <w:rStyle w:val="Hyperlink"/>
              </w:rPr>
              <w:t>2.8</w:t>
            </w:r>
            <w:r w:rsidR="00527B44">
              <w:rPr>
                <w:rFonts w:asciiTheme="minorHAnsi" w:eastAsiaTheme="minorEastAsia" w:hAnsiTheme="minorHAnsi"/>
                <w:b w:val="0"/>
                <w:color w:val="auto"/>
                <w:sz w:val="22"/>
                <w:lang w:eastAsia="en-AU"/>
              </w:rPr>
              <w:tab/>
            </w:r>
            <w:r w:rsidR="00527B44" w:rsidRPr="004E1E6B">
              <w:rPr>
                <w:rStyle w:val="Hyperlink"/>
              </w:rPr>
              <w:t>Corporate income tax</w:t>
            </w:r>
            <w:r w:rsidR="00527B44">
              <w:rPr>
                <w:webHidden/>
              </w:rPr>
              <w:tab/>
            </w:r>
            <w:r w:rsidR="00527B44">
              <w:rPr>
                <w:webHidden/>
              </w:rPr>
              <w:fldChar w:fldCharType="begin"/>
            </w:r>
            <w:r w:rsidR="00527B44">
              <w:rPr>
                <w:webHidden/>
              </w:rPr>
              <w:instrText xml:space="preserve"> PAGEREF _Toc417973146 \h </w:instrText>
            </w:r>
            <w:r w:rsidR="00527B44">
              <w:rPr>
                <w:webHidden/>
              </w:rPr>
            </w:r>
            <w:r w:rsidR="00527B44">
              <w:rPr>
                <w:webHidden/>
              </w:rPr>
              <w:fldChar w:fldCharType="separate"/>
            </w:r>
            <w:r w:rsidR="00527B44">
              <w:rPr>
                <w:webHidden/>
              </w:rPr>
              <w:t>31</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47" w:history="1">
            <w:r w:rsidR="00527B44" w:rsidRPr="004E1E6B">
              <w:rPr>
                <w:rStyle w:val="Hyperlink"/>
              </w:rPr>
              <w:t>3</w:t>
            </w:r>
            <w:r w:rsidR="00527B44">
              <w:rPr>
                <w:rFonts w:asciiTheme="minorHAnsi" w:eastAsiaTheme="minorEastAsia" w:hAnsiTheme="minorHAnsi"/>
                <w:b w:val="0"/>
                <w:color w:val="auto"/>
                <w:sz w:val="22"/>
                <w:lang w:val="en-AU" w:eastAsia="en-AU"/>
              </w:rPr>
              <w:tab/>
            </w:r>
            <w:r w:rsidR="00527B44" w:rsidRPr="004E1E6B">
              <w:rPr>
                <w:rStyle w:val="Hyperlink"/>
              </w:rPr>
              <w:t>Service classification, control mechanisms and incentive schemes</w:t>
            </w:r>
            <w:r w:rsidR="00527B44">
              <w:rPr>
                <w:webHidden/>
              </w:rPr>
              <w:tab/>
            </w:r>
            <w:r w:rsidR="00527B44">
              <w:rPr>
                <w:webHidden/>
              </w:rPr>
              <w:fldChar w:fldCharType="begin"/>
            </w:r>
            <w:r w:rsidR="00527B44">
              <w:rPr>
                <w:webHidden/>
              </w:rPr>
              <w:instrText xml:space="preserve"> PAGEREF _Toc417973147 \h </w:instrText>
            </w:r>
            <w:r w:rsidR="00527B44">
              <w:rPr>
                <w:webHidden/>
              </w:rPr>
            </w:r>
            <w:r w:rsidR="00527B44">
              <w:rPr>
                <w:webHidden/>
              </w:rPr>
              <w:fldChar w:fldCharType="separate"/>
            </w:r>
            <w:r w:rsidR="00527B44">
              <w:rPr>
                <w:webHidden/>
              </w:rPr>
              <w:t>33</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48" w:history="1">
            <w:r w:rsidR="00527B44" w:rsidRPr="004E1E6B">
              <w:rPr>
                <w:rStyle w:val="Hyperlink"/>
              </w:rPr>
              <w:t>3.1</w:t>
            </w:r>
            <w:r w:rsidR="00527B44">
              <w:rPr>
                <w:rFonts w:asciiTheme="minorHAnsi" w:eastAsiaTheme="minorEastAsia" w:hAnsiTheme="minorHAnsi"/>
                <w:b w:val="0"/>
                <w:color w:val="auto"/>
                <w:sz w:val="22"/>
                <w:lang w:eastAsia="en-AU"/>
              </w:rPr>
              <w:tab/>
            </w:r>
            <w:r w:rsidR="00527B44" w:rsidRPr="004E1E6B">
              <w:rPr>
                <w:rStyle w:val="Hyperlink"/>
              </w:rPr>
              <w:t>Classification of services and control mechanisms</w:t>
            </w:r>
            <w:r w:rsidR="00527B44">
              <w:rPr>
                <w:webHidden/>
              </w:rPr>
              <w:tab/>
            </w:r>
            <w:r w:rsidR="00527B44">
              <w:rPr>
                <w:webHidden/>
              </w:rPr>
              <w:fldChar w:fldCharType="begin"/>
            </w:r>
            <w:r w:rsidR="00527B44">
              <w:rPr>
                <w:webHidden/>
              </w:rPr>
              <w:instrText xml:space="preserve"> PAGEREF _Toc417973148 \h </w:instrText>
            </w:r>
            <w:r w:rsidR="00527B44">
              <w:rPr>
                <w:webHidden/>
              </w:rPr>
            </w:r>
            <w:r w:rsidR="00527B44">
              <w:rPr>
                <w:webHidden/>
              </w:rPr>
              <w:fldChar w:fldCharType="separate"/>
            </w:r>
            <w:r w:rsidR="00527B44">
              <w:rPr>
                <w:webHidden/>
              </w:rPr>
              <w:t>33</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49" w:history="1">
            <w:r w:rsidR="00527B44" w:rsidRPr="004E1E6B">
              <w:rPr>
                <w:rStyle w:val="Hyperlink"/>
              </w:rPr>
              <w:t>3.2</w:t>
            </w:r>
            <w:r w:rsidR="00527B44">
              <w:rPr>
                <w:rFonts w:asciiTheme="minorHAnsi" w:eastAsiaTheme="minorEastAsia" w:hAnsiTheme="minorHAnsi"/>
                <w:b w:val="0"/>
                <w:color w:val="auto"/>
                <w:sz w:val="22"/>
                <w:lang w:eastAsia="en-AU"/>
              </w:rPr>
              <w:tab/>
            </w:r>
            <w:r w:rsidR="00527B44" w:rsidRPr="004E1E6B">
              <w:rPr>
                <w:rStyle w:val="Hyperlink"/>
              </w:rPr>
              <w:t>Alternative control services</w:t>
            </w:r>
            <w:r w:rsidR="00527B44">
              <w:rPr>
                <w:webHidden/>
              </w:rPr>
              <w:tab/>
            </w:r>
            <w:r w:rsidR="00527B44">
              <w:rPr>
                <w:webHidden/>
              </w:rPr>
              <w:fldChar w:fldCharType="begin"/>
            </w:r>
            <w:r w:rsidR="00527B44">
              <w:rPr>
                <w:webHidden/>
              </w:rPr>
              <w:instrText xml:space="preserve"> PAGEREF _Toc417973149 \h </w:instrText>
            </w:r>
            <w:r w:rsidR="00527B44">
              <w:rPr>
                <w:webHidden/>
              </w:rPr>
            </w:r>
            <w:r w:rsidR="00527B44">
              <w:rPr>
                <w:webHidden/>
              </w:rPr>
              <w:fldChar w:fldCharType="separate"/>
            </w:r>
            <w:r w:rsidR="00527B44">
              <w:rPr>
                <w:webHidden/>
              </w:rPr>
              <w:t>34</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50" w:history="1">
            <w:r w:rsidR="00527B44" w:rsidRPr="004E1E6B">
              <w:rPr>
                <w:rStyle w:val="Hyperlink"/>
              </w:rPr>
              <w:t>3.3</w:t>
            </w:r>
            <w:r w:rsidR="00527B44">
              <w:rPr>
                <w:rFonts w:asciiTheme="minorHAnsi" w:eastAsiaTheme="minorEastAsia" w:hAnsiTheme="minorHAnsi"/>
                <w:b w:val="0"/>
                <w:color w:val="auto"/>
                <w:sz w:val="22"/>
                <w:lang w:eastAsia="en-AU"/>
              </w:rPr>
              <w:tab/>
            </w:r>
            <w:r w:rsidR="00527B44" w:rsidRPr="004E1E6B">
              <w:rPr>
                <w:rStyle w:val="Hyperlink"/>
              </w:rPr>
              <w:t>Incentive schemes</w:t>
            </w:r>
            <w:r w:rsidR="00527B44">
              <w:rPr>
                <w:webHidden/>
              </w:rPr>
              <w:tab/>
            </w:r>
            <w:r w:rsidR="00527B44">
              <w:rPr>
                <w:webHidden/>
              </w:rPr>
              <w:fldChar w:fldCharType="begin"/>
            </w:r>
            <w:r w:rsidR="00527B44">
              <w:rPr>
                <w:webHidden/>
              </w:rPr>
              <w:instrText xml:space="preserve"> PAGEREF _Toc417973150 \h </w:instrText>
            </w:r>
            <w:r w:rsidR="00527B44">
              <w:rPr>
                <w:webHidden/>
              </w:rPr>
            </w:r>
            <w:r w:rsidR="00527B44">
              <w:rPr>
                <w:webHidden/>
              </w:rPr>
              <w:fldChar w:fldCharType="separate"/>
            </w:r>
            <w:r w:rsidR="00527B44">
              <w:rPr>
                <w:webHidden/>
              </w:rPr>
              <w:t>35</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51" w:history="1">
            <w:r w:rsidR="00527B44" w:rsidRPr="004E1E6B">
              <w:rPr>
                <w:rStyle w:val="Hyperlink"/>
              </w:rPr>
              <w:t>3.3.1</w:t>
            </w:r>
            <w:r w:rsidR="00527B44">
              <w:rPr>
                <w:rFonts w:asciiTheme="minorHAnsi" w:eastAsiaTheme="minorEastAsia" w:hAnsiTheme="minorHAnsi"/>
                <w:lang w:eastAsia="en-AU"/>
              </w:rPr>
              <w:tab/>
            </w:r>
            <w:r w:rsidR="00527B44" w:rsidRPr="004E1E6B">
              <w:rPr>
                <w:rStyle w:val="Hyperlink"/>
              </w:rPr>
              <w:t>Efficiency benefit sharing scheme</w:t>
            </w:r>
            <w:r w:rsidR="00527B44">
              <w:rPr>
                <w:webHidden/>
              </w:rPr>
              <w:tab/>
            </w:r>
            <w:r w:rsidR="00527B44">
              <w:rPr>
                <w:webHidden/>
              </w:rPr>
              <w:fldChar w:fldCharType="begin"/>
            </w:r>
            <w:r w:rsidR="00527B44">
              <w:rPr>
                <w:webHidden/>
              </w:rPr>
              <w:instrText xml:space="preserve"> PAGEREF _Toc417973151 \h </w:instrText>
            </w:r>
            <w:r w:rsidR="00527B44">
              <w:rPr>
                <w:webHidden/>
              </w:rPr>
            </w:r>
            <w:r w:rsidR="00527B44">
              <w:rPr>
                <w:webHidden/>
              </w:rPr>
              <w:fldChar w:fldCharType="separate"/>
            </w:r>
            <w:r w:rsidR="00527B44">
              <w:rPr>
                <w:webHidden/>
              </w:rPr>
              <w:t>35</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52" w:history="1">
            <w:r w:rsidR="00527B44" w:rsidRPr="004E1E6B">
              <w:rPr>
                <w:rStyle w:val="Hyperlink"/>
              </w:rPr>
              <w:t>3.3.2</w:t>
            </w:r>
            <w:r w:rsidR="00527B44">
              <w:rPr>
                <w:rFonts w:asciiTheme="minorHAnsi" w:eastAsiaTheme="minorEastAsia" w:hAnsiTheme="minorHAnsi"/>
                <w:lang w:eastAsia="en-AU"/>
              </w:rPr>
              <w:tab/>
            </w:r>
            <w:r w:rsidR="00527B44" w:rsidRPr="004E1E6B">
              <w:rPr>
                <w:rStyle w:val="Hyperlink"/>
              </w:rPr>
              <w:t>Capital expenditure sharing scheme</w:t>
            </w:r>
            <w:r w:rsidR="00527B44">
              <w:rPr>
                <w:webHidden/>
              </w:rPr>
              <w:tab/>
            </w:r>
            <w:r w:rsidR="00527B44">
              <w:rPr>
                <w:webHidden/>
              </w:rPr>
              <w:fldChar w:fldCharType="begin"/>
            </w:r>
            <w:r w:rsidR="00527B44">
              <w:rPr>
                <w:webHidden/>
              </w:rPr>
              <w:instrText xml:space="preserve"> PAGEREF _Toc417973152 \h </w:instrText>
            </w:r>
            <w:r w:rsidR="00527B44">
              <w:rPr>
                <w:webHidden/>
              </w:rPr>
            </w:r>
            <w:r w:rsidR="00527B44">
              <w:rPr>
                <w:webHidden/>
              </w:rPr>
              <w:fldChar w:fldCharType="separate"/>
            </w:r>
            <w:r w:rsidR="00527B44">
              <w:rPr>
                <w:webHidden/>
              </w:rPr>
              <w:t>36</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53" w:history="1">
            <w:r w:rsidR="00527B44" w:rsidRPr="004E1E6B">
              <w:rPr>
                <w:rStyle w:val="Hyperlink"/>
              </w:rPr>
              <w:t>3.3.3</w:t>
            </w:r>
            <w:r w:rsidR="00527B44">
              <w:rPr>
                <w:rFonts w:asciiTheme="minorHAnsi" w:eastAsiaTheme="minorEastAsia" w:hAnsiTheme="minorHAnsi"/>
                <w:lang w:eastAsia="en-AU"/>
              </w:rPr>
              <w:tab/>
            </w:r>
            <w:r w:rsidR="00527B44" w:rsidRPr="004E1E6B">
              <w:rPr>
                <w:rStyle w:val="Hyperlink"/>
              </w:rPr>
              <w:t>Service target performance incentive scheme (STPIS)</w:t>
            </w:r>
            <w:r w:rsidR="00527B44">
              <w:rPr>
                <w:webHidden/>
              </w:rPr>
              <w:tab/>
            </w:r>
            <w:r w:rsidR="00527B44">
              <w:rPr>
                <w:webHidden/>
              </w:rPr>
              <w:fldChar w:fldCharType="begin"/>
            </w:r>
            <w:r w:rsidR="00527B44">
              <w:rPr>
                <w:webHidden/>
              </w:rPr>
              <w:instrText xml:space="preserve"> PAGEREF _Toc417973153 \h </w:instrText>
            </w:r>
            <w:r w:rsidR="00527B44">
              <w:rPr>
                <w:webHidden/>
              </w:rPr>
            </w:r>
            <w:r w:rsidR="00527B44">
              <w:rPr>
                <w:webHidden/>
              </w:rPr>
              <w:fldChar w:fldCharType="separate"/>
            </w:r>
            <w:r w:rsidR="00527B44">
              <w:rPr>
                <w:webHidden/>
              </w:rPr>
              <w:t>36</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54" w:history="1">
            <w:r w:rsidR="00527B44" w:rsidRPr="004E1E6B">
              <w:rPr>
                <w:rStyle w:val="Hyperlink"/>
              </w:rPr>
              <w:t>3.3.4</w:t>
            </w:r>
            <w:r w:rsidR="00527B44">
              <w:rPr>
                <w:rFonts w:asciiTheme="minorHAnsi" w:eastAsiaTheme="minorEastAsia" w:hAnsiTheme="minorHAnsi"/>
                <w:lang w:eastAsia="en-AU"/>
              </w:rPr>
              <w:tab/>
            </w:r>
            <w:r w:rsidR="00527B44" w:rsidRPr="004E1E6B">
              <w:rPr>
                <w:rStyle w:val="Hyperlink"/>
              </w:rPr>
              <w:t>Demand management incentive scheme</w:t>
            </w:r>
            <w:r w:rsidR="00527B44">
              <w:rPr>
                <w:webHidden/>
              </w:rPr>
              <w:tab/>
            </w:r>
            <w:r w:rsidR="00527B44">
              <w:rPr>
                <w:webHidden/>
              </w:rPr>
              <w:fldChar w:fldCharType="begin"/>
            </w:r>
            <w:r w:rsidR="00527B44">
              <w:rPr>
                <w:webHidden/>
              </w:rPr>
              <w:instrText xml:space="preserve"> PAGEREF _Toc417973154 \h </w:instrText>
            </w:r>
            <w:r w:rsidR="00527B44">
              <w:rPr>
                <w:webHidden/>
              </w:rPr>
            </w:r>
            <w:r w:rsidR="00527B44">
              <w:rPr>
                <w:webHidden/>
              </w:rPr>
              <w:fldChar w:fldCharType="separate"/>
            </w:r>
            <w:r w:rsidR="00527B44">
              <w:rPr>
                <w:webHidden/>
              </w:rPr>
              <w:t>37</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55" w:history="1">
            <w:r w:rsidR="00527B44" w:rsidRPr="004E1E6B">
              <w:rPr>
                <w:rStyle w:val="Hyperlink"/>
              </w:rPr>
              <w:t>4</w:t>
            </w:r>
            <w:r w:rsidR="00527B44">
              <w:rPr>
                <w:rFonts w:asciiTheme="minorHAnsi" w:eastAsiaTheme="minorEastAsia" w:hAnsiTheme="minorHAnsi"/>
                <w:b w:val="0"/>
                <w:color w:val="auto"/>
                <w:sz w:val="22"/>
                <w:lang w:val="en-AU" w:eastAsia="en-AU"/>
              </w:rPr>
              <w:tab/>
            </w:r>
            <w:r w:rsidR="00527B44" w:rsidRPr="004E1E6B">
              <w:rPr>
                <w:rStyle w:val="Hyperlink"/>
              </w:rPr>
              <w:t>Regulatory framework</w:t>
            </w:r>
            <w:r w:rsidR="00527B44">
              <w:rPr>
                <w:webHidden/>
              </w:rPr>
              <w:tab/>
            </w:r>
            <w:r w:rsidR="00527B44">
              <w:rPr>
                <w:webHidden/>
              </w:rPr>
              <w:fldChar w:fldCharType="begin"/>
            </w:r>
            <w:r w:rsidR="00527B44">
              <w:rPr>
                <w:webHidden/>
              </w:rPr>
              <w:instrText xml:space="preserve"> PAGEREF _Toc417973155 \h </w:instrText>
            </w:r>
            <w:r w:rsidR="00527B44">
              <w:rPr>
                <w:webHidden/>
              </w:rPr>
            </w:r>
            <w:r w:rsidR="00527B44">
              <w:rPr>
                <w:webHidden/>
              </w:rPr>
              <w:fldChar w:fldCharType="separate"/>
            </w:r>
            <w:r w:rsidR="00527B44">
              <w:rPr>
                <w:webHidden/>
              </w:rPr>
              <w:t>38</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56" w:history="1">
            <w:r w:rsidR="00527B44" w:rsidRPr="004E1E6B">
              <w:rPr>
                <w:rStyle w:val="Hyperlink"/>
              </w:rPr>
              <w:t>4.1</w:t>
            </w:r>
            <w:r w:rsidR="00527B44">
              <w:rPr>
                <w:rFonts w:asciiTheme="minorHAnsi" w:eastAsiaTheme="minorEastAsia" w:hAnsiTheme="minorHAnsi"/>
                <w:b w:val="0"/>
                <w:color w:val="auto"/>
                <w:sz w:val="22"/>
                <w:lang w:eastAsia="en-AU"/>
              </w:rPr>
              <w:tab/>
            </w:r>
            <w:r w:rsidR="00527B44" w:rsidRPr="004E1E6B">
              <w:rPr>
                <w:rStyle w:val="Hyperlink"/>
              </w:rPr>
              <w:t>Understanding the NEO</w:t>
            </w:r>
            <w:r w:rsidR="00527B44">
              <w:rPr>
                <w:webHidden/>
              </w:rPr>
              <w:tab/>
            </w:r>
            <w:r w:rsidR="00527B44">
              <w:rPr>
                <w:webHidden/>
              </w:rPr>
              <w:fldChar w:fldCharType="begin"/>
            </w:r>
            <w:r w:rsidR="00527B44">
              <w:rPr>
                <w:webHidden/>
              </w:rPr>
              <w:instrText xml:space="preserve"> PAGEREF _Toc417973156 \h </w:instrText>
            </w:r>
            <w:r w:rsidR="00527B44">
              <w:rPr>
                <w:webHidden/>
              </w:rPr>
            </w:r>
            <w:r w:rsidR="00527B44">
              <w:rPr>
                <w:webHidden/>
              </w:rPr>
              <w:fldChar w:fldCharType="separate"/>
            </w:r>
            <w:r w:rsidR="00527B44">
              <w:rPr>
                <w:webHidden/>
              </w:rPr>
              <w:t>40</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57" w:history="1">
            <w:r w:rsidR="00527B44" w:rsidRPr="004E1E6B">
              <w:rPr>
                <w:rStyle w:val="Hyperlink"/>
              </w:rPr>
              <w:t>4.2</w:t>
            </w:r>
            <w:r w:rsidR="00527B44">
              <w:rPr>
                <w:rFonts w:asciiTheme="minorHAnsi" w:eastAsiaTheme="minorEastAsia" w:hAnsiTheme="minorHAnsi"/>
                <w:b w:val="0"/>
                <w:color w:val="auto"/>
                <w:sz w:val="22"/>
                <w:lang w:eastAsia="en-AU"/>
              </w:rPr>
              <w:tab/>
            </w:r>
            <w:r w:rsidR="00527B44" w:rsidRPr="004E1E6B">
              <w:rPr>
                <w:rStyle w:val="Hyperlink"/>
              </w:rPr>
              <w:t>The 2012 framework changes</w:t>
            </w:r>
            <w:r w:rsidR="00527B44">
              <w:rPr>
                <w:webHidden/>
              </w:rPr>
              <w:tab/>
            </w:r>
            <w:r w:rsidR="00527B44">
              <w:rPr>
                <w:webHidden/>
              </w:rPr>
              <w:fldChar w:fldCharType="begin"/>
            </w:r>
            <w:r w:rsidR="00527B44">
              <w:rPr>
                <w:webHidden/>
              </w:rPr>
              <w:instrText xml:space="preserve"> PAGEREF _Toc417973157 \h </w:instrText>
            </w:r>
            <w:r w:rsidR="00527B44">
              <w:rPr>
                <w:webHidden/>
              </w:rPr>
            </w:r>
            <w:r w:rsidR="00527B44">
              <w:rPr>
                <w:webHidden/>
              </w:rPr>
              <w:fldChar w:fldCharType="separate"/>
            </w:r>
            <w:r w:rsidR="00527B44">
              <w:rPr>
                <w:webHidden/>
              </w:rPr>
              <w:t>41</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58" w:history="1">
            <w:r w:rsidR="00527B44" w:rsidRPr="004E1E6B">
              <w:rPr>
                <w:rStyle w:val="Hyperlink"/>
              </w:rPr>
              <w:t>4.2.1</w:t>
            </w:r>
            <w:r w:rsidR="00527B44">
              <w:rPr>
                <w:rFonts w:asciiTheme="minorHAnsi" w:eastAsiaTheme="minorEastAsia" w:hAnsiTheme="minorHAnsi"/>
                <w:lang w:eastAsia="en-AU"/>
              </w:rPr>
              <w:tab/>
            </w:r>
            <w:r w:rsidR="00527B44" w:rsidRPr="004E1E6B">
              <w:rPr>
                <w:rStyle w:val="Hyperlink"/>
              </w:rPr>
              <w:t>Interrelationships</w:t>
            </w:r>
            <w:r w:rsidR="00527B44">
              <w:rPr>
                <w:webHidden/>
              </w:rPr>
              <w:tab/>
            </w:r>
            <w:r w:rsidR="00527B44">
              <w:rPr>
                <w:webHidden/>
              </w:rPr>
              <w:fldChar w:fldCharType="begin"/>
            </w:r>
            <w:r w:rsidR="00527B44">
              <w:rPr>
                <w:webHidden/>
              </w:rPr>
              <w:instrText xml:space="preserve"> PAGEREF _Toc417973158 \h </w:instrText>
            </w:r>
            <w:r w:rsidR="00527B44">
              <w:rPr>
                <w:webHidden/>
              </w:rPr>
            </w:r>
            <w:r w:rsidR="00527B44">
              <w:rPr>
                <w:webHidden/>
              </w:rPr>
              <w:fldChar w:fldCharType="separate"/>
            </w:r>
            <w:r w:rsidR="00527B44">
              <w:rPr>
                <w:webHidden/>
              </w:rPr>
              <w:t>42</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59" w:history="1">
            <w:r w:rsidR="00527B44" w:rsidRPr="004E1E6B">
              <w:rPr>
                <w:rStyle w:val="Hyperlink"/>
              </w:rPr>
              <w:t>5</w:t>
            </w:r>
            <w:r w:rsidR="00527B44">
              <w:rPr>
                <w:rFonts w:asciiTheme="minorHAnsi" w:eastAsiaTheme="minorEastAsia" w:hAnsiTheme="minorHAnsi"/>
                <w:b w:val="0"/>
                <w:color w:val="auto"/>
                <w:sz w:val="22"/>
                <w:lang w:val="en-AU" w:eastAsia="en-AU"/>
              </w:rPr>
              <w:tab/>
            </w:r>
            <w:r w:rsidR="00527B44" w:rsidRPr="004E1E6B">
              <w:rPr>
                <w:rStyle w:val="Hyperlink"/>
              </w:rPr>
              <w:t>Process</w:t>
            </w:r>
            <w:r w:rsidR="00527B44">
              <w:rPr>
                <w:webHidden/>
              </w:rPr>
              <w:tab/>
            </w:r>
            <w:r w:rsidR="00527B44">
              <w:rPr>
                <w:webHidden/>
              </w:rPr>
              <w:fldChar w:fldCharType="begin"/>
            </w:r>
            <w:r w:rsidR="00527B44">
              <w:rPr>
                <w:webHidden/>
              </w:rPr>
              <w:instrText xml:space="preserve"> PAGEREF _Toc417973159 \h </w:instrText>
            </w:r>
            <w:r w:rsidR="00527B44">
              <w:rPr>
                <w:webHidden/>
              </w:rPr>
            </w:r>
            <w:r w:rsidR="00527B44">
              <w:rPr>
                <w:webHidden/>
              </w:rPr>
              <w:fldChar w:fldCharType="separate"/>
            </w:r>
            <w:r w:rsidR="00527B44">
              <w:rPr>
                <w:webHidden/>
              </w:rPr>
              <w:t>44</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60" w:history="1">
            <w:r w:rsidR="00527B44" w:rsidRPr="004E1E6B">
              <w:rPr>
                <w:rStyle w:val="Hyperlink"/>
              </w:rPr>
              <w:t>5.1</w:t>
            </w:r>
            <w:r w:rsidR="00527B44">
              <w:rPr>
                <w:rFonts w:asciiTheme="minorHAnsi" w:eastAsiaTheme="minorEastAsia" w:hAnsiTheme="minorHAnsi"/>
                <w:b w:val="0"/>
                <w:color w:val="auto"/>
                <w:sz w:val="22"/>
                <w:lang w:eastAsia="en-AU"/>
              </w:rPr>
              <w:tab/>
            </w:r>
            <w:r w:rsidR="00527B44" w:rsidRPr="004E1E6B">
              <w:rPr>
                <w:rStyle w:val="Hyperlink"/>
              </w:rPr>
              <w:t>Better Regulation program</w:t>
            </w:r>
            <w:r w:rsidR="00527B44">
              <w:rPr>
                <w:webHidden/>
              </w:rPr>
              <w:tab/>
            </w:r>
            <w:r w:rsidR="00527B44">
              <w:rPr>
                <w:webHidden/>
              </w:rPr>
              <w:fldChar w:fldCharType="begin"/>
            </w:r>
            <w:r w:rsidR="00527B44">
              <w:rPr>
                <w:webHidden/>
              </w:rPr>
              <w:instrText xml:space="preserve"> PAGEREF _Toc417973160 \h </w:instrText>
            </w:r>
            <w:r w:rsidR="00527B44">
              <w:rPr>
                <w:webHidden/>
              </w:rPr>
            </w:r>
            <w:r w:rsidR="00527B44">
              <w:rPr>
                <w:webHidden/>
              </w:rPr>
              <w:fldChar w:fldCharType="separate"/>
            </w:r>
            <w:r w:rsidR="00527B44">
              <w:rPr>
                <w:webHidden/>
              </w:rPr>
              <w:t>44</w:t>
            </w:r>
            <w:r w:rsidR="00527B44">
              <w:rPr>
                <w:webHidden/>
              </w:rPr>
              <w:fldChar w:fldCharType="end"/>
            </w:r>
          </w:hyperlink>
        </w:p>
        <w:p w:rsidR="00527B44" w:rsidRDefault="00C4341A">
          <w:pPr>
            <w:pStyle w:val="TOC2"/>
            <w:rPr>
              <w:rFonts w:asciiTheme="minorHAnsi" w:eastAsiaTheme="minorEastAsia" w:hAnsiTheme="minorHAnsi"/>
              <w:b w:val="0"/>
              <w:color w:val="auto"/>
              <w:sz w:val="22"/>
              <w:lang w:eastAsia="en-AU"/>
            </w:rPr>
          </w:pPr>
          <w:hyperlink w:anchor="_Toc417973161" w:history="1">
            <w:r w:rsidR="00527B44" w:rsidRPr="004E1E6B">
              <w:rPr>
                <w:rStyle w:val="Hyperlink"/>
              </w:rPr>
              <w:t>5.2</w:t>
            </w:r>
            <w:r w:rsidR="00527B44">
              <w:rPr>
                <w:rFonts w:asciiTheme="minorHAnsi" w:eastAsiaTheme="minorEastAsia" w:hAnsiTheme="minorHAnsi"/>
                <w:b w:val="0"/>
                <w:color w:val="auto"/>
                <w:sz w:val="22"/>
                <w:lang w:eastAsia="en-AU"/>
              </w:rPr>
              <w:tab/>
            </w:r>
            <w:r w:rsidR="00527B44" w:rsidRPr="004E1E6B">
              <w:rPr>
                <w:rStyle w:val="Hyperlink"/>
              </w:rPr>
              <w:t>Our engagement during the decision making process</w:t>
            </w:r>
            <w:r w:rsidR="00527B44">
              <w:rPr>
                <w:webHidden/>
              </w:rPr>
              <w:tab/>
            </w:r>
            <w:r w:rsidR="00527B44">
              <w:rPr>
                <w:webHidden/>
              </w:rPr>
              <w:fldChar w:fldCharType="begin"/>
            </w:r>
            <w:r w:rsidR="00527B44">
              <w:rPr>
                <w:webHidden/>
              </w:rPr>
              <w:instrText xml:space="preserve"> PAGEREF _Toc417973161 \h </w:instrText>
            </w:r>
            <w:r w:rsidR="00527B44">
              <w:rPr>
                <w:webHidden/>
              </w:rPr>
            </w:r>
            <w:r w:rsidR="00527B44">
              <w:rPr>
                <w:webHidden/>
              </w:rPr>
              <w:fldChar w:fldCharType="separate"/>
            </w:r>
            <w:r w:rsidR="00527B44">
              <w:rPr>
                <w:webHidden/>
              </w:rPr>
              <w:t>44</w:t>
            </w:r>
            <w:r w:rsidR="00527B44">
              <w:rPr>
                <w:webHidden/>
              </w:rPr>
              <w:fldChar w:fldCharType="end"/>
            </w:r>
          </w:hyperlink>
        </w:p>
        <w:p w:rsidR="00527B44" w:rsidRDefault="00C4341A">
          <w:pPr>
            <w:pStyle w:val="TOC3"/>
            <w:rPr>
              <w:rFonts w:asciiTheme="minorHAnsi" w:eastAsiaTheme="minorEastAsia" w:hAnsiTheme="minorHAnsi"/>
              <w:lang w:eastAsia="en-AU"/>
            </w:rPr>
          </w:pPr>
          <w:hyperlink w:anchor="_Toc417973162" w:history="1">
            <w:r w:rsidR="00527B44" w:rsidRPr="004E1E6B">
              <w:rPr>
                <w:rStyle w:val="Hyperlink"/>
              </w:rPr>
              <w:t>5.2.1</w:t>
            </w:r>
            <w:r w:rsidR="00527B44">
              <w:rPr>
                <w:rFonts w:asciiTheme="minorHAnsi" w:eastAsiaTheme="minorEastAsia" w:hAnsiTheme="minorHAnsi"/>
                <w:lang w:eastAsia="en-AU"/>
              </w:rPr>
              <w:tab/>
            </w:r>
            <w:r w:rsidR="00527B44" w:rsidRPr="004E1E6B">
              <w:rPr>
                <w:rStyle w:val="Hyperlink"/>
              </w:rPr>
              <w:t>Revocation and substitution of preliminary decision</w:t>
            </w:r>
            <w:r w:rsidR="00527B44">
              <w:rPr>
                <w:webHidden/>
              </w:rPr>
              <w:tab/>
            </w:r>
            <w:r w:rsidR="00527B44">
              <w:rPr>
                <w:webHidden/>
              </w:rPr>
              <w:fldChar w:fldCharType="begin"/>
            </w:r>
            <w:r w:rsidR="00527B44">
              <w:rPr>
                <w:webHidden/>
              </w:rPr>
              <w:instrText xml:space="preserve"> PAGEREF _Toc417973162 \h </w:instrText>
            </w:r>
            <w:r w:rsidR="00527B44">
              <w:rPr>
                <w:webHidden/>
              </w:rPr>
            </w:r>
            <w:r w:rsidR="00527B44">
              <w:rPr>
                <w:webHidden/>
              </w:rPr>
              <w:fldChar w:fldCharType="separate"/>
            </w:r>
            <w:r w:rsidR="00527B44">
              <w:rPr>
                <w:webHidden/>
              </w:rPr>
              <w:t>46</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63" w:history="1">
            <w:r w:rsidR="00527B44" w:rsidRPr="004E1E6B">
              <w:rPr>
                <w:rStyle w:val="Hyperlink"/>
              </w:rPr>
              <w:t>6</w:t>
            </w:r>
            <w:r w:rsidR="00527B44">
              <w:rPr>
                <w:rFonts w:asciiTheme="minorHAnsi" w:eastAsiaTheme="minorEastAsia" w:hAnsiTheme="minorHAnsi"/>
                <w:b w:val="0"/>
                <w:color w:val="auto"/>
                <w:sz w:val="22"/>
                <w:lang w:val="en-AU" w:eastAsia="en-AU"/>
              </w:rPr>
              <w:tab/>
            </w:r>
            <w:r w:rsidR="00527B44" w:rsidRPr="004E1E6B">
              <w:rPr>
                <w:rStyle w:val="Hyperlink"/>
              </w:rPr>
              <w:t>Next steps</w:t>
            </w:r>
            <w:r w:rsidR="00527B44">
              <w:rPr>
                <w:webHidden/>
              </w:rPr>
              <w:tab/>
            </w:r>
            <w:r w:rsidR="00527B44">
              <w:rPr>
                <w:webHidden/>
              </w:rPr>
              <w:fldChar w:fldCharType="begin"/>
            </w:r>
            <w:r w:rsidR="00527B44">
              <w:rPr>
                <w:webHidden/>
              </w:rPr>
              <w:instrText xml:space="preserve"> PAGEREF _Toc417973163 \h </w:instrText>
            </w:r>
            <w:r w:rsidR="00527B44">
              <w:rPr>
                <w:webHidden/>
              </w:rPr>
            </w:r>
            <w:r w:rsidR="00527B44">
              <w:rPr>
                <w:webHidden/>
              </w:rPr>
              <w:fldChar w:fldCharType="separate"/>
            </w:r>
            <w:r w:rsidR="00527B44">
              <w:rPr>
                <w:webHidden/>
              </w:rPr>
              <w:t>47</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64" w:history="1">
            <w:r w:rsidR="00527B44" w:rsidRPr="004E1E6B">
              <w:rPr>
                <w:rStyle w:val="Hyperlink"/>
              </w:rPr>
              <w:t>A  Constituent decisions</w:t>
            </w:r>
            <w:r w:rsidR="00527B44">
              <w:rPr>
                <w:webHidden/>
              </w:rPr>
              <w:tab/>
            </w:r>
            <w:r w:rsidR="00527B44">
              <w:rPr>
                <w:webHidden/>
              </w:rPr>
              <w:fldChar w:fldCharType="begin"/>
            </w:r>
            <w:r w:rsidR="00527B44">
              <w:rPr>
                <w:webHidden/>
              </w:rPr>
              <w:instrText xml:space="preserve"> PAGEREF _Toc417973164 \h </w:instrText>
            </w:r>
            <w:r w:rsidR="00527B44">
              <w:rPr>
                <w:webHidden/>
              </w:rPr>
            </w:r>
            <w:r w:rsidR="00527B44">
              <w:rPr>
                <w:webHidden/>
              </w:rPr>
              <w:fldChar w:fldCharType="separate"/>
            </w:r>
            <w:r w:rsidR="00527B44">
              <w:rPr>
                <w:webHidden/>
              </w:rPr>
              <w:t>48</w:t>
            </w:r>
            <w:r w:rsidR="00527B44">
              <w:rPr>
                <w:webHidden/>
              </w:rPr>
              <w:fldChar w:fldCharType="end"/>
            </w:r>
          </w:hyperlink>
        </w:p>
        <w:p w:rsidR="00527B44" w:rsidRDefault="00C4341A">
          <w:pPr>
            <w:pStyle w:val="TOC1"/>
            <w:rPr>
              <w:rFonts w:asciiTheme="minorHAnsi" w:eastAsiaTheme="minorEastAsia" w:hAnsiTheme="minorHAnsi"/>
              <w:b w:val="0"/>
              <w:color w:val="auto"/>
              <w:sz w:val="22"/>
              <w:lang w:val="en-AU" w:eastAsia="en-AU"/>
            </w:rPr>
          </w:pPr>
          <w:hyperlink w:anchor="_Toc417973165" w:history="1">
            <w:r w:rsidR="00527B44" w:rsidRPr="004E1E6B">
              <w:rPr>
                <w:rStyle w:val="Hyperlink"/>
              </w:rPr>
              <w:t>B  List of submissions</w:t>
            </w:r>
            <w:r w:rsidR="00527B44">
              <w:rPr>
                <w:webHidden/>
              </w:rPr>
              <w:tab/>
            </w:r>
            <w:r w:rsidR="00527B44">
              <w:rPr>
                <w:webHidden/>
              </w:rPr>
              <w:fldChar w:fldCharType="begin"/>
            </w:r>
            <w:r w:rsidR="00527B44">
              <w:rPr>
                <w:webHidden/>
              </w:rPr>
              <w:instrText xml:space="preserve"> PAGEREF _Toc417973165 \h </w:instrText>
            </w:r>
            <w:r w:rsidR="00527B44">
              <w:rPr>
                <w:webHidden/>
              </w:rPr>
            </w:r>
            <w:r w:rsidR="00527B44">
              <w:rPr>
                <w:webHidden/>
              </w:rPr>
              <w:fldChar w:fldCharType="separate"/>
            </w:r>
            <w:r w:rsidR="00527B44">
              <w:rPr>
                <w:webHidden/>
              </w:rPr>
              <w:t>51</w:t>
            </w:r>
            <w:r w:rsidR="00527B44">
              <w:rPr>
                <w:webHidden/>
              </w:rPr>
              <w:fldChar w:fldCharType="end"/>
            </w:r>
          </w:hyperlink>
        </w:p>
        <w:p w:rsidR="00DE563D" w:rsidRDefault="005E6437" w:rsidP="005E6437">
          <w:pPr>
            <w:pStyle w:val="TOC1"/>
          </w:pPr>
          <w:r>
            <w:rPr>
              <w:color w:val="auto"/>
              <w:sz w:val="22"/>
            </w:rPr>
            <w:fldChar w:fldCharType="end"/>
          </w:r>
        </w:p>
      </w:sdtContent>
    </w:sdt>
    <w:p w:rsidR="00DE563D" w:rsidRDefault="00DE563D" w:rsidP="00DE563D">
      <w:pPr>
        <w:pStyle w:val="UnnumberedHeading"/>
        <w:numPr>
          <w:ilvl w:val="0"/>
          <w:numId w:val="24"/>
        </w:numPr>
      </w:pPr>
      <w:bookmarkStart w:id="7" w:name="_Toc404700925"/>
      <w:bookmarkStart w:id="8" w:name="_Toc417973128"/>
      <w:r>
        <w:t>Shortened forms</w:t>
      </w:r>
      <w:bookmarkEnd w:id="7"/>
      <w:bookmarkEnd w:id="8"/>
    </w:p>
    <w:tbl>
      <w:tblPr>
        <w:tblStyle w:val="AERtable-numbers"/>
        <w:tblW w:w="0" w:type="auto"/>
        <w:tblLook w:val="04A0" w:firstRow="1" w:lastRow="0" w:firstColumn="1" w:lastColumn="0" w:noHBand="0" w:noVBand="1"/>
      </w:tblPr>
      <w:tblGrid>
        <w:gridCol w:w="4341"/>
        <w:gridCol w:w="4352"/>
      </w:tblGrid>
      <w:tr w:rsidR="00DE563D" w:rsidTr="004A4D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AEMC</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Australian Energy Market Commission</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AEMO</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Australian Energy Market Operator</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AER</w:t>
            </w:r>
            <w:bookmarkStart w:id="9" w:name="_GoBack"/>
            <w:bookmarkEnd w:id="9"/>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Australian Energy Regulator</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augex</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augmentation expenditure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capex</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capital expenditure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CCP</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Consumer Challenge Panel</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CESS</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capital expenditure sharing scheme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CPI</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consumer price index</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DRP</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debt risk premium</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DMIA</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demand management innovation allowance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DMIS</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demand management incentive scheme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distributor</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distribution network service provider</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DUoS</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distribution use of system</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EBSS</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efficiency benefit sharing scheme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ERP</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equity risk premium</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79150E" w:rsidP="0079150E">
            <w:pPr>
              <w:pStyle w:val="AERtabletextleft"/>
              <w:rPr>
                <w:rStyle w:val="AERtextsize8"/>
              </w:rPr>
            </w:pPr>
            <w:r w:rsidRPr="004A4D49">
              <w:rPr>
                <w:rStyle w:val="AERtextsize8"/>
              </w:rPr>
              <w:t>E</w:t>
            </w:r>
            <w:r w:rsidR="00DE563D" w:rsidRPr="004A4D49">
              <w:rPr>
                <w:rStyle w:val="AERtextsize8"/>
              </w:rPr>
              <w:t xml:space="preserve">xpenditure </w:t>
            </w:r>
            <w:r w:rsidRPr="004A4D49">
              <w:rPr>
                <w:rStyle w:val="AERtextsize8"/>
              </w:rPr>
              <w:t>A</w:t>
            </w:r>
            <w:r w:rsidR="00DE563D" w:rsidRPr="004A4D49">
              <w:rPr>
                <w:rStyle w:val="AERtextsize8"/>
              </w:rPr>
              <w:t xml:space="preserve">ssessment </w:t>
            </w:r>
            <w:r w:rsidRPr="004A4D49">
              <w:rPr>
                <w:rStyle w:val="AERtextsize8"/>
              </w:rPr>
              <w:t>G</w:t>
            </w:r>
            <w:r w:rsidR="00DE563D" w:rsidRPr="004A4D49">
              <w:rPr>
                <w:rStyle w:val="AERtextsize8"/>
              </w:rPr>
              <w:t>uideline</w:t>
            </w:r>
          </w:p>
        </w:tc>
        <w:tc>
          <w:tcPr>
            <w:tcW w:w="4352" w:type="dxa"/>
          </w:tcPr>
          <w:p w:rsidR="00DE563D" w:rsidRPr="004A4D49" w:rsidRDefault="0014471B" w:rsidP="00497F95">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e</w:t>
            </w:r>
            <w:r w:rsidR="00DE563D" w:rsidRPr="004A4D49">
              <w:rPr>
                <w:rStyle w:val="AERtextsize8"/>
              </w:rPr>
              <w:t xml:space="preserve">xpenditure </w:t>
            </w:r>
            <w:r>
              <w:rPr>
                <w:rStyle w:val="AERtextsize8"/>
              </w:rPr>
              <w:t>f</w:t>
            </w:r>
            <w:r w:rsidR="00DE563D" w:rsidRPr="004A4D49">
              <w:rPr>
                <w:rStyle w:val="AERtextsize8"/>
              </w:rPr>
              <w:t xml:space="preserve">orecast </w:t>
            </w:r>
            <w:r>
              <w:rPr>
                <w:rStyle w:val="AERtextsize8"/>
              </w:rPr>
              <w:t>a</w:t>
            </w:r>
            <w:r w:rsidR="00DE563D" w:rsidRPr="004A4D49">
              <w:rPr>
                <w:rStyle w:val="AERtextsize8"/>
              </w:rPr>
              <w:t xml:space="preserve">ssessment </w:t>
            </w:r>
            <w:r w:rsidR="00497F95">
              <w:rPr>
                <w:rStyle w:val="AERtextsize8"/>
              </w:rPr>
              <w:t>G</w:t>
            </w:r>
            <w:r w:rsidR="00DE563D" w:rsidRPr="004A4D49">
              <w:rPr>
                <w:rStyle w:val="AERtextsize8"/>
              </w:rPr>
              <w:t xml:space="preserve">uideline for </w:t>
            </w:r>
            <w:r>
              <w:rPr>
                <w:rStyle w:val="AERtextsize8"/>
              </w:rPr>
              <w:t>e</w:t>
            </w:r>
            <w:r w:rsidR="00DE563D" w:rsidRPr="004A4D49">
              <w:rPr>
                <w:rStyle w:val="AERtextsize8"/>
              </w:rPr>
              <w:t xml:space="preserve">lectricity </w:t>
            </w:r>
            <w:r>
              <w:rPr>
                <w:rStyle w:val="AERtextsize8"/>
              </w:rPr>
              <w:t>d</w:t>
            </w:r>
            <w:r w:rsidR="00DE563D" w:rsidRPr="004A4D49">
              <w:rPr>
                <w:rStyle w:val="AERtextsize8"/>
              </w:rPr>
              <w:t>istribution</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F&amp;A</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framework and approach</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MRP</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market risk premium</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NEL</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national electricity law</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NEM</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national electricity market</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NEO</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national electricity objective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NER</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national electricity rules</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NSP</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network service provider</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opex</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operating expenditure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PPI</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partial performance indicators</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PTRM</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post-tax revenue model</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RAB</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regulatory asset base</w:t>
            </w:r>
          </w:p>
        </w:tc>
      </w:tr>
      <w:tr w:rsidR="00DE563D" w:rsidRPr="004A4D49"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RBA</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Reserve Bank of Australia</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repex</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replacement expenditure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RFM</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roll forward model</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RIN</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regulatory information notice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RPP</w:t>
            </w:r>
          </w:p>
        </w:tc>
        <w:tc>
          <w:tcPr>
            <w:tcW w:w="4352" w:type="dxa"/>
          </w:tcPr>
          <w:p w:rsidR="00DE563D" w:rsidRPr="004A4D4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 xml:space="preserve">revenue </w:t>
            </w:r>
            <w:r w:rsidR="0014471B">
              <w:rPr>
                <w:rStyle w:val="AERtextsize8"/>
              </w:rPr>
              <w:t xml:space="preserve">and </w:t>
            </w:r>
            <w:r w:rsidRPr="004A4D49">
              <w:rPr>
                <w:rStyle w:val="AERtextsize8"/>
              </w:rPr>
              <w:t>pricing principles</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SAIDI</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system average interruption duration index</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SAIFI</w:t>
            </w:r>
          </w:p>
        </w:tc>
        <w:tc>
          <w:tcPr>
            <w:tcW w:w="4352" w:type="dxa"/>
          </w:tcPr>
          <w:p w:rsidR="00DE563D" w:rsidRPr="004A4D49" w:rsidRDefault="00DE563D" w:rsidP="004A4D49">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system average interruption frequency index</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SLCAPM</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Sharpe-Lintner capital asset pricing model</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STPIS</w:t>
            </w:r>
          </w:p>
        </w:tc>
        <w:tc>
          <w:tcPr>
            <w:tcW w:w="4352" w:type="dxa"/>
          </w:tcPr>
          <w:p w:rsidR="00DE563D" w:rsidRPr="004A4D49" w:rsidRDefault="00DE563D" w:rsidP="004A4D49">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4A4D49">
              <w:rPr>
                <w:rStyle w:val="AERtextsize8"/>
              </w:rPr>
              <w:t>service target performance incentive scheme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4A4D49" w:rsidRDefault="00DE563D" w:rsidP="00DE563D">
            <w:pPr>
              <w:pStyle w:val="AERtabletextleft"/>
              <w:rPr>
                <w:rStyle w:val="AERtextsize8"/>
              </w:rPr>
            </w:pPr>
            <w:r w:rsidRPr="004A4D49">
              <w:rPr>
                <w:rStyle w:val="AERtextsize8"/>
              </w:rPr>
              <w:t>WACC</w:t>
            </w:r>
          </w:p>
        </w:tc>
        <w:tc>
          <w:tcPr>
            <w:tcW w:w="4352" w:type="dxa"/>
          </w:tcPr>
          <w:p w:rsidR="00DE563D" w:rsidRPr="004A4D4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4A4D49">
              <w:rPr>
                <w:rStyle w:val="AERtextsize8"/>
              </w:rP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8C3676" w:rsidRDefault="008C3676" w:rsidP="00DE563D"/>
    <w:p w:rsidR="008C3676" w:rsidRDefault="008C3676" w:rsidP="00DE563D"/>
    <w:p w:rsidR="008C3676" w:rsidRDefault="008C3676" w:rsidP="00DE563D"/>
    <w:p w:rsidR="008C3676" w:rsidRDefault="008C3676" w:rsidP="00DE563D"/>
    <w:p w:rsidR="008C3676" w:rsidRDefault="008C3676" w:rsidP="00DE563D"/>
    <w:p w:rsidR="008C3676" w:rsidRDefault="008C3676" w:rsidP="00DE563D"/>
    <w:p w:rsidR="008C3676" w:rsidRDefault="008C3676" w:rsidP="00DE563D"/>
    <w:p w:rsidR="008C3676" w:rsidRDefault="008C3676" w:rsidP="00DE563D"/>
    <w:p w:rsidR="009761DD" w:rsidRDefault="009761DD" w:rsidP="009761DD">
      <w:pPr>
        <w:pStyle w:val="Heading1"/>
      </w:pPr>
      <w:bookmarkStart w:id="10" w:name="_Toc417973129"/>
      <w:r>
        <w:t>Our preliminary decision</w:t>
      </w:r>
      <w:bookmarkEnd w:id="10"/>
    </w:p>
    <w:p w:rsidR="009761DD" w:rsidRDefault="009761DD" w:rsidP="009761DD">
      <w:r>
        <w:t xml:space="preserve">The </w:t>
      </w:r>
      <w:r w:rsidR="00497F95">
        <w:t>Australian Energy Regulatory (</w:t>
      </w:r>
      <w:r>
        <w:t>AER</w:t>
      </w:r>
      <w:r w:rsidR="00497F95">
        <w:t>)</w:t>
      </w:r>
      <w:r>
        <w:t xml:space="preserve"> </w:t>
      </w:r>
      <w:r w:rsidR="003353D6">
        <w:t>is</w:t>
      </w:r>
      <w:r w:rsidR="00B701E6">
        <w:t xml:space="preserve"> </w:t>
      </w:r>
      <w:r>
        <w:t xml:space="preserve">responsible for the economic regulation of electricity transmission and distribution systems in all states and territories except Western Australian and the Northern Territory. Energex is </w:t>
      </w:r>
      <w:r w:rsidR="000E675B">
        <w:t>one of two d</w:t>
      </w:r>
      <w:r>
        <w:t xml:space="preserve">istribution </w:t>
      </w:r>
      <w:r w:rsidR="000E675B">
        <w:t>n</w:t>
      </w:r>
      <w:r>
        <w:t xml:space="preserve">etwork </w:t>
      </w:r>
      <w:r w:rsidR="000E675B">
        <w:t>s</w:t>
      </w:r>
      <w:r>
        <w:t xml:space="preserve">ervice </w:t>
      </w:r>
      <w:r w:rsidR="000E675B">
        <w:t>p</w:t>
      </w:r>
      <w:r>
        <w:t>rovider</w:t>
      </w:r>
      <w:r w:rsidR="000E675B">
        <w:t>s</w:t>
      </w:r>
      <w:r>
        <w:t xml:space="preserve"> (distributor</w:t>
      </w:r>
      <w:r w:rsidR="00E53FB8">
        <w:t>s</w:t>
      </w:r>
      <w:r>
        <w:t xml:space="preserve">) </w:t>
      </w:r>
      <w:r w:rsidR="000E675B">
        <w:t xml:space="preserve">in Queensland and is </w:t>
      </w:r>
      <w:r>
        <w:t>responsible for providing electricity distribution</w:t>
      </w:r>
      <w:r w:rsidR="003353D6">
        <w:t xml:space="preserve"> services in certain areas of Queensland</w:t>
      </w:r>
      <w:r>
        <w:t xml:space="preserve"> including </w:t>
      </w:r>
      <w:r w:rsidRPr="004F37A8">
        <w:t>Brisbane, the Gold Coast,</w:t>
      </w:r>
      <w:r>
        <w:t xml:space="preserve"> </w:t>
      </w:r>
      <w:r w:rsidRPr="004F37A8">
        <w:t>Sunshine Coast and Ipswich</w:t>
      </w:r>
      <w:r>
        <w:t xml:space="preserve">. </w:t>
      </w:r>
      <w:r w:rsidR="005A6432">
        <w:t xml:space="preserve">We regulate the revenues Energex and other distributors can recover from their customers. </w:t>
      </w:r>
    </w:p>
    <w:p w:rsidR="000E675B" w:rsidRDefault="005A6432" w:rsidP="009761DD">
      <w:r>
        <w:t xml:space="preserve">The National Electricity Law (NEL) </w:t>
      </w:r>
      <w:r w:rsidR="000E675B">
        <w:t xml:space="preserve">and National Electricity Rules (NER) provide the regulatory framework under which we operate. Most relevantly, they set out how we must assess a regulatory proposal and make our decision. </w:t>
      </w:r>
    </w:p>
    <w:p w:rsidR="000E675B" w:rsidRDefault="000E675B" w:rsidP="009761DD">
      <w:r>
        <w:t>The National Electricity Objective (NEO) sits at the centre of the NEL and NER. The NEO is to promote efficient investment in, and efficient operation and use of, electricity services for the long term interests of consumers of electricity with respect to</w:t>
      </w:r>
      <w:r>
        <w:rPr>
          <w:rFonts w:cs="Arial"/>
        </w:rPr>
        <w:t>─</w:t>
      </w:r>
    </w:p>
    <w:p w:rsidR="005A6432" w:rsidRDefault="000E675B" w:rsidP="000E675B">
      <w:pPr>
        <w:pStyle w:val="AERquote"/>
      </w:pPr>
      <w:r>
        <w:t>price</w:t>
      </w:r>
      <w:r w:rsidR="00DE1EA5">
        <w:t>, quality</w:t>
      </w:r>
      <w:r>
        <w:t>, safety, reliability and security of supply of electricity; and</w:t>
      </w:r>
    </w:p>
    <w:p w:rsidR="000E675B" w:rsidRDefault="000E675B" w:rsidP="000E675B">
      <w:pPr>
        <w:pStyle w:val="AERquote"/>
      </w:pPr>
      <w:r>
        <w:t>the reliability, safety and security of the national electricity system.</w:t>
      </w:r>
      <w:r>
        <w:rPr>
          <w:rStyle w:val="FootnoteReference"/>
        </w:rPr>
        <w:footnoteReference w:id="1"/>
      </w:r>
    </w:p>
    <w:p w:rsidR="009B5008" w:rsidRDefault="000E675B" w:rsidP="009761DD">
      <w:r>
        <w:t>Under the NER,</w:t>
      </w:r>
      <w:r w:rsidR="009761DD">
        <w:t xml:space="preserve"> Energex must submit a regulatory proposal to us for approval.</w:t>
      </w:r>
      <w:r w:rsidR="009761DD">
        <w:rPr>
          <w:rStyle w:val="FootnoteReference"/>
        </w:rPr>
        <w:footnoteReference w:id="2"/>
      </w:r>
      <w:r w:rsidR="009761DD">
        <w:t xml:space="preserve"> </w:t>
      </w:r>
      <w:r w:rsidR="00B701E6">
        <w:t xml:space="preserve">It did this in October 2014. </w:t>
      </w:r>
      <w:r w:rsidR="009761DD" w:rsidRPr="003B504B">
        <w:t xml:space="preserve">The central component of a regulatory proposal is the amount of revenue </w:t>
      </w:r>
      <w:r w:rsidR="009761DD">
        <w:t>Energex</w:t>
      </w:r>
      <w:r w:rsidR="009761DD" w:rsidRPr="003B504B">
        <w:t xml:space="preserve"> proposes to recove</w:t>
      </w:r>
      <w:r w:rsidR="009761DD">
        <w:t>r from consumers over the 2015</w:t>
      </w:r>
      <w:r w:rsidR="009761DD" w:rsidRPr="009761DD">
        <w:t>−</w:t>
      </w:r>
      <w:r w:rsidR="009761DD">
        <w:t>20</w:t>
      </w:r>
      <w:r w:rsidR="009761DD" w:rsidRPr="003B504B">
        <w:t xml:space="preserve"> regulatory control period.</w:t>
      </w:r>
      <w:r w:rsidR="009761DD">
        <w:rPr>
          <w:rStyle w:val="FootnoteReference"/>
        </w:rPr>
        <w:footnoteReference w:id="3"/>
      </w:r>
      <w:r w:rsidR="009761DD" w:rsidRPr="003B504B">
        <w:t xml:space="preserve"> </w:t>
      </w:r>
      <w:r>
        <w:t>We</w:t>
      </w:r>
      <w:r w:rsidR="009761DD" w:rsidRPr="003B504B">
        <w:t xml:space="preserve"> must assess </w:t>
      </w:r>
      <w:r w:rsidR="009761DD">
        <w:t xml:space="preserve">Energex's </w:t>
      </w:r>
      <w:r w:rsidR="009761DD" w:rsidRPr="003B504B">
        <w:t>proposal</w:t>
      </w:r>
      <w:r>
        <w:t>, using the NER's detailed rules</w:t>
      </w:r>
      <w:r w:rsidR="006B521B">
        <w:t>. The NER address</w:t>
      </w:r>
      <w:r w:rsidR="00885180">
        <w:t>es</w:t>
      </w:r>
      <w:r w:rsidR="006B521B">
        <w:t xml:space="preserve"> a range of </w:t>
      </w:r>
      <w:r>
        <w:t xml:space="preserve">constituent components of a regulatory proposal. We must </w:t>
      </w:r>
      <w:r w:rsidR="009761DD" w:rsidRPr="003B504B">
        <w:t xml:space="preserve">decide whether to accept </w:t>
      </w:r>
      <w:r>
        <w:t>Energex's regulatory proposal</w:t>
      </w:r>
      <w:r w:rsidR="009761DD" w:rsidRPr="003B504B">
        <w:t xml:space="preserve">. If </w:t>
      </w:r>
      <w:r w:rsidR="005A6432">
        <w:t xml:space="preserve">we do not accept </w:t>
      </w:r>
      <w:r>
        <w:t xml:space="preserve">that </w:t>
      </w:r>
      <w:r w:rsidR="005A6432">
        <w:t>Energex's</w:t>
      </w:r>
      <w:r w:rsidR="0025769C">
        <w:t xml:space="preserve"> </w:t>
      </w:r>
      <w:r w:rsidR="005A6432">
        <w:t xml:space="preserve">proposal </w:t>
      </w:r>
      <w:r>
        <w:t>complies with the requirements</w:t>
      </w:r>
      <w:r w:rsidR="003353D6">
        <w:t xml:space="preserve"> of the NER</w:t>
      </w:r>
      <w:r>
        <w:t xml:space="preserve">, we must </w:t>
      </w:r>
      <w:r w:rsidR="009761DD" w:rsidRPr="003B504B">
        <w:t>substitute an alternative amount of revenue that</w:t>
      </w:r>
      <w:r>
        <w:t xml:space="preserve"> we are satisfied does comply. We must undertake this assessment and make this decision in a manner that </w:t>
      </w:r>
      <w:r w:rsidR="00893040">
        <w:t xml:space="preserve">will or is likely to </w:t>
      </w:r>
      <w:r>
        <w:t>contribute to the achievement of the NEO</w:t>
      </w:r>
      <w:r w:rsidR="00893040">
        <w:t xml:space="preserve"> and</w:t>
      </w:r>
      <w:r w:rsidR="00D54AC1">
        <w:t xml:space="preserve"> to</w:t>
      </w:r>
      <w:r w:rsidR="00893040">
        <w:t xml:space="preserve"> the greatest degree</w:t>
      </w:r>
      <w:r>
        <w:t xml:space="preserve">. </w:t>
      </w:r>
    </w:p>
    <w:p w:rsidR="00E232CE" w:rsidRDefault="00E232CE" w:rsidP="00E232CE">
      <w:r>
        <w:t xml:space="preserve">We regulate Energex's revenue, not its costs. Energex must then decide how best to use this revenue in providing distribution services and fulfilling its obligations. This provides incentives for distributors, such as Energex, to operate their businesses efficiently and, in the long run, at </w:t>
      </w:r>
      <w:r w:rsidR="003353D6">
        <w:t xml:space="preserve">the </w:t>
      </w:r>
      <w:r>
        <w:t>least cost to consumers. It also provides incentives for distributors to innovate and invest in response</w:t>
      </w:r>
      <w:r w:rsidR="00D54AC1">
        <w:t>s</w:t>
      </w:r>
      <w:r>
        <w:t xml:space="preserve"> to changes in consumer needs and productive opportunities.</w:t>
      </w:r>
      <w:r>
        <w:rPr>
          <w:rStyle w:val="FootnoteReference"/>
        </w:rPr>
        <w:footnoteReference w:id="4"/>
      </w:r>
      <w:r>
        <w:t xml:space="preserve"> This is consistent with economic efficiency principles. It also means that the person who is best able to manage a risk, generally carries that risk. </w:t>
      </w:r>
    </w:p>
    <w:p w:rsidR="009761DD" w:rsidRDefault="009761DD" w:rsidP="00C8222B">
      <w:r>
        <w:t xml:space="preserve">This overview, together with its </w:t>
      </w:r>
      <w:r w:rsidRPr="003B504B">
        <w:t xml:space="preserve">attachments, constitutes our </w:t>
      </w:r>
      <w:r>
        <w:t>preliminary</w:t>
      </w:r>
      <w:r w:rsidRPr="003B504B">
        <w:t xml:space="preserve"> decision on </w:t>
      </w:r>
      <w:r>
        <w:t>Energex's regulatory proposal</w:t>
      </w:r>
      <w:r w:rsidRPr="003B504B">
        <w:t xml:space="preserve">. </w:t>
      </w:r>
      <w:r w:rsidR="003353D6">
        <w:t>The overview provides the reader with a summary of our preliminary decision and its</w:t>
      </w:r>
      <w:r>
        <w:t xml:space="preserve"> constituent components. It </w:t>
      </w:r>
      <w:r w:rsidR="00EB41C0">
        <w:t>sets out</w:t>
      </w:r>
      <w:r>
        <w:t xml:space="preserve"> the issues we covered, the conclusions we made, and how those conclusions were reached. </w:t>
      </w:r>
      <w:r w:rsidR="002A0806">
        <w:t>We also explain why we are satisfied our decision contributes to the achievement of the NEO to the greatest degree and why w</w:t>
      </w:r>
      <w:r w:rsidR="00893040">
        <w:t>e do not consider that</w:t>
      </w:r>
      <w:r>
        <w:t xml:space="preserve"> Energex's proposal</w:t>
      </w:r>
      <w:r w:rsidR="00893040">
        <w:t xml:space="preserve"> contributes to the achievement of the NEO to a satisfactory degree</w:t>
      </w:r>
      <w:r w:rsidRPr="003B504B">
        <w:t xml:space="preserve">. In </w:t>
      </w:r>
      <w:r>
        <w:t>our</w:t>
      </w:r>
      <w:r w:rsidRPr="003B504B">
        <w:t xml:space="preserve"> attachments we set out detailed analysis of the constituent components that make up </w:t>
      </w:r>
      <w:r>
        <w:t>Energex's proposal</w:t>
      </w:r>
      <w:r w:rsidRPr="003B504B">
        <w:t xml:space="preserve"> and our decision on each of them.</w:t>
      </w:r>
      <w:r w:rsidR="003353D6">
        <w:t xml:space="preserve">  </w:t>
      </w:r>
    </w:p>
    <w:p w:rsidR="009761DD" w:rsidRPr="00012781" w:rsidRDefault="009761DD" w:rsidP="009761DD">
      <w:pPr>
        <w:pStyle w:val="Heading2"/>
      </w:pPr>
      <w:bookmarkStart w:id="11" w:name="_Toc417973130"/>
      <w:r w:rsidRPr="00012781">
        <w:t>Decision</w:t>
      </w:r>
      <w:bookmarkEnd w:id="11"/>
      <w:r>
        <w:t xml:space="preserve"> </w:t>
      </w:r>
    </w:p>
    <w:p w:rsidR="00A2318E" w:rsidRDefault="009761DD" w:rsidP="00291625">
      <w:r w:rsidRPr="00012781">
        <w:t xml:space="preserve">Our preliminary decision </w:t>
      </w:r>
      <w:r w:rsidR="00A2318E">
        <w:t xml:space="preserve">is that Energex can </w:t>
      </w:r>
      <w:r w:rsidR="00A2318E" w:rsidRPr="00CC02E9">
        <w:rPr>
          <w:rStyle w:val="AERbodytextChar"/>
          <w:rFonts w:eastAsiaTheme="minorHAnsi"/>
        </w:rPr>
        <w:t>recover $</w:t>
      </w:r>
      <w:r w:rsidR="00136EC9">
        <w:rPr>
          <w:rStyle w:val="AERbodytextChar"/>
          <w:rFonts w:eastAsiaTheme="minorHAnsi"/>
        </w:rPr>
        <w:t>6</w:t>
      </w:r>
      <w:r w:rsidR="00BC07C3">
        <w:rPr>
          <w:rStyle w:val="AERbodytextChar"/>
          <w:rFonts w:eastAsiaTheme="minorHAnsi"/>
        </w:rPr>
        <w:t>528.1</w:t>
      </w:r>
      <w:r w:rsidR="000F5B95" w:rsidRPr="00CC02E9">
        <w:rPr>
          <w:rStyle w:val="AERbodytextChar"/>
          <w:rFonts w:eastAsiaTheme="minorHAnsi"/>
        </w:rPr>
        <w:t xml:space="preserve"> </w:t>
      </w:r>
      <w:r w:rsidR="00FB69D7">
        <w:rPr>
          <w:rStyle w:val="AERbodytextChar"/>
          <w:rFonts w:eastAsiaTheme="minorHAnsi"/>
        </w:rPr>
        <w:t>million</w:t>
      </w:r>
      <w:r w:rsidR="00A2318E" w:rsidRPr="00CC02E9">
        <w:rPr>
          <w:rStyle w:val="AERbodytextChar"/>
          <w:rFonts w:eastAsiaTheme="minorHAnsi"/>
        </w:rPr>
        <w:t xml:space="preserve"> </w:t>
      </w:r>
      <w:r w:rsidR="00311762" w:rsidRPr="00CC02E9">
        <w:rPr>
          <w:rStyle w:val="AERbodytextChar"/>
          <w:rFonts w:eastAsiaTheme="minorHAnsi"/>
        </w:rPr>
        <w:t>($</w:t>
      </w:r>
      <w:r w:rsidR="00311762">
        <w:rPr>
          <w:rStyle w:val="AERbodytextChar"/>
          <w:rFonts w:eastAsiaTheme="minorHAnsi"/>
        </w:rPr>
        <w:t> </w:t>
      </w:r>
      <w:r w:rsidR="00EB41C0" w:rsidRPr="00CC02E9">
        <w:rPr>
          <w:rStyle w:val="AERbodytextChar"/>
          <w:rFonts w:eastAsiaTheme="minorHAnsi"/>
        </w:rPr>
        <w:t xml:space="preserve">nominal) </w:t>
      </w:r>
      <w:r w:rsidR="00A2318E" w:rsidRPr="00CC02E9">
        <w:rPr>
          <w:rStyle w:val="AERbodytextChar"/>
          <w:rFonts w:eastAsiaTheme="minorHAnsi"/>
        </w:rPr>
        <w:t>from consumers over the 2015–20 regulatory control period.</w:t>
      </w:r>
      <w:r w:rsidR="000F5B95" w:rsidRPr="00765FEE">
        <w:rPr>
          <w:rStyle w:val="AERsuperscript"/>
        </w:rPr>
        <w:footnoteReference w:id="5"/>
      </w:r>
      <w:r w:rsidR="00FB6B2D">
        <w:rPr>
          <w:rStyle w:val="AERbodytextChar"/>
          <w:rFonts w:eastAsiaTheme="minorHAnsi"/>
        </w:rPr>
        <w:t xml:space="preserve"> </w:t>
      </w:r>
      <w:r w:rsidR="00A2318E">
        <w:t>After a five-year period in which Energex's annual revenue increased each year we expect annual revenues to decline each year over the 2015</w:t>
      </w:r>
      <w:r w:rsidR="00A2318E" w:rsidRPr="00683CA1">
        <w:t>−</w:t>
      </w:r>
      <w:r w:rsidR="00A2318E">
        <w:t xml:space="preserve">20 regulatory control period. To a large extent, this reflects much lower financing costs. </w:t>
      </w:r>
      <w:r w:rsidR="00497F95">
        <w:t xml:space="preserve">A further aspect of </w:t>
      </w:r>
      <w:r w:rsidR="00D54AC1">
        <w:t xml:space="preserve">the decline in </w:t>
      </w:r>
      <w:r w:rsidR="00F07C30">
        <w:t>Energex</w:t>
      </w:r>
      <w:r w:rsidR="00497F95">
        <w:t>'s forecast revenue</w:t>
      </w:r>
      <w:r w:rsidR="00A703FE">
        <w:t xml:space="preserve"> requirement</w:t>
      </w:r>
      <w:r w:rsidR="00497F95">
        <w:t xml:space="preserve"> is the now closed solar bonus scheme that provide</w:t>
      </w:r>
      <w:r w:rsidR="00E53FB8">
        <w:t>s</w:t>
      </w:r>
      <w:r w:rsidR="00497F95">
        <w:t xml:space="preserve"> generous feed in tariffs</w:t>
      </w:r>
      <w:r w:rsidR="00A703FE">
        <w:t xml:space="preserve"> (FiT)</w:t>
      </w:r>
      <w:r w:rsidR="00497F95">
        <w:t xml:space="preserve"> to eligible customers</w:t>
      </w:r>
      <w:r w:rsidR="00A703FE">
        <w:t>, which would add to its proposed revenue of $8</w:t>
      </w:r>
      <w:r w:rsidR="00884C67">
        <w:t>273.1</w:t>
      </w:r>
      <w:r w:rsidR="00A703FE">
        <w:t xml:space="preserve"> million</w:t>
      </w:r>
      <w:r w:rsidR="00497F95">
        <w:t>.</w:t>
      </w:r>
      <w:r w:rsidR="0019142D">
        <w:rPr>
          <w:rStyle w:val="FootnoteReference"/>
        </w:rPr>
        <w:footnoteReference w:id="6"/>
      </w:r>
      <w:r w:rsidR="00497F95">
        <w:t xml:space="preserve"> Neither </w:t>
      </w:r>
      <w:r w:rsidR="00F07C30">
        <w:t>Energex</w:t>
      </w:r>
      <w:r w:rsidR="00497F95">
        <w:t xml:space="preserve"> nor the AER are able to influence the significant costs that </w:t>
      </w:r>
      <w:r w:rsidR="00F07C30">
        <w:t>Energex</w:t>
      </w:r>
      <w:r w:rsidR="00497F95">
        <w:t xml:space="preserve"> incurs under this scheme. </w:t>
      </w:r>
      <w:r w:rsidR="00A2318E">
        <w:t>Figure 1 illustrates our overall decision.</w:t>
      </w:r>
    </w:p>
    <w:p w:rsidR="000F4042" w:rsidRDefault="000F4042" w:rsidP="00291625"/>
    <w:p w:rsidR="000F4042" w:rsidRDefault="000F4042" w:rsidP="00291625"/>
    <w:p w:rsidR="00DC043E" w:rsidRDefault="00DC043E" w:rsidP="00291625"/>
    <w:p w:rsidR="000F4042" w:rsidRDefault="000F4042" w:rsidP="00291625"/>
    <w:p w:rsidR="000F4042" w:rsidRDefault="000F4042" w:rsidP="00291625"/>
    <w:p w:rsidR="000F4042" w:rsidRDefault="000F4042" w:rsidP="00291625"/>
    <w:p w:rsidR="000F4042" w:rsidRDefault="000F4042" w:rsidP="00291625"/>
    <w:p w:rsidR="00884C67" w:rsidRDefault="00884C67" w:rsidP="00291625"/>
    <w:p w:rsidR="00884C67" w:rsidRDefault="00884C67" w:rsidP="00291625"/>
    <w:p w:rsidR="000F4042" w:rsidRDefault="000F4042" w:rsidP="00291625"/>
    <w:p w:rsidR="009761DD" w:rsidRDefault="009761DD" w:rsidP="00291625">
      <w:pPr>
        <w:pStyle w:val="Charttitle"/>
      </w:pPr>
      <w:r w:rsidRPr="00012781">
        <w:t xml:space="preserve">Figure </w:t>
      </w:r>
      <w:fldSimple w:instr=" STYLEREF 1 \s ">
        <w:r w:rsidR="00AB5A36">
          <w:rPr>
            <w:noProof/>
          </w:rPr>
          <w:t>1</w:t>
        </w:r>
      </w:fldSimple>
      <w:r w:rsidRPr="00012781">
        <w:tab/>
        <w:t>Energex's past total revenue, proposed total revenue and AER total revenue allowance ($ million, 201</w:t>
      </w:r>
      <w:r w:rsidR="005A6432">
        <w:t>4</w:t>
      </w:r>
      <w:r w:rsidRPr="00012781">
        <w:t>–1</w:t>
      </w:r>
      <w:r w:rsidR="005A6432">
        <w:t>5</w:t>
      </w:r>
      <w:r w:rsidRPr="00012781">
        <w:t>)</w:t>
      </w:r>
    </w:p>
    <w:p w:rsidR="00DE1EA5" w:rsidRPr="00012781" w:rsidRDefault="00BC07C3" w:rsidP="00291625">
      <w:pPr>
        <w:pStyle w:val="Charttitle"/>
      </w:pPr>
      <w:r w:rsidRPr="00BC07C3">
        <w:rPr>
          <w:noProof/>
          <w:lang w:eastAsia="en-AU"/>
        </w:rPr>
        <w:drawing>
          <wp:inline distT="0" distB="0" distL="0" distR="0" wp14:anchorId="418C2515" wp14:editId="38775E30">
            <wp:extent cx="5378450" cy="3233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8450" cy="3233420"/>
                    </a:xfrm>
                    <a:prstGeom prst="rect">
                      <a:avLst/>
                    </a:prstGeom>
                    <a:noFill/>
                    <a:ln>
                      <a:noFill/>
                    </a:ln>
                  </pic:spPr>
                </pic:pic>
              </a:graphicData>
            </a:graphic>
          </wp:inline>
        </w:drawing>
      </w:r>
    </w:p>
    <w:p w:rsidR="007E002D" w:rsidRDefault="00BF419C" w:rsidP="00BF419C">
      <w:pPr>
        <w:pStyle w:val="AERtablesource"/>
      </w:pPr>
      <w:r>
        <w:t xml:space="preserve">Source: </w:t>
      </w:r>
      <w:r>
        <w:tab/>
        <w:t>AER analysis</w:t>
      </w:r>
      <w:r w:rsidR="00D27B2A">
        <w:t>.</w:t>
      </w:r>
    </w:p>
    <w:p w:rsidR="00A703FE" w:rsidRDefault="004F66C0" w:rsidP="004F66C0">
      <w:pPr>
        <w:pStyle w:val="AERtablesource"/>
      </w:pPr>
      <w:r>
        <w:t>Note:</w:t>
      </w:r>
      <w:r w:rsidRPr="00B1069F">
        <w:tab/>
      </w:r>
      <w:r w:rsidR="00E53FB8">
        <w:t>'</w:t>
      </w:r>
      <w:r w:rsidRPr="00B1069F">
        <w:t>Additionals</w:t>
      </w:r>
      <w:r w:rsidR="00E53FB8">
        <w:t>'</w:t>
      </w:r>
      <w:r w:rsidRPr="00B1069F">
        <w:t xml:space="preserve"> in DUoS include solar bonus scheme forecasts (jurisdictional scheme obligation for FiT) for 2015–20, estimated solar bonus scheme pass throughs for 2015–16 and 2016–17 relating to under-recoveries in 2013–14 and 2014–15, </w:t>
      </w:r>
      <w:r w:rsidR="00884C67">
        <w:t xml:space="preserve">expected DUoS under recovery in 2013–14 to be recovered in 2015–16, estimated transitional capital contributions </w:t>
      </w:r>
      <w:r w:rsidR="00884C67" w:rsidRPr="00AC50A4">
        <w:t>pass throughs for 2015–16 and 2016–</w:t>
      </w:r>
      <w:r w:rsidR="00884C67">
        <w:t>1</w:t>
      </w:r>
      <w:r w:rsidR="00884C67" w:rsidRPr="00AC50A4">
        <w:t>7 relating to under</w:t>
      </w:r>
      <w:r w:rsidR="00884C67">
        <w:t xml:space="preserve"> </w:t>
      </w:r>
      <w:r w:rsidR="00884C67" w:rsidRPr="00AC50A4">
        <w:t>recoveries in 2013–14 and 2014–15,</w:t>
      </w:r>
      <w:r w:rsidR="00884C67">
        <w:t xml:space="preserve"> </w:t>
      </w:r>
      <w:r w:rsidR="000412C3">
        <w:t>and</w:t>
      </w:r>
      <w:r w:rsidRPr="00B1069F">
        <w:t xml:space="preserve"> STPIS allowance from 2010–15.</w:t>
      </w:r>
      <w:r>
        <w:t xml:space="preserve"> This is discussed further in attachment 1, annual revenue requirement.</w:t>
      </w:r>
      <w:r w:rsidR="00A703FE">
        <w:t xml:space="preserve"> </w:t>
      </w:r>
    </w:p>
    <w:p w:rsidR="004F66C0" w:rsidRPr="00B1069F" w:rsidRDefault="00A703FE" w:rsidP="004F66C0">
      <w:pPr>
        <w:pStyle w:val="AERtablesource"/>
      </w:pPr>
      <w:r>
        <w:tab/>
      </w:r>
      <w:r w:rsidRPr="00B2448C">
        <w:t xml:space="preserve">The ‘Allowed’ 2014–15 data point is the amount allowed in the AER final decision excluding additionals. The ‘Actual’ 2014–15 data point is an updated forecast of the amount </w:t>
      </w:r>
      <w:r w:rsidR="00311762">
        <w:t>Energex</w:t>
      </w:r>
      <w:r w:rsidRPr="00B2448C">
        <w:t xml:space="preserve"> actually expects to recover, including additionals, as submitted in its reset RIN. The ‘AER preliminary’ </w:t>
      </w:r>
      <w:r>
        <w:t xml:space="preserve">and 'Proposed' 2014–15 </w:t>
      </w:r>
      <w:r w:rsidRPr="00B2448C">
        <w:t xml:space="preserve">data points </w:t>
      </w:r>
      <w:r>
        <w:t>are</w:t>
      </w:r>
      <w:r w:rsidRPr="00B2448C">
        <w:t xml:space="preserve"> the amount the service provider targeted in its 2014</w:t>
      </w:r>
      <w:r w:rsidRPr="00B2448C">
        <w:softHyphen/>
      </w:r>
      <w:r>
        <w:t>–</w:t>
      </w:r>
      <w:r w:rsidR="00884C67">
        <w:t>15 regulatory</w:t>
      </w:r>
      <w:r w:rsidRPr="00B2448C">
        <w:t xml:space="preserve"> proposal.</w:t>
      </w:r>
    </w:p>
    <w:p w:rsidR="00FA751C" w:rsidRPr="00FA751C" w:rsidRDefault="0092775B" w:rsidP="00FA751C">
      <w:r>
        <w:t xml:space="preserve">Distribution charges represent approximately </w:t>
      </w:r>
      <w:r w:rsidR="00A14FB0">
        <w:t>42</w:t>
      </w:r>
      <w:r>
        <w:t xml:space="preserve"> per cent, on average, of the annual electricity bill for Energex customers. </w:t>
      </w:r>
      <w:r w:rsidR="0030183E">
        <w:t>If</w:t>
      </w:r>
      <w:r w:rsidR="00696DB0">
        <w:t xml:space="preserve"> the lower distribution charges flowing from our decision are passed </w:t>
      </w:r>
      <w:r w:rsidR="00FA751C" w:rsidRPr="00FA751C">
        <w:t xml:space="preserve">through to customers, we would expect the average annual electricity bill for residential and small business customers to reduce over the 2015–20 regulatory control period. However, other factors may also affect a customer’s electricity bill, such as the wholesale price of </w:t>
      </w:r>
      <w:r w:rsidR="00FB69D7">
        <w:t>electricity</w:t>
      </w:r>
      <w:r w:rsidR="00FA751C">
        <w:t>.</w:t>
      </w:r>
    </w:p>
    <w:p w:rsidR="0092775B" w:rsidRDefault="004F5B62" w:rsidP="000D667E">
      <w:r>
        <w:fldChar w:fldCharType="begin"/>
      </w:r>
      <w:r>
        <w:instrText xml:space="preserve"> REF _Ref416879023 \h </w:instrText>
      </w:r>
      <w:r>
        <w:fldChar w:fldCharType="separate"/>
      </w:r>
      <w:r w:rsidRPr="00012781">
        <w:t>Table</w:t>
      </w:r>
      <w:r>
        <w:t xml:space="preserve"> </w:t>
      </w:r>
      <w:r>
        <w:rPr>
          <w:noProof/>
        </w:rPr>
        <w:t>1</w:t>
      </w:r>
      <w:r>
        <w:fldChar w:fldCharType="end"/>
      </w:r>
      <w:r>
        <w:t xml:space="preserve"> </w:t>
      </w:r>
      <w:r w:rsidR="00BF0231">
        <w:t>shows the estimated impact of our preliminary d</w:t>
      </w:r>
      <w:r w:rsidR="00BF0231" w:rsidRPr="00C729DC">
        <w:t xml:space="preserve">ecision </w:t>
      </w:r>
      <w:r w:rsidR="00BF0231">
        <w:t>on the average residential and small business customers' annual electricity bills in Energex's network area over the 2015–20 regulatory control period, compared with what was proposed</w:t>
      </w:r>
      <w:r w:rsidR="00D54AC1">
        <w:t xml:space="preserve"> by Energex</w:t>
      </w:r>
      <w:r w:rsidR="004F50F6">
        <w:t>.</w:t>
      </w:r>
    </w:p>
    <w:p w:rsidR="005E6D4D" w:rsidRDefault="005E6D4D" w:rsidP="000D667E"/>
    <w:p w:rsidR="009761DD" w:rsidRDefault="009761DD" w:rsidP="009761DD">
      <w:pPr>
        <w:pStyle w:val="Caption"/>
      </w:pPr>
      <w:bookmarkStart w:id="12" w:name="_Ref416879023"/>
      <w:r w:rsidRPr="00012781">
        <w:t>Table</w:t>
      </w:r>
      <w:r w:rsidR="009B5008">
        <w:t xml:space="preserve"> </w:t>
      </w:r>
      <w:fldSimple w:instr=" SEQ Table \* ARABIC \s 1 ">
        <w:r w:rsidR="00AB5A36">
          <w:rPr>
            <w:noProof/>
          </w:rPr>
          <w:t>1</w:t>
        </w:r>
      </w:fldSimple>
      <w:bookmarkEnd w:id="12"/>
      <w:r w:rsidRPr="00012781">
        <w:tab/>
        <w:t xml:space="preserve">AER's </w:t>
      </w:r>
      <w:r w:rsidR="004F50F6">
        <w:t xml:space="preserve">estimated impact of </w:t>
      </w:r>
      <w:r w:rsidR="00D54AC1">
        <w:t>its</w:t>
      </w:r>
      <w:r w:rsidR="004F50F6">
        <w:t xml:space="preserve"> preliminary decision on the average residential and small business customers' electricity bills in Energex's network for the 2015</w:t>
      </w:r>
      <w:r w:rsidR="004F50F6">
        <w:rPr>
          <w:rFonts w:cs="Arial"/>
        </w:rPr>
        <w:t>−</w:t>
      </w:r>
      <w:r w:rsidR="004F50F6">
        <w:t>20 period</w:t>
      </w:r>
      <w:r w:rsidRPr="00012781">
        <w:t xml:space="preserve"> ($ nominal)</w:t>
      </w:r>
    </w:p>
    <w:tbl>
      <w:tblPr>
        <w:tblStyle w:val="AERtable-numbers"/>
        <w:tblW w:w="0" w:type="auto"/>
        <w:tblLayout w:type="fixed"/>
        <w:tblLook w:val="04A0" w:firstRow="1" w:lastRow="0" w:firstColumn="1" w:lastColumn="0" w:noHBand="0" w:noVBand="1"/>
      </w:tblPr>
      <w:tblGrid>
        <w:gridCol w:w="2235"/>
        <w:gridCol w:w="850"/>
        <w:gridCol w:w="1121"/>
        <w:gridCol w:w="1122"/>
        <w:gridCol w:w="1121"/>
        <w:gridCol w:w="1122"/>
        <w:gridCol w:w="1122"/>
      </w:tblGrid>
      <w:tr w:rsidR="00BF0231" w:rsidTr="00BF02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4F50F6" w:rsidRDefault="004F50F6" w:rsidP="004F50F6"/>
        </w:tc>
        <w:tc>
          <w:tcPr>
            <w:tcW w:w="850" w:type="dxa"/>
          </w:tcPr>
          <w:p w:rsidR="004F50F6" w:rsidRPr="004F50F6" w:rsidRDefault="004F50F6" w:rsidP="00785438">
            <w:pPr>
              <w:cnfStyle w:val="100000000000" w:firstRow="1" w:lastRow="0" w:firstColumn="0" w:lastColumn="0" w:oddVBand="0" w:evenVBand="0" w:oddHBand="0" w:evenHBand="0" w:firstRowFirstColumn="0" w:firstRowLastColumn="0" w:lastRowFirstColumn="0" w:lastRowLastColumn="0"/>
            </w:pPr>
            <w:r>
              <w:t>201</w:t>
            </w:r>
            <w:r w:rsidR="00785438">
              <w:t>4</w:t>
            </w:r>
            <w:r w:rsidRPr="004F50F6">
              <w:t>−1</w:t>
            </w:r>
            <w:r w:rsidR="00785438">
              <w:t>5</w:t>
            </w:r>
          </w:p>
        </w:tc>
        <w:tc>
          <w:tcPr>
            <w:tcW w:w="1121" w:type="dxa"/>
          </w:tcPr>
          <w:p w:rsidR="004F50F6" w:rsidRPr="004F50F6" w:rsidRDefault="004F50F6" w:rsidP="00785438">
            <w:pPr>
              <w:cnfStyle w:val="100000000000" w:firstRow="1" w:lastRow="0" w:firstColumn="0" w:lastColumn="0" w:oddVBand="0" w:evenVBand="0" w:oddHBand="0" w:evenHBand="0" w:firstRowFirstColumn="0" w:firstRowLastColumn="0" w:lastRowFirstColumn="0" w:lastRowLastColumn="0"/>
            </w:pPr>
            <w:r>
              <w:t>201</w:t>
            </w:r>
            <w:r w:rsidR="00785438">
              <w:t>5</w:t>
            </w:r>
            <w:r w:rsidRPr="004F50F6">
              <w:t>−1</w:t>
            </w:r>
            <w:r w:rsidR="00785438">
              <w:t>6</w:t>
            </w:r>
          </w:p>
        </w:tc>
        <w:tc>
          <w:tcPr>
            <w:tcW w:w="1122" w:type="dxa"/>
          </w:tcPr>
          <w:p w:rsidR="004F50F6" w:rsidRPr="004F50F6" w:rsidRDefault="004F50F6" w:rsidP="00785438">
            <w:pPr>
              <w:cnfStyle w:val="100000000000" w:firstRow="1" w:lastRow="0" w:firstColumn="0" w:lastColumn="0" w:oddVBand="0" w:evenVBand="0" w:oddHBand="0" w:evenHBand="0" w:firstRowFirstColumn="0" w:firstRowLastColumn="0" w:lastRowFirstColumn="0" w:lastRowLastColumn="0"/>
            </w:pPr>
            <w:r>
              <w:t>201</w:t>
            </w:r>
            <w:r w:rsidR="00785438">
              <w:t>6</w:t>
            </w:r>
            <w:r w:rsidRPr="004F50F6">
              <w:t>−1</w:t>
            </w:r>
            <w:r w:rsidR="00785438">
              <w:t>7</w:t>
            </w:r>
          </w:p>
        </w:tc>
        <w:tc>
          <w:tcPr>
            <w:tcW w:w="1121" w:type="dxa"/>
          </w:tcPr>
          <w:p w:rsidR="004F50F6" w:rsidRPr="004F50F6" w:rsidRDefault="004F50F6" w:rsidP="00785438">
            <w:pPr>
              <w:cnfStyle w:val="100000000000" w:firstRow="1" w:lastRow="0" w:firstColumn="0" w:lastColumn="0" w:oddVBand="0" w:evenVBand="0" w:oddHBand="0" w:evenHBand="0" w:firstRowFirstColumn="0" w:firstRowLastColumn="0" w:lastRowFirstColumn="0" w:lastRowLastColumn="0"/>
            </w:pPr>
            <w:r>
              <w:t>201</w:t>
            </w:r>
            <w:r w:rsidR="00785438">
              <w:t>7</w:t>
            </w:r>
            <w:r w:rsidRPr="004F50F6">
              <w:t>−1</w:t>
            </w:r>
            <w:r w:rsidR="00785438">
              <w:t>8</w:t>
            </w:r>
          </w:p>
        </w:tc>
        <w:tc>
          <w:tcPr>
            <w:tcW w:w="1122" w:type="dxa"/>
          </w:tcPr>
          <w:p w:rsidR="004F50F6" w:rsidRPr="004F50F6" w:rsidRDefault="004F50F6" w:rsidP="00785438">
            <w:pPr>
              <w:cnfStyle w:val="100000000000" w:firstRow="1" w:lastRow="0" w:firstColumn="0" w:lastColumn="0" w:oddVBand="0" w:evenVBand="0" w:oddHBand="0" w:evenHBand="0" w:firstRowFirstColumn="0" w:firstRowLastColumn="0" w:lastRowFirstColumn="0" w:lastRowLastColumn="0"/>
            </w:pPr>
            <w:r>
              <w:t>201</w:t>
            </w:r>
            <w:r w:rsidR="00785438">
              <w:t>8</w:t>
            </w:r>
            <w:r w:rsidRPr="004F50F6">
              <w:t>−</w:t>
            </w:r>
            <w:r w:rsidR="00785438">
              <w:t>19</w:t>
            </w:r>
          </w:p>
        </w:tc>
        <w:tc>
          <w:tcPr>
            <w:tcW w:w="1122" w:type="dxa"/>
          </w:tcPr>
          <w:p w:rsidR="004F50F6" w:rsidRDefault="00785438" w:rsidP="004F50F6">
            <w:pPr>
              <w:cnfStyle w:val="100000000000" w:firstRow="1" w:lastRow="0" w:firstColumn="0" w:lastColumn="0" w:oddVBand="0" w:evenVBand="0" w:oddHBand="0" w:evenHBand="0" w:firstRowFirstColumn="0" w:firstRowLastColumn="0" w:lastRowFirstColumn="0" w:lastRowLastColumn="0"/>
            </w:pPr>
            <w:r>
              <w:t>2019–20</w:t>
            </w:r>
          </w:p>
        </w:tc>
      </w:tr>
      <w:tr w:rsidR="00785438" w:rsidTr="00BF0231">
        <w:tc>
          <w:tcPr>
            <w:cnfStyle w:val="001000000000" w:firstRow="0" w:lastRow="0" w:firstColumn="1" w:lastColumn="0" w:oddVBand="0" w:evenVBand="0" w:oddHBand="0" w:evenHBand="0" w:firstRowFirstColumn="0" w:firstRowLastColumn="0" w:lastRowFirstColumn="0" w:lastRowLastColumn="0"/>
            <w:tcW w:w="8693" w:type="dxa"/>
            <w:gridSpan w:val="7"/>
          </w:tcPr>
          <w:p w:rsidR="00785438" w:rsidRDefault="00785438" w:rsidP="004F50F6">
            <w:r w:rsidRPr="00DE5EE5">
              <w:rPr>
                <w:rStyle w:val="Strong"/>
              </w:rPr>
              <w:t>Ene</w:t>
            </w:r>
            <w:r w:rsidRPr="004F50F6">
              <w:rPr>
                <w:rStyle w:val="Strong"/>
              </w:rPr>
              <w:t>rgex proposal</w:t>
            </w:r>
          </w:p>
        </w:tc>
      </w:tr>
      <w:tr w:rsidR="00BF0231" w:rsidTr="00BF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790C92" w:rsidRPr="00790C92" w:rsidRDefault="00790C92" w:rsidP="00790C92">
            <w:r w:rsidRPr="00790C92">
              <w:t>Residential annual bill</w:t>
            </w:r>
            <w:r w:rsidRPr="00790C92">
              <w:rPr>
                <w:rStyle w:val="AERsuperscript"/>
              </w:rPr>
              <w:t>a</w:t>
            </w:r>
          </w:p>
        </w:tc>
        <w:tc>
          <w:tcPr>
            <w:tcW w:w="850"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1914</w:t>
            </w:r>
          </w:p>
        </w:tc>
        <w:tc>
          <w:tcPr>
            <w:tcW w:w="1121"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1935</w:t>
            </w:r>
          </w:p>
        </w:tc>
        <w:tc>
          <w:tcPr>
            <w:tcW w:w="1122"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1958</w:t>
            </w:r>
          </w:p>
        </w:tc>
        <w:tc>
          <w:tcPr>
            <w:tcW w:w="1121"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1974</w:t>
            </w:r>
          </w:p>
        </w:tc>
        <w:tc>
          <w:tcPr>
            <w:tcW w:w="1122"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1989</w:t>
            </w:r>
          </w:p>
        </w:tc>
        <w:tc>
          <w:tcPr>
            <w:tcW w:w="1122"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2001</w:t>
            </w:r>
          </w:p>
        </w:tc>
      </w:tr>
      <w:tr w:rsidR="00785438" w:rsidTr="00BF0231">
        <w:tc>
          <w:tcPr>
            <w:cnfStyle w:val="001000000000" w:firstRow="0" w:lastRow="0" w:firstColumn="1" w:lastColumn="0" w:oddVBand="0" w:evenVBand="0" w:oddHBand="0" w:evenHBand="0" w:firstRowFirstColumn="0" w:firstRowLastColumn="0" w:lastRowFirstColumn="0" w:lastRowLastColumn="0"/>
            <w:tcW w:w="2235" w:type="dxa"/>
          </w:tcPr>
          <w:p w:rsidR="00790C92" w:rsidRPr="00790C92" w:rsidRDefault="00790C92" w:rsidP="00790C92">
            <w:r w:rsidRPr="00790C92">
              <w:t>Annual change</w:t>
            </w:r>
          </w:p>
        </w:tc>
        <w:tc>
          <w:tcPr>
            <w:tcW w:w="850"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p>
        </w:tc>
        <w:tc>
          <w:tcPr>
            <w:tcW w:w="1121"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21 (1.1%)</w:t>
            </w:r>
          </w:p>
        </w:tc>
        <w:tc>
          <w:tcPr>
            <w:tcW w:w="1122"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24 (1.2%)</w:t>
            </w:r>
          </w:p>
        </w:tc>
        <w:tc>
          <w:tcPr>
            <w:tcW w:w="1121"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16 (0.8%)</w:t>
            </w:r>
          </w:p>
        </w:tc>
        <w:tc>
          <w:tcPr>
            <w:tcW w:w="1122"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15 (0.8%)</w:t>
            </w:r>
          </w:p>
        </w:tc>
        <w:tc>
          <w:tcPr>
            <w:tcW w:w="1122"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12 (0.6%)</w:t>
            </w:r>
          </w:p>
        </w:tc>
      </w:tr>
      <w:tr w:rsidR="00BF0231" w:rsidTr="00BF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790C92" w:rsidRPr="00790C92" w:rsidRDefault="00790C92" w:rsidP="00790C92">
            <w:r w:rsidRPr="00790C92">
              <w:t>Small business annual bill</w:t>
            </w:r>
            <w:r w:rsidRPr="00790C92">
              <w:rPr>
                <w:rStyle w:val="AERsuperscript"/>
              </w:rPr>
              <w:t>b</w:t>
            </w:r>
          </w:p>
        </w:tc>
        <w:tc>
          <w:tcPr>
            <w:tcW w:w="850"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2973</w:t>
            </w:r>
          </w:p>
        </w:tc>
        <w:tc>
          <w:tcPr>
            <w:tcW w:w="1121"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3005</w:t>
            </w:r>
          </w:p>
        </w:tc>
        <w:tc>
          <w:tcPr>
            <w:tcW w:w="1122"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3041</w:t>
            </w:r>
          </w:p>
        </w:tc>
        <w:tc>
          <w:tcPr>
            <w:tcW w:w="1121"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3066</w:t>
            </w:r>
          </w:p>
        </w:tc>
        <w:tc>
          <w:tcPr>
            <w:tcW w:w="1122"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3090</w:t>
            </w:r>
          </w:p>
        </w:tc>
        <w:tc>
          <w:tcPr>
            <w:tcW w:w="1122" w:type="dxa"/>
            <w:vAlign w:val="top"/>
          </w:tcPr>
          <w:p w:rsidR="00790C92" w:rsidRPr="00790C92" w:rsidRDefault="00790C92" w:rsidP="00790C92">
            <w:pPr>
              <w:cnfStyle w:val="000000010000" w:firstRow="0" w:lastRow="0" w:firstColumn="0" w:lastColumn="0" w:oddVBand="0" w:evenVBand="0" w:oddHBand="0" w:evenHBand="1" w:firstRowFirstColumn="0" w:firstRowLastColumn="0" w:lastRowFirstColumn="0" w:lastRowLastColumn="0"/>
            </w:pPr>
            <w:r w:rsidRPr="00790C92">
              <w:t>3108</w:t>
            </w:r>
          </w:p>
        </w:tc>
      </w:tr>
      <w:tr w:rsidR="00785438" w:rsidTr="00BF0231">
        <w:tc>
          <w:tcPr>
            <w:cnfStyle w:val="001000000000" w:firstRow="0" w:lastRow="0" w:firstColumn="1" w:lastColumn="0" w:oddVBand="0" w:evenVBand="0" w:oddHBand="0" w:evenHBand="0" w:firstRowFirstColumn="0" w:firstRowLastColumn="0" w:lastRowFirstColumn="0" w:lastRowLastColumn="0"/>
            <w:tcW w:w="2235" w:type="dxa"/>
          </w:tcPr>
          <w:p w:rsidR="00790C92" w:rsidRPr="00790C92" w:rsidRDefault="00790C92" w:rsidP="00790C92">
            <w:r w:rsidRPr="00790C92">
              <w:t>Annual change</w:t>
            </w:r>
          </w:p>
        </w:tc>
        <w:tc>
          <w:tcPr>
            <w:tcW w:w="850"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p>
        </w:tc>
        <w:tc>
          <w:tcPr>
            <w:tcW w:w="1121"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32 (1.1%)</w:t>
            </w:r>
          </w:p>
        </w:tc>
        <w:tc>
          <w:tcPr>
            <w:tcW w:w="1122"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37 (1.2%)</w:t>
            </w:r>
          </w:p>
        </w:tc>
        <w:tc>
          <w:tcPr>
            <w:tcW w:w="1121"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25 (0.8%)</w:t>
            </w:r>
          </w:p>
        </w:tc>
        <w:tc>
          <w:tcPr>
            <w:tcW w:w="1122"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23 (0.8%)</w:t>
            </w:r>
          </w:p>
        </w:tc>
        <w:tc>
          <w:tcPr>
            <w:tcW w:w="1122" w:type="dxa"/>
            <w:vAlign w:val="top"/>
          </w:tcPr>
          <w:p w:rsidR="00790C92" w:rsidRPr="00790C92" w:rsidRDefault="00790C92" w:rsidP="00790C92">
            <w:pPr>
              <w:cnfStyle w:val="000000000000" w:firstRow="0" w:lastRow="0" w:firstColumn="0" w:lastColumn="0" w:oddVBand="0" w:evenVBand="0" w:oddHBand="0" w:evenHBand="0" w:firstRowFirstColumn="0" w:firstRowLastColumn="0" w:lastRowFirstColumn="0" w:lastRowLastColumn="0"/>
            </w:pPr>
            <w:r w:rsidRPr="00790C92">
              <w:t>18 (0.6%)</w:t>
            </w:r>
          </w:p>
        </w:tc>
      </w:tr>
      <w:tr w:rsidR="00785438" w:rsidTr="00BF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785438" w:rsidRPr="00790C92" w:rsidRDefault="00785438" w:rsidP="00790C92">
            <w:r w:rsidRPr="00790C92">
              <w:rPr>
                <w:rStyle w:val="Strong"/>
              </w:rPr>
              <w:t>AER preliminary decision</w:t>
            </w:r>
          </w:p>
        </w:tc>
      </w:tr>
      <w:tr w:rsidR="00BC07C3" w:rsidTr="00FB69D7">
        <w:tc>
          <w:tcPr>
            <w:cnfStyle w:val="001000000000" w:firstRow="0" w:lastRow="0" w:firstColumn="1" w:lastColumn="0" w:oddVBand="0" w:evenVBand="0" w:oddHBand="0" w:evenHBand="0" w:firstRowFirstColumn="0" w:firstRowLastColumn="0" w:lastRowFirstColumn="0" w:lastRowLastColumn="0"/>
            <w:tcW w:w="2235" w:type="dxa"/>
          </w:tcPr>
          <w:p w:rsidR="00BC07C3" w:rsidRPr="00BC07C3" w:rsidRDefault="00BC07C3" w:rsidP="00BC07C3">
            <w:r w:rsidRPr="00BC07C3">
              <w:t>Residential annual bill</w:t>
            </w:r>
            <w:r w:rsidRPr="00BC07C3">
              <w:rPr>
                <w:rStyle w:val="AERsuperscript"/>
              </w:rPr>
              <w:t>a</w:t>
            </w:r>
          </w:p>
        </w:tc>
        <w:tc>
          <w:tcPr>
            <w:tcW w:w="850" w:type="dxa"/>
            <w:vAlign w:val="top"/>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1914</w:t>
            </w:r>
          </w:p>
        </w:tc>
        <w:tc>
          <w:tcPr>
            <w:tcW w:w="1121"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1880</w:t>
            </w:r>
          </w:p>
        </w:tc>
        <w:tc>
          <w:tcPr>
            <w:tcW w:w="1122"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1836</w:t>
            </w:r>
          </w:p>
        </w:tc>
        <w:tc>
          <w:tcPr>
            <w:tcW w:w="1121"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1820</w:t>
            </w:r>
          </w:p>
        </w:tc>
        <w:tc>
          <w:tcPr>
            <w:tcW w:w="1122"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1799</w:t>
            </w:r>
          </w:p>
        </w:tc>
        <w:tc>
          <w:tcPr>
            <w:tcW w:w="1122"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1782</w:t>
            </w:r>
          </w:p>
        </w:tc>
      </w:tr>
      <w:tr w:rsidR="00BC07C3" w:rsidTr="00FB69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C07C3" w:rsidRPr="00BC07C3" w:rsidRDefault="00BC07C3" w:rsidP="00BC07C3">
            <w:r w:rsidRPr="00BC07C3">
              <w:t>Annual change</w:t>
            </w:r>
          </w:p>
        </w:tc>
        <w:tc>
          <w:tcPr>
            <w:tcW w:w="850" w:type="dxa"/>
            <w:vAlign w:val="top"/>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34 (</w:t>
            </w:r>
            <w:r>
              <w:t>–</w:t>
            </w:r>
            <w:r w:rsidRPr="00BC07C3">
              <w:t>1.8%)</w:t>
            </w:r>
          </w:p>
        </w:tc>
        <w:tc>
          <w:tcPr>
            <w:tcW w:w="1122"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44 (</w:t>
            </w:r>
            <w:r>
              <w:t>–</w:t>
            </w:r>
            <w:r w:rsidRPr="00BC07C3">
              <w:t>2.4%)</w:t>
            </w:r>
          </w:p>
        </w:tc>
        <w:tc>
          <w:tcPr>
            <w:tcW w:w="1121"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16 (</w:t>
            </w:r>
            <w:r>
              <w:t>–</w:t>
            </w:r>
            <w:r w:rsidRPr="00BC07C3">
              <w:t>0.9%)</w:t>
            </w:r>
          </w:p>
        </w:tc>
        <w:tc>
          <w:tcPr>
            <w:tcW w:w="1122"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21 (</w:t>
            </w:r>
            <w:r>
              <w:t>–</w:t>
            </w:r>
            <w:r w:rsidRPr="00BC07C3">
              <w:t>1.1%)</w:t>
            </w:r>
          </w:p>
        </w:tc>
        <w:tc>
          <w:tcPr>
            <w:tcW w:w="1122"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17 (</w:t>
            </w:r>
            <w:r>
              <w:t>–</w:t>
            </w:r>
            <w:r w:rsidRPr="00BC07C3">
              <w:t>0.9%)</w:t>
            </w:r>
          </w:p>
        </w:tc>
      </w:tr>
      <w:tr w:rsidR="00BC07C3" w:rsidTr="00FB69D7">
        <w:tc>
          <w:tcPr>
            <w:cnfStyle w:val="001000000000" w:firstRow="0" w:lastRow="0" w:firstColumn="1" w:lastColumn="0" w:oddVBand="0" w:evenVBand="0" w:oddHBand="0" w:evenHBand="0" w:firstRowFirstColumn="0" w:firstRowLastColumn="0" w:lastRowFirstColumn="0" w:lastRowLastColumn="0"/>
            <w:tcW w:w="2235" w:type="dxa"/>
          </w:tcPr>
          <w:p w:rsidR="00BC07C3" w:rsidRPr="00BC07C3" w:rsidRDefault="00BC07C3" w:rsidP="00BC07C3">
            <w:r w:rsidRPr="00BC07C3">
              <w:t>Small business annual bill</w:t>
            </w:r>
            <w:r w:rsidRPr="00BC07C3">
              <w:rPr>
                <w:rStyle w:val="AERsuperscript"/>
              </w:rPr>
              <w:t>b</w:t>
            </w:r>
          </w:p>
        </w:tc>
        <w:tc>
          <w:tcPr>
            <w:tcW w:w="850" w:type="dxa"/>
            <w:vAlign w:val="top"/>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2973</w:t>
            </w:r>
          </w:p>
        </w:tc>
        <w:tc>
          <w:tcPr>
            <w:tcW w:w="1121"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2920</w:t>
            </w:r>
          </w:p>
        </w:tc>
        <w:tc>
          <w:tcPr>
            <w:tcW w:w="1122"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2851</w:t>
            </w:r>
          </w:p>
        </w:tc>
        <w:tc>
          <w:tcPr>
            <w:tcW w:w="1121"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2826</w:t>
            </w:r>
          </w:p>
        </w:tc>
        <w:tc>
          <w:tcPr>
            <w:tcW w:w="1122"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2794</w:t>
            </w:r>
          </w:p>
        </w:tc>
        <w:tc>
          <w:tcPr>
            <w:tcW w:w="1122" w:type="dxa"/>
            <w:vAlign w:val="bottom"/>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2768</w:t>
            </w:r>
          </w:p>
        </w:tc>
      </w:tr>
      <w:tr w:rsidR="00BC07C3" w:rsidTr="00FB69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C07C3" w:rsidRPr="00BC07C3" w:rsidRDefault="00BC07C3" w:rsidP="00BC07C3">
            <w:r w:rsidRPr="00BC07C3">
              <w:t>Annual change</w:t>
            </w:r>
          </w:p>
        </w:tc>
        <w:tc>
          <w:tcPr>
            <w:tcW w:w="850" w:type="dxa"/>
            <w:vAlign w:val="top"/>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53 (</w:t>
            </w:r>
            <w:r>
              <w:t>–</w:t>
            </w:r>
            <w:r w:rsidRPr="00BC07C3">
              <w:t>1.8%)</w:t>
            </w:r>
          </w:p>
        </w:tc>
        <w:tc>
          <w:tcPr>
            <w:tcW w:w="1122"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69 (</w:t>
            </w:r>
            <w:r>
              <w:t>–</w:t>
            </w:r>
            <w:r w:rsidRPr="00BC07C3">
              <w:t>2.4%)</w:t>
            </w:r>
          </w:p>
        </w:tc>
        <w:tc>
          <w:tcPr>
            <w:tcW w:w="1121"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25 (</w:t>
            </w:r>
            <w:r>
              <w:t>–</w:t>
            </w:r>
            <w:r w:rsidRPr="00BC07C3">
              <w:t>0.9%)</w:t>
            </w:r>
          </w:p>
        </w:tc>
        <w:tc>
          <w:tcPr>
            <w:tcW w:w="1122"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32 (</w:t>
            </w:r>
            <w:r>
              <w:t>–</w:t>
            </w:r>
            <w:r w:rsidRPr="00BC07C3">
              <w:t>1.1%)</w:t>
            </w:r>
          </w:p>
        </w:tc>
        <w:tc>
          <w:tcPr>
            <w:tcW w:w="1122" w:type="dxa"/>
            <w:vAlign w:val="bottom"/>
          </w:tcPr>
          <w:p w:rsidR="00BC07C3" w:rsidRPr="00BC07C3" w:rsidRDefault="00BC07C3">
            <w:pPr>
              <w:cnfStyle w:val="000000010000" w:firstRow="0" w:lastRow="0" w:firstColumn="0" w:lastColumn="0" w:oddVBand="0" w:evenVBand="0" w:oddHBand="0" w:evenHBand="1" w:firstRowFirstColumn="0" w:firstRowLastColumn="0" w:lastRowFirstColumn="0" w:lastRowLastColumn="0"/>
            </w:pPr>
            <w:r>
              <w:t>–</w:t>
            </w:r>
            <w:r w:rsidRPr="00BC07C3">
              <w:t>26 (</w:t>
            </w:r>
            <w:r>
              <w:t>–</w:t>
            </w:r>
            <w:r w:rsidRPr="00BC07C3">
              <w:t>0.9%)</w:t>
            </w:r>
          </w:p>
        </w:tc>
      </w:tr>
    </w:tbl>
    <w:p w:rsidR="00A14FB0" w:rsidRPr="00A14FB0" w:rsidRDefault="004F50F6" w:rsidP="00A14FB0">
      <w:pPr>
        <w:pStyle w:val="AERtablesource"/>
      </w:pPr>
      <w:r>
        <w:t xml:space="preserve">Source: </w:t>
      </w:r>
      <w:r w:rsidR="00A14FB0">
        <w:tab/>
      </w:r>
      <w:r w:rsidR="00A14FB0" w:rsidRPr="00A14FB0">
        <w:t xml:space="preserve">AER analysis; QCA, Price comparator; QCA, </w:t>
      </w:r>
      <w:r w:rsidR="00A14FB0" w:rsidRPr="00D941D2">
        <w:rPr>
          <w:rStyle w:val="AERtextitalic"/>
        </w:rPr>
        <w:t>Final determination, Regulated retail electricity prices 2014–15</w:t>
      </w:r>
      <w:r w:rsidR="00A14FB0" w:rsidRPr="00A14FB0">
        <w:t>, May 2014, p.</w:t>
      </w:r>
      <w:r w:rsidR="005E0DE6">
        <w:t xml:space="preserve"> </w:t>
      </w:r>
      <w:r w:rsidR="00A14FB0" w:rsidRPr="00A14FB0">
        <w:t>4.</w:t>
      </w:r>
    </w:p>
    <w:p w:rsidR="00A14FB0" w:rsidRPr="00A14FB0" w:rsidRDefault="00A14FB0" w:rsidP="00A14FB0">
      <w:pPr>
        <w:pStyle w:val="AERtablesource"/>
      </w:pPr>
      <w:r w:rsidRPr="00A14FB0">
        <w:t>(a)</w:t>
      </w:r>
      <w:r w:rsidRPr="00A14FB0">
        <w:tab/>
        <w:t>Based on annual bill for typical consumption of 4100</w:t>
      </w:r>
      <w:r w:rsidR="006E01A2">
        <w:t xml:space="preserve"> k</w:t>
      </w:r>
      <w:r w:rsidRPr="00A14FB0">
        <w:t>Wh per year during the period 1 July 201</w:t>
      </w:r>
      <w:r w:rsidR="00D60A9B">
        <w:t>4 to 30 June 2015</w:t>
      </w:r>
      <w:r w:rsidRPr="00A14FB0">
        <w:t>.</w:t>
      </w:r>
    </w:p>
    <w:p w:rsidR="004F50F6" w:rsidRDefault="00A14FB0" w:rsidP="00A14FB0">
      <w:pPr>
        <w:pStyle w:val="AERtablesource"/>
      </w:pPr>
      <w:r w:rsidRPr="00A14FB0">
        <w:t>(b)</w:t>
      </w:r>
      <w:r w:rsidRPr="00A14FB0">
        <w:tab/>
        <w:t>Based on the annual bill sourced from Energy Made Easy for a typical consumption of 10000 kWh per ye</w:t>
      </w:r>
      <w:r w:rsidR="00D60A9B">
        <w:t>ar during the period 1 July 2014 to 30 June 2015</w:t>
      </w:r>
      <w:r w:rsidRPr="00A14FB0">
        <w:t>.</w:t>
      </w:r>
    </w:p>
    <w:p w:rsidR="004F66C0" w:rsidRDefault="004F66C0" w:rsidP="004F66C0">
      <w:r>
        <w:t xml:space="preserve">Within the figures presented above we have included a </w:t>
      </w:r>
      <w:r w:rsidR="00E964CE">
        <w:t xml:space="preserve">number </w:t>
      </w:r>
      <w:r>
        <w:t xml:space="preserve">of adjustments </w:t>
      </w:r>
      <w:r w:rsidR="004C088B" w:rsidRPr="004C088B">
        <w:t>including forecast costs of the Queensland Solar Bonus Scheme FiT (and under recoveries related to this scheme from the 2010–15 regulatory control period)</w:t>
      </w:r>
      <w:r w:rsidR="00BC07C3">
        <w:t>. These include</w:t>
      </w:r>
      <w:r>
        <w:t xml:space="preserve"> </w:t>
      </w:r>
      <w:r w:rsidR="00E964CE">
        <w:t>expected D</w:t>
      </w:r>
      <w:r w:rsidR="00C8222B">
        <w:t>UoS</w:t>
      </w:r>
      <w:r w:rsidR="00E964CE">
        <w:t xml:space="preserve"> under recoveries in 2013–14 (which will be recovered in 2015–16), expected capital contribution</w:t>
      </w:r>
      <w:r w:rsidR="00884C67">
        <w:t>s</w:t>
      </w:r>
      <w:r w:rsidR="00E964CE">
        <w:t xml:space="preserve"> pass throughs in 2015–16 and 2016–17, </w:t>
      </w:r>
      <w:r w:rsidR="000412C3" w:rsidRPr="000412C3">
        <w:t xml:space="preserve">and </w:t>
      </w:r>
      <w:r w:rsidR="00584E68">
        <w:t xml:space="preserve">a </w:t>
      </w:r>
      <w:r w:rsidR="000412C3" w:rsidRPr="000412C3">
        <w:t xml:space="preserve">STPIS allowance </w:t>
      </w:r>
      <w:r w:rsidR="00B32F62">
        <w:t>whose</w:t>
      </w:r>
      <w:r w:rsidR="000412C3">
        <w:t xml:space="preserve"> recovery was deferred</w:t>
      </w:r>
      <w:r>
        <w:t xml:space="preserve">. The </w:t>
      </w:r>
      <w:r w:rsidR="00E964CE">
        <w:t xml:space="preserve">most </w:t>
      </w:r>
      <w:r>
        <w:t xml:space="preserve">significant of these </w:t>
      </w:r>
      <w:r w:rsidR="004C088B">
        <w:t xml:space="preserve">additionals </w:t>
      </w:r>
      <w:r>
        <w:t>is the Solar Bonus Scheme FiT. The Scheme</w:t>
      </w:r>
      <w:r w:rsidRPr="00B738B6">
        <w:t xml:space="preserve"> </w:t>
      </w:r>
      <w:r>
        <w:t>pays</w:t>
      </w:r>
      <w:r w:rsidRPr="00B738B6">
        <w:t xml:space="preserve"> a government-mandated </w:t>
      </w:r>
      <w:r>
        <w:t xml:space="preserve">FiT to </w:t>
      </w:r>
      <w:r w:rsidRPr="00B738B6">
        <w:t>eligible customers for the electricity generated from solar photovoltaic (PV) systems and exported to the Queensland electricity grid.</w:t>
      </w:r>
      <w:r>
        <w:rPr>
          <w:rStyle w:val="FootnoteReference"/>
        </w:rPr>
        <w:footnoteReference w:id="7"/>
      </w:r>
      <w:r w:rsidRPr="00B738B6">
        <w:t xml:space="preserve"> </w:t>
      </w:r>
      <w:r w:rsidRPr="00C30ACC">
        <w:t>While payments to PV owners are made by retailers, those costs are passed</w:t>
      </w:r>
      <w:r>
        <w:t xml:space="preserve"> </w:t>
      </w:r>
      <w:r w:rsidRPr="00C30ACC">
        <w:t>on to the distributors who then recover the costs through their network charges (DU</w:t>
      </w:r>
      <w:r>
        <w:t>o</w:t>
      </w:r>
      <w:r w:rsidRPr="00C30ACC">
        <w:t>S)</w:t>
      </w:r>
      <w:r>
        <w:t xml:space="preserve"> paid by all customers</w:t>
      </w:r>
      <w:r w:rsidRPr="00C30ACC">
        <w:t xml:space="preserve">. Neither </w:t>
      </w:r>
      <w:r w:rsidR="0019142D">
        <w:t>the Queensland distributors</w:t>
      </w:r>
      <w:r w:rsidRPr="00C30ACC">
        <w:t xml:space="preserve"> nor</w:t>
      </w:r>
      <w:r>
        <w:t xml:space="preserve"> </w:t>
      </w:r>
      <w:r w:rsidR="00A703FE">
        <w:t>the AER</w:t>
      </w:r>
      <w:r w:rsidRPr="00C30ACC">
        <w:t xml:space="preserve"> are able to affect the amount of the costs to be recovered from </w:t>
      </w:r>
      <w:r>
        <w:t>network charges</w:t>
      </w:r>
      <w:r w:rsidRPr="00C30ACC">
        <w:t>. However, we are able</w:t>
      </w:r>
      <w:r>
        <w:t xml:space="preserve"> </w:t>
      </w:r>
      <w:r w:rsidRPr="00C30ACC">
        <w:t>to smooth the impacts to avoid price fluctuations.</w:t>
      </w:r>
      <w:r w:rsidR="00E53FB8">
        <w:t xml:space="preserve"> The Solar Bonus Scheme is now closed to new customers. The costs of the scheme </w:t>
      </w:r>
      <w:r w:rsidR="007A64F2">
        <w:t xml:space="preserve">are expected to </w:t>
      </w:r>
      <w:r w:rsidR="00E53FB8">
        <w:t xml:space="preserve">peak in 2015–16 </w:t>
      </w:r>
      <w:r w:rsidR="007A64F2">
        <w:t>and</w:t>
      </w:r>
      <w:r w:rsidR="00E53FB8">
        <w:t xml:space="preserve"> decline </w:t>
      </w:r>
      <w:r w:rsidR="007A64F2">
        <w:t>steadily</w:t>
      </w:r>
      <w:r w:rsidR="00E53FB8">
        <w:t xml:space="preserve"> </w:t>
      </w:r>
      <w:r w:rsidR="007A64F2">
        <w:t>until the scheme ends in 2028</w:t>
      </w:r>
      <w:r w:rsidR="00E53FB8">
        <w:t>.</w:t>
      </w:r>
    </w:p>
    <w:p w:rsidR="009761DD" w:rsidRDefault="005E0DE6" w:rsidP="009761DD">
      <w:pPr>
        <w:pStyle w:val="Heading2"/>
      </w:pPr>
      <w:bookmarkStart w:id="13" w:name="_Toc417973131"/>
      <w:r>
        <w:t>Contribution to the achievement of the NEO</w:t>
      </w:r>
      <w:bookmarkEnd w:id="13"/>
    </w:p>
    <w:p w:rsidR="004F6B34" w:rsidRDefault="004F6B34" w:rsidP="004F6B34">
      <w:pPr>
        <w:rPr>
          <w:rStyle w:val="AERbody"/>
        </w:rPr>
      </w:pPr>
      <w:r>
        <w:rPr>
          <w:rStyle w:val="AERbody"/>
        </w:rPr>
        <w:t xml:space="preserve">We are satisfied that the total revenue approved in our preliminary decision contributes to the achievement of the NEO to the greatest degree. This is because our total revenue reflects the efficient, sustainable costs of providing network services in Energex's operating environment and the key drivers of </w:t>
      </w:r>
      <w:r w:rsidR="00696DB0">
        <w:rPr>
          <w:rStyle w:val="AERbody"/>
        </w:rPr>
        <w:t xml:space="preserve">efficient </w:t>
      </w:r>
      <w:r>
        <w:rPr>
          <w:rStyle w:val="AERbody"/>
        </w:rPr>
        <w:t>costs facing Energex.</w:t>
      </w:r>
      <w:r w:rsidRPr="00865F85">
        <w:rPr>
          <w:rStyle w:val="AERbody"/>
        </w:rPr>
        <w:t xml:space="preserve"> </w:t>
      </w:r>
      <w:r>
        <w:rPr>
          <w:rStyle w:val="AERbody"/>
        </w:rPr>
        <w:t xml:space="preserve">Our </w:t>
      </w:r>
      <w:r w:rsidR="003353D6">
        <w:rPr>
          <w:rStyle w:val="AERbody"/>
        </w:rPr>
        <w:t xml:space="preserve">preliminary </w:t>
      </w:r>
      <w:r>
        <w:rPr>
          <w:rStyle w:val="AERbody"/>
        </w:rPr>
        <w:t>decision will promote the efficient investment in, and efficient operation and use of, electricity services for the long term interests of co</w:t>
      </w:r>
      <w:r w:rsidR="005E0DE6">
        <w:rPr>
          <w:rStyle w:val="AERbody"/>
        </w:rPr>
        <w:t>nsumers, as required by the NEO</w:t>
      </w:r>
      <w:r w:rsidR="00FB69D7">
        <w:rPr>
          <w:rStyle w:val="AERbody"/>
        </w:rPr>
        <w:t>. T</w:t>
      </w:r>
      <w:r w:rsidR="005E0DE6">
        <w:rPr>
          <w:rStyle w:val="AERbody"/>
        </w:rPr>
        <w:t xml:space="preserve">he reasons </w:t>
      </w:r>
      <w:r w:rsidR="00FB69D7">
        <w:rPr>
          <w:rStyle w:val="AERbody"/>
        </w:rPr>
        <w:t xml:space="preserve">are </w:t>
      </w:r>
      <w:r w:rsidR="005E0DE6">
        <w:rPr>
          <w:rStyle w:val="AERbody"/>
        </w:rPr>
        <w:t xml:space="preserve">detailed in our overview and attachments. </w:t>
      </w:r>
    </w:p>
    <w:p w:rsidR="004F6B34" w:rsidRDefault="004F6B34" w:rsidP="004F6B34">
      <w:pPr>
        <w:rPr>
          <w:rStyle w:val="AERbody"/>
        </w:rPr>
      </w:pPr>
      <w:r>
        <w:rPr>
          <w:rStyle w:val="AERbody"/>
        </w:rPr>
        <w:t>The key drivers of costs facing a network service provider are:</w:t>
      </w:r>
      <w:r>
        <w:rPr>
          <w:rStyle w:val="FootnoteReference"/>
        </w:rPr>
        <w:footnoteReference w:id="8"/>
      </w:r>
    </w:p>
    <w:p w:rsidR="004F6B34" w:rsidRDefault="004F6B34" w:rsidP="004F6B34">
      <w:pPr>
        <w:pStyle w:val="AERbulletlistfirststyle"/>
        <w:rPr>
          <w:rStyle w:val="AERbody"/>
        </w:rPr>
      </w:pPr>
      <w:r>
        <w:rPr>
          <w:rStyle w:val="AERbody"/>
        </w:rPr>
        <w:t>its accumulated network investment (reflected in the size of its Regulatory Asset Base, or RAB)</w:t>
      </w:r>
    </w:p>
    <w:p w:rsidR="004F6B34" w:rsidRDefault="004F6B34" w:rsidP="004F6B34">
      <w:pPr>
        <w:pStyle w:val="AERbulletlistfirststyle"/>
        <w:rPr>
          <w:rStyle w:val="AERbody"/>
        </w:rPr>
      </w:pPr>
      <w:r>
        <w:rPr>
          <w:rStyle w:val="AERbody"/>
        </w:rPr>
        <w:t xml:space="preserve">its expected growth in network investment (reflected in its </w:t>
      </w:r>
      <w:r w:rsidR="00FB69D7">
        <w:rPr>
          <w:rStyle w:val="AERbody"/>
        </w:rPr>
        <w:t xml:space="preserve">capital expenditure </w:t>
      </w:r>
      <w:r w:rsidR="00696DB0">
        <w:rPr>
          <w:rStyle w:val="AERbody"/>
        </w:rPr>
        <w:t>(</w:t>
      </w:r>
      <w:r>
        <w:rPr>
          <w:rStyle w:val="AERbody"/>
        </w:rPr>
        <w:t>capex</w:t>
      </w:r>
      <w:r w:rsidR="00696DB0">
        <w:rPr>
          <w:rStyle w:val="AERbody"/>
        </w:rPr>
        <w:t>)</w:t>
      </w:r>
      <w:r>
        <w:rPr>
          <w:rStyle w:val="AERbody"/>
        </w:rPr>
        <w:t xml:space="preserve"> program </w:t>
      </w:r>
      <w:r w:rsidRPr="00596FF6">
        <w:rPr>
          <w:rStyle w:val="AERbody"/>
        </w:rPr>
        <w:t>net of capital returned to the shareholders through depreciation</w:t>
      </w:r>
      <w:r>
        <w:rPr>
          <w:rStyle w:val="AERbody"/>
        </w:rPr>
        <w:t>)</w:t>
      </w:r>
    </w:p>
    <w:p w:rsidR="004F6B34" w:rsidRDefault="004F6B34" w:rsidP="004F6B34">
      <w:pPr>
        <w:pStyle w:val="AERbulletlistfirststyle"/>
        <w:rPr>
          <w:rStyle w:val="AERbody"/>
        </w:rPr>
      </w:pPr>
      <w:r>
        <w:rPr>
          <w:rStyle w:val="AERbody"/>
        </w:rPr>
        <w:t xml:space="preserve">its financing costs (interest on borrowings and a return on equity to shareholders) </w:t>
      </w:r>
    </w:p>
    <w:p w:rsidR="004F6B34" w:rsidRDefault="004F6B34" w:rsidP="004F6B34">
      <w:pPr>
        <w:pStyle w:val="AERbulletlistfirststyle"/>
        <w:rPr>
          <w:rStyle w:val="AERbody"/>
        </w:rPr>
      </w:pPr>
      <w:r>
        <w:rPr>
          <w:rStyle w:val="AERbody"/>
        </w:rPr>
        <w:t>its operating expenditure (opex) program (the cost of operating and maintaining its network)</w:t>
      </w:r>
    </w:p>
    <w:p w:rsidR="009970C9" w:rsidRDefault="009970C9" w:rsidP="004F6B34">
      <w:pPr>
        <w:pStyle w:val="AERbulletlistfirststyle"/>
        <w:rPr>
          <w:rStyle w:val="AERbody"/>
        </w:rPr>
      </w:pPr>
      <w:r>
        <w:rPr>
          <w:rStyle w:val="AERbody"/>
        </w:rPr>
        <w:t xml:space="preserve">its taxation cost (taxable income at the corporate tax rate adjusted for the value of imputation credits). </w:t>
      </w:r>
    </w:p>
    <w:p w:rsidR="00DC043E" w:rsidRDefault="004F6B34" w:rsidP="004F6B34">
      <w:pPr>
        <w:rPr>
          <w:rStyle w:val="AERbody"/>
        </w:rPr>
      </w:pPr>
      <w:r>
        <w:rPr>
          <w:rStyle w:val="AERbody"/>
        </w:rPr>
        <w:t xml:space="preserve">From one regulatory </w:t>
      </w:r>
      <w:r w:rsidR="003353D6">
        <w:rPr>
          <w:rStyle w:val="AERbody"/>
        </w:rPr>
        <w:t xml:space="preserve">control </w:t>
      </w:r>
      <w:r>
        <w:rPr>
          <w:rStyle w:val="AERbody"/>
        </w:rPr>
        <w:t>period to the next, the pressure</w:t>
      </w:r>
      <w:r w:rsidRPr="00211F3B">
        <w:rPr>
          <w:rStyle w:val="AERbody"/>
        </w:rPr>
        <w:t>s on each of these drivers may change. For example, in periods of high demand growth, a service provider would expect to need a larger capex program. Similarly, during periods of high interest rates, a service provider would expect to pay more in financing costs</w:t>
      </w:r>
      <w:r w:rsidR="006563DF">
        <w:rPr>
          <w:rStyle w:val="AERbody"/>
        </w:rPr>
        <w:t>.</w:t>
      </w:r>
      <w:r w:rsidRPr="00211F3B">
        <w:rPr>
          <w:rStyle w:val="AERbody"/>
        </w:rPr>
        <w:t xml:space="preserve"> </w:t>
      </w:r>
    </w:p>
    <w:p w:rsidR="004F6B34" w:rsidRPr="00211F3B" w:rsidRDefault="004F6B34" w:rsidP="004F6B34">
      <w:pPr>
        <w:rPr>
          <w:rStyle w:val="AERbody"/>
        </w:rPr>
      </w:pPr>
      <w:r>
        <w:rPr>
          <w:rStyle w:val="AERbody"/>
        </w:rPr>
        <w:t xml:space="preserve">The </w:t>
      </w:r>
      <w:r w:rsidRPr="00211F3B">
        <w:rPr>
          <w:rStyle w:val="AERbody"/>
        </w:rPr>
        <w:t xml:space="preserve">most important factors we see impacting on </w:t>
      </w:r>
      <w:r>
        <w:rPr>
          <w:rStyle w:val="AERbody"/>
        </w:rPr>
        <w:t>Energex's</w:t>
      </w:r>
      <w:r w:rsidRPr="00211F3B">
        <w:rPr>
          <w:rStyle w:val="AERbody"/>
        </w:rPr>
        <w:t xml:space="preserve"> costs in the 2015–</w:t>
      </w:r>
      <w:r>
        <w:rPr>
          <w:rStyle w:val="AERbody"/>
        </w:rPr>
        <w:t>20</w:t>
      </w:r>
      <w:r w:rsidRPr="00211F3B">
        <w:rPr>
          <w:rStyle w:val="AERbody"/>
        </w:rPr>
        <w:t xml:space="preserve"> </w:t>
      </w:r>
      <w:r>
        <w:rPr>
          <w:rStyle w:val="AERbody"/>
        </w:rPr>
        <w:t xml:space="preserve">regulatory control </w:t>
      </w:r>
      <w:r w:rsidRPr="00211F3B">
        <w:rPr>
          <w:rStyle w:val="AERbody"/>
        </w:rPr>
        <w:t xml:space="preserve">period </w:t>
      </w:r>
      <w:r w:rsidR="003353D6">
        <w:rPr>
          <w:rStyle w:val="AERbody"/>
        </w:rPr>
        <w:t>are</w:t>
      </w:r>
      <w:r w:rsidRPr="00211F3B">
        <w:rPr>
          <w:rStyle w:val="AERbody"/>
        </w:rPr>
        <w:t>:</w:t>
      </w:r>
    </w:p>
    <w:p w:rsidR="004F6B34" w:rsidRPr="003424EA" w:rsidRDefault="004F6B34" w:rsidP="004F6B34">
      <w:pPr>
        <w:pStyle w:val="AERbulletlistfirststyle"/>
        <w:rPr>
          <w:rStyle w:val="AERbody"/>
        </w:rPr>
      </w:pPr>
      <w:r w:rsidRPr="003424EA">
        <w:rPr>
          <w:rStyle w:val="AERbody"/>
        </w:rPr>
        <w:t>an improved investment environment</w:t>
      </w:r>
      <w:r>
        <w:rPr>
          <w:rStyle w:val="AERbody"/>
        </w:rPr>
        <w:t xml:space="preserve"> compared to our 2010 decision, which translates to lower financing costs necessary to attract efficient investment.</w:t>
      </w:r>
    </w:p>
    <w:p w:rsidR="004F6B34" w:rsidRDefault="004F6B34" w:rsidP="004F6B34">
      <w:pPr>
        <w:pStyle w:val="AERbulletlistfirststyle"/>
        <w:rPr>
          <w:rStyle w:val="AERbody"/>
        </w:rPr>
      </w:pPr>
      <w:r>
        <w:rPr>
          <w:rStyle w:val="AERbody"/>
        </w:rPr>
        <w:t xml:space="preserve">forecast </w:t>
      </w:r>
      <w:r w:rsidRPr="003424EA">
        <w:rPr>
          <w:rStyle w:val="AERbody"/>
        </w:rPr>
        <w:t>demand</w:t>
      </w:r>
      <w:r>
        <w:rPr>
          <w:rStyle w:val="AERbody"/>
        </w:rPr>
        <w:t xml:space="preserve">, which is expected to remain reasonably flat over the 2015–20 regulatory control period. This means that </w:t>
      </w:r>
      <w:r w:rsidR="00DE1EA5">
        <w:rPr>
          <w:rStyle w:val="AERbody"/>
        </w:rPr>
        <w:t>Energex</w:t>
      </w:r>
      <w:r>
        <w:rPr>
          <w:rStyle w:val="AERbody"/>
        </w:rPr>
        <w:t xml:space="preserve"> is under less pressure to expand its network than in the previous regulatory control period to meet the needs of additional customers or any increased demand from existing customers</w:t>
      </w:r>
      <w:r w:rsidR="00084AD3">
        <w:rPr>
          <w:rStyle w:val="AERbody"/>
        </w:rPr>
        <w:t>.</w:t>
      </w:r>
    </w:p>
    <w:p w:rsidR="004F6B34" w:rsidRDefault="004F6B34" w:rsidP="004F6B34">
      <w:pPr>
        <w:pStyle w:val="AERbulletlistfirststyle"/>
        <w:rPr>
          <w:rStyle w:val="AERbody"/>
        </w:rPr>
      </w:pPr>
      <w:r>
        <w:t>changes to the Queensland Government's</w:t>
      </w:r>
      <w:r>
        <w:rPr>
          <w:rStyle w:val="AERbody"/>
        </w:rPr>
        <w:t xml:space="preserve"> reliability standards. From 1 July 2014 the reliability standards, amongst other things, reduce the need to build new infrastructure for reliability purposes.</w:t>
      </w:r>
      <w:r w:rsidR="00BE0E73">
        <w:rPr>
          <w:rStyle w:val="FootnoteReference"/>
        </w:rPr>
        <w:footnoteReference w:id="9"/>
      </w:r>
      <w:r>
        <w:rPr>
          <w:rStyle w:val="AERbody"/>
        </w:rPr>
        <w:t xml:space="preserve"> </w:t>
      </w:r>
    </w:p>
    <w:p w:rsidR="00084AD3" w:rsidRDefault="00084AD3" w:rsidP="004F6B34">
      <w:pPr>
        <w:pStyle w:val="AERbulletlistfirststyle"/>
        <w:rPr>
          <w:rStyle w:val="AERbody"/>
        </w:rPr>
      </w:pPr>
      <w:r>
        <w:rPr>
          <w:rStyle w:val="AERbody"/>
        </w:rPr>
        <w:t>improvements in efficiency of how Energex operates its business.</w:t>
      </w:r>
    </w:p>
    <w:p w:rsidR="004F6B34" w:rsidRDefault="004F6B34" w:rsidP="004F6B34">
      <w:r w:rsidRPr="00393804">
        <w:t>These</w:t>
      </w:r>
      <w:r w:rsidR="000F4042">
        <w:t xml:space="preserve"> factors are reflected throughout our preliminary decision and</w:t>
      </w:r>
      <w:r w:rsidRPr="00393804">
        <w:t xml:space="preserve"> impact the different constituent components of our decision to varying degrees</w:t>
      </w:r>
      <w:r w:rsidR="000F4042">
        <w:t>. At</w:t>
      </w:r>
      <w:r w:rsidRPr="00393804">
        <w:t xml:space="preserve"> the total revenue level, they provide a consistent picture. The drivers of revenue for the 2015−20 regulatory control period indicate that </w:t>
      </w:r>
      <w:r w:rsidR="003353D6">
        <w:t>a service provider</w:t>
      </w:r>
      <w:r w:rsidR="00696DB0">
        <w:t xml:space="preserve">, operating prudently and efficiently, </w:t>
      </w:r>
      <w:r w:rsidRPr="00393804">
        <w:t xml:space="preserve">could provide safe and reliable distribution services with materially less revenue than </w:t>
      </w:r>
      <w:r w:rsidR="003353D6">
        <w:t>Energex</w:t>
      </w:r>
      <w:r w:rsidRPr="00393804">
        <w:t xml:space="preserve"> has proposed. We come to these views as a result of the detailed analysis for each constituent component of our preliminary decision.</w:t>
      </w:r>
    </w:p>
    <w:p w:rsidR="00724778" w:rsidRDefault="00724778" w:rsidP="00724778">
      <w:pPr>
        <w:rPr>
          <w:rStyle w:val="AERbody"/>
        </w:rPr>
      </w:pPr>
      <w:r>
        <w:rPr>
          <w:rStyle w:val="AERbody"/>
        </w:rPr>
        <w:t xml:space="preserve">In our preliminary decision we </w:t>
      </w:r>
      <w:r w:rsidR="00266224">
        <w:rPr>
          <w:rStyle w:val="AERbody"/>
        </w:rPr>
        <w:t xml:space="preserve">consider </w:t>
      </w:r>
      <w:r>
        <w:rPr>
          <w:rStyle w:val="AERbody"/>
        </w:rPr>
        <w:t xml:space="preserve">that Energex's proposal </w:t>
      </w:r>
      <w:r w:rsidR="00AC667E">
        <w:rPr>
          <w:rStyle w:val="AERbody"/>
        </w:rPr>
        <w:t>reflects some factor</w:t>
      </w:r>
      <w:r w:rsidR="00201DAD">
        <w:rPr>
          <w:rStyle w:val="AERbody"/>
        </w:rPr>
        <w:t>s</w:t>
      </w:r>
      <w:r w:rsidR="00AC667E">
        <w:rPr>
          <w:rStyle w:val="AERbody"/>
        </w:rPr>
        <w:t xml:space="preserve">, </w:t>
      </w:r>
      <w:r w:rsidR="00805FB3">
        <w:rPr>
          <w:rStyle w:val="AERbody"/>
        </w:rPr>
        <w:t>such as its forecast operating costs</w:t>
      </w:r>
      <w:r w:rsidR="00AC667E">
        <w:rPr>
          <w:rStyle w:val="AERbody"/>
        </w:rPr>
        <w:t xml:space="preserve">, but </w:t>
      </w:r>
      <w:r>
        <w:rPr>
          <w:rStyle w:val="AERbody"/>
        </w:rPr>
        <w:t xml:space="preserve">does not reflect </w:t>
      </w:r>
      <w:r w:rsidR="00AC667E">
        <w:rPr>
          <w:rStyle w:val="AERbody"/>
        </w:rPr>
        <w:t xml:space="preserve">other </w:t>
      </w:r>
      <w:r>
        <w:rPr>
          <w:rStyle w:val="AERbody"/>
        </w:rPr>
        <w:t>factors impacting on its cost drivers to a satisfactory extent.</w:t>
      </w:r>
      <w:r w:rsidR="003166C0">
        <w:rPr>
          <w:rStyle w:val="AERbody"/>
        </w:rPr>
        <w:t xml:space="preserve"> That is, we consider Energex's proposed rate of return and some of its proposed capex</w:t>
      </w:r>
      <w:r w:rsidR="00805FB3">
        <w:rPr>
          <w:rStyle w:val="AERbody"/>
        </w:rPr>
        <w:t>, amongst other things,</w:t>
      </w:r>
      <w:r w:rsidR="003166C0">
        <w:rPr>
          <w:rStyle w:val="AERbody"/>
        </w:rPr>
        <w:t xml:space="preserve"> remain too high. </w:t>
      </w:r>
      <w:r>
        <w:rPr>
          <w:rStyle w:val="AERbody"/>
        </w:rPr>
        <w:t xml:space="preserve">As a consequence, we also conclude that Energex has proposed to recover more revenue from its customers than is necessary </w:t>
      </w:r>
      <w:r w:rsidR="00895CE0" w:rsidRPr="00895CE0">
        <w:rPr>
          <w:rStyle w:val="AERbody"/>
        </w:rPr>
        <w:t>for the safe and reliable operation of its network</w:t>
      </w:r>
      <w:r>
        <w:rPr>
          <w:rStyle w:val="AERbody"/>
        </w:rPr>
        <w:t>.</w:t>
      </w:r>
      <w:r w:rsidR="009652BA">
        <w:rPr>
          <w:rStyle w:val="AERbody"/>
        </w:rPr>
        <w:t xml:space="preserve"> It follows that we consider that Energex's proposal does not contribute to the NEO to a satisfactory degree.</w:t>
      </w:r>
    </w:p>
    <w:p w:rsidR="00E75311" w:rsidRDefault="00E75311" w:rsidP="009761DD">
      <w:r>
        <w:t>One constituent component of our decision drives most of the revenue differen</w:t>
      </w:r>
      <w:r w:rsidR="00B00D02">
        <w:t>ce</w:t>
      </w:r>
      <w:r>
        <w:t xml:space="preserve"> with Energex's regulatory proposal, being the allowed rate of return. </w:t>
      </w:r>
      <w:r w:rsidR="00AC667E">
        <w:t xml:space="preserve">Changes to the allowed rate of return flow on to impact the corporate tax allowance given the reduction in overall revenue requirements. </w:t>
      </w:r>
      <w:r>
        <w:t xml:space="preserve">Figure 2 illustrates the constituent components of our </w:t>
      </w:r>
      <w:r w:rsidR="006B6D5C">
        <w:t xml:space="preserve">preliminary </w:t>
      </w:r>
      <w:r>
        <w:t>decision (which the NER refers to as building blocks).</w:t>
      </w:r>
    </w:p>
    <w:p w:rsidR="00E75311" w:rsidRDefault="00C43224" w:rsidP="00E75311">
      <w:pPr>
        <w:pStyle w:val="Caption"/>
      </w:pPr>
      <w:r>
        <w:t xml:space="preserve">Figure </w:t>
      </w:r>
      <w:r w:rsidR="00E75311">
        <w:t>2 AER's preliminary decision and Energex's propos</w:t>
      </w:r>
      <w:r w:rsidR="000A06BC">
        <w:t>ed</w:t>
      </w:r>
      <w:r w:rsidR="00E75311">
        <w:t xml:space="preserve"> annual building block costs ($ million 2014</w:t>
      </w:r>
      <w:r w:rsidR="00E75311">
        <w:rPr>
          <w:rFonts w:cs="Arial"/>
        </w:rPr>
        <w:t>−</w:t>
      </w:r>
      <w:r w:rsidR="00E75311">
        <w:t>15)</w:t>
      </w:r>
    </w:p>
    <w:p w:rsidR="00DE1EA5" w:rsidRDefault="00BC07C3" w:rsidP="00DE1EA5">
      <w:r w:rsidRPr="00BC07C3">
        <w:rPr>
          <w:noProof/>
          <w:lang w:eastAsia="en-AU"/>
        </w:rPr>
        <w:drawing>
          <wp:inline distT="0" distB="0" distL="0" distR="0" wp14:anchorId="56651CD2" wp14:editId="000F85C6">
            <wp:extent cx="5382895" cy="322126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21260"/>
                    </a:xfrm>
                    <a:prstGeom prst="rect">
                      <a:avLst/>
                    </a:prstGeom>
                    <a:noFill/>
                    <a:ln>
                      <a:noFill/>
                    </a:ln>
                  </pic:spPr>
                </pic:pic>
              </a:graphicData>
            </a:graphic>
          </wp:inline>
        </w:drawing>
      </w:r>
    </w:p>
    <w:p w:rsidR="00AD00E5" w:rsidRPr="00DE1EA5" w:rsidRDefault="00AD00E5" w:rsidP="00AD00E5">
      <w:pPr>
        <w:pStyle w:val="AERtablesource"/>
      </w:pPr>
      <w:r>
        <w:t>Source:</w:t>
      </w:r>
      <w:r>
        <w:tab/>
        <w:t>AER analysis.</w:t>
      </w:r>
    </w:p>
    <w:p w:rsidR="00DE1EA5" w:rsidRDefault="00DE1EA5" w:rsidP="00DE1EA5">
      <w:pPr>
        <w:pStyle w:val="Heading3"/>
      </w:pPr>
      <w:bookmarkStart w:id="14" w:name="_Toc417973132"/>
      <w:r>
        <w:t>Rate of return</w:t>
      </w:r>
      <w:bookmarkEnd w:id="14"/>
    </w:p>
    <w:p w:rsidR="000B49AC" w:rsidRDefault="000B49AC" w:rsidP="000B49AC">
      <w:r w:rsidRPr="00EC14A5">
        <w:t xml:space="preserve">The rate of return provides a </w:t>
      </w:r>
      <w:r>
        <w:t>distributor</w:t>
      </w:r>
      <w:r w:rsidRPr="00EC14A5">
        <w:t xml:space="preserve"> with revenue to service the interest on its loans and to give a return on equity to shareholders.</w:t>
      </w:r>
      <w:r w:rsidR="005D3EF8">
        <w:t xml:space="preserve"> The allowed rate of return is a key determinant of allowed revenue.</w:t>
      </w:r>
    </w:p>
    <w:p w:rsidR="000B49AC" w:rsidRPr="00EC14A5" w:rsidRDefault="000B49AC" w:rsidP="000B49AC">
      <w:r w:rsidRPr="00EC14A5">
        <w:t xml:space="preserve">The rate of return must be commensurate with the efficient financing costs of a benchmark efficient entity with a similar degree of risk as that which applies to the </w:t>
      </w:r>
      <w:r w:rsidRPr="002C6D16">
        <w:t>distributor</w:t>
      </w:r>
      <w:r w:rsidRPr="00EC14A5">
        <w:t xml:space="preserve"> in respect of the provision of </w:t>
      </w:r>
      <w:r w:rsidRPr="002C6D16">
        <w:t>distribution services</w:t>
      </w:r>
      <w:r w:rsidRPr="000B49AC">
        <w:t>.</w:t>
      </w:r>
      <w:r w:rsidRPr="002C6D16">
        <w:rPr>
          <w:rStyle w:val="AERsuperscript"/>
        </w:rPr>
        <w:footnoteReference w:id="10"/>
      </w:r>
      <w:r w:rsidRPr="002C6D16">
        <w:rPr>
          <w:rStyle w:val="AERsuperscript"/>
        </w:rPr>
        <w:t xml:space="preserve"> </w:t>
      </w:r>
      <w:r w:rsidRPr="00EC14A5">
        <w:t xml:space="preserve">The </w:t>
      </w:r>
      <w:r w:rsidRPr="002C6D16">
        <w:t>NER</w:t>
      </w:r>
      <w:r w:rsidRPr="000B49AC">
        <w:t xml:space="preserve"> </w:t>
      </w:r>
      <w:r w:rsidRPr="00EC14A5">
        <w:t xml:space="preserve">refers to this requirement as the </w:t>
      </w:r>
      <w:r w:rsidR="00C9360F">
        <w:t>a</w:t>
      </w:r>
      <w:r w:rsidRPr="00EC14A5">
        <w:t xml:space="preserve">llowed </w:t>
      </w:r>
      <w:r w:rsidR="00C9360F">
        <w:t>r</w:t>
      </w:r>
      <w:r w:rsidRPr="00EC14A5">
        <w:t xml:space="preserve">ate of </w:t>
      </w:r>
      <w:r w:rsidR="00C9360F">
        <w:t>r</w:t>
      </w:r>
      <w:r w:rsidRPr="00EC14A5">
        <w:t xml:space="preserve">eturn </w:t>
      </w:r>
      <w:r w:rsidR="00C9360F">
        <w:t>o</w:t>
      </w:r>
      <w:r w:rsidRPr="00EC14A5">
        <w:t xml:space="preserve">bjective. </w:t>
      </w:r>
    </w:p>
    <w:p w:rsidR="000B49AC" w:rsidRPr="00EC14A5" w:rsidRDefault="000B49AC" w:rsidP="000B49AC">
      <w:r w:rsidRPr="00EC14A5">
        <w:t xml:space="preserve">Our </w:t>
      </w:r>
      <w:r w:rsidR="00291C14">
        <w:t>preliminary</w:t>
      </w:r>
      <w:r w:rsidRPr="00EC14A5">
        <w:t xml:space="preserve"> decision is for a rate of return of </w:t>
      </w:r>
      <w:r w:rsidR="000F5B95" w:rsidRPr="00CC5DB6">
        <w:rPr>
          <w:rStyle w:val="AERbodytextChar"/>
          <w:rFonts w:eastAsiaTheme="minorHAnsi"/>
        </w:rPr>
        <w:t>5.85</w:t>
      </w:r>
      <w:r w:rsidR="000F5B95" w:rsidRPr="00EC14A5">
        <w:t xml:space="preserve"> </w:t>
      </w:r>
      <w:r w:rsidRPr="00EC14A5">
        <w:t xml:space="preserve">per cent compared to </w:t>
      </w:r>
      <w:r>
        <w:t>7.75</w:t>
      </w:r>
      <w:r w:rsidRPr="00EC14A5">
        <w:t xml:space="preserve"> per cent put forward by </w:t>
      </w:r>
      <w:r>
        <w:t>Energex</w:t>
      </w:r>
      <w:r w:rsidRPr="00EC14A5">
        <w:t xml:space="preserve"> in its r</w:t>
      </w:r>
      <w:r>
        <w:t xml:space="preserve">egulatory </w:t>
      </w:r>
      <w:r w:rsidRPr="00EC14A5">
        <w:t>proposal.</w:t>
      </w:r>
      <w:r w:rsidR="002A0806">
        <w:rPr>
          <w:rStyle w:val="FootnoteReference"/>
        </w:rPr>
        <w:footnoteReference w:id="11"/>
      </w:r>
      <w:r w:rsidRPr="00EC14A5">
        <w:t xml:space="preserve"> </w:t>
      </w:r>
    </w:p>
    <w:p w:rsidR="000B49AC" w:rsidRPr="00EC14A5" w:rsidRDefault="000B49AC" w:rsidP="000B49AC">
      <w:r w:rsidRPr="00EC14A5">
        <w:t xml:space="preserve">We set out our approach to determining the </w:t>
      </w:r>
      <w:r w:rsidR="005D3EF8">
        <w:t>r</w:t>
      </w:r>
      <w:r w:rsidRPr="00EC14A5">
        <w:t xml:space="preserve">ate of </w:t>
      </w:r>
      <w:r w:rsidR="005D3EF8">
        <w:t>r</w:t>
      </w:r>
      <w:r w:rsidRPr="00EC14A5">
        <w:t xml:space="preserve">eturn in </w:t>
      </w:r>
      <w:r w:rsidR="005D3EF8">
        <w:t>the Rate of Return</w:t>
      </w:r>
      <w:r w:rsidRPr="00EC14A5">
        <w:t xml:space="preserve"> </w:t>
      </w:r>
      <w:r w:rsidR="00497F95">
        <w:t>G</w:t>
      </w:r>
      <w:r w:rsidRPr="00EC14A5">
        <w:t>uideline</w:t>
      </w:r>
      <w:r w:rsidR="005D3EF8">
        <w:t xml:space="preserve"> (Guideline)</w:t>
      </w:r>
      <w:r w:rsidRPr="00EC14A5">
        <w:t xml:space="preserve"> we published in December 2013.</w:t>
      </w:r>
      <w:r w:rsidR="00FF1D25">
        <w:rPr>
          <w:rStyle w:val="FootnoteReference"/>
        </w:rPr>
        <w:footnoteReference w:id="12"/>
      </w:r>
      <w:r w:rsidRPr="00EC14A5">
        <w:t xml:space="preserve"> This </w:t>
      </w:r>
      <w:r w:rsidR="00497F95">
        <w:t>G</w:t>
      </w:r>
      <w:r w:rsidRPr="00EC14A5">
        <w:t xml:space="preserve">uideline is not binding. However, a </w:t>
      </w:r>
      <w:r w:rsidR="005D3EF8">
        <w:t>distributor</w:t>
      </w:r>
      <w:r>
        <w:t xml:space="preserve"> </w:t>
      </w:r>
      <w:r w:rsidRPr="00EC14A5">
        <w:t xml:space="preserve">must provide reasons to justify any departure from the </w:t>
      </w:r>
      <w:r w:rsidR="00497F95">
        <w:t>G</w:t>
      </w:r>
      <w:r w:rsidRPr="00EC14A5">
        <w:t xml:space="preserve">uideline. </w:t>
      </w:r>
      <w:r>
        <w:t>Energex</w:t>
      </w:r>
      <w:r w:rsidRPr="00EC14A5">
        <w:t xml:space="preserve"> has proposed we depart from the </w:t>
      </w:r>
      <w:r w:rsidR="00497F95">
        <w:t>G</w:t>
      </w:r>
      <w:r w:rsidRPr="00EC14A5">
        <w:t xml:space="preserve">uideline. We </w:t>
      </w:r>
      <w:r w:rsidR="006B6D5C">
        <w:t xml:space="preserve">are not satisfied that there are sufficient grounds to justify doing so. </w:t>
      </w:r>
      <w:r w:rsidRPr="00EC14A5">
        <w:t xml:space="preserve"> </w:t>
      </w:r>
    </w:p>
    <w:p w:rsidR="000B49AC" w:rsidRPr="00EC14A5" w:rsidRDefault="000B49AC" w:rsidP="000B49AC">
      <w:r w:rsidRPr="00EC14A5">
        <w:t xml:space="preserve">Prevailing market conditions for debt and equity heavily influence the rate of return. </w:t>
      </w:r>
      <w:r w:rsidR="00291C14">
        <w:t>Since Energex submitted its regulatory proposal in October 2014</w:t>
      </w:r>
      <w:r w:rsidRPr="00EC14A5">
        <w:t xml:space="preserve">, interest rates have fallen further and financial market conditions have continued to ease. This means that the cost of debt and the returns required to attract equity are lower than when </w:t>
      </w:r>
      <w:r w:rsidR="00291C14">
        <w:t>Energex submitted its proposal</w:t>
      </w:r>
      <w:r w:rsidRPr="00EC14A5">
        <w:t xml:space="preserve">. We consider these factors should be reflected in the rate of return.  </w:t>
      </w:r>
    </w:p>
    <w:p w:rsidR="000B49AC" w:rsidRDefault="000B49AC" w:rsidP="00084AD3">
      <w:r>
        <w:t xml:space="preserve">On a more technical level, </w:t>
      </w:r>
      <w:r w:rsidR="00AC667E">
        <w:t>another</w:t>
      </w:r>
      <w:r>
        <w:t xml:space="preserve"> difference between our </w:t>
      </w:r>
      <w:r w:rsidR="00291C14">
        <w:t>preliminary</w:t>
      </w:r>
      <w:r>
        <w:t xml:space="preserve"> decision and </w:t>
      </w:r>
      <w:r w:rsidR="00291C14">
        <w:t>Energex's regulatory</w:t>
      </w:r>
      <w:r>
        <w:t xml:space="preserve"> proposal in relation to rate of return</w:t>
      </w:r>
      <w:r w:rsidR="00084AD3">
        <w:t xml:space="preserve"> is </w:t>
      </w:r>
      <w:r>
        <w:t xml:space="preserve">whether to give weight </w:t>
      </w:r>
      <w:r w:rsidR="005D3EF8">
        <w:t xml:space="preserve">to other </w:t>
      </w:r>
      <w:r>
        <w:t xml:space="preserve">indicators of the return on equity that </w:t>
      </w:r>
      <w:r w:rsidR="005D3EF8">
        <w:t>Ene</w:t>
      </w:r>
      <w:r w:rsidR="006B6D5C">
        <w:t>rgex consider</w:t>
      </w:r>
      <w:r w:rsidR="00D54AC1">
        <w:t>s</w:t>
      </w:r>
      <w:r w:rsidR="006B6D5C">
        <w:t xml:space="preserve"> to be informative. However, </w:t>
      </w:r>
      <w:r>
        <w:t>we do not consider</w:t>
      </w:r>
      <w:r w:rsidR="006B6D5C">
        <w:t xml:space="preserve"> that these indicators are</w:t>
      </w:r>
      <w:r>
        <w:t xml:space="preserve"> robust and other regulators do not use.</w:t>
      </w:r>
    </w:p>
    <w:p w:rsidR="000B49AC" w:rsidRDefault="00696DB0" w:rsidP="000B49AC">
      <w:r>
        <w:t>T</w:t>
      </w:r>
      <w:r w:rsidR="005D3EF8">
        <w:t>he Guideline,</w:t>
      </w:r>
      <w:r>
        <w:t xml:space="preserve"> (and indeed,</w:t>
      </w:r>
      <w:r w:rsidR="0030183E">
        <w:t xml:space="preserve"> </w:t>
      </w:r>
      <w:r>
        <w:t>in</w:t>
      </w:r>
      <w:r w:rsidR="005D3EF8">
        <w:t xml:space="preserve"> </w:t>
      </w:r>
      <w:r w:rsidR="000B49AC" w:rsidRPr="00EC14A5">
        <w:t>this decision</w:t>
      </w:r>
      <w:r>
        <w:t>) marks a departure</w:t>
      </w:r>
      <w:r w:rsidR="005D3EF8">
        <w:t xml:space="preserve"> from our previous approach to estimating the return on debt and the return on equity. For </w:t>
      </w:r>
      <w:r w:rsidR="000B49AC">
        <w:t>the return on debt, w</w:t>
      </w:r>
      <w:r w:rsidR="000B49AC" w:rsidRPr="00EC14A5">
        <w:t xml:space="preserve">e have used a gradual, forward looking transition. We set out this transition in the </w:t>
      </w:r>
      <w:r w:rsidR="00497F95">
        <w:t>G</w:t>
      </w:r>
      <w:r w:rsidR="000B49AC" w:rsidRPr="00EC14A5">
        <w:t xml:space="preserve">uideline. </w:t>
      </w:r>
      <w:r w:rsidR="005D3EF8">
        <w:t>Our approach to setting the return on debt</w:t>
      </w:r>
      <w:r w:rsidR="005D3EF8" w:rsidRPr="00EC14A5">
        <w:t xml:space="preserve"> </w:t>
      </w:r>
      <w:r w:rsidR="000B49AC" w:rsidRPr="00EC14A5">
        <w:t xml:space="preserve">received broad support </w:t>
      </w:r>
      <w:r w:rsidR="00D54AC1">
        <w:t>from</w:t>
      </w:r>
      <w:r w:rsidR="005D3EF8" w:rsidRPr="00EC14A5">
        <w:t xml:space="preserve"> </w:t>
      </w:r>
      <w:r w:rsidR="000B49AC" w:rsidRPr="00EC14A5">
        <w:t xml:space="preserve">many stakeholders, including </w:t>
      </w:r>
      <w:r w:rsidR="000B49AC">
        <w:t>service providers</w:t>
      </w:r>
      <w:r w:rsidR="000B49AC" w:rsidRPr="00EC14A5">
        <w:t>.</w:t>
      </w:r>
      <w:r w:rsidR="000B49AC" w:rsidRPr="00EC14A5">
        <w:rPr>
          <w:rStyle w:val="FootnoteReference"/>
        </w:rPr>
        <w:footnoteReference w:id="13"/>
      </w:r>
      <w:r w:rsidR="000B49AC" w:rsidRPr="00EC14A5">
        <w:t xml:space="preserve"> </w:t>
      </w:r>
      <w:r>
        <w:t xml:space="preserve">Energex </w:t>
      </w:r>
      <w:r w:rsidR="00E145FB">
        <w:t>and us agree on how to transition from the previous on-the-day regulatory approach to the new trailing average approach for the return on debt</w:t>
      </w:r>
      <w:r w:rsidR="000B49AC" w:rsidRPr="00EC14A5">
        <w:t>.</w:t>
      </w:r>
      <w:r w:rsidR="000B49AC">
        <w:t xml:space="preserve"> </w:t>
      </w:r>
      <w:r w:rsidR="005D3EF8">
        <w:t>For the return on equity, the evidence before us indicates that</w:t>
      </w:r>
      <w:r>
        <w:t xml:space="preserve"> on balance</w:t>
      </w:r>
      <w:r w:rsidR="005D3EF8">
        <w:t xml:space="preserve"> employing our approach is expected to lead to a rate of return that achieves</w:t>
      </w:r>
      <w:r w:rsidR="00F47DD3">
        <w:t xml:space="preserve"> the allowed rate of return objective. </w:t>
      </w:r>
    </w:p>
    <w:p w:rsidR="00670E6B" w:rsidRDefault="006563DF" w:rsidP="00670E6B">
      <w:pPr>
        <w:pStyle w:val="Heading2"/>
      </w:pPr>
      <w:bookmarkStart w:id="15" w:name="_Toc417973133"/>
      <w:r>
        <w:t>Assessment of options under</w:t>
      </w:r>
      <w:r w:rsidR="00670E6B">
        <w:t xml:space="preserve"> the NEO</w:t>
      </w:r>
      <w:bookmarkEnd w:id="15"/>
    </w:p>
    <w:p w:rsidR="00497F95" w:rsidRDefault="00497F95" w:rsidP="00497F95">
      <w:pPr>
        <w:numPr>
          <w:ilvl w:val="0"/>
          <w:numId w:val="25"/>
        </w:numPr>
      </w:pPr>
      <w:r>
        <w:t xml:space="preserve">The NER recognises that there may be several decisions that contribute to the achievement of the NEO. Our role is to make a decision that we are satisfied contributes to the achievement of the NEO to the </w:t>
      </w:r>
      <w:r w:rsidRPr="003F6E7D">
        <w:rPr>
          <w:rStyle w:val="AERtextitalic"/>
        </w:rPr>
        <w:t>greatest</w:t>
      </w:r>
      <w:r>
        <w:t xml:space="preserve"> degree</w:t>
      </w:r>
      <w:r w:rsidRPr="00815882">
        <w:t>.</w:t>
      </w:r>
      <w:r>
        <w:rPr>
          <w:rStyle w:val="FootnoteReference"/>
        </w:rPr>
        <w:footnoteReference w:id="14"/>
      </w:r>
      <w:r w:rsidRPr="00815882">
        <w:t xml:space="preserve"> </w:t>
      </w:r>
    </w:p>
    <w:p w:rsidR="00497F95" w:rsidRDefault="00497F95" w:rsidP="00497F95">
      <w:pPr>
        <w:numPr>
          <w:ilvl w:val="0"/>
          <w:numId w:val="25"/>
        </w:numPr>
      </w:pPr>
      <w:r>
        <w:t xml:space="preserve">For at least two reasons, we consider that there will almost always be several </w:t>
      </w:r>
      <w:r w:rsidR="006B6D5C">
        <w:t xml:space="preserve">potential </w:t>
      </w:r>
      <w:r>
        <w:t xml:space="preserve">decisions that contribute to the achievement of the NEO. First, the NER requires us to make forecasts, which are predictions about unknown future circumstances. As a result, there will </w:t>
      </w:r>
      <w:r w:rsidR="00F030C3">
        <w:t xml:space="preserve">likely </w:t>
      </w:r>
      <w:r>
        <w:t>always be more than one plausible forecast. Second, there is substantial debate amongst stakeholders about the costs we must forecast, with both sides often supported by expert opinion. As a result, f</w:t>
      </w:r>
      <w:r w:rsidRPr="00815882">
        <w:t xml:space="preserve">or components of our decision </w:t>
      </w:r>
      <w:r>
        <w:t xml:space="preserve">there </w:t>
      </w:r>
      <w:r w:rsidR="00F030C3">
        <w:t>may be</w:t>
      </w:r>
      <w:r>
        <w:t xml:space="preserve"> several plausible answers or </w:t>
      </w:r>
      <w:r w:rsidRPr="00815882">
        <w:t xml:space="preserve">several point estimates within a range. </w:t>
      </w:r>
      <w:r>
        <w:t>T</w:t>
      </w:r>
      <w:r w:rsidRPr="00815882">
        <w:t xml:space="preserve">his </w:t>
      </w:r>
      <w:r w:rsidR="00F030C3">
        <w:t xml:space="preserve">has the potential to </w:t>
      </w:r>
      <w:r>
        <w:t xml:space="preserve">create a multitude of potential </w:t>
      </w:r>
      <w:r w:rsidRPr="00815882">
        <w:t xml:space="preserve">overall </w:t>
      </w:r>
      <w:r>
        <w:t>decisions</w:t>
      </w:r>
      <w:r w:rsidRPr="00815882">
        <w:t xml:space="preserve">. </w:t>
      </w:r>
      <w:r w:rsidR="009652BA">
        <w:t xml:space="preserve">In this </w:t>
      </w:r>
      <w:r w:rsidR="002A0806">
        <w:t>decision</w:t>
      </w:r>
      <w:r w:rsidR="009652BA">
        <w:t xml:space="preserve"> we have approached this from a practical perspective, accepting that it is not possible to consider every permutation specifically. </w:t>
      </w:r>
      <w:r w:rsidR="009F00D2">
        <w:t xml:space="preserve">Where there are several plausible answers, we have selected what we are satisfied is the best outcome, under the NEL and NER. </w:t>
      </w:r>
    </w:p>
    <w:p w:rsidR="009F00D2" w:rsidRDefault="009F00D2" w:rsidP="00497F95">
      <w:pPr>
        <w:numPr>
          <w:ilvl w:val="0"/>
          <w:numId w:val="25"/>
        </w:numPr>
      </w:pPr>
      <w:r>
        <w:t>In many cases, our approach results in an outcome towards the end of the range of options materially favourable to Energex (for example, our choice of equity beta). While it can be difficult to quantify the exact revenue impact of these individual decisions, we have identified where we have done so in our attachments. Some of these decisions include:</w:t>
      </w:r>
    </w:p>
    <w:p w:rsidR="009F00D2" w:rsidRPr="009F00D2" w:rsidRDefault="009F00D2" w:rsidP="009F00D2">
      <w:pPr>
        <w:pStyle w:val="AERbulletlistfirststyle"/>
      </w:pPr>
      <w:r w:rsidRPr="009F00D2">
        <w:t>selecting at the top of the range for the equity beta</w:t>
      </w:r>
    </w:p>
    <w:p w:rsidR="009F00D2" w:rsidRPr="00A549C8" w:rsidRDefault="009F00D2" w:rsidP="009F00D2">
      <w:pPr>
        <w:pStyle w:val="AERbulletlistfirststyle"/>
      </w:pPr>
      <w:r w:rsidRPr="009F00D2">
        <w:t>setting the return on debt by reference to data for a BBB broad band credit rating, when the b</w:t>
      </w:r>
      <w:r w:rsidRPr="00A549C8">
        <w:t>enchmark is BBB+</w:t>
      </w:r>
    </w:p>
    <w:p w:rsidR="009F00D2" w:rsidRPr="009F00D2" w:rsidRDefault="009F00D2" w:rsidP="009F00D2">
      <w:pPr>
        <w:pStyle w:val="AERbulletlistfirststyle"/>
      </w:pPr>
      <w:r w:rsidRPr="009F00D2">
        <w:t>the cash flow timing assumptions in the post-tax revenue model</w:t>
      </w:r>
    </w:p>
    <w:p w:rsidR="00553D45" w:rsidRDefault="00553D45" w:rsidP="00553D45">
      <w:r>
        <w:t>We set out our</w:t>
      </w:r>
      <w:r w:rsidR="00F030C3">
        <w:t xml:space="preserve"> detailed</w:t>
      </w:r>
      <w:r>
        <w:t xml:space="preserve"> reasons in the attachments. They demonstrate that the constituent components of our decision comply with the NER's requirements</w:t>
      </w:r>
      <w:r w:rsidR="00A7120D">
        <w:t xml:space="preserve">. At an overall level our decision </w:t>
      </w:r>
      <w:r>
        <w:t>reflect</w:t>
      </w:r>
      <w:r w:rsidR="00A7120D">
        <w:t>s</w:t>
      </w:r>
      <w:r>
        <w:t xml:space="preserve"> the key </w:t>
      </w:r>
      <w:r w:rsidR="00A7120D">
        <w:t>reasons</w:t>
      </w:r>
      <w:r>
        <w:t xml:space="preserve"> set out above</w:t>
      </w:r>
      <w:r w:rsidR="00A7120D">
        <w:t xml:space="preserve">, which indicate that Energex should recover less revenue than it has proposed. </w:t>
      </w:r>
      <w:r>
        <w:t xml:space="preserve">Our decision reflects these at both the constituent component and overall revenue levels. </w:t>
      </w:r>
    </w:p>
    <w:p w:rsidR="003636EE" w:rsidRDefault="003636EE" w:rsidP="000D667E">
      <w:r>
        <w:t xml:space="preserve">Given </w:t>
      </w:r>
      <w:r w:rsidR="009F00D2">
        <w:t xml:space="preserve">our </w:t>
      </w:r>
      <w:r>
        <w:t xml:space="preserve">approach, we are satisfied that </w:t>
      </w:r>
      <w:r w:rsidR="009F00D2">
        <w:t xml:space="preserve">our decision will or is likely to contribute to the achievement of the NEO to the greatest degree. </w:t>
      </w:r>
    </w:p>
    <w:p w:rsidR="009761DD" w:rsidRDefault="009761DD" w:rsidP="009761DD">
      <w:pPr>
        <w:pStyle w:val="Heading2"/>
      </w:pPr>
      <w:bookmarkStart w:id="16" w:name="_Toc417973134"/>
      <w:r>
        <w:t>Structure of the overview</w:t>
      </w:r>
      <w:bookmarkEnd w:id="16"/>
    </w:p>
    <w:p w:rsidR="009761DD" w:rsidRDefault="009761DD" w:rsidP="009761DD">
      <w:r>
        <w:t xml:space="preserve">The remainder of this overview </w:t>
      </w:r>
      <w:r w:rsidR="004E4912">
        <w:t>discusses the overarching issues in this decision, including those above in more detail. It is structured as follows</w:t>
      </w:r>
      <w:r>
        <w:t>:</w:t>
      </w:r>
    </w:p>
    <w:p w:rsidR="00117925" w:rsidRPr="00117925" w:rsidRDefault="00117925" w:rsidP="00117925">
      <w:pPr>
        <w:pStyle w:val="AERbulletlistfirststyle"/>
      </w:pPr>
      <w:r w:rsidRPr="00117925">
        <w:t>Section 2 sets out the key constituent components making up our preliminary decision</w:t>
      </w:r>
    </w:p>
    <w:p w:rsidR="00117925" w:rsidRPr="00117925" w:rsidRDefault="00117925" w:rsidP="00117925">
      <w:pPr>
        <w:pStyle w:val="AERbulletlistfirststyle"/>
      </w:pPr>
      <w:r w:rsidRPr="00117925">
        <w:t>Section 3 set out our preliminary decision on classification of services, control mechanisms and incentive schemes</w:t>
      </w:r>
      <w:r w:rsidR="004739C0">
        <w:t xml:space="preserve"> that will apply to Energex</w:t>
      </w:r>
    </w:p>
    <w:p w:rsidR="00117925" w:rsidRPr="00117925" w:rsidRDefault="00117925" w:rsidP="00117925">
      <w:pPr>
        <w:pStyle w:val="AERbulletlistfirststyle"/>
      </w:pPr>
      <w:r w:rsidRPr="00117925">
        <w:t>Section 4 explains our views on the regulatory framework</w:t>
      </w:r>
    </w:p>
    <w:p w:rsidR="00117925" w:rsidRPr="00117925" w:rsidRDefault="00117925" w:rsidP="00117925">
      <w:pPr>
        <w:pStyle w:val="AERbulletlistfirststyle"/>
      </w:pPr>
      <w:r w:rsidRPr="00117925">
        <w:t xml:space="preserve">Section 5 outlines the process we undertook in reaching our preliminary decision. </w:t>
      </w:r>
    </w:p>
    <w:p w:rsidR="00AA0CA5" w:rsidRDefault="00AA0CA5" w:rsidP="009761DD">
      <w:pPr>
        <w:pStyle w:val="Heading1"/>
      </w:pPr>
      <w:bookmarkStart w:id="17" w:name="_Toc417973135"/>
      <w:r>
        <w:t>Key elements of the building blocks</w:t>
      </w:r>
      <w:bookmarkEnd w:id="17"/>
    </w:p>
    <w:p w:rsidR="0065639C" w:rsidRDefault="0065639C" w:rsidP="003E3873">
      <w:r>
        <w:t xml:space="preserve">The constituent components of our preliminary decision include the building blocks we use to determine </w:t>
      </w:r>
      <w:r w:rsidR="006B6D5C">
        <w:t xml:space="preserve">the </w:t>
      </w:r>
      <w:r w:rsidR="005828D2" w:rsidRPr="00184F43">
        <w:t xml:space="preserve">revenue </w:t>
      </w:r>
      <w:r w:rsidR="005828D2">
        <w:t>Energex</w:t>
      </w:r>
      <w:r w:rsidR="005828D2" w:rsidRPr="00184F43">
        <w:t xml:space="preserve"> may </w:t>
      </w:r>
      <w:r w:rsidR="005828D2">
        <w:t>recover from its customers.</w:t>
      </w:r>
      <w:r>
        <w:t xml:space="preserve"> </w:t>
      </w:r>
    </w:p>
    <w:p w:rsidR="003E3873" w:rsidRPr="003E3873" w:rsidRDefault="00DA473E" w:rsidP="003E3873">
      <w:r>
        <w:t>I</w:t>
      </w:r>
      <w:r w:rsidR="003E3873" w:rsidRPr="003E3873">
        <w:t>n setting our alternative overall revenue allowance</w:t>
      </w:r>
      <w:r w:rsidR="00884C67">
        <w:t xml:space="preserve"> </w:t>
      </w:r>
      <w:r w:rsidR="003E3873" w:rsidRPr="003E3873">
        <w:t xml:space="preserve">for Energex of </w:t>
      </w:r>
      <w:r w:rsidR="003E3873" w:rsidRPr="00255A8A">
        <w:rPr>
          <w:rStyle w:val="AERbodytextChar"/>
          <w:rFonts w:eastAsiaTheme="minorHAnsi"/>
        </w:rPr>
        <w:t>$</w:t>
      </w:r>
      <w:r w:rsidR="00255A8A" w:rsidRPr="00255A8A">
        <w:rPr>
          <w:rStyle w:val="AERbodytextChar"/>
          <w:rFonts w:eastAsiaTheme="minorHAnsi"/>
        </w:rPr>
        <w:t>6</w:t>
      </w:r>
      <w:r w:rsidR="00F21A3A" w:rsidRPr="00F21A3A">
        <w:rPr>
          <w:rStyle w:val="AERbodytextChar"/>
          <w:rFonts w:eastAsiaTheme="minorHAnsi"/>
        </w:rPr>
        <w:t>528.1</w:t>
      </w:r>
      <w:r w:rsidR="00F21A3A">
        <w:rPr>
          <w:rStyle w:val="AERbodytextChar"/>
          <w:rFonts w:eastAsiaTheme="minorHAnsi"/>
        </w:rPr>
        <w:t> </w:t>
      </w:r>
      <w:r w:rsidR="003E3873" w:rsidRPr="003E3873">
        <w:t>million ($ nominal) for the 2015–20 regulatory control period in relation to its distribution network we:</w:t>
      </w:r>
    </w:p>
    <w:p w:rsidR="003E3873" w:rsidRPr="003E3873" w:rsidRDefault="003E3873" w:rsidP="003E3873">
      <w:pPr>
        <w:pStyle w:val="AERbulletlistfirststyle"/>
        <w:rPr>
          <w:rStyle w:val="AERbody"/>
        </w:rPr>
      </w:pPr>
      <w:r w:rsidRPr="003E3873">
        <w:rPr>
          <w:rStyle w:val="AERbody"/>
        </w:rPr>
        <w:t>apply relevant tests under the NER, the assessment methods and tools developed as part of our Better Regulation Guidelines</w:t>
      </w:r>
      <w:r w:rsidR="00696DB0">
        <w:rPr>
          <w:rStyle w:val="AERbody"/>
        </w:rPr>
        <w:t>.</w:t>
      </w:r>
      <w:r w:rsidR="00DA473E">
        <w:rPr>
          <w:rStyle w:val="FootnoteReference"/>
        </w:rPr>
        <w:footnoteReference w:id="15"/>
      </w:r>
      <w:r w:rsidRPr="003E3873">
        <w:rPr>
          <w:rStyle w:val="AERbody"/>
        </w:rPr>
        <w:t xml:space="preserve"> </w:t>
      </w:r>
      <w:r w:rsidR="00696DB0">
        <w:rPr>
          <w:rStyle w:val="AERbody"/>
        </w:rPr>
        <w:t xml:space="preserve">We also </w:t>
      </w:r>
      <w:r w:rsidRPr="003E3873">
        <w:rPr>
          <w:rStyle w:val="AERbody"/>
        </w:rPr>
        <w:t>consider information provided by Energex, the C</w:t>
      </w:r>
      <w:r w:rsidR="0065639C">
        <w:rPr>
          <w:rStyle w:val="AERbody"/>
        </w:rPr>
        <w:t>onsumer Challenge Panel (CCP)</w:t>
      </w:r>
      <w:r w:rsidRPr="003E3873">
        <w:rPr>
          <w:rStyle w:val="AERbody"/>
        </w:rPr>
        <w:t>, consultants and stakeholder submissions</w:t>
      </w:r>
    </w:p>
    <w:p w:rsidR="0065639C" w:rsidRDefault="003E3873" w:rsidP="003E3873">
      <w:pPr>
        <w:pStyle w:val="AERbulletlistfirststyle"/>
        <w:rPr>
          <w:rStyle w:val="AERbody"/>
        </w:rPr>
      </w:pPr>
      <w:r w:rsidRPr="003E3873">
        <w:rPr>
          <w:rStyle w:val="AERbody"/>
        </w:rPr>
        <w:t xml:space="preserve">consider our </w:t>
      </w:r>
      <w:r w:rsidR="00D54AC1">
        <w:rPr>
          <w:rStyle w:val="AERbody"/>
        </w:rPr>
        <w:t xml:space="preserve">allowed </w:t>
      </w:r>
      <w:r w:rsidRPr="003E3873">
        <w:rPr>
          <w:rStyle w:val="AERbody"/>
        </w:rPr>
        <w:t xml:space="preserve">revenue allowance against section 16 of the NEL, including the constituent </w:t>
      </w:r>
      <w:r w:rsidR="00291C14">
        <w:rPr>
          <w:rStyle w:val="AERbody"/>
        </w:rPr>
        <w:t>components</w:t>
      </w:r>
      <w:r w:rsidR="00291C14" w:rsidRPr="003E3873">
        <w:rPr>
          <w:rStyle w:val="AERbody"/>
        </w:rPr>
        <w:t xml:space="preserve"> </w:t>
      </w:r>
      <w:r w:rsidRPr="003E3873">
        <w:rPr>
          <w:rStyle w:val="AERbody"/>
        </w:rPr>
        <w:t>and the interrelationships we discussed in section</w:t>
      </w:r>
      <w:r w:rsidR="00291C14">
        <w:rPr>
          <w:rStyle w:val="AERbody"/>
        </w:rPr>
        <w:t xml:space="preserve">s </w:t>
      </w:r>
      <w:r w:rsidR="00441888">
        <w:rPr>
          <w:rStyle w:val="AERbody"/>
        </w:rPr>
        <w:t>1</w:t>
      </w:r>
      <w:r w:rsidR="00291C14">
        <w:rPr>
          <w:rStyle w:val="AERbody"/>
        </w:rPr>
        <w:t xml:space="preserve"> and 4</w:t>
      </w:r>
      <w:r w:rsidR="00C43E71">
        <w:rPr>
          <w:rStyle w:val="AERbody"/>
        </w:rPr>
        <w:t>.</w:t>
      </w:r>
    </w:p>
    <w:p w:rsidR="00C43E71" w:rsidRDefault="00C43E71" w:rsidP="00C43E71">
      <w:pPr>
        <w:pStyle w:val="AERbulletlistfirststyle"/>
        <w:numPr>
          <w:ilvl w:val="0"/>
          <w:numId w:val="0"/>
        </w:numPr>
        <w:rPr>
          <w:rStyle w:val="AERbody"/>
        </w:rPr>
      </w:pPr>
      <w:r>
        <w:rPr>
          <w:rStyle w:val="AERbody"/>
        </w:rPr>
        <w:t xml:space="preserve">Figure </w:t>
      </w:r>
      <w:r w:rsidR="00C43224">
        <w:rPr>
          <w:rStyle w:val="AERbody"/>
        </w:rPr>
        <w:t>3</w:t>
      </w:r>
      <w:r w:rsidR="00C31090">
        <w:rPr>
          <w:rStyle w:val="AERbody"/>
        </w:rPr>
        <w:t xml:space="preserve"> and table 2</w:t>
      </w:r>
      <w:r>
        <w:rPr>
          <w:rStyle w:val="AERbody"/>
        </w:rPr>
        <w:t xml:space="preserve"> show our preliminary decision on Energex's revenues.</w:t>
      </w:r>
    </w:p>
    <w:p w:rsidR="00C43E71" w:rsidRPr="00C43224" w:rsidRDefault="00C43E71" w:rsidP="00C43224">
      <w:pPr>
        <w:pStyle w:val="Caption"/>
        <w:rPr>
          <w:rStyle w:val="AERbody"/>
          <w:color w:val="076A92" w:themeColor="text1"/>
          <w:sz w:val="24"/>
        </w:rPr>
      </w:pPr>
      <w:r w:rsidRPr="00C43224">
        <w:rPr>
          <w:rStyle w:val="AERbody"/>
          <w:color w:val="076A92" w:themeColor="text1"/>
          <w:sz w:val="24"/>
        </w:rPr>
        <w:t xml:space="preserve">Figure </w:t>
      </w:r>
      <w:r w:rsidR="00C43224" w:rsidRPr="00C43224">
        <w:rPr>
          <w:rStyle w:val="AERbody"/>
          <w:color w:val="076A92" w:themeColor="text1"/>
          <w:sz w:val="24"/>
        </w:rPr>
        <w:t>3</w:t>
      </w:r>
      <w:r w:rsidRPr="00C43224">
        <w:rPr>
          <w:rStyle w:val="AERbody"/>
          <w:color w:val="076A92" w:themeColor="text1"/>
          <w:sz w:val="24"/>
        </w:rPr>
        <w:tab/>
        <w:t>AER's preliminary decision on constituent components of total revenue ($ million 2014−15)</w:t>
      </w:r>
    </w:p>
    <w:p w:rsidR="00BB317C" w:rsidRDefault="00BC07C3" w:rsidP="00BB317C">
      <w:pPr>
        <w:pStyle w:val="AERtablesource"/>
        <w:rPr>
          <w:rStyle w:val="AERbody"/>
        </w:rPr>
      </w:pPr>
      <w:bookmarkStart w:id="18" w:name="_Toc404437125"/>
      <w:bookmarkStart w:id="19" w:name="_Toc411428025"/>
      <w:r w:rsidRPr="00BC07C3">
        <w:rPr>
          <w:noProof/>
          <w:lang w:eastAsia="en-AU"/>
        </w:rPr>
        <w:drawing>
          <wp:inline distT="0" distB="0" distL="0" distR="0" wp14:anchorId="743844F4" wp14:editId="2DBA46DE">
            <wp:extent cx="5382895" cy="3231133"/>
            <wp:effectExtent l="0" t="0" r="825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31133"/>
                    </a:xfrm>
                    <a:prstGeom prst="rect">
                      <a:avLst/>
                    </a:prstGeom>
                    <a:noFill/>
                    <a:ln>
                      <a:noFill/>
                    </a:ln>
                  </pic:spPr>
                </pic:pic>
              </a:graphicData>
            </a:graphic>
          </wp:inline>
        </w:drawing>
      </w:r>
    </w:p>
    <w:p w:rsidR="00BB317C" w:rsidRDefault="00C43E71" w:rsidP="00BB317C">
      <w:pPr>
        <w:pStyle w:val="AERtablesource"/>
        <w:rPr>
          <w:rStyle w:val="AERbody"/>
        </w:rPr>
      </w:pPr>
      <w:r w:rsidRPr="00C43E71">
        <w:rPr>
          <w:rStyle w:val="AERbody"/>
          <w:sz w:val="16"/>
        </w:rPr>
        <w:t xml:space="preserve">Source: </w:t>
      </w:r>
      <w:r w:rsidR="00785438">
        <w:rPr>
          <w:rStyle w:val="AERbody"/>
        </w:rPr>
        <w:tab/>
      </w:r>
      <w:r w:rsidRPr="00C43E71">
        <w:rPr>
          <w:rStyle w:val="AERbody"/>
          <w:sz w:val="16"/>
        </w:rPr>
        <w:t>AER analysis.</w:t>
      </w:r>
    </w:p>
    <w:p w:rsidR="00CC5DB6" w:rsidRPr="00BB317C" w:rsidRDefault="00BB317C" w:rsidP="00BB317C">
      <w:pPr>
        <w:pStyle w:val="AERtablesource"/>
      </w:pPr>
      <w:r w:rsidRPr="00BB317C">
        <w:rPr>
          <w:rStyle w:val="AERbody"/>
          <w:sz w:val="16"/>
        </w:rPr>
        <w:t xml:space="preserve">Note: </w:t>
      </w:r>
      <w:r>
        <w:rPr>
          <w:rStyle w:val="AERbody"/>
        </w:rPr>
        <w:tab/>
      </w:r>
      <w:r w:rsidRPr="00BB317C">
        <w:t>The 'Other' category in the 'Allowed average' for 2010–15 is a revenue adjustment related largely to customer contributions. Because customer contributions were included in the RAB during those years, an offsetting revenue adjustment was made to prevent Energex earning a return on these contributions.</w:t>
      </w:r>
      <w:r w:rsidR="00933E00">
        <w:t xml:space="preserve"> The '</w:t>
      </w:r>
      <w:r w:rsidR="00884C67">
        <w:t>R</w:t>
      </w:r>
      <w:r w:rsidR="00933E00">
        <w:t>evenue adjustments' is the closing balance of the DUoS unders</w:t>
      </w:r>
      <w:r w:rsidR="00884C67">
        <w:t>/</w:t>
      </w:r>
      <w:r w:rsidR="00933E00">
        <w:t>overs account as at 30 June 2015 plus the EBSS penalties/rewards related to the 2010–15 regulatory control period.</w:t>
      </w:r>
    </w:p>
    <w:p w:rsidR="00C43E71" w:rsidRPr="000D667E" w:rsidRDefault="00C43E71" w:rsidP="000D667E">
      <w:pPr>
        <w:pStyle w:val="Caption"/>
      </w:pPr>
      <w:r>
        <w:t xml:space="preserve">Table </w:t>
      </w:r>
      <w:r w:rsidR="00C31090">
        <w:t>2</w:t>
      </w:r>
      <w:r>
        <w:tab/>
        <w:t>AER's preliminary decision on Energex's revenues ($ million, nominal)</w:t>
      </w:r>
    </w:p>
    <w:tbl>
      <w:tblPr>
        <w:tblStyle w:val="AERtable-numbers"/>
        <w:tblW w:w="0" w:type="auto"/>
        <w:tblLook w:val="04A0" w:firstRow="1" w:lastRow="0" w:firstColumn="1" w:lastColumn="0" w:noHBand="0" w:noVBand="1"/>
      </w:tblPr>
      <w:tblGrid>
        <w:gridCol w:w="2518"/>
        <w:gridCol w:w="1029"/>
        <w:gridCol w:w="1029"/>
        <w:gridCol w:w="1029"/>
        <w:gridCol w:w="1029"/>
        <w:gridCol w:w="1029"/>
        <w:gridCol w:w="1030"/>
      </w:tblGrid>
      <w:tr w:rsidR="00C43E71" w:rsidTr="00BC0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43E71" w:rsidRPr="00012781" w:rsidRDefault="00C43E71" w:rsidP="00C43E71"/>
        </w:tc>
        <w:tc>
          <w:tcPr>
            <w:tcW w:w="1029" w:type="dxa"/>
          </w:tcPr>
          <w:p w:rsidR="00C43E71" w:rsidRPr="00C43E71" w:rsidRDefault="00C43E71" w:rsidP="009D1304">
            <w:pPr>
              <w:cnfStyle w:val="100000000000" w:firstRow="1" w:lastRow="0" w:firstColumn="0" w:lastColumn="0" w:oddVBand="0" w:evenVBand="0" w:oddHBand="0" w:evenHBand="0" w:firstRowFirstColumn="0" w:firstRowLastColumn="0" w:lastRowFirstColumn="0" w:lastRowLastColumn="0"/>
            </w:pPr>
            <w:r w:rsidRPr="00012781">
              <w:t>201</w:t>
            </w:r>
            <w:r w:rsidR="009D1304">
              <w:t>5</w:t>
            </w:r>
            <w:r w:rsidRPr="00012781">
              <w:t>–1</w:t>
            </w:r>
            <w:r w:rsidR="009D1304">
              <w:t>6</w:t>
            </w:r>
          </w:p>
        </w:tc>
        <w:tc>
          <w:tcPr>
            <w:tcW w:w="1029" w:type="dxa"/>
          </w:tcPr>
          <w:p w:rsidR="00C43E71" w:rsidRPr="00C43E71" w:rsidRDefault="00C43E71" w:rsidP="009D1304">
            <w:pPr>
              <w:cnfStyle w:val="100000000000" w:firstRow="1" w:lastRow="0" w:firstColumn="0" w:lastColumn="0" w:oddVBand="0" w:evenVBand="0" w:oddHBand="0" w:evenHBand="0" w:firstRowFirstColumn="0" w:firstRowLastColumn="0" w:lastRowFirstColumn="0" w:lastRowLastColumn="0"/>
            </w:pPr>
            <w:r w:rsidRPr="00012781">
              <w:t>201</w:t>
            </w:r>
            <w:r w:rsidR="009D1304">
              <w:t>6</w:t>
            </w:r>
            <w:r w:rsidRPr="00012781">
              <w:t>–1</w:t>
            </w:r>
            <w:r w:rsidR="009D1304">
              <w:t>7</w:t>
            </w:r>
          </w:p>
        </w:tc>
        <w:tc>
          <w:tcPr>
            <w:tcW w:w="1029" w:type="dxa"/>
          </w:tcPr>
          <w:p w:rsidR="00C43E71" w:rsidRPr="00C43E71" w:rsidRDefault="00C43E71" w:rsidP="009D1304">
            <w:pPr>
              <w:cnfStyle w:val="100000000000" w:firstRow="1" w:lastRow="0" w:firstColumn="0" w:lastColumn="0" w:oddVBand="0" w:evenVBand="0" w:oddHBand="0" w:evenHBand="0" w:firstRowFirstColumn="0" w:firstRowLastColumn="0" w:lastRowFirstColumn="0" w:lastRowLastColumn="0"/>
            </w:pPr>
            <w:r w:rsidRPr="00012781">
              <w:t>201</w:t>
            </w:r>
            <w:r w:rsidR="009D1304">
              <w:t>7</w:t>
            </w:r>
            <w:r w:rsidRPr="00012781">
              <w:t>–1</w:t>
            </w:r>
            <w:r w:rsidR="009D1304">
              <w:t>8</w:t>
            </w:r>
          </w:p>
        </w:tc>
        <w:tc>
          <w:tcPr>
            <w:tcW w:w="1029" w:type="dxa"/>
          </w:tcPr>
          <w:p w:rsidR="00C43E71" w:rsidRPr="00C43E71" w:rsidRDefault="00C43E71" w:rsidP="009D1304">
            <w:pPr>
              <w:cnfStyle w:val="100000000000" w:firstRow="1" w:lastRow="0" w:firstColumn="0" w:lastColumn="0" w:oddVBand="0" w:evenVBand="0" w:oddHBand="0" w:evenHBand="0" w:firstRowFirstColumn="0" w:firstRowLastColumn="0" w:lastRowFirstColumn="0" w:lastRowLastColumn="0"/>
            </w:pPr>
            <w:r w:rsidRPr="00012781">
              <w:t>201</w:t>
            </w:r>
            <w:r w:rsidR="009D1304">
              <w:t>8</w:t>
            </w:r>
            <w:r w:rsidRPr="00012781">
              <w:t>–1</w:t>
            </w:r>
            <w:r w:rsidR="009D1304">
              <w:t>9</w:t>
            </w:r>
          </w:p>
        </w:tc>
        <w:tc>
          <w:tcPr>
            <w:tcW w:w="1029" w:type="dxa"/>
          </w:tcPr>
          <w:p w:rsidR="00C43E71" w:rsidRPr="00C43E71" w:rsidRDefault="00C43E71" w:rsidP="009D1304">
            <w:pPr>
              <w:cnfStyle w:val="100000000000" w:firstRow="1" w:lastRow="0" w:firstColumn="0" w:lastColumn="0" w:oddVBand="0" w:evenVBand="0" w:oddHBand="0" w:evenHBand="0" w:firstRowFirstColumn="0" w:firstRowLastColumn="0" w:lastRowFirstColumn="0" w:lastRowLastColumn="0"/>
            </w:pPr>
            <w:r w:rsidRPr="00012781">
              <w:t>201</w:t>
            </w:r>
            <w:r w:rsidR="009D1304">
              <w:t>9</w:t>
            </w:r>
            <w:r w:rsidRPr="00012781">
              <w:t>–</w:t>
            </w:r>
            <w:r w:rsidR="009D1304">
              <w:t>20</w:t>
            </w:r>
          </w:p>
        </w:tc>
        <w:tc>
          <w:tcPr>
            <w:tcW w:w="1030" w:type="dxa"/>
          </w:tcPr>
          <w:p w:rsidR="00C43E71" w:rsidRPr="00C43E71" w:rsidRDefault="00C43E71" w:rsidP="00C43E71">
            <w:pPr>
              <w:cnfStyle w:val="100000000000" w:firstRow="1" w:lastRow="0" w:firstColumn="0" w:lastColumn="0" w:oddVBand="0" w:evenVBand="0" w:oddHBand="0" w:evenHBand="0" w:firstRowFirstColumn="0" w:firstRowLastColumn="0" w:lastRowFirstColumn="0" w:lastRowLastColumn="0"/>
            </w:pPr>
            <w:r w:rsidRPr="00012781">
              <w:t>Total</w:t>
            </w:r>
          </w:p>
        </w:tc>
      </w:tr>
      <w:tr w:rsidR="00BC07C3" w:rsidTr="00BC07C3">
        <w:trPr>
          <w:trHeight w:val="373"/>
        </w:trPr>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r w:rsidRPr="00BC07C3">
              <w:t>Return on capital</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662.8</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688.2</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713.5</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736.0</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757.7</w:t>
            </w:r>
          </w:p>
        </w:tc>
        <w:tc>
          <w:tcPr>
            <w:tcW w:w="1030"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3558.1</w:t>
            </w:r>
          </w:p>
        </w:tc>
      </w:tr>
      <w:tr w:rsidR="00BC07C3" w:rsidTr="00BC07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r w:rsidRPr="00BC07C3">
              <w:t>Regulatory depreciation</w:t>
            </w:r>
            <w:r w:rsidRPr="00BC07C3">
              <w:rPr>
                <w:rStyle w:val="AERsuperscript"/>
              </w:rPr>
              <w:t>a</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65.6</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78.3</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93.1</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102.6</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115.7</w:t>
            </w:r>
          </w:p>
        </w:tc>
        <w:tc>
          <w:tcPr>
            <w:tcW w:w="1030"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455.4</w:t>
            </w:r>
          </w:p>
        </w:tc>
      </w:tr>
      <w:tr w:rsidR="00BC07C3" w:rsidTr="00BC07C3">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r w:rsidRPr="00BC07C3">
              <w:t>Operating expenditure</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351.3</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356.9</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371.1</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392.6</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405.1</w:t>
            </w:r>
          </w:p>
        </w:tc>
        <w:tc>
          <w:tcPr>
            <w:tcW w:w="1030"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1877.0</w:t>
            </w:r>
          </w:p>
        </w:tc>
      </w:tr>
      <w:tr w:rsidR="00BC07C3" w:rsidTr="00BC07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r w:rsidRPr="00BC07C3">
              <w:t>Revenue adjustments</w:t>
            </w:r>
            <w:r w:rsidRPr="00BC07C3">
              <w:rPr>
                <w:rStyle w:val="AERsuperscript"/>
              </w:rPr>
              <w:t>b</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307.5</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t>–</w:t>
            </w:r>
            <w:r w:rsidRPr="00BC07C3">
              <w:t>7.2</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12.4</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40.5</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1.1</w:t>
            </w:r>
          </w:p>
        </w:tc>
        <w:tc>
          <w:tcPr>
            <w:tcW w:w="1030"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354.4</w:t>
            </w:r>
          </w:p>
        </w:tc>
      </w:tr>
      <w:tr w:rsidR="00BC07C3" w:rsidTr="00BC07C3">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r w:rsidRPr="00BC07C3">
              <w:t>Corporate tax allowance</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41.6</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45.6</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48.6</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51.4</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55.2</w:t>
            </w:r>
          </w:p>
        </w:tc>
        <w:tc>
          <w:tcPr>
            <w:tcW w:w="1030"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242.4</w:t>
            </w:r>
          </w:p>
        </w:tc>
      </w:tr>
      <w:tr w:rsidR="00BC07C3" w:rsidTr="00BC07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r w:rsidRPr="00BC07C3">
              <w:t>Annual revenue requirement (unsmoothed)</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1428.8</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1161.8</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1238.8</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1323.1</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1334.8</w:t>
            </w:r>
          </w:p>
        </w:tc>
        <w:tc>
          <w:tcPr>
            <w:tcW w:w="1030"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6487.2</w:t>
            </w:r>
          </w:p>
        </w:tc>
      </w:tr>
      <w:tr w:rsidR="00BC07C3" w:rsidRPr="00BC07C3" w:rsidTr="00BC07C3">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pPr>
              <w:rPr>
                <w:rStyle w:val="Strong"/>
              </w:rPr>
            </w:pPr>
            <w:r w:rsidRPr="00BC07C3">
              <w:rPr>
                <w:rStyle w:val="Strong"/>
              </w:rPr>
              <w:t>Annual expected revenue (exc. additionals)</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rPr>
                <w:rStyle w:val="Strong"/>
              </w:rPr>
            </w:pPr>
            <w:r w:rsidRPr="00BC07C3">
              <w:rPr>
                <w:rStyle w:val="Strong"/>
              </w:rPr>
              <w:t>1139.8</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rPr>
                <w:rStyle w:val="Strong"/>
              </w:rPr>
            </w:pPr>
            <w:r w:rsidRPr="00BC07C3">
              <w:rPr>
                <w:rStyle w:val="Strong"/>
              </w:rPr>
              <w:t>1192.2</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rPr>
                <w:rStyle w:val="Strong"/>
              </w:rPr>
            </w:pPr>
            <w:r w:rsidRPr="00BC07C3">
              <w:rPr>
                <w:rStyle w:val="Strong"/>
              </w:rPr>
              <w:t>1430.5</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rPr>
                <w:rStyle w:val="Strong"/>
              </w:rPr>
            </w:pPr>
            <w:r w:rsidRPr="00BC07C3">
              <w:rPr>
                <w:rStyle w:val="Strong"/>
              </w:rPr>
              <w:t>1393.6</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rPr>
                <w:rStyle w:val="Strong"/>
              </w:rPr>
            </w:pPr>
            <w:r w:rsidRPr="00BC07C3">
              <w:rPr>
                <w:rStyle w:val="Strong"/>
              </w:rPr>
              <w:t>1372.0</w:t>
            </w:r>
          </w:p>
        </w:tc>
        <w:tc>
          <w:tcPr>
            <w:tcW w:w="1030"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rPr>
                <w:rStyle w:val="Strong"/>
              </w:rPr>
            </w:pPr>
            <w:r w:rsidRPr="00BC07C3">
              <w:rPr>
                <w:rStyle w:val="Strong"/>
              </w:rPr>
              <w:t>6528.1</w:t>
            </w:r>
          </w:p>
        </w:tc>
      </w:tr>
      <w:tr w:rsidR="00BC07C3" w:rsidTr="00BC07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r w:rsidRPr="00BC07C3">
              <w:t>X factor</w:t>
            </w:r>
            <w:r w:rsidRPr="00BC07C3">
              <w:rPr>
                <w:rStyle w:val="AERsuperscript"/>
              </w:rPr>
              <w:t xml:space="preserve">c </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40.05%</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t>–</w:t>
            </w:r>
            <w:r w:rsidRPr="00BC07C3">
              <w:t>2.00%</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t>–</w:t>
            </w:r>
            <w:r w:rsidRPr="00BC07C3">
              <w:t>17.00%</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5.00%</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4.00%</w:t>
            </w:r>
          </w:p>
        </w:tc>
        <w:tc>
          <w:tcPr>
            <w:tcW w:w="1030"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pPr>
            <w:r w:rsidRPr="00BC07C3">
              <w:t>n/a</w:t>
            </w:r>
          </w:p>
        </w:tc>
      </w:tr>
      <w:tr w:rsidR="00BC07C3" w:rsidTr="00BC07C3">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r w:rsidRPr="00BC07C3">
              <w:t>Additional amounts in DUoS</w:t>
            </w:r>
            <w:r w:rsidRPr="00BC07C3">
              <w:rPr>
                <w:rStyle w:val="AERsuperscript"/>
              </w:rPr>
              <w:t>d</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624.7</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455.7</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181.7</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174.4</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167.4</w:t>
            </w:r>
          </w:p>
        </w:tc>
        <w:tc>
          <w:tcPr>
            <w:tcW w:w="1030"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1603.8</w:t>
            </w:r>
          </w:p>
        </w:tc>
      </w:tr>
      <w:tr w:rsidR="00BC07C3" w:rsidRPr="00BC07C3" w:rsidTr="00BC07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pPr>
              <w:rPr>
                <w:rStyle w:val="Strong"/>
              </w:rPr>
            </w:pPr>
            <w:r w:rsidRPr="00BC07C3">
              <w:rPr>
                <w:rStyle w:val="Strong"/>
              </w:rPr>
              <w:t>Annual expected revenue (smoothed – inc. additionals)</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rPr>
                <w:rStyle w:val="Strong"/>
              </w:rPr>
            </w:pPr>
            <w:r w:rsidRPr="00BC07C3">
              <w:rPr>
                <w:rStyle w:val="Strong"/>
              </w:rPr>
              <w:t>1764.5</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rPr>
                <w:rStyle w:val="Strong"/>
              </w:rPr>
            </w:pPr>
            <w:r w:rsidRPr="00BC07C3">
              <w:rPr>
                <w:rStyle w:val="Strong"/>
              </w:rPr>
              <w:t>1647.9</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rPr>
                <w:rStyle w:val="Strong"/>
              </w:rPr>
            </w:pPr>
            <w:r w:rsidRPr="00BC07C3">
              <w:rPr>
                <w:rStyle w:val="Strong"/>
              </w:rPr>
              <w:t>1612.2</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rPr>
                <w:rStyle w:val="Strong"/>
              </w:rPr>
            </w:pPr>
            <w:r w:rsidRPr="00BC07C3">
              <w:rPr>
                <w:rStyle w:val="Strong"/>
              </w:rPr>
              <w:t>1568.0</w:t>
            </w:r>
          </w:p>
        </w:tc>
        <w:tc>
          <w:tcPr>
            <w:tcW w:w="1029"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rPr>
                <w:rStyle w:val="Strong"/>
              </w:rPr>
            </w:pPr>
            <w:r w:rsidRPr="00BC07C3">
              <w:rPr>
                <w:rStyle w:val="Strong"/>
              </w:rPr>
              <w:t>1539.4</w:t>
            </w:r>
          </w:p>
        </w:tc>
        <w:tc>
          <w:tcPr>
            <w:tcW w:w="1030" w:type="dxa"/>
          </w:tcPr>
          <w:p w:rsidR="00BC07C3" w:rsidRPr="00BC07C3" w:rsidRDefault="00BC07C3" w:rsidP="00BC07C3">
            <w:pPr>
              <w:cnfStyle w:val="000000010000" w:firstRow="0" w:lastRow="0" w:firstColumn="0" w:lastColumn="0" w:oddVBand="0" w:evenVBand="0" w:oddHBand="0" w:evenHBand="1" w:firstRowFirstColumn="0" w:firstRowLastColumn="0" w:lastRowFirstColumn="0" w:lastRowLastColumn="0"/>
              <w:rPr>
                <w:rStyle w:val="Strong"/>
              </w:rPr>
            </w:pPr>
            <w:r w:rsidRPr="00BC07C3">
              <w:rPr>
                <w:rStyle w:val="Strong"/>
              </w:rPr>
              <w:t>8132.0</w:t>
            </w:r>
          </w:p>
        </w:tc>
      </w:tr>
      <w:tr w:rsidR="00BC07C3" w:rsidTr="00BC07C3">
        <w:tc>
          <w:tcPr>
            <w:cnfStyle w:val="001000000000" w:firstRow="0" w:lastRow="0" w:firstColumn="1" w:lastColumn="0" w:oddVBand="0" w:evenVBand="0" w:oddHBand="0" w:evenHBand="0" w:firstRowFirstColumn="0" w:firstRowLastColumn="0" w:lastRowFirstColumn="0" w:lastRowLastColumn="0"/>
            <w:tcW w:w="2518" w:type="dxa"/>
          </w:tcPr>
          <w:p w:rsidR="00BC07C3" w:rsidRPr="00BC07C3" w:rsidRDefault="00BC07C3" w:rsidP="00BC07C3">
            <w:r w:rsidRPr="00BC07C3">
              <w:t>Annual change in revenue – inc. additionals</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t>–</w:t>
            </w:r>
            <w:r w:rsidRPr="00BC07C3">
              <w:t>4.8%</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t>–</w:t>
            </w:r>
            <w:r w:rsidRPr="00BC07C3">
              <w:t>6.6%</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t>–</w:t>
            </w:r>
            <w:r w:rsidRPr="00BC07C3">
              <w:t>2.2%</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t>–</w:t>
            </w:r>
            <w:r w:rsidRPr="00BC07C3">
              <w:t>2.7%</w:t>
            </w:r>
          </w:p>
        </w:tc>
        <w:tc>
          <w:tcPr>
            <w:tcW w:w="1029"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t>–</w:t>
            </w:r>
            <w:r w:rsidRPr="00BC07C3">
              <w:t>1.8%</w:t>
            </w:r>
          </w:p>
        </w:tc>
        <w:tc>
          <w:tcPr>
            <w:tcW w:w="1030" w:type="dxa"/>
          </w:tcPr>
          <w:p w:rsidR="00BC07C3" w:rsidRPr="00BC07C3" w:rsidRDefault="00BC07C3" w:rsidP="00BC07C3">
            <w:pPr>
              <w:cnfStyle w:val="000000000000" w:firstRow="0" w:lastRow="0" w:firstColumn="0" w:lastColumn="0" w:oddVBand="0" w:evenVBand="0" w:oddHBand="0" w:evenHBand="0" w:firstRowFirstColumn="0" w:firstRowLastColumn="0" w:lastRowFirstColumn="0" w:lastRowLastColumn="0"/>
            </w:pPr>
            <w:r w:rsidRPr="00BC07C3">
              <w:t>n/a</w:t>
            </w:r>
          </w:p>
        </w:tc>
      </w:tr>
    </w:tbl>
    <w:p w:rsidR="00C43E71" w:rsidRPr="00012781" w:rsidRDefault="00C43E71" w:rsidP="00C43E71">
      <w:pPr>
        <w:pStyle w:val="AERtablesource"/>
      </w:pPr>
      <w:r w:rsidRPr="00012781">
        <w:t xml:space="preserve">Source: </w:t>
      </w:r>
      <w:r w:rsidRPr="00012781">
        <w:tab/>
        <w:t>AER analysis.</w:t>
      </w:r>
    </w:p>
    <w:p w:rsidR="00C43E71" w:rsidRPr="00012781" w:rsidRDefault="00C43E71" w:rsidP="00C43E71">
      <w:pPr>
        <w:pStyle w:val="AERtablesource"/>
      </w:pPr>
      <w:r w:rsidRPr="00012781">
        <w:t xml:space="preserve">(a) </w:t>
      </w:r>
      <w:r w:rsidRPr="00012781">
        <w:tab/>
        <w:t xml:space="preserve">Regulatory depreciation is straight-line depreciation net of the inflation indexation on the opening RAB. </w:t>
      </w:r>
    </w:p>
    <w:p w:rsidR="00BF0231" w:rsidRDefault="00C43E71" w:rsidP="00C43E71">
      <w:pPr>
        <w:pStyle w:val="AERtablesource"/>
      </w:pPr>
      <w:r w:rsidRPr="00012781">
        <w:t>(b)</w:t>
      </w:r>
      <w:r w:rsidRPr="00012781">
        <w:tab/>
      </w:r>
      <w:r w:rsidR="00BF0231">
        <w:t xml:space="preserve">Revenue adjustments include efficiency benefit sharing scheme </w:t>
      </w:r>
      <w:r w:rsidR="00FB6B2D">
        <w:t>carry-overs</w:t>
      </w:r>
      <w:r w:rsidR="00BF0231">
        <w:t>, forecast DMIA and DUoS under recoveries.</w:t>
      </w:r>
      <w:r w:rsidRPr="00012781">
        <w:t xml:space="preserve"> </w:t>
      </w:r>
    </w:p>
    <w:p w:rsidR="00AD00E5" w:rsidRDefault="00BF0231" w:rsidP="00C43E71">
      <w:pPr>
        <w:pStyle w:val="AERtablesource"/>
      </w:pPr>
      <w:r>
        <w:t xml:space="preserve">(c) </w:t>
      </w:r>
      <w:r>
        <w:tab/>
      </w:r>
      <w:r w:rsidRPr="00266E3C">
        <w:t>The X factor</w:t>
      </w:r>
      <w:r>
        <w:t>s</w:t>
      </w:r>
      <w:r w:rsidRPr="00266E3C">
        <w:t xml:space="preserve"> </w:t>
      </w:r>
      <w:r>
        <w:t xml:space="preserve">from 2016–17 to 2019–20 </w:t>
      </w:r>
      <w:r w:rsidRPr="00266E3C">
        <w:t xml:space="preserve">will be revised </w:t>
      </w:r>
      <w:r>
        <w:t>t</w:t>
      </w:r>
      <w:r w:rsidRPr="00266E3C">
        <w:t>o reflect the annual return on debt update.</w:t>
      </w:r>
      <w:r w:rsidR="00AD00E5">
        <w:t xml:space="preserve"> </w:t>
      </w:r>
    </w:p>
    <w:p w:rsidR="00C43E71" w:rsidRPr="00012781" w:rsidRDefault="00AD00E5" w:rsidP="00C43E71">
      <w:pPr>
        <w:pStyle w:val="AERtablesource"/>
      </w:pPr>
      <w:r>
        <w:t xml:space="preserve">(d) </w:t>
      </w:r>
      <w:r>
        <w:tab/>
        <w:t>Additional amounts in DUoS include s</w:t>
      </w:r>
      <w:r w:rsidRPr="00355EBC">
        <w:t>olar bonus scheme forecasts (jurisdictional scheme</w:t>
      </w:r>
      <w:r>
        <w:t xml:space="preserve"> obligation for FiT) for 2015–20, e</w:t>
      </w:r>
      <w:r w:rsidRPr="00355EBC">
        <w:t>stimated solar bonus scheme pass throughs for 2015–16 and 2016–7 relating to under-recoveries in 2013–14 and 2014–15</w:t>
      </w:r>
      <w:r w:rsidR="00933E00">
        <w:t>, expected D</w:t>
      </w:r>
      <w:r w:rsidR="00884C67">
        <w:t xml:space="preserve">UoS </w:t>
      </w:r>
      <w:r w:rsidR="00933E00">
        <w:t>under recovery in 2013–14</w:t>
      </w:r>
      <w:r w:rsidR="00884C67">
        <w:t xml:space="preserve"> to be</w:t>
      </w:r>
      <w:r w:rsidR="00933E00">
        <w:t xml:space="preserve"> recovered in 2015–16, expected</w:t>
      </w:r>
      <w:r w:rsidR="00884C67">
        <w:t xml:space="preserve"> transitional</w:t>
      </w:r>
      <w:r w:rsidR="00933E00">
        <w:t xml:space="preserve"> capital contribution</w:t>
      </w:r>
      <w:r w:rsidR="00884C67">
        <w:t>s</w:t>
      </w:r>
      <w:r w:rsidR="00933E00">
        <w:t xml:space="preserve"> pass throughs</w:t>
      </w:r>
      <w:r w:rsidR="00933E00" w:rsidRPr="00933E00">
        <w:t xml:space="preserve"> for 2015–16 and 2016–7 relating to under-recoveries in 2013–14 and 2014–15</w:t>
      </w:r>
      <w:r w:rsidR="00933E00">
        <w:t>,</w:t>
      </w:r>
      <w:r>
        <w:t xml:space="preserve"> and </w:t>
      </w:r>
      <w:r w:rsidRPr="00355EBC">
        <w:t>STPIS allowance from 2010–15</w:t>
      </w:r>
      <w:r>
        <w:t>.</w:t>
      </w:r>
    </w:p>
    <w:p w:rsidR="00AA0CA5" w:rsidRPr="00AA0CA5" w:rsidRDefault="00AA0CA5" w:rsidP="00AA0CA5">
      <w:pPr>
        <w:pStyle w:val="Heading2"/>
      </w:pPr>
      <w:bookmarkStart w:id="20" w:name="_Toc417973136"/>
      <w:r>
        <w:t xml:space="preserve">The building block </w:t>
      </w:r>
      <w:r w:rsidRPr="00AA0CA5">
        <w:t>approach</w:t>
      </w:r>
      <w:bookmarkEnd w:id="18"/>
      <w:bookmarkEnd w:id="19"/>
      <w:bookmarkEnd w:id="20"/>
    </w:p>
    <w:p w:rsidR="00112BF8" w:rsidRPr="00112BF8" w:rsidRDefault="00112BF8" w:rsidP="00112BF8">
      <w:pPr>
        <w:numPr>
          <w:ilvl w:val="0"/>
          <w:numId w:val="25"/>
        </w:numPr>
      </w:pPr>
      <w:r w:rsidRPr="00112BF8">
        <w:t>We have employed the building block approach to determine Energex's annual revenue requirement</w:t>
      </w:r>
      <w:r w:rsidR="00C43E71">
        <w:t xml:space="preserve"> </w:t>
      </w:r>
      <w:r w:rsidRPr="00112BF8">
        <w:t>The building block costs</w:t>
      </w:r>
      <w:r w:rsidR="00FB69D7">
        <w:t>, illustrated in figure 4,</w:t>
      </w:r>
      <w:r w:rsidRPr="00112BF8">
        <w:t xml:space="preserve"> include:</w:t>
      </w:r>
      <w:r w:rsidR="00933E00">
        <w:rPr>
          <w:rStyle w:val="FootnoteReference"/>
        </w:rPr>
        <w:footnoteReference w:id="16"/>
      </w:r>
    </w:p>
    <w:p w:rsidR="00112BF8" w:rsidRPr="00112BF8" w:rsidRDefault="00112BF8" w:rsidP="00112BF8">
      <w:pPr>
        <w:pStyle w:val="AERbulletlistfirststyle"/>
      </w:pPr>
      <w:r w:rsidRPr="00112BF8">
        <w:t>a return on the Regulatory Asset Base (RAB) (return on capital)</w:t>
      </w:r>
    </w:p>
    <w:p w:rsidR="00112BF8" w:rsidRPr="00112BF8" w:rsidRDefault="00112BF8" w:rsidP="00112BF8">
      <w:pPr>
        <w:pStyle w:val="AERbulletlistfirststyle"/>
      </w:pPr>
      <w:r w:rsidRPr="00112BF8">
        <w:t>depreciation of the RAB (return of capital)</w:t>
      </w:r>
    </w:p>
    <w:p w:rsidR="00112BF8" w:rsidRPr="00112BF8" w:rsidRDefault="00112BF8" w:rsidP="00112BF8">
      <w:pPr>
        <w:pStyle w:val="AERbulletlistfirststyle"/>
      </w:pPr>
      <w:r w:rsidRPr="00112BF8">
        <w:t>forecast opex</w:t>
      </w:r>
    </w:p>
    <w:p w:rsidR="00112BF8" w:rsidRPr="00112BF8" w:rsidRDefault="00112BF8" w:rsidP="00112BF8">
      <w:pPr>
        <w:pStyle w:val="AERbulletlistfirststyle"/>
      </w:pPr>
      <w:r w:rsidRPr="00112BF8">
        <w:t>increments or decrements resulting from incentive schemes such as the efficiency benefit sharing scheme (EBSS)</w:t>
      </w:r>
    </w:p>
    <w:p w:rsidR="00112BF8" w:rsidRPr="00112BF8" w:rsidRDefault="00112BF8" w:rsidP="00112BF8">
      <w:pPr>
        <w:pStyle w:val="AERbulletlistfirststyle"/>
      </w:pPr>
      <w:r w:rsidRPr="00112BF8">
        <w:t xml:space="preserve">the estimated cost of corporate income tax. </w:t>
      </w:r>
    </w:p>
    <w:p w:rsidR="00112BF8" w:rsidRPr="00112BF8" w:rsidRDefault="00112BF8" w:rsidP="00112BF8">
      <w:pPr>
        <w:numPr>
          <w:ilvl w:val="0"/>
          <w:numId w:val="25"/>
        </w:numPr>
      </w:pPr>
      <w:r w:rsidRPr="00112BF8">
        <w:t xml:space="preserve">Our assessment of capex directly affects the size of the RAB and therefore, the revenue generated from the return on capital and return of capital building blocks. </w:t>
      </w:r>
    </w:p>
    <w:p w:rsidR="00112BF8" w:rsidRPr="00112BF8" w:rsidRDefault="00112BF8" w:rsidP="00112BF8">
      <w:pPr>
        <w:pStyle w:val="Caption"/>
      </w:pPr>
      <w:r w:rsidRPr="00112BF8">
        <w:t xml:space="preserve">Figure </w:t>
      </w:r>
      <w:r w:rsidR="00C43224">
        <w:t>4</w:t>
      </w:r>
      <w:r w:rsidRPr="00112BF8">
        <w:tab/>
        <w:t>The building block approach for determining total revenue</w:t>
      </w:r>
    </w:p>
    <w:p w:rsidR="00112BF8" w:rsidRPr="00112BF8" w:rsidRDefault="00112BF8" w:rsidP="00112BF8">
      <w:r w:rsidRPr="00112BF8">
        <w:rPr>
          <w:noProof/>
          <w:lang w:eastAsia="en-AU"/>
        </w:rPr>
        <mc:AlternateContent>
          <mc:Choice Requires="wpc">
            <w:drawing>
              <wp:inline distT="0" distB="0" distL="0" distR="0" wp14:anchorId="5E3D80A6" wp14:editId="787D3D83">
                <wp:extent cx="5410200" cy="3391535"/>
                <wp:effectExtent l="0" t="0" r="19050" b="56515"/>
                <wp:docPr id="28" name="Canvas 28"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3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E145FB" w:rsidRPr="001C2CD9" w:rsidRDefault="00E145FB" w:rsidP="00112BF8">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wps:txbx>
                        <wps:bodyPr rot="0" vert="horz" wrap="square" lIns="91440" tIns="45720" rIns="91440" bIns="45720" anchor="t" anchorCtr="0" upright="1">
                          <a:noAutofit/>
                        </wps:bodyPr>
                      </wps:wsp>
                      <wps:wsp>
                        <wps:cNvPr id="6" name="Text Box 3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E145FB" w:rsidRPr="00E4098A" w:rsidRDefault="00E145FB" w:rsidP="00112BF8">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wps:txbx>
                        <wps:bodyPr rot="0" vert="horz" wrap="square" lIns="91440" tIns="45720" rIns="91440" bIns="45720" anchor="t" anchorCtr="0" upright="1">
                          <a:noAutofit/>
                        </wps:bodyPr>
                      </wps:wsp>
                      <wps:wsp>
                        <wps:cNvPr id="8" name="Text Box 3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E145FB" w:rsidRDefault="00E145FB" w:rsidP="00112BF8">
                              <w:pPr>
                                <w:spacing w:after="200"/>
                                <w:rPr>
                                  <w:rStyle w:val="AERbody"/>
                                </w:rPr>
                              </w:pPr>
                              <w:r w:rsidRPr="007F7192">
                                <w:rPr>
                                  <w:rStyle w:val="AERbody"/>
                                  <w:color w:val="FFFFFF"/>
                                </w:rPr>
                                <w:t>Corporate income tax (net of value of imputation credits)</w:t>
                              </w:r>
                            </w:p>
                            <w:p w:rsidR="00E145FB" w:rsidRPr="007F7192" w:rsidRDefault="00E145FB" w:rsidP="00112BF8">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9" name="Line 3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43"/>
                        <wps:cNvSpPr txBox="1">
                          <a:spLocks noChangeArrowheads="1"/>
                        </wps:cNvSpPr>
                        <wps:spPr bwMode="auto">
                          <a:xfrm>
                            <a:off x="0" y="407034"/>
                            <a:ext cx="1026795" cy="488315"/>
                          </a:xfrm>
                          <a:prstGeom prst="rect">
                            <a:avLst/>
                          </a:prstGeom>
                          <a:solidFill>
                            <a:srgbClr val="FFFFFF"/>
                          </a:solidFill>
                          <a:ln w="9525">
                            <a:solidFill>
                              <a:srgbClr val="FFFFFF"/>
                            </a:solidFill>
                            <a:miter lim="800000"/>
                            <a:headEnd/>
                            <a:tailEnd/>
                          </a:ln>
                        </wps:spPr>
                        <wps:txbx>
                          <w:txbxContent>
                            <w:p w:rsidR="00E145FB" w:rsidRPr="002569F7" w:rsidRDefault="00E145FB" w:rsidP="00112BF8">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21" name="Text Box 4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E145FB" w:rsidRPr="008D2606" w:rsidRDefault="00E145FB" w:rsidP="00112BF8">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E145FB" w:rsidRPr="004414F4" w:rsidRDefault="00E145FB" w:rsidP="00112BF8">
                              <w:pPr>
                                <w:rPr>
                                  <w:color w:val="FFFFFF"/>
                                </w:rPr>
                              </w:pPr>
                            </w:p>
                          </w:txbxContent>
                        </wps:txbx>
                        <wps:bodyPr rot="0" vert="horz" wrap="square" lIns="91440" tIns="45720" rIns="91440" bIns="45720" anchor="t" anchorCtr="0" upright="1">
                          <a:noAutofit/>
                        </wps:bodyPr>
                      </wps:wsp>
                      <wps:wsp>
                        <wps:cNvPr id="22" name="Text Box 4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E145FB" w:rsidRPr="008D2606" w:rsidRDefault="00E145FB" w:rsidP="00112BF8">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E145FB" w:rsidRPr="00F51767" w:rsidRDefault="00E145FB" w:rsidP="00112BF8"/>
                          </w:txbxContent>
                        </wps:txbx>
                        <wps:bodyPr rot="0" vert="horz" wrap="square" lIns="91440" tIns="45720" rIns="91440" bIns="45720" anchor="t" anchorCtr="0" upright="1">
                          <a:noAutofit/>
                        </wps:bodyPr>
                      </wps:wsp>
                      <wps:wsp>
                        <wps:cNvPr id="23" name="Text Box 4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E145FB" w:rsidRPr="00E91FF0" w:rsidRDefault="00E145FB" w:rsidP="00112BF8">
                              <w:pPr>
                                <w:pStyle w:val="AERtabletextleft"/>
                              </w:pPr>
                              <w:r w:rsidRPr="00E91FF0">
                                <w:t xml:space="preserve">Total </w:t>
                              </w:r>
                              <w:r>
                                <w:t>r</w:t>
                              </w:r>
                              <w:r w:rsidRPr="00E91FF0">
                                <w:t>evenue</w:t>
                              </w:r>
                            </w:p>
                            <w:p w:rsidR="00E145FB" w:rsidRDefault="00E145FB" w:rsidP="00112BF8"/>
                          </w:txbxContent>
                        </wps:txbx>
                        <wps:bodyPr rot="0" vert="horz" wrap="square" lIns="91440" tIns="45720" rIns="91440" bIns="45720" anchor="t" anchorCtr="0" upright="1">
                          <a:noAutofit/>
                        </wps:bodyPr>
                      </wps:wsp>
                    </wpc:wpc>
                  </a:graphicData>
                </a:graphic>
              </wp:inline>
            </w:drawing>
          </mc:Choice>
          <mc:Fallback>
            <w:pict>
              <v:group id="Canvas 28" o:spid="_x0000_s1026" editas="canvas" alt="Image outlining the bulding block model. The table's contents were described in the previous paragraph." style="width:426pt;height:267.05pt;mso-position-horizontal-relative:char;mso-position-vertical-relative:line" coordsize="5410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102;height:33915;visibility:visible;mso-wrap-style:square">
                  <v:fill o:detectmouseclick="t"/>
                  <v:path o:connecttype="none"/>
                </v:shape>
                <v:shapetype id="_x0000_t202" coordsize="21600,21600" o:spt="202" path="m,l,21600r21600,l21600,xe">
                  <v:stroke joinstyle="miter"/>
                  <v:path gradientshapeok="t" o:connecttype="rect"/>
                </v:shapetype>
                <v:shape id="Text Box 3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DS8AA&#10;AADaAAAADwAAAGRycy9kb3ducmV2LnhtbERPXWvCMBR9H/gfwhX2IppubiLVKCIMBmPiVATfLs21&#10;iWtuSpPV7t+bgbDHw/meLztXiZaaYD0reBplIIgLry2XCg77t+EURIjIGivPpOCXAiwXvYc55tpf&#10;+YvaXSxFCuGQowITY51LGQpDDsPI18SJO/vGYUywKaVu8JrCXSWfs2wiHVpODQZrWhsqvnc/Ls14&#10;3a7a09oEHHwexy+bi6X4YZV67HerGYhIXfwX393vWsEY/q4kP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XDS8AAAADaAAAADwAAAAAAAAAAAAAAAACYAgAAZHJzL2Rvd25y&#10;ZXYueG1sUEsFBgAAAAAEAAQA9QAAAIUDAAAAAA==&#10;" fillcolor="#c00000" strokecolor="#c00000" strokeweight="0">
                  <v:fill opacity=".5" color2="#c71e1e" focusposition=".5,.5" focussize="" focus="100%" type="gradientRadial"/>
                  <v:shadow on="t" color="#622423" offset="1pt"/>
                  <v:textbox>
                    <w:txbxContent>
                      <w:p w:rsidR="00E145FB" w:rsidRPr="001C2CD9" w:rsidRDefault="00E145FB" w:rsidP="00112BF8">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v:textbox>
                </v:shape>
                <v:shape id="Text Box 3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CecQA&#10;AADaAAAADwAAAGRycy9kb3ducmV2LnhtbESPQWvCQBSE74X+h+UVvNWNItpGV6mK6KVCU8HrI/vM&#10;xmbfhuxqor++KxR6HGbmG2a26GwlrtT40rGCQT8BQZw7XXKh4PC9eX0D4QOyxsoxKbiRh8X8+WmG&#10;qXYtf9E1C4WIEPYpKjAh1KmUPjdk0fddTRy9k2sshiibQuoG2wi3lRwmyVhaLDkuGKxpZSj/yS5W&#10;wWVySAb5ef1p3o/b/Sjjbn1vl0r1XrqPKYhAXfgP/7V3WsEYHlfi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gnnEAAAA2gAAAA8AAAAAAAAAAAAAAAAAmAIAAGRycy9k&#10;b3ducmV2LnhtbFBLBQYAAAAABAAEAPUAAACJAwAAAAA=&#10;" fillcolor="#c0504d" strokecolor="#d99594" strokeweight="1pt">
                  <v:fill color2="#c15451" focus="50%" type="gradient"/>
                  <v:shadow on="t" color="#622423" offset="1pt"/>
                  <v:textbox>
                    <w:txbxContent>
                      <w:p w:rsidR="00E145FB" w:rsidRPr="00E4098A" w:rsidRDefault="00E145FB" w:rsidP="00112BF8">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v:textbox>
                </v:shape>
                <v:shape id="Text Box 3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u48IA&#10;AADaAAAADwAAAGRycy9kb3ducmV2LnhtbERPy2oCMRTdF/oP4Ra6KZppLVVGo0hBGKobX+jyOrnO&#10;RCc3wyTV0a83i0KXh/MeTVpbiQs13jhW8N5NQBDnThsuFGzWs84AhA/IGivHpOBGHibj56cRptpd&#10;eUmXVShEDGGfooIyhDqV0uclWfRdVxNH7ugaiyHCppC6wWsMt5X8SJIvadFwbCixpu+S8vPq1yq4&#10;v2X9ucl+Dp+1nJld73jabxcnpV5f2ukQRKA2/Iv/3JlWELfGK/EG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i7jwgAAANoAAAAPAAAAAAAAAAAAAAAAAJgCAABkcnMvZG93&#10;bnJldi54bWxQSwUGAAAAAAQABAD1AAAAhwMAAAAA&#10;" fillcolor="#76923c" strokecolor="#548dd4" strokeweight="1pt">
                  <v:fill color2="#738f3b" focus="100%" type="gradient"/>
                  <v:shadow on="t" color="#622423" opacity=".5" offset="1pt"/>
                  <v:textbox>
                    <w:txbxContent>
                      <w:p w:rsidR="00E145FB" w:rsidRDefault="00E145FB" w:rsidP="00112BF8">
                        <w:pPr>
                          <w:spacing w:after="200"/>
                          <w:rPr>
                            <w:rStyle w:val="AERbody"/>
                          </w:rPr>
                        </w:pPr>
                        <w:r w:rsidRPr="007F7192">
                          <w:rPr>
                            <w:rStyle w:val="AERbody"/>
                            <w:color w:val="FFFFFF"/>
                          </w:rPr>
                          <w:t>Corporate income tax (net of value of imputation credits)</w:t>
                        </w:r>
                      </w:p>
                      <w:p w:rsidR="00E145FB" w:rsidRPr="007F7192" w:rsidRDefault="00E145FB" w:rsidP="00112BF8">
                        <w:pPr>
                          <w:spacing w:after="200"/>
                          <w:rPr>
                            <w:rStyle w:val="AERbody"/>
                            <w:color w:val="FFFFFF"/>
                          </w:rPr>
                        </w:pPr>
                        <w:r w:rsidRPr="007F7192">
                          <w:rPr>
                            <w:rStyle w:val="AERbody"/>
                            <w:color w:val="FFFFFF"/>
                          </w:rPr>
                          <w:br/>
                        </w:r>
                      </w:p>
                    </w:txbxContent>
                  </v:textbox>
                </v:shape>
                <v:line id="Line 3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4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4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4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43" o:spid="_x0000_s1037" type="#_x0000_t202" style="position:absolute;top:4070;width:10267;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E145FB" w:rsidRPr="002569F7" w:rsidRDefault="00E145FB" w:rsidP="00112BF8">
                        <w:pPr>
                          <w:rPr>
                            <w:rFonts w:ascii="Calibri" w:hAnsi="Calibri"/>
                          </w:rPr>
                        </w:pPr>
                        <w:r w:rsidRPr="002569F7">
                          <w:rPr>
                            <w:rFonts w:ascii="Calibri" w:hAnsi="Calibri"/>
                          </w:rPr>
                          <w:t>Capital costs</w:t>
                        </w:r>
                      </w:p>
                    </w:txbxContent>
                  </v:textbox>
                </v:shape>
                <v:shape id="Text Box 4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rlsUA&#10;AADbAAAADwAAAGRycy9kb3ducmV2LnhtbESPT2vCQBTE70K/w/IKXopuFFoldZVUEOxF6h9Qb4/s&#10;axKafRt2VxO/vSsUPA4z8xtmtuhMLa7kfGVZwWiYgCDOra64UHDYrwZTED4ga6wtk4IbeVjMX3oz&#10;TLVteUvXXShEhLBPUUEZQpNK6fOSDPqhbYij92udwRClK6R22Ea4qeU4ST6kwYrjQokNLUvK/3YX&#10;o2A6We6PzeZL/7Tu/Ts/+6w7vWVK9V+77BNEoC48w//ttVYwHsHj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muWxQAAANsAAAAPAAAAAAAAAAAAAAAAAJgCAABkcnMv&#10;ZG93bnJldi54bWxQSwUGAAAAAAQABAD1AAAAigMAAAAA&#10;" fillcolor="#365f91" strokecolor="#365f91" strokeweight="1pt">
                  <v:fill color2="#365f91" focus="100%" type="gradient"/>
                  <v:shadow on="t" color="#3f3151" opacity=".5" offset="1pt"/>
                  <v:textbox>
                    <w:txbxContent>
                      <w:p w:rsidR="00E145FB" w:rsidRPr="008D2606" w:rsidRDefault="00E145FB" w:rsidP="00112BF8">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E145FB" w:rsidRPr="004414F4" w:rsidRDefault="00E145FB" w:rsidP="00112BF8">
                        <w:pPr>
                          <w:rPr>
                            <w:color w:val="FFFFFF"/>
                          </w:rPr>
                        </w:pPr>
                      </w:p>
                    </w:txbxContent>
                  </v:textbox>
                </v:shape>
                <v:shape id="Text Box 4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3RtsUA&#10;AADbAAAADwAAAGRycy9kb3ducmV2LnhtbESPQWvCQBSE70L/w/IK3nTTgLakrqG0iiK9NC3F4yP7&#10;mg3Nvg3ZNUZ/vSsIHoeZ+YZZ5INtRE+drx0reJomIIhLp2uuFPx8rycvIHxA1tg4JgUn8pAvH0YL&#10;zLQ78hf1RahEhLDPUIEJoc2k9KUhi37qWuLo/bnOYoiyq6Tu8BjhtpFpksylxZrjgsGW3g2V/8XB&#10;KthvTr+f7vDRrorZ1jy73bw673dKjR+Ht1cQgYZwD9/aW60gTe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dG2xQAAANsAAAAPAAAAAAAAAAAAAAAAAJgCAABkcnMv&#10;ZG93bnJldi54bWxQSwUGAAAAAAQABAD1AAAAigMAAAAA&#10;" fillcolor="#548dd4" strokecolor="#76923c" strokeweight="1pt">
                  <v:fill color2="#548dd4" focus="100%" type="gradient"/>
                  <v:shadow on="t" color="#205867" opacity=".5" offset="1pt"/>
                  <v:textbox>
                    <w:txbxContent>
                      <w:p w:rsidR="00E145FB" w:rsidRPr="008D2606" w:rsidRDefault="00E145FB" w:rsidP="00112BF8">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E145FB" w:rsidRPr="00F51767" w:rsidRDefault="00E145FB" w:rsidP="00112BF8"/>
                    </w:txbxContent>
                  </v:textbox>
                </v:shape>
                <v:shape id="Text Box 4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P4XcUA&#10;AADbAAAADwAAAGRycy9kb3ducmV2LnhtbESPT2vCQBTE7wW/w/IEb83GP4hGVyktlV6kGEU9PrPP&#10;JJh9G7JbjX76bqHgcZiZ3zDzZWsqcaXGlZYV9KMYBHFmdcm5gt3283UCwnlkjZVlUnAnB8tF52WO&#10;ibY33tA19bkIEHYJKii8rxMpXVaQQRfZmjh4Z9sY9EE2udQN3gLcVHIQx2NpsOSwUGBN7wVll/TH&#10;KHBZPN5/j9L94SRX9Jhq/XFcrZXqddu3GQhPrX+G/9tfWsFgC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hdxQAAANsAAAAPAAAAAAAAAAAAAAAAAJgCAABkcnMv&#10;ZG93bnJldi54bWxQSwUGAAAAAAQABAD1AAAAigMAAAAA&#10;" strokecolor="white [3212]">
                  <v:textbox>
                    <w:txbxContent>
                      <w:p w:rsidR="00E145FB" w:rsidRPr="00E91FF0" w:rsidRDefault="00E145FB" w:rsidP="00112BF8">
                        <w:pPr>
                          <w:pStyle w:val="AERtabletextleft"/>
                        </w:pPr>
                        <w:r w:rsidRPr="00E91FF0">
                          <w:t xml:space="preserve">Total </w:t>
                        </w:r>
                        <w:r>
                          <w:t>r</w:t>
                        </w:r>
                        <w:r w:rsidRPr="00E91FF0">
                          <w:t>evenue</w:t>
                        </w:r>
                      </w:p>
                      <w:p w:rsidR="00E145FB" w:rsidRDefault="00E145FB" w:rsidP="00112BF8"/>
                    </w:txbxContent>
                  </v:textbox>
                </v:shape>
                <w10:anchorlock/>
              </v:group>
            </w:pict>
          </mc:Fallback>
        </mc:AlternateContent>
      </w:r>
    </w:p>
    <w:p w:rsidR="005828D2" w:rsidRPr="00112BF8" w:rsidRDefault="00112BF8" w:rsidP="005828D2">
      <w:pPr>
        <w:rPr>
          <w:rStyle w:val="AERbody"/>
        </w:rPr>
      </w:pPr>
      <w:r w:rsidRPr="00112BF8">
        <w:t xml:space="preserve">The following section summarises our </w:t>
      </w:r>
      <w:r w:rsidR="006B6D5C">
        <w:t xml:space="preserve">preliminary </w:t>
      </w:r>
      <w:r w:rsidRPr="00112BF8">
        <w:t xml:space="preserve">decision </w:t>
      </w:r>
      <w:r w:rsidR="006B6D5C">
        <w:t xml:space="preserve">in relation to each </w:t>
      </w:r>
      <w:r w:rsidRPr="00112BF8">
        <w:t xml:space="preserve">building block and provides our high level reasons and analysis. </w:t>
      </w:r>
      <w:r w:rsidR="005828D2">
        <w:t>The attachments provide a more detailed explanation of our analysis and findings.</w:t>
      </w:r>
    </w:p>
    <w:p w:rsidR="00AA0CA5" w:rsidRDefault="00AA0CA5" w:rsidP="00AA0CA5">
      <w:pPr>
        <w:pStyle w:val="Heading2"/>
      </w:pPr>
      <w:bookmarkStart w:id="21" w:name="_Toc404437126"/>
      <w:bookmarkStart w:id="22" w:name="_Toc411428026"/>
      <w:bookmarkStart w:id="23" w:name="_Toc417973137"/>
      <w:r>
        <w:t>Regulatory asset base</w:t>
      </w:r>
      <w:bookmarkEnd w:id="21"/>
      <w:bookmarkEnd w:id="22"/>
      <w:bookmarkEnd w:id="23"/>
    </w:p>
    <w:p w:rsidR="00292E79" w:rsidRPr="009F4C42" w:rsidRDefault="00292E79" w:rsidP="004A01A6">
      <w:pPr>
        <w:numPr>
          <w:ilvl w:val="0"/>
          <w:numId w:val="25"/>
        </w:numPr>
      </w:pPr>
      <w:r w:rsidRPr="009F4C42">
        <w:t xml:space="preserve">The RAB is the value of </w:t>
      </w:r>
      <w:r>
        <w:t>Energex's</w:t>
      </w:r>
      <w:r w:rsidRPr="009F4C42">
        <w:t xml:space="preserve"> assets used to provide </w:t>
      </w:r>
      <w:r>
        <w:t xml:space="preserve">distribution </w:t>
      </w:r>
      <w:r w:rsidRPr="009F4C42">
        <w:t xml:space="preserve">network services. </w:t>
      </w:r>
      <w:r>
        <w:t xml:space="preserve">It </w:t>
      </w:r>
      <w:r w:rsidRPr="009F4C42">
        <w:t xml:space="preserve">is the value on which </w:t>
      </w:r>
      <w:r>
        <w:t>Energex</w:t>
      </w:r>
      <w:r w:rsidRPr="009F4C42">
        <w:t xml:space="preserve"> earns a return on capital</w:t>
      </w:r>
      <w:r>
        <w:t xml:space="preserve">, and </w:t>
      </w:r>
      <w:r w:rsidRPr="009F4C42">
        <w:t>a depreciation allowance (return of capital)</w:t>
      </w:r>
      <w:r w:rsidR="00FA6D21">
        <w:t xml:space="preserve"> on assets in its RAB</w:t>
      </w:r>
      <w:r w:rsidRPr="009F4C42">
        <w:t>.</w:t>
      </w:r>
      <w:r w:rsidR="006563DF">
        <w:t xml:space="preserve"> </w:t>
      </w:r>
      <w:r>
        <w:t>W</w:t>
      </w:r>
      <w:r w:rsidRPr="009F4C42">
        <w:t xml:space="preserve">e are required to assess </w:t>
      </w:r>
      <w:r>
        <w:t>Energex's</w:t>
      </w:r>
      <w:r w:rsidRPr="009F4C42">
        <w:t xml:space="preserve"> proposed opening value for the RAB for each year of the 201</w:t>
      </w:r>
      <w:r>
        <w:t>5</w:t>
      </w:r>
      <w:r w:rsidRPr="009F4C42">
        <w:t>–</w:t>
      </w:r>
      <w:r>
        <w:t>20</w:t>
      </w:r>
      <w:r w:rsidRPr="009F4C42">
        <w:t xml:space="preserve"> regulatory control period.</w:t>
      </w:r>
      <w:r w:rsidRPr="00112BF8">
        <w:rPr>
          <w:rStyle w:val="FootnoteReference"/>
        </w:rPr>
        <w:footnoteReference w:id="17"/>
      </w:r>
      <w:r w:rsidRPr="009F4C42">
        <w:t xml:space="preserve"> </w:t>
      </w:r>
    </w:p>
    <w:p w:rsidR="00C31090" w:rsidRPr="00CC02E9" w:rsidRDefault="00112BF8" w:rsidP="00C31090">
      <w:pPr>
        <w:numPr>
          <w:ilvl w:val="0"/>
          <w:numId w:val="25"/>
        </w:numPr>
        <w:rPr>
          <w:rStyle w:val="AERbodytextChar"/>
          <w:rFonts w:eastAsiaTheme="minorHAnsi"/>
        </w:rPr>
      </w:pPr>
      <w:r w:rsidRPr="00112BF8">
        <w:rPr>
          <w:rStyle w:val="AERbody"/>
        </w:rPr>
        <w:t xml:space="preserve">Our </w:t>
      </w:r>
      <w:r>
        <w:rPr>
          <w:rStyle w:val="AERbody"/>
        </w:rPr>
        <w:t xml:space="preserve">preliminary </w:t>
      </w:r>
      <w:r w:rsidRPr="00112BF8">
        <w:rPr>
          <w:rStyle w:val="AERbody"/>
        </w:rPr>
        <w:t>decision is to set Energex's opening RAB at $</w:t>
      </w:r>
      <w:r w:rsidR="004A3E59">
        <w:rPr>
          <w:rStyle w:val="AERbody"/>
        </w:rPr>
        <w:t>11</w:t>
      </w:r>
      <w:r w:rsidR="00311762">
        <w:rPr>
          <w:rStyle w:val="AERbody"/>
        </w:rPr>
        <w:t> </w:t>
      </w:r>
      <w:r w:rsidR="004A3E59">
        <w:rPr>
          <w:rStyle w:val="AERbody"/>
        </w:rPr>
        <w:t>333.</w:t>
      </w:r>
      <w:r w:rsidR="003A0AFB">
        <w:rPr>
          <w:rStyle w:val="AERbody"/>
        </w:rPr>
        <w:t>7</w:t>
      </w:r>
      <w:r w:rsidR="004A3E59">
        <w:rPr>
          <w:rStyle w:val="AERbody"/>
        </w:rPr>
        <w:t xml:space="preserve"> </w:t>
      </w:r>
      <w:r w:rsidRPr="00112BF8">
        <w:rPr>
          <w:rStyle w:val="AERbody"/>
        </w:rPr>
        <w:t>million ($</w:t>
      </w:r>
      <w:r w:rsidR="00CE0819">
        <w:rPr>
          <w:rStyle w:val="AERbody"/>
        </w:rPr>
        <w:t> </w:t>
      </w:r>
      <w:r w:rsidRPr="00112BF8">
        <w:rPr>
          <w:rStyle w:val="AERbody"/>
        </w:rPr>
        <w:t xml:space="preserve">nominal) as at 1 July 2015. </w:t>
      </w:r>
      <w:r w:rsidRPr="00112BF8">
        <w:t>We determine that the forecast depreciation approach is to be used to establish Energex's opening R</w:t>
      </w:r>
      <w:r w:rsidR="00FC6F26">
        <w:t xml:space="preserve">AB at the commencement of the </w:t>
      </w:r>
      <w:r w:rsidRPr="00112BF8">
        <w:t xml:space="preserve">20–25 regulatory control period. </w:t>
      </w:r>
      <w:r w:rsidR="00C31090" w:rsidRPr="00112BF8">
        <w:rPr>
          <w:rStyle w:val="AERbody"/>
        </w:rPr>
        <w:t>We fore</w:t>
      </w:r>
      <w:r w:rsidR="00FC6F26">
        <w:rPr>
          <w:rStyle w:val="AERbody"/>
        </w:rPr>
        <w:t xml:space="preserve">cast a closing RAB at 30 June </w:t>
      </w:r>
      <w:r w:rsidR="00C31090" w:rsidRPr="00112BF8">
        <w:rPr>
          <w:rStyle w:val="AERbody"/>
        </w:rPr>
        <w:t xml:space="preserve">20 of </w:t>
      </w:r>
      <w:r w:rsidR="00C31090" w:rsidRPr="00CC02E9">
        <w:rPr>
          <w:rStyle w:val="AERbodytextChar"/>
          <w:rFonts w:eastAsiaTheme="minorHAnsi"/>
        </w:rPr>
        <w:t>$</w:t>
      </w:r>
      <w:r w:rsidR="003A0AFB" w:rsidRPr="00CC02E9">
        <w:rPr>
          <w:rStyle w:val="AERbodytextChar"/>
          <w:rFonts w:eastAsiaTheme="minorHAnsi"/>
        </w:rPr>
        <w:t>13</w:t>
      </w:r>
      <w:r w:rsidR="00311762">
        <w:rPr>
          <w:rStyle w:val="AERbodytextChar"/>
          <w:rFonts w:eastAsiaTheme="minorHAnsi"/>
        </w:rPr>
        <w:t> </w:t>
      </w:r>
      <w:r w:rsidR="00186632">
        <w:rPr>
          <w:rStyle w:val="AERbodytextChar"/>
          <w:rFonts w:eastAsiaTheme="minorHAnsi"/>
        </w:rPr>
        <w:t>329.9</w:t>
      </w:r>
      <w:r w:rsidR="003A0AFB" w:rsidRPr="00CC02E9">
        <w:rPr>
          <w:rStyle w:val="AERbodytextChar"/>
          <w:rFonts w:eastAsiaTheme="minorHAnsi"/>
        </w:rPr>
        <w:t xml:space="preserve"> </w:t>
      </w:r>
      <w:r w:rsidR="00C31090" w:rsidRPr="00CC02E9">
        <w:rPr>
          <w:rStyle w:val="AERbodytextChar"/>
          <w:rFonts w:eastAsiaTheme="minorHAnsi"/>
        </w:rPr>
        <w:t>million for Energex</w:t>
      </w:r>
      <w:r w:rsidR="00696DB0">
        <w:rPr>
          <w:rStyle w:val="AERbodytextChar"/>
          <w:rFonts w:eastAsiaTheme="minorHAnsi"/>
        </w:rPr>
        <w:t>'s distribution network.</w:t>
      </w:r>
      <w:r w:rsidR="00C31090" w:rsidRPr="00CC02E9">
        <w:rPr>
          <w:rStyle w:val="AERbodytextChar"/>
          <w:rFonts w:eastAsiaTheme="minorHAnsi"/>
        </w:rPr>
        <w:t xml:space="preserve"> </w:t>
      </w:r>
    </w:p>
    <w:p w:rsidR="00112BF8" w:rsidRDefault="00112BF8" w:rsidP="00112BF8">
      <w:pPr>
        <w:numPr>
          <w:ilvl w:val="0"/>
          <w:numId w:val="25"/>
        </w:numPr>
      </w:pPr>
      <w:r>
        <w:t>Table</w:t>
      </w:r>
      <w:r w:rsidR="00C31090">
        <w:t>s</w:t>
      </w:r>
      <w:r>
        <w:t xml:space="preserve"> </w:t>
      </w:r>
      <w:r w:rsidR="00C43224">
        <w:t>3</w:t>
      </w:r>
      <w:r w:rsidRPr="00112BF8">
        <w:t xml:space="preserve"> </w:t>
      </w:r>
      <w:r w:rsidR="00C31090">
        <w:t xml:space="preserve">and </w:t>
      </w:r>
      <w:r w:rsidR="00C43224">
        <w:t>4</w:t>
      </w:r>
      <w:r w:rsidR="00C31090">
        <w:t xml:space="preserve"> </w:t>
      </w:r>
      <w:r w:rsidRPr="00112BF8">
        <w:t xml:space="preserve">set out our preliminary decision on the roll forward of Energex's RAB for </w:t>
      </w:r>
      <w:r w:rsidR="00CE0819">
        <w:t>the 2010–15 regulatory control period</w:t>
      </w:r>
      <w:r w:rsidRPr="00112BF8">
        <w:t xml:space="preserve"> </w:t>
      </w:r>
      <w:r w:rsidR="00C31090">
        <w:t xml:space="preserve">and the forecast RAB for Energex </w:t>
      </w:r>
      <w:r w:rsidRPr="00112BF8">
        <w:t>during the 201</w:t>
      </w:r>
      <w:r w:rsidR="00CE0819">
        <w:t>5</w:t>
      </w:r>
      <w:r w:rsidRPr="00112BF8">
        <w:t>–</w:t>
      </w:r>
      <w:r w:rsidR="00CE0819">
        <w:t>20</w:t>
      </w:r>
      <w:r w:rsidRPr="00112BF8">
        <w:t xml:space="preserve"> regulatory control period</w:t>
      </w:r>
      <w:r w:rsidR="00C31090">
        <w:t xml:space="preserve"> respectively</w:t>
      </w:r>
      <w:r w:rsidRPr="00112BF8">
        <w:t>.</w:t>
      </w:r>
    </w:p>
    <w:p w:rsidR="00112BF8" w:rsidRDefault="00112BF8" w:rsidP="00112BF8">
      <w:pPr>
        <w:pStyle w:val="Caption"/>
      </w:pPr>
      <w:r w:rsidRPr="00112BF8">
        <w:t xml:space="preserve">Table </w:t>
      </w:r>
      <w:r w:rsidR="00C43224">
        <w:t>3</w:t>
      </w:r>
      <w:r w:rsidR="00C31090" w:rsidRPr="00112BF8">
        <w:t xml:space="preserve"> </w:t>
      </w:r>
      <w:r w:rsidRPr="00112BF8">
        <w:tab/>
        <w:t>AER's preliminary decision on Energex's RAB for the 2010–15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4A3E59" w:rsidRPr="00237902" w:rsidTr="00BF419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4A3E59" w:rsidRPr="004A3E59" w:rsidRDefault="004A3E59" w:rsidP="004A3E59">
            <w:r w:rsidRPr="00237902">
              <w:t> </w:t>
            </w:r>
          </w:p>
        </w:tc>
        <w:tc>
          <w:tcPr>
            <w:tcW w:w="566" w:type="pct"/>
            <w:noWrap/>
            <w:hideMark/>
          </w:tcPr>
          <w:p w:rsidR="004A3E59" w:rsidRPr="004A3E59" w:rsidRDefault="004A3E59" w:rsidP="004A3E59">
            <w:pPr>
              <w:cnfStyle w:val="100000000000" w:firstRow="1" w:lastRow="0" w:firstColumn="0" w:lastColumn="0" w:oddVBand="0" w:evenVBand="0" w:oddHBand="0" w:evenHBand="0" w:firstRowFirstColumn="0" w:firstRowLastColumn="0" w:lastRowFirstColumn="0" w:lastRowLastColumn="0"/>
            </w:pPr>
            <w:r w:rsidRPr="00237902">
              <w:t>2010–11</w:t>
            </w:r>
          </w:p>
        </w:tc>
        <w:tc>
          <w:tcPr>
            <w:tcW w:w="566" w:type="pct"/>
            <w:noWrap/>
            <w:hideMark/>
          </w:tcPr>
          <w:p w:rsidR="004A3E59" w:rsidRPr="004A3E59" w:rsidRDefault="004A3E59" w:rsidP="004A3E59">
            <w:pPr>
              <w:cnfStyle w:val="100000000000" w:firstRow="1" w:lastRow="0" w:firstColumn="0" w:lastColumn="0" w:oddVBand="0" w:evenVBand="0" w:oddHBand="0" w:evenHBand="0" w:firstRowFirstColumn="0" w:firstRowLastColumn="0" w:lastRowFirstColumn="0" w:lastRowLastColumn="0"/>
            </w:pPr>
            <w:r w:rsidRPr="00237902">
              <w:t>2011–12</w:t>
            </w:r>
          </w:p>
        </w:tc>
        <w:tc>
          <w:tcPr>
            <w:tcW w:w="567" w:type="pct"/>
            <w:noWrap/>
            <w:hideMark/>
          </w:tcPr>
          <w:p w:rsidR="004A3E59" w:rsidRPr="004A3E59" w:rsidRDefault="004A3E59" w:rsidP="004A3E59">
            <w:pPr>
              <w:cnfStyle w:val="100000000000" w:firstRow="1" w:lastRow="0" w:firstColumn="0" w:lastColumn="0" w:oddVBand="0" w:evenVBand="0" w:oddHBand="0" w:evenHBand="0" w:firstRowFirstColumn="0" w:firstRowLastColumn="0" w:lastRowFirstColumn="0" w:lastRowLastColumn="0"/>
            </w:pPr>
            <w:r w:rsidRPr="00237902">
              <w:t>2012–13</w:t>
            </w:r>
          </w:p>
        </w:tc>
        <w:tc>
          <w:tcPr>
            <w:tcW w:w="566" w:type="pct"/>
            <w:noWrap/>
            <w:hideMark/>
          </w:tcPr>
          <w:p w:rsidR="004A3E59" w:rsidRPr="004A3E59" w:rsidRDefault="004A3E59" w:rsidP="004A3E59">
            <w:pPr>
              <w:cnfStyle w:val="100000000000" w:firstRow="1" w:lastRow="0" w:firstColumn="0" w:lastColumn="0" w:oddVBand="0" w:evenVBand="0" w:oddHBand="0" w:evenHBand="0" w:firstRowFirstColumn="0" w:firstRowLastColumn="0" w:lastRowFirstColumn="0" w:lastRowLastColumn="0"/>
            </w:pPr>
            <w:r w:rsidRPr="00237902">
              <w:t>2013–14</w:t>
            </w:r>
          </w:p>
        </w:tc>
        <w:tc>
          <w:tcPr>
            <w:tcW w:w="567" w:type="pct"/>
            <w:noWrap/>
            <w:hideMark/>
          </w:tcPr>
          <w:p w:rsidR="004A3E59" w:rsidRPr="004A3E59" w:rsidRDefault="004A3E59" w:rsidP="004A3E59">
            <w:pPr>
              <w:cnfStyle w:val="100000000000" w:firstRow="1" w:lastRow="0" w:firstColumn="0" w:lastColumn="0" w:oddVBand="0" w:evenVBand="0" w:oddHBand="0" w:evenHBand="0" w:firstRowFirstColumn="0" w:firstRowLastColumn="0" w:lastRowFirstColumn="0" w:lastRowLastColumn="0"/>
            </w:pPr>
            <w:r w:rsidRPr="00237902">
              <w:t>2014–15</w:t>
            </w:r>
            <w:r w:rsidRPr="004A3E59">
              <w:rPr>
                <w:rStyle w:val="AERsuperscript"/>
              </w:rPr>
              <w:t>a</w:t>
            </w:r>
          </w:p>
        </w:tc>
      </w:tr>
      <w:tr w:rsidR="00BF419C" w:rsidRPr="00237902" w:rsidTr="00BF419C">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F419C" w:rsidRPr="00BF419C" w:rsidRDefault="00BF419C" w:rsidP="00BF419C">
            <w:r w:rsidRPr="00BF419C">
              <w:t>Opening RAB</w:t>
            </w:r>
          </w:p>
        </w:tc>
        <w:tc>
          <w:tcPr>
            <w:tcW w:w="566"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7867.3</w:t>
            </w:r>
          </w:p>
        </w:tc>
        <w:tc>
          <w:tcPr>
            <w:tcW w:w="566"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8856.5</w:t>
            </w:r>
          </w:p>
        </w:tc>
        <w:tc>
          <w:tcPr>
            <w:tcW w:w="567"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9645.6</w:t>
            </w:r>
          </w:p>
        </w:tc>
        <w:tc>
          <w:tcPr>
            <w:tcW w:w="566"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10462.1</w:t>
            </w:r>
          </w:p>
        </w:tc>
        <w:tc>
          <w:tcPr>
            <w:tcW w:w="567"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11178.3</w:t>
            </w:r>
          </w:p>
        </w:tc>
      </w:tr>
      <w:tr w:rsidR="00BF419C" w:rsidRPr="00237902" w:rsidTr="00BF419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F419C" w:rsidRPr="00BF419C" w:rsidRDefault="00BF419C" w:rsidP="00BF419C">
            <w:r w:rsidRPr="00BF419C">
              <w:t>Capital expenditure</w:t>
            </w:r>
            <w:r w:rsidRPr="00BF419C">
              <w:rPr>
                <w:rStyle w:val="AERsuperscript"/>
              </w:rPr>
              <w:t>b</w:t>
            </w:r>
          </w:p>
        </w:tc>
        <w:tc>
          <w:tcPr>
            <w:tcW w:w="566"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1004.9</w:t>
            </w:r>
          </w:p>
        </w:tc>
        <w:tc>
          <w:tcPr>
            <w:tcW w:w="566"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965.7</w:t>
            </w:r>
          </w:p>
        </w:tc>
        <w:tc>
          <w:tcPr>
            <w:tcW w:w="567"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921.9</w:t>
            </w:r>
          </w:p>
        </w:tc>
        <w:tc>
          <w:tcPr>
            <w:tcW w:w="566"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789.0</w:t>
            </w:r>
          </w:p>
        </w:tc>
        <w:tc>
          <w:tcPr>
            <w:tcW w:w="567"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848.5</w:t>
            </w:r>
          </w:p>
        </w:tc>
      </w:tr>
      <w:tr w:rsidR="00BF419C" w:rsidRPr="00237902" w:rsidTr="00BF419C">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F419C" w:rsidRPr="00BF419C" w:rsidRDefault="00BF419C" w:rsidP="00BF419C">
            <w:r w:rsidRPr="00BF419C">
              <w:t>Inflation indexation on opening RAB</w:t>
            </w:r>
          </w:p>
        </w:tc>
        <w:tc>
          <w:tcPr>
            <w:tcW w:w="566"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262.0</w:t>
            </w:r>
          </w:p>
        </w:tc>
        <w:tc>
          <w:tcPr>
            <w:tcW w:w="566"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139.9</w:t>
            </w:r>
          </w:p>
        </w:tc>
        <w:tc>
          <w:tcPr>
            <w:tcW w:w="567"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241.1</w:t>
            </w:r>
          </w:p>
        </w:tc>
        <w:tc>
          <w:tcPr>
            <w:tcW w:w="566"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306.5</w:t>
            </w:r>
          </w:p>
        </w:tc>
        <w:tc>
          <w:tcPr>
            <w:tcW w:w="567"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251.5</w:t>
            </w:r>
          </w:p>
        </w:tc>
      </w:tr>
      <w:tr w:rsidR="00BF419C" w:rsidRPr="00237902" w:rsidTr="00BF419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F419C" w:rsidRPr="00BF419C" w:rsidRDefault="00BF419C" w:rsidP="00BF419C">
            <w:r w:rsidRPr="00BF419C">
              <w:rPr>
                <w:rStyle w:val="AERtextitalic"/>
              </w:rPr>
              <w:t>Less</w:t>
            </w:r>
            <w:r w:rsidRPr="00BF419C">
              <w:t>: straight-line depreciation</w:t>
            </w:r>
          </w:p>
        </w:tc>
        <w:tc>
          <w:tcPr>
            <w:tcW w:w="566"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277.7</w:t>
            </w:r>
          </w:p>
        </w:tc>
        <w:tc>
          <w:tcPr>
            <w:tcW w:w="566"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316.5</w:t>
            </w:r>
          </w:p>
        </w:tc>
        <w:tc>
          <w:tcPr>
            <w:tcW w:w="567"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346.6</w:t>
            </w:r>
          </w:p>
        </w:tc>
        <w:tc>
          <w:tcPr>
            <w:tcW w:w="566"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379.3</w:t>
            </w:r>
          </w:p>
        </w:tc>
        <w:tc>
          <w:tcPr>
            <w:tcW w:w="567"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403.7</w:t>
            </w:r>
          </w:p>
        </w:tc>
      </w:tr>
      <w:tr w:rsidR="00BF419C" w:rsidRPr="00237902" w:rsidTr="00BF419C">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F419C" w:rsidRPr="00BF419C" w:rsidRDefault="00BF419C" w:rsidP="00BF419C">
            <w:r w:rsidRPr="00BF419C">
              <w:t>Closing RAB</w:t>
            </w:r>
          </w:p>
        </w:tc>
        <w:tc>
          <w:tcPr>
            <w:tcW w:w="566"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8856.5</w:t>
            </w:r>
          </w:p>
        </w:tc>
        <w:tc>
          <w:tcPr>
            <w:tcW w:w="566"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9645.6</w:t>
            </w:r>
          </w:p>
        </w:tc>
        <w:tc>
          <w:tcPr>
            <w:tcW w:w="567"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10462.1</w:t>
            </w:r>
          </w:p>
        </w:tc>
        <w:tc>
          <w:tcPr>
            <w:tcW w:w="566"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11178.3</w:t>
            </w:r>
          </w:p>
        </w:tc>
        <w:tc>
          <w:tcPr>
            <w:tcW w:w="567"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rsidRPr="00BF419C">
              <w:t>11874.6</w:t>
            </w:r>
          </w:p>
        </w:tc>
      </w:tr>
      <w:tr w:rsidR="00BF419C" w:rsidRPr="00237902" w:rsidTr="00BF419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BF419C" w:rsidRPr="00BF419C" w:rsidRDefault="00BF419C" w:rsidP="00BF419C">
            <w:r w:rsidRPr="00BF419C">
              <w:t>Difference between estimated and actual 2009–10 capex (1 July 2009 to 30 June 2010)</w:t>
            </w:r>
          </w:p>
        </w:tc>
        <w:tc>
          <w:tcPr>
            <w:tcW w:w="566" w:type="pct"/>
            <w:noWrap/>
            <w:hideMark/>
          </w:tcPr>
          <w:p w:rsidR="00BF419C" w:rsidRPr="00BF419C" w:rsidRDefault="00BF419C">
            <w:pPr>
              <w:cnfStyle w:val="000000010000" w:firstRow="0" w:lastRow="0" w:firstColumn="0" w:lastColumn="0" w:oddVBand="0" w:evenVBand="0" w:oddHBand="0" w:evenHBand="1" w:firstRowFirstColumn="0" w:firstRowLastColumn="0" w:lastRowFirstColumn="0" w:lastRowLastColumn="0"/>
            </w:pPr>
            <w:r w:rsidRPr="00BF419C">
              <w:t> </w:t>
            </w:r>
          </w:p>
        </w:tc>
        <w:tc>
          <w:tcPr>
            <w:tcW w:w="566" w:type="pct"/>
            <w:noWrap/>
            <w:hideMark/>
          </w:tcPr>
          <w:p w:rsidR="00BF419C" w:rsidRPr="00BF419C" w:rsidRDefault="00BF419C">
            <w:pPr>
              <w:cnfStyle w:val="000000010000" w:firstRow="0" w:lastRow="0" w:firstColumn="0" w:lastColumn="0" w:oddVBand="0" w:evenVBand="0" w:oddHBand="0" w:evenHBand="1" w:firstRowFirstColumn="0" w:firstRowLastColumn="0" w:lastRowFirstColumn="0" w:lastRowLastColumn="0"/>
            </w:pPr>
            <w:r w:rsidRPr="00BF419C">
              <w:t> </w:t>
            </w:r>
          </w:p>
        </w:tc>
        <w:tc>
          <w:tcPr>
            <w:tcW w:w="567" w:type="pct"/>
            <w:noWrap/>
            <w:hideMark/>
          </w:tcPr>
          <w:p w:rsidR="00BF419C" w:rsidRPr="00BF419C" w:rsidRDefault="00BF419C">
            <w:pPr>
              <w:cnfStyle w:val="000000010000" w:firstRow="0" w:lastRow="0" w:firstColumn="0" w:lastColumn="0" w:oddVBand="0" w:evenVBand="0" w:oddHBand="0" w:evenHBand="1" w:firstRowFirstColumn="0" w:firstRowLastColumn="0" w:lastRowFirstColumn="0" w:lastRowLastColumn="0"/>
            </w:pPr>
            <w:r w:rsidRPr="00BF419C">
              <w:t> </w:t>
            </w:r>
          </w:p>
        </w:tc>
        <w:tc>
          <w:tcPr>
            <w:tcW w:w="566" w:type="pct"/>
            <w:noWrap/>
            <w:hideMark/>
          </w:tcPr>
          <w:p w:rsidR="00BF419C" w:rsidRPr="00BF419C" w:rsidRDefault="00BF419C">
            <w:pPr>
              <w:cnfStyle w:val="000000010000" w:firstRow="0" w:lastRow="0" w:firstColumn="0" w:lastColumn="0" w:oddVBand="0" w:evenVBand="0" w:oddHBand="0" w:evenHBand="1" w:firstRowFirstColumn="0" w:firstRowLastColumn="0" w:lastRowFirstColumn="0" w:lastRowLastColumn="0"/>
            </w:pPr>
            <w:r w:rsidRPr="00BF419C">
              <w:t> </w:t>
            </w:r>
          </w:p>
        </w:tc>
        <w:tc>
          <w:tcPr>
            <w:tcW w:w="567"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t>–</w:t>
            </w:r>
            <w:r w:rsidRPr="00BF419C">
              <w:t>32.7</w:t>
            </w:r>
          </w:p>
        </w:tc>
      </w:tr>
      <w:tr w:rsidR="00BF419C" w:rsidRPr="00237902" w:rsidTr="00BF419C">
        <w:trPr>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BF419C" w:rsidRPr="00BF419C" w:rsidRDefault="00BF419C" w:rsidP="00BF419C">
            <w:r w:rsidRPr="00BF419C">
              <w:t>Return on difference for 2009–10 capex</w:t>
            </w:r>
          </w:p>
        </w:tc>
        <w:tc>
          <w:tcPr>
            <w:tcW w:w="566" w:type="pct"/>
            <w:noWrap/>
            <w:hideMark/>
          </w:tcPr>
          <w:p w:rsidR="00BF419C" w:rsidRPr="00BF419C" w:rsidRDefault="00BF419C">
            <w:pPr>
              <w:cnfStyle w:val="000000000000" w:firstRow="0" w:lastRow="0" w:firstColumn="0" w:lastColumn="0" w:oddVBand="0" w:evenVBand="0" w:oddHBand="0" w:evenHBand="0" w:firstRowFirstColumn="0" w:firstRowLastColumn="0" w:lastRowFirstColumn="0" w:lastRowLastColumn="0"/>
            </w:pPr>
            <w:r w:rsidRPr="00BF419C">
              <w:t> </w:t>
            </w:r>
          </w:p>
        </w:tc>
        <w:tc>
          <w:tcPr>
            <w:tcW w:w="566" w:type="pct"/>
            <w:noWrap/>
            <w:hideMark/>
          </w:tcPr>
          <w:p w:rsidR="00BF419C" w:rsidRPr="00BF419C" w:rsidRDefault="00BF419C">
            <w:pPr>
              <w:cnfStyle w:val="000000000000" w:firstRow="0" w:lastRow="0" w:firstColumn="0" w:lastColumn="0" w:oddVBand="0" w:evenVBand="0" w:oddHBand="0" w:evenHBand="0" w:firstRowFirstColumn="0" w:firstRowLastColumn="0" w:lastRowFirstColumn="0" w:lastRowLastColumn="0"/>
            </w:pPr>
            <w:r w:rsidRPr="00BF419C">
              <w:t> </w:t>
            </w:r>
          </w:p>
        </w:tc>
        <w:tc>
          <w:tcPr>
            <w:tcW w:w="567" w:type="pct"/>
            <w:noWrap/>
            <w:hideMark/>
          </w:tcPr>
          <w:p w:rsidR="00BF419C" w:rsidRPr="00BF419C" w:rsidRDefault="00BF419C">
            <w:pPr>
              <w:cnfStyle w:val="000000000000" w:firstRow="0" w:lastRow="0" w:firstColumn="0" w:lastColumn="0" w:oddVBand="0" w:evenVBand="0" w:oddHBand="0" w:evenHBand="0" w:firstRowFirstColumn="0" w:firstRowLastColumn="0" w:lastRowFirstColumn="0" w:lastRowLastColumn="0"/>
            </w:pPr>
            <w:r w:rsidRPr="00BF419C">
              <w:t> </w:t>
            </w:r>
          </w:p>
        </w:tc>
        <w:tc>
          <w:tcPr>
            <w:tcW w:w="566" w:type="pct"/>
            <w:noWrap/>
            <w:hideMark/>
          </w:tcPr>
          <w:p w:rsidR="00BF419C" w:rsidRPr="00BF419C" w:rsidRDefault="00BF419C">
            <w:pPr>
              <w:cnfStyle w:val="000000000000" w:firstRow="0" w:lastRow="0" w:firstColumn="0" w:lastColumn="0" w:oddVBand="0" w:evenVBand="0" w:oddHBand="0" w:evenHBand="0" w:firstRowFirstColumn="0" w:firstRowLastColumn="0" w:lastRowFirstColumn="0" w:lastRowLastColumn="0"/>
            </w:pPr>
            <w:r w:rsidRPr="00BF419C">
              <w:t> </w:t>
            </w:r>
          </w:p>
        </w:tc>
        <w:tc>
          <w:tcPr>
            <w:tcW w:w="567"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t>–</w:t>
            </w:r>
            <w:r w:rsidRPr="00BF419C">
              <w:t>19.3</w:t>
            </w:r>
          </w:p>
        </w:tc>
      </w:tr>
      <w:tr w:rsidR="00BF419C" w:rsidRPr="00237902" w:rsidTr="00BF419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BF419C" w:rsidRPr="00BF419C" w:rsidRDefault="00BF419C" w:rsidP="00BF419C">
            <w:r w:rsidRPr="00BF419C">
              <w:t>Closing RAB as at 30 June 2015</w:t>
            </w:r>
          </w:p>
        </w:tc>
        <w:tc>
          <w:tcPr>
            <w:tcW w:w="566" w:type="pct"/>
            <w:noWrap/>
            <w:hideMark/>
          </w:tcPr>
          <w:p w:rsidR="00BF419C" w:rsidRPr="00BF419C" w:rsidRDefault="00BF419C">
            <w:pPr>
              <w:cnfStyle w:val="000000010000" w:firstRow="0" w:lastRow="0" w:firstColumn="0" w:lastColumn="0" w:oddVBand="0" w:evenVBand="0" w:oddHBand="0" w:evenHBand="1" w:firstRowFirstColumn="0" w:firstRowLastColumn="0" w:lastRowFirstColumn="0" w:lastRowLastColumn="0"/>
            </w:pPr>
            <w:r w:rsidRPr="00BF419C">
              <w:t> </w:t>
            </w:r>
          </w:p>
        </w:tc>
        <w:tc>
          <w:tcPr>
            <w:tcW w:w="566" w:type="pct"/>
            <w:noWrap/>
            <w:hideMark/>
          </w:tcPr>
          <w:p w:rsidR="00BF419C" w:rsidRPr="00BF419C" w:rsidRDefault="00BF419C">
            <w:pPr>
              <w:cnfStyle w:val="000000010000" w:firstRow="0" w:lastRow="0" w:firstColumn="0" w:lastColumn="0" w:oddVBand="0" w:evenVBand="0" w:oddHBand="0" w:evenHBand="1" w:firstRowFirstColumn="0" w:firstRowLastColumn="0" w:lastRowFirstColumn="0" w:lastRowLastColumn="0"/>
            </w:pPr>
            <w:r w:rsidRPr="00BF419C">
              <w:t> </w:t>
            </w:r>
          </w:p>
        </w:tc>
        <w:tc>
          <w:tcPr>
            <w:tcW w:w="567" w:type="pct"/>
            <w:noWrap/>
            <w:hideMark/>
          </w:tcPr>
          <w:p w:rsidR="00BF419C" w:rsidRPr="00BF419C" w:rsidRDefault="00BF419C">
            <w:pPr>
              <w:cnfStyle w:val="000000010000" w:firstRow="0" w:lastRow="0" w:firstColumn="0" w:lastColumn="0" w:oddVBand="0" w:evenVBand="0" w:oddHBand="0" w:evenHBand="1" w:firstRowFirstColumn="0" w:firstRowLastColumn="0" w:lastRowFirstColumn="0" w:lastRowLastColumn="0"/>
            </w:pPr>
            <w:r w:rsidRPr="00BF419C">
              <w:t> </w:t>
            </w:r>
          </w:p>
        </w:tc>
        <w:tc>
          <w:tcPr>
            <w:tcW w:w="566" w:type="pct"/>
            <w:noWrap/>
            <w:hideMark/>
          </w:tcPr>
          <w:p w:rsidR="00BF419C" w:rsidRPr="00BF419C" w:rsidRDefault="00BF419C">
            <w:pPr>
              <w:cnfStyle w:val="000000010000" w:firstRow="0" w:lastRow="0" w:firstColumn="0" w:lastColumn="0" w:oddVBand="0" w:evenVBand="0" w:oddHBand="0" w:evenHBand="1" w:firstRowFirstColumn="0" w:firstRowLastColumn="0" w:lastRowFirstColumn="0" w:lastRowLastColumn="0"/>
            </w:pPr>
            <w:r w:rsidRPr="00BF419C">
              <w:t> </w:t>
            </w:r>
          </w:p>
        </w:tc>
        <w:tc>
          <w:tcPr>
            <w:tcW w:w="567" w:type="pct"/>
            <w:noWrap/>
          </w:tcPr>
          <w:p w:rsidR="00BF419C" w:rsidRPr="00BF419C" w:rsidRDefault="00BF419C" w:rsidP="00BF419C">
            <w:pPr>
              <w:cnfStyle w:val="000000010000" w:firstRow="0" w:lastRow="0" w:firstColumn="0" w:lastColumn="0" w:oddVBand="0" w:evenVBand="0" w:oddHBand="0" w:evenHBand="1" w:firstRowFirstColumn="0" w:firstRowLastColumn="0" w:lastRowFirstColumn="0" w:lastRowLastColumn="0"/>
            </w:pPr>
            <w:r w:rsidRPr="00BF419C">
              <w:t>11822.6</w:t>
            </w:r>
          </w:p>
        </w:tc>
      </w:tr>
      <w:tr w:rsidR="00BF419C" w:rsidRPr="00237902" w:rsidTr="00BF419C">
        <w:trPr>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BF419C" w:rsidRPr="00BF419C" w:rsidRDefault="00BF419C" w:rsidP="00BF419C">
            <w:r w:rsidRPr="00BF419C">
              <w:t>Assets moved to ACS and unregulated assets removed</w:t>
            </w:r>
          </w:p>
        </w:tc>
        <w:tc>
          <w:tcPr>
            <w:tcW w:w="566" w:type="pct"/>
            <w:noWrap/>
          </w:tcPr>
          <w:p w:rsidR="00BF419C" w:rsidRPr="00BF419C" w:rsidRDefault="00BF419C">
            <w:pPr>
              <w:cnfStyle w:val="000000000000" w:firstRow="0" w:lastRow="0" w:firstColumn="0" w:lastColumn="0" w:oddVBand="0" w:evenVBand="0" w:oddHBand="0" w:evenHBand="0" w:firstRowFirstColumn="0" w:firstRowLastColumn="0" w:lastRowFirstColumn="0" w:lastRowLastColumn="0"/>
            </w:pPr>
            <w:r w:rsidRPr="00BF419C">
              <w:t> </w:t>
            </w:r>
          </w:p>
        </w:tc>
        <w:tc>
          <w:tcPr>
            <w:tcW w:w="566" w:type="pct"/>
            <w:noWrap/>
          </w:tcPr>
          <w:p w:rsidR="00BF419C" w:rsidRPr="00BF419C" w:rsidRDefault="00BF419C">
            <w:pPr>
              <w:cnfStyle w:val="000000000000" w:firstRow="0" w:lastRow="0" w:firstColumn="0" w:lastColumn="0" w:oddVBand="0" w:evenVBand="0" w:oddHBand="0" w:evenHBand="0" w:firstRowFirstColumn="0" w:firstRowLastColumn="0" w:lastRowFirstColumn="0" w:lastRowLastColumn="0"/>
            </w:pPr>
            <w:r w:rsidRPr="00BF419C">
              <w:t> </w:t>
            </w:r>
          </w:p>
        </w:tc>
        <w:tc>
          <w:tcPr>
            <w:tcW w:w="567" w:type="pct"/>
            <w:noWrap/>
          </w:tcPr>
          <w:p w:rsidR="00BF419C" w:rsidRPr="00BF419C" w:rsidRDefault="00BF419C">
            <w:pPr>
              <w:cnfStyle w:val="000000000000" w:firstRow="0" w:lastRow="0" w:firstColumn="0" w:lastColumn="0" w:oddVBand="0" w:evenVBand="0" w:oddHBand="0" w:evenHBand="0" w:firstRowFirstColumn="0" w:firstRowLastColumn="0" w:lastRowFirstColumn="0" w:lastRowLastColumn="0"/>
            </w:pPr>
            <w:r w:rsidRPr="00BF419C">
              <w:t> </w:t>
            </w:r>
          </w:p>
        </w:tc>
        <w:tc>
          <w:tcPr>
            <w:tcW w:w="566" w:type="pct"/>
            <w:noWrap/>
          </w:tcPr>
          <w:p w:rsidR="00BF419C" w:rsidRPr="00BF419C" w:rsidRDefault="00BF419C">
            <w:pPr>
              <w:cnfStyle w:val="000000000000" w:firstRow="0" w:lastRow="0" w:firstColumn="0" w:lastColumn="0" w:oddVBand="0" w:evenVBand="0" w:oddHBand="0" w:evenHBand="0" w:firstRowFirstColumn="0" w:firstRowLastColumn="0" w:lastRowFirstColumn="0" w:lastRowLastColumn="0"/>
            </w:pPr>
            <w:r w:rsidRPr="00BF419C">
              <w:t> </w:t>
            </w:r>
          </w:p>
        </w:tc>
        <w:tc>
          <w:tcPr>
            <w:tcW w:w="567" w:type="pct"/>
            <w:noWrap/>
          </w:tcPr>
          <w:p w:rsidR="00BF419C" w:rsidRPr="00BF419C" w:rsidRDefault="00BF419C" w:rsidP="00BF419C">
            <w:pPr>
              <w:cnfStyle w:val="000000000000" w:firstRow="0" w:lastRow="0" w:firstColumn="0" w:lastColumn="0" w:oddVBand="0" w:evenVBand="0" w:oddHBand="0" w:evenHBand="0" w:firstRowFirstColumn="0" w:firstRowLastColumn="0" w:lastRowFirstColumn="0" w:lastRowLastColumn="0"/>
            </w:pPr>
            <w:r>
              <w:t>–</w:t>
            </w:r>
            <w:r w:rsidRPr="00BF419C">
              <w:t>488.9</w:t>
            </w:r>
          </w:p>
        </w:tc>
      </w:tr>
      <w:tr w:rsidR="00BF419C" w:rsidRPr="00186632" w:rsidTr="00BF419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BF419C" w:rsidRPr="00186632" w:rsidRDefault="00BF419C" w:rsidP="005E15A1">
            <w:pPr>
              <w:rPr>
                <w:rStyle w:val="Strong"/>
              </w:rPr>
            </w:pPr>
            <w:r w:rsidRPr="00186632">
              <w:rPr>
                <w:rStyle w:val="Strong"/>
              </w:rPr>
              <w:t>Opening RAB as at 1 July 2015</w:t>
            </w:r>
          </w:p>
        </w:tc>
        <w:tc>
          <w:tcPr>
            <w:tcW w:w="566" w:type="pct"/>
            <w:noWrap/>
          </w:tcPr>
          <w:p w:rsidR="00BF419C" w:rsidRPr="00186632" w:rsidRDefault="00BF419C" w:rsidP="005E15A1">
            <w:pPr>
              <w:cnfStyle w:val="000000010000" w:firstRow="0" w:lastRow="0" w:firstColumn="0" w:lastColumn="0" w:oddVBand="0" w:evenVBand="0" w:oddHBand="0" w:evenHBand="1" w:firstRowFirstColumn="0" w:firstRowLastColumn="0" w:lastRowFirstColumn="0" w:lastRowLastColumn="0"/>
              <w:rPr>
                <w:rStyle w:val="Strong"/>
              </w:rPr>
            </w:pPr>
            <w:r w:rsidRPr="00186632">
              <w:rPr>
                <w:rStyle w:val="Strong"/>
              </w:rPr>
              <w:t> </w:t>
            </w:r>
          </w:p>
        </w:tc>
        <w:tc>
          <w:tcPr>
            <w:tcW w:w="566" w:type="pct"/>
            <w:noWrap/>
          </w:tcPr>
          <w:p w:rsidR="00BF419C" w:rsidRPr="00186632" w:rsidRDefault="00BF419C" w:rsidP="005E15A1">
            <w:pPr>
              <w:cnfStyle w:val="000000010000" w:firstRow="0" w:lastRow="0" w:firstColumn="0" w:lastColumn="0" w:oddVBand="0" w:evenVBand="0" w:oddHBand="0" w:evenHBand="1" w:firstRowFirstColumn="0" w:firstRowLastColumn="0" w:lastRowFirstColumn="0" w:lastRowLastColumn="0"/>
              <w:rPr>
                <w:rStyle w:val="Strong"/>
              </w:rPr>
            </w:pPr>
            <w:r w:rsidRPr="00186632">
              <w:rPr>
                <w:rStyle w:val="Strong"/>
              </w:rPr>
              <w:t> </w:t>
            </w:r>
          </w:p>
        </w:tc>
        <w:tc>
          <w:tcPr>
            <w:tcW w:w="567" w:type="pct"/>
            <w:noWrap/>
          </w:tcPr>
          <w:p w:rsidR="00BF419C" w:rsidRPr="00186632" w:rsidRDefault="00BF419C" w:rsidP="005E15A1">
            <w:pPr>
              <w:cnfStyle w:val="000000010000" w:firstRow="0" w:lastRow="0" w:firstColumn="0" w:lastColumn="0" w:oddVBand="0" w:evenVBand="0" w:oddHBand="0" w:evenHBand="1" w:firstRowFirstColumn="0" w:firstRowLastColumn="0" w:lastRowFirstColumn="0" w:lastRowLastColumn="0"/>
              <w:rPr>
                <w:rStyle w:val="Strong"/>
              </w:rPr>
            </w:pPr>
            <w:r w:rsidRPr="00186632">
              <w:rPr>
                <w:rStyle w:val="Strong"/>
              </w:rPr>
              <w:t> </w:t>
            </w:r>
          </w:p>
        </w:tc>
        <w:tc>
          <w:tcPr>
            <w:tcW w:w="566" w:type="pct"/>
            <w:noWrap/>
          </w:tcPr>
          <w:p w:rsidR="00BF419C" w:rsidRPr="00186632" w:rsidRDefault="00BF419C" w:rsidP="005E15A1">
            <w:pPr>
              <w:cnfStyle w:val="000000010000" w:firstRow="0" w:lastRow="0" w:firstColumn="0" w:lastColumn="0" w:oddVBand="0" w:evenVBand="0" w:oddHBand="0" w:evenHBand="1" w:firstRowFirstColumn="0" w:firstRowLastColumn="0" w:lastRowFirstColumn="0" w:lastRowLastColumn="0"/>
              <w:rPr>
                <w:rStyle w:val="Strong"/>
              </w:rPr>
            </w:pPr>
            <w:r w:rsidRPr="00186632">
              <w:rPr>
                <w:rStyle w:val="Strong"/>
              </w:rPr>
              <w:t> </w:t>
            </w:r>
          </w:p>
        </w:tc>
        <w:tc>
          <w:tcPr>
            <w:tcW w:w="567" w:type="pct"/>
            <w:noWrap/>
          </w:tcPr>
          <w:p w:rsidR="00BF419C" w:rsidRPr="00186632" w:rsidRDefault="00BF419C" w:rsidP="005E15A1">
            <w:pPr>
              <w:cnfStyle w:val="000000010000" w:firstRow="0" w:lastRow="0" w:firstColumn="0" w:lastColumn="0" w:oddVBand="0" w:evenVBand="0" w:oddHBand="0" w:evenHBand="1" w:firstRowFirstColumn="0" w:firstRowLastColumn="0" w:lastRowFirstColumn="0" w:lastRowLastColumn="0"/>
              <w:rPr>
                <w:rStyle w:val="Strong"/>
              </w:rPr>
            </w:pPr>
            <w:r w:rsidRPr="00186632">
              <w:rPr>
                <w:rStyle w:val="Strong"/>
              </w:rPr>
              <w:t>11333.7</w:t>
            </w:r>
          </w:p>
        </w:tc>
      </w:tr>
    </w:tbl>
    <w:p w:rsidR="004A3E59" w:rsidRPr="004B1187" w:rsidRDefault="004A3E59" w:rsidP="004B1187">
      <w:pPr>
        <w:pStyle w:val="AERtablesource"/>
      </w:pPr>
      <w:r w:rsidRPr="004B1187">
        <w:t>Source:</w:t>
      </w:r>
      <w:r w:rsidRPr="004B1187">
        <w:tab/>
        <w:t>AER analysis.</w:t>
      </w:r>
    </w:p>
    <w:p w:rsidR="004A3E59" w:rsidRPr="004B1187" w:rsidRDefault="004A3E59">
      <w:pPr>
        <w:pStyle w:val="AERtablesource"/>
      </w:pPr>
      <w:r w:rsidRPr="004B1187">
        <w:t>(a)</w:t>
      </w:r>
      <w:r w:rsidRPr="004B1187">
        <w:tab/>
        <w:t>Based on estimated capex. We will update the RAB roll forward in the substitute decision.</w:t>
      </w:r>
    </w:p>
    <w:p w:rsidR="004A3E59" w:rsidRDefault="004A3E59">
      <w:pPr>
        <w:pStyle w:val="AERtablesource"/>
      </w:pPr>
      <w:r w:rsidRPr="004B1187">
        <w:t>(b)</w:t>
      </w:r>
      <w:r w:rsidRPr="004B1187">
        <w:tab/>
        <w:t>Net of disposals and adjusted for CPI.</w:t>
      </w:r>
    </w:p>
    <w:p w:rsidR="00DC043E" w:rsidRDefault="00DC043E" w:rsidP="00DC043E"/>
    <w:p w:rsidR="00DC043E" w:rsidRPr="00DC043E" w:rsidRDefault="00DC043E" w:rsidP="00DC043E"/>
    <w:p w:rsidR="00112BF8" w:rsidRPr="00112BF8" w:rsidRDefault="00112BF8" w:rsidP="00112BF8">
      <w:pPr>
        <w:pStyle w:val="Caption"/>
      </w:pPr>
      <w:r w:rsidRPr="00112BF8">
        <w:t xml:space="preserve">Table </w:t>
      </w:r>
      <w:r w:rsidR="00C43224">
        <w:t>4</w:t>
      </w:r>
      <w:r w:rsidRPr="00112BF8">
        <w:tab/>
        <w:t>AER's preliminary decision on Energex's RAB for the 2015–20 period ($ million, nominal)</w:t>
      </w:r>
    </w:p>
    <w:tbl>
      <w:tblPr>
        <w:tblStyle w:val="AERtable-numbers"/>
        <w:tblW w:w="5000" w:type="pct"/>
        <w:tblLook w:val="01E0" w:firstRow="1" w:lastRow="1" w:firstColumn="1" w:lastColumn="1" w:noHBand="0" w:noVBand="0"/>
      </w:tblPr>
      <w:tblGrid>
        <w:gridCol w:w="3439"/>
        <w:gridCol w:w="1052"/>
        <w:gridCol w:w="1052"/>
        <w:gridCol w:w="1050"/>
        <w:gridCol w:w="1050"/>
        <w:gridCol w:w="1050"/>
      </w:tblGrid>
      <w:tr w:rsidR="00112BF8" w:rsidRPr="00E404D2" w:rsidTr="00186632">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112BF8" w:rsidRPr="00112BF8" w:rsidRDefault="00112BF8" w:rsidP="00112BF8"/>
        </w:tc>
        <w:tc>
          <w:tcPr>
            <w:tcW w:w="605" w:type="pct"/>
          </w:tcPr>
          <w:p w:rsidR="00112BF8" w:rsidRPr="00112BF8" w:rsidRDefault="00112BF8" w:rsidP="00112BF8">
            <w:pPr>
              <w:cnfStyle w:val="100000000000" w:firstRow="1" w:lastRow="0" w:firstColumn="0" w:lastColumn="0" w:oddVBand="0" w:evenVBand="0" w:oddHBand="0" w:evenHBand="0" w:firstRowFirstColumn="0" w:firstRowLastColumn="0" w:lastRowFirstColumn="0" w:lastRowLastColumn="0"/>
            </w:pPr>
            <w:r w:rsidRPr="00112BF8">
              <w:t>201</w:t>
            </w:r>
            <w:r>
              <w:t>5</w:t>
            </w:r>
            <w:r w:rsidRPr="00112BF8">
              <w:t>–1</w:t>
            </w:r>
            <w:r>
              <w:t>6</w:t>
            </w:r>
          </w:p>
        </w:tc>
        <w:tc>
          <w:tcPr>
            <w:tcW w:w="605" w:type="pct"/>
          </w:tcPr>
          <w:p w:rsidR="00112BF8" w:rsidRPr="00112BF8" w:rsidRDefault="00112BF8" w:rsidP="00112BF8">
            <w:pPr>
              <w:cnfStyle w:val="100000000000" w:firstRow="1" w:lastRow="0" w:firstColumn="0" w:lastColumn="0" w:oddVBand="0" w:evenVBand="0" w:oddHBand="0" w:evenHBand="0" w:firstRowFirstColumn="0" w:firstRowLastColumn="0" w:lastRowFirstColumn="0" w:lastRowLastColumn="0"/>
            </w:pPr>
            <w:r w:rsidRPr="00112BF8">
              <w:t>201</w:t>
            </w:r>
            <w:r>
              <w:t>6</w:t>
            </w:r>
            <w:r w:rsidRPr="00112BF8">
              <w:t>–1</w:t>
            </w:r>
            <w:r>
              <w:t>7</w:t>
            </w:r>
          </w:p>
        </w:tc>
        <w:tc>
          <w:tcPr>
            <w:tcW w:w="604" w:type="pct"/>
          </w:tcPr>
          <w:p w:rsidR="00112BF8" w:rsidRPr="00112BF8" w:rsidRDefault="00112BF8" w:rsidP="00112BF8">
            <w:pPr>
              <w:cnfStyle w:val="100000000000" w:firstRow="1" w:lastRow="0" w:firstColumn="0" w:lastColumn="0" w:oddVBand="0" w:evenVBand="0" w:oddHBand="0" w:evenHBand="0" w:firstRowFirstColumn="0" w:firstRowLastColumn="0" w:lastRowFirstColumn="0" w:lastRowLastColumn="0"/>
            </w:pPr>
            <w:r w:rsidRPr="00112BF8">
              <w:t>201</w:t>
            </w:r>
            <w:r>
              <w:t>7</w:t>
            </w:r>
            <w:r w:rsidRPr="00112BF8">
              <w:t>–1</w:t>
            </w:r>
            <w:r>
              <w:t>8</w:t>
            </w:r>
          </w:p>
        </w:tc>
        <w:tc>
          <w:tcPr>
            <w:tcW w:w="604" w:type="pct"/>
          </w:tcPr>
          <w:p w:rsidR="00112BF8" w:rsidRPr="00112BF8" w:rsidRDefault="00112BF8" w:rsidP="00112BF8">
            <w:pPr>
              <w:cnfStyle w:val="100000000000" w:firstRow="1" w:lastRow="0" w:firstColumn="0" w:lastColumn="0" w:oddVBand="0" w:evenVBand="0" w:oddHBand="0" w:evenHBand="0" w:firstRowFirstColumn="0" w:firstRowLastColumn="0" w:lastRowFirstColumn="0" w:lastRowLastColumn="0"/>
            </w:pPr>
            <w:r w:rsidRPr="00112BF8">
              <w:t>201</w:t>
            </w:r>
            <w:r>
              <w:t>8</w:t>
            </w:r>
            <w:r w:rsidRPr="00112BF8">
              <w:t>–1</w:t>
            </w:r>
            <w:r>
              <w:t>9</w:t>
            </w:r>
          </w:p>
        </w:tc>
        <w:tc>
          <w:tcPr>
            <w:tcW w:w="604" w:type="pct"/>
          </w:tcPr>
          <w:p w:rsidR="00112BF8" w:rsidRPr="00112BF8" w:rsidRDefault="00112BF8" w:rsidP="00112BF8">
            <w:pPr>
              <w:cnfStyle w:val="100000000000" w:firstRow="1" w:lastRow="0" w:firstColumn="0" w:lastColumn="0" w:oddVBand="0" w:evenVBand="0" w:oddHBand="0" w:evenHBand="0" w:firstRowFirstColumn="0" w:firstRowLastColumn="0" w:lastRowFirstColumn="0" w:lastRowLastColumn="0"/>
            </w:pPr>
            <w:r w:rsidRPr="00112BF8">
              <w:t>201</w:t>
            </w:r>
            <w:r>
              <w:t>9</w:t>
            </w:r>
            <w:r w:rsidRPr="00112BF8">
              <w:t>–</w:t>
            </w:r>
            <w:r>
              <w:t>20</w:t>
            </w:r>
          </w:p>
        </w:tc>
      </w:tr>
      <w:tr w:rsidR="00186632" w:rsidRPr="000B73AB" w:rsidTr="00186632">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186632" w:rsidRPr="00186632" w:rsidRDefault="00186632" w:rsidP="00186632">
            <w:r w:rsidRPr="00186632">
              <w:t>Opening RAB</w:t>
            </w:r>
          </w:p>
        </w:tc>
        <w:tc>
          <w:tcPr>
            <w:tcW w:w="605"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11333.7</w:t>
            </w:r>
          </w:p>
        </w:tc>
        <w:tc>
          <w:tcPr>
            <w:tcW w:w="605"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11767.5</w:t>
            </w:r>
          </w:p>
        </w:tc>
        <w:tc>
          <w:tcPr>
            <w:tcW w:w="604"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12201.6</w:t>
            </w:r>
          </w:p>
        </w:tc>
        <w:tc>
          <w:tcPr>
            <w:tcW w:w="604"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12584.9</w:t>
            </w:r>
          </w:p>
        </w:tc>
        <w:tc>
          <w:tcPr>
            <w:tcW w:w="604"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12956.5</w:t>
            </w:r>
          </w:p>
        </w:tc>
      </w:tr>
      <w:tr w:rsidR="00186632" w:rsidRPr="000B73AB" w:rsidTr="00186632">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186632" w:rsidRPr="00186632" w:rsidRDefault="00186632" w:rsidP="00186632">
            <w:r w:rsidRPr="00186632">
              <w:t>Capital expenditure</w:t>
            </w:r>
            <w:r w:rsidRPr="00186632">
              <w:rPr>
                <w:rStyle w:val="AERsuperscript"/>
              </w:rPr>
              <w:t>a</w:t>
            </w:r>
          </w:p>
        </w:tc>
        <w:tc>
          <w:tcPr>
            <w:tcW w:w="605"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499.4</w:t>
            </w:r>
          </w:p>
        </w:tc>
        <w:tc>
          <w:tcPr>
            <w:tcW w:w="605"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512.5</w:t>
            </w:r>
          </w:p>
        </w:tc>
        <w:tc>
          <w:tcPr>
            <w:tcW w:w="604"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476.4</w:t>
            </w:r>
          </w:p>
        </w:tc>
        <w:tc>
          <w:tcPr>
            <w:tcW w:w="604"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474.2</w:t>
            </w:r>
          </w:p>
        </w:tc>
        <w:tc>
          <w:tcPr>
            <w:tcW w:w="604"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489.2</w:t>
            </w:r>
          </w:p>
        </w:tc>
      </w:tr>
      <w:tr w:rsidR="00186632" w:rsidRPr="000B73AB" w:rsidTr="00186632">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186632" w:rsidRPr="00186632" w:rsidRDefault="00186632" w:rsidP="00186632">
            <w:r w:rsidRPr="00186632">
              <w:t>Inflation indexation on opening RAB</w:t>
            </w:r>
          </w:p>
        </w:tc>
        <w:tc>
          <w:tcPr>
            <w:tcW w:w="605"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289.0</w:t>
            </w:r>
          </w:p>
        </w:tc>
        <w:tc>
          <w:tcPr>
            <w:tcW w:w="605"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300.1</w:t>
            </w:r>
          </w:p>
        </w:tc>
        <w:tc>
          <w:tcPr>
            <w:tcW w:w="604"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311.1</w:t>
            </w:r>
          </w:p>
        </w:tc>
        <w:tc>
          <w:tcPr>
            <w:tcW w:w="604"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320.9</w:t>
            </w:r>
          </w:p>
        </w:tc>
        <w:tc>
          <w:tcPr>
            <w:tcW w:w="604"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pPr>
            <w:r w:rsidRPr="00186632">
              <w:t>330.4</w:t>
            </w:r>
          </w:p>
        </w:tc>
      </w:tr>
      <w:tr w:rsidR="00186632" w:rsidRPr="000B73AB" w:rsidTr="00186632">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186632" w:rsidRPr="00186632" w:rsidRDefault="00186632" w:rsidP="00186632">
            <w:r w:rsidRPr="00186632">
              <w:rPr>
                <w:rStyle w:val="AERtextitalic"/>
              </w:rPr>
              <w:t>Less</w:t>
            </w:r>
            <w:r w:rsidRPr="00186632">
              <w:t>: Straight-line depreciation</w:t>
            </w:r>
          </w:p>
        </w:tc>
        <w:tc>
          <w:tcPr>
            <w:tcW w:w="605"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354.6</w:t>
            </w:r>
          </w:p>
        </w:tc>
        <w:tc>
          <w:tcPr>
            <w:tcW w:w="605"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378.4</w:t>
            </w:r>
          </w:p>
        </w:tc>
        <w:tc>
          <w:tcPr>
            <w:tcW w:w="604"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404.3</w:t>
            </w:r>
          </w:p>
        </w:tc>
        <w:tc>
          <w:tcPr>
            <w:tcW w:w="604"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423.6</w:t>
            </w:r>
          </w:p>
        </w:tc>
        <w:tc>
          <w:tcPr>
            <w:tcW w:w="604" w:type="pct"/>
          </w:tcPr>
          <w:p w:rsidR="00186632" w:rsidRPr="00186632" w:rsidRDefault="00186632" w:rsidP="00186632">
            <w:pPr>
              <w:cnfStyle w:val="000000010000" w:firstRow="0" w:lastRow="0" w:firstColumn="0" w:lastColumn="0" w:oddVBand="0" w:evenVBand="0" w:oddHBand="0" w:evenHBand="1" w:firstRowFirstColumn="0" w:firstRowLastColumn="0" w:lastRowFirstColumn="0" w:lastRowLastColumn="0"/>
            </w:pPr>
            <w:r w:rsidRPr="00186632">
              <w:t>446.1</w:t>
            </w:r>
          </w:p>
        </w:tc>
      </w:tr>
      <w:tr w:rsidR="00186632" w:rsidRPr="00186632" w:rsidTr="00186632">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186632" w:rsidRPr="00186632" w:rsidRDefault="00186632" w:rsidP="00186632">
            <w:pPr>
              <w:rPr>
                <w:rStyle w:val="Strong"/>
              </w:rPr>
            </w:pPr>
            <w:r w:rsidRPr="00186632">
              <w:rPr>
                <w:rStyle w:val="Strong"/>
              </w:rPr>
              <w:t>Closing RAB</w:t>
            </w:r>
          </w:p>
        </w:tc>
        <w:tc>
          <w:tcPr>
            <w:tcW w:w="605"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11767.5</w:t>
            </w:r>
          </w:p>
        </w:tc>
        <w:tc>
          <w:tcPr>
            <w:tcW w:w="605"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12201.6</w:t>
            </w:r>
          </w:p>
        </w:tc>
        <w:tc>
          <w:tcPr>
            <w:tcW w:w="604"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12584.9</w:t>
            </w:r>
          </w:p>
        </w:tc>
        <w:tc>
          <w:tcPr>
            <w:tcW w:w="604"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12956.5</w:t>
            </w:r>
          </w:p>
        </w:tc>
        <w:tc>
          <w:tcPr>
            <w:tcW w:w="604" w:type="pct"/>
          </w:tcPr>
          <w:p w:rsidR="00186632" w:rsidRPr="00186632" w:rsidRDefault="00186632" w:rsidP="00186632">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13329.9</w:t>
            </w:r>
          </w:p>
        </w:tc>
      </w:tr>
    </w:tbl>
    <w:p w:rsidR="00112BF8" w:rsidRPr="00112BF8" w:rsidRDefault="00112BF8" w:rsidP="00112BF8">
      <w:pPr>
        <w:pStyle w:val="AERtablesource"/>
      </w:pPr>
      <w:r w:rsidRPr="00112BF8">
        <w:t>Source:</w:t>
      </w:r>
      <w:r w:rsidRPr="00112BF8">
        <w:tab/>
        <w:t>AER analysis.</w:t>
      </w:r>
    </w:p>
    <w:p w:rsidR="00112BF8" w:rsidRPr="00112BF8" w:rsidRDefault="00112BF8" w:rsidP="00112BF8">
      <w:pPr>
        <w:pStyle w:val="AERtablesource"/>
      </w:pPr>
      <w:r w:rsidRPr="00112BF8">
        <w:t xml:space="preserve">(a) </w:t>
      </w:r>
      <w:r w:rsidRPr="00112BF8">
        <w:tab/>
        <w:t>Net of forecast disposals and capital contributions.</w:t>
      </w:r>
    </w:p>
    <w:p w:rsidR="00112BF8" w:rsidRPr="00112BF8" w:rsidRDefault="00112BF8" w:rsidP="00112BF8">
      <w:pPr>
        <w:numPr>
          <w:ilvl w:val="0"/>
          <w:numId w:val="25"/>
        </w:numPr>
      </w:pPr>
      <w:r w:rsidRPr="00112BF8">
        <w:t xml:space="preserve">Our decision not to accept </w:t>
      </w:r>
      <w:r w:rsidR="00F566BD">
        <w:t>Energex</w:t>
      </w:r>
      <w:r w:rsidR="00F566BD" w:rsidRPr="00112BF8">
        <w:t xml:space="preserve">'s </w:t>
      </w:r>
      <w:r w:rsidRPr="00112BF8">
        <w:t>proposed RAB is because we amended its RAB roll forward</w:t>
      </w:r>
      <w:r w:rsidR="006B6D5C">
        <w:t xml:space="preserve"> to account</w:t>
      </w:r>
      <w:r w:rsidRPr="00112BF8">
        <w:t xml:space="preserve"> for the following:</w:t>
      </w:r>
    </w:p>
    <w:p w:rsidR="00F566BD" w:rsidRDefault="009B0EDD" w:rsidP="00112BF8">
      <w:pPr>
        <w:pStyle w:val="AERbulletlistfirststyle"/>
      </w:pPr>
      <w:r>
        <w:t>c</w:t>
      </w:r>
      <w:r w:rsidR="00F566BD">
        <w:t xml:space="preserve">orrected input errors in the remaining asset lives </w:t>
      </w:r>
      <w:r w:rsidR="001364D6">
        <w:t xml:space="preserve">as at 1 July 2010 </w:t>
      </w:r>
      <w:r w:rsidR="00F566BD">
        <w:t>used to roll forward the RAB and adjustments for capitalised provisions</w:t>
      </w:r>
    </w:p>
    <w:p w:rsidR="00F566BD" w:rsidRDefault="009B0EDD" w:rsidP="00112BF8">
      <w:pPr>
        <w:pStyle w:val="AERbulletlistfirststyle"/>
      </w:pPr>
      <w:r>
        <w:t>r</w:t>
      </w:r>
      <w:r w:rsidR="00F566BD">
        <w:t>emoved the updated amount of type 5 and 6 metering assets and certain load control assets (association with newer meter types) from the RAB as at 1 July 2015</w:t>
      </w:r>
    </w:p>
    <w:p w:rsidR="00F566BD" w:rsidRDefault="009B0EDD" w:rsidP="00112BF8">
      <w:pPr>
        <w:pStyle w:val="AERbulletlistfirststyle"/>
      </w:pPr>
      <w:r>
        <w:t>r</w:t>
      </w:r>
      <w:r w:rsidR="00F566BD">
        <w:t>emoved certain unregulated assets from the RAB.</w:t>
      </w:r>
      <w:r w:rsidR="00F566BD" w:rsidRPr="00F566BD">
        <w:rPr>
          <w:rStyle w:val="FootnoteReference"/>
        </w:rPr>
        <w:footnoteReference w:id="18"/>
      </w:r>
    </w:p>
    <w:p w:rsidR="00F566BD" w:rsidRPr="00F566BD" w:rsidRDefault="001364D6" w:rsidP="00F566BD">
      <w:r>
        <w:t>T</w:t>
      </w:r>
      <w:r w:rsidR="00F566BD" w:rsidRPr="00F566BD">
        <w:t xml:space="preserve">he opening RAB as at 1 July 2015 </w:t>
      </w:r>
      <w:r>
        <w:t>is</w:t>
      </w:r>
      <w:r w:rsidRPr="00F566BD">
        <w:t xml:space="preserve"> </w:t>
      </w:r>
      <w:r w:rsidR="00F566BD" w:rsidRPr="00F566BD">
        <w:t>$</w:t>
      </w:r>
      <w:r w:rsidR="008340EB" w:rsidRPr="008340EB">
        <w:t xml:space="preserve">20.6 </w:t>
      </w:r>
      <w:r w:rsidR="00F566BD" w:rsidRPr="00F566BD">
        <w:t>million (or 0.</w:t>
      </w:r>
      <w:r w:rsidR="008340EB" w:rsidRPr="008340EB">
        <w:t>2</w:t>
      </w:r>
      <w:r w:rsidR="00F566BD" w:rsidRPr="00F566BD">
        <w:t xml:space="preserve"> per cent) </w:t>
      </w:r>
      <w:r>
        <w:t>higher than the</w:t>
      </w:r>
      <w:r w:rsidR="00F566BD" w:rsidRPr="00F566BD">
        <w:t xml:space="preserve"> </w:t>
      </w:r>
      <w:r w:rsidR="00113E76">
        <w:t xml:space="preserve">opening RAB of </w:t>
      </w:r>
      <w:r w:rsidR="00113E76" w:rsidRPr="00112BF8">
        <w:t>$</w:t>
      </w:r>
      <w:r w:rsidR="00113E76">
        <w:t>11</w:t>
      </w:r>
      <w:r w:rsidR="00311762">
        <w:t> </w:t>
      </w:r>
      <w:r w:rsidR="00113E76">
        <w:t xml:space="preserve">313.1 </w:t>
      </w:r>
      <w:r w:rsidR="00113E76" w:rsidRPr="00112BF8">
        <w:t xml:space="preserve">million </w:t>
      </w:r>
      <w:r w:rsidR="00113E76">
        <w:t xml:space="preserve">($ nominal) Energex </w:t>
      </w:r>
      <w:r w:rsidR="00F566BD" w:rsidRPr="00F566BD">
        <w:t>proposed</w:t>
      </w:r>
      <w:r w:rsidR="000C7D19">
        <w:t>.</w:t>
      </w:r>
      <w:r>
        <w:t xml:space="preserve"> The error in remaining asset lives as at 1 July 2010 was the most significant adjustment and caused the net increase in the RAB, all other adjustments reduced the RAB.</w:t>
      </w:r>
    </w:p>
    <w:p w:rsidR="00F566BD" w:rsidRDefault="00744175" w:rsidP="00112BF8">
      <w:r>
        <w:t>We forecast Energex's closing RAB value at 30 June 2020 to be $</w:t>
      </w:r>
      <w:r w:rsidR="00083C24" w:rsidRPr="00CC02E9">
        <w:rPr>
          <w:rStyle w:val="AERbodytextChar"/>
          <w:rFonts w:eastAsiaTheme="minorHAnsi"/>
        </w:rPr>
        <w:t>13</w:t>
      </w:r>
      <w:r w:rsidR="00311762">
        <w:rPr>
          <w:rStyle w:val="AERbodytextChar"/>
          <w:rFonts w:eastAsiaTheme="minorHAnsi"/>
        </w:rPr>
        <w:t> </w:t>
      </w:r>
      <w:r w:rsidR="00083C24" w:rsidRPr="00CC02E9">
        <w:rPr>
          <w:rStyle w:val="AERbodytextChar"/>
          <w:rFonts w:eastAsiaTheme="minorHAnsi"/>
        </w:rPr>
        <w:t>3</w:t>
      </w:r>
      <w:r w:rsidR="00A44270" w:rsidRPr="00CC02E9">
        <w:rPr>
          <w:rStyle w:val="AERbodytextChar"/>
          <w:rFonts w:eastAsiaTheme="minorHAnsi"/>
        </w:rPr>
        <w:t>2</w:t>
      </w:r>
      <w:r w:rsidR="00186632">
        <w:rPr>
          <w:rStyle w:val="AERbodytextChar"/>
          <w:rFonts w:eastAsiaTheme="minorHAnsi"/>
        </w:rPr>
        <w:t>9.9</w:t>
      </w:r>
      <w:r w:rsidR="00083C24" w:rsidRPr="00CC02E9">
        <w:rPr>
          <w:rStyle w:val="AERbodytextChar"/>
          <w:rFonts w:eastAsiaTheme="minorHAnsi"/>
        </w:rPr>
        <w:t xml:space="preserve"> </w:t>
      </w:r>
      <w:r w:rsidRPr="00CC02E9">
        <w:rPr>
          <w:rStyle w:val="AERbodytextChar"/>
          <w:rFonts w:eastAsiaTheme="minorHAnsi"/>
        </w:rPr>
        <w:t>million ($</w:t>
      </w:r>
      <w:r w:rsidR="00CE0819">
        <w:rPr>
          <w:rStyle w:val="AERbodytextChar"/>
          <w:rFonts w:eastAsiaTheme="minorHAnsi"/>
        </w:rPr>
        <w:t> </w:t>
      </w:r>
      <w:r w:rsidRPr="00CC02E9">
        <w:rPr>
          <w:rStyle w:val="AERbodytextChar"/>
          <w:rFonts w:eastAsiaTheme="minorHAnsi"/>
        </w:rPr>
        <w:t xml:space="preserve">nominal). This represents </w:t>
      </w:r>
      <w:r w:rsidR="00A44270" w:rsidRPr="00CC02E9">
        <w:rPr>
          <w:rStyle w:val="AERbodytextChar"/>
          <w:rFonts w:eastAsiaTheme="minorHAnsi"/>
        </w:rPr>
        <w:t>6.5</w:t>
      </w:r>
      <w:r w:rsidRPr="00CC02E9">
        <w:rPr>
          <w:rStyle w:val="AERbodytextChar"/>
          <w:rFonts w:eastAsiaTheme="minorHAnsi"/>
        </w:rPr>
        <w:t xml:space="preserve"> per cent </w:t>
      </w:r>
      <w:r w:rsidR="00BE0E73">
        <w:rPr>
          <w:rStyle w:val="AERbodytextChar"/>
          <w:rFonts w:eastAsiaTheme="minorHAnsi"/>
        </w:rPr>
        <w:t xml:space="preserve">less than </w:t>
      </w:r>
      <w:r w:rsidRPr="00CC02E9">
        <w:rPr>
          <w:rStyle w:val="AERbodytextChar"/>
          <w:rFonts w:eastAsiaTheme="minorHAnsi"/>
        </w:rPr>
        <w:t>what Energex proposed or $</w:t>
      </w:r>
      <w:r w:rsidR="00522723" w:rsidRPr="00CC02E9">
        <w:rPr>
          <w:rStyle w:val="AERbodytextChar"/>
          <w:rFonts w:eastAsiaTheme="minorHAnsi"/>
        </w:rPr>
        <w:t>9</w:t>
      </w:r>
      <w:r w:rsidR="00A44270" w:rsidRPr="00CC02E9">
        <w:rPr>
          <w:rStyle w:val="AERbodytextChar"/>
          <w:rFonts w:eastAsiaTheme="minorHAnsi"/>
        </w:rPr>
        <w:t>2</w:t>
      </w:r>
      <w:r w:rsidR="00186632">
        <w:rPr>
          <w:rStyle w:val="AERbodytextChar"/>
          <w:rFonts w:eastAsiaTheme="minorHAnsi"/>
        </w:rPr>
        <w:t>5.2</w:t>
      </w:r>
      <w:r w:rsidRPr="00CC02E9">
        <w:rPr>
          <w:rStyle w:val="AERbodytextChar"/>
          <w:rFonts w:eastAsiaTheme="minorHAnsi"/>
        </w:rPr>
        <w:t xml:space="preserve"> million lower than the amount of $</w:t>
      </w:r>
      <w:r w:rsidR="00522723" w:rsidRPr="00CC02E9">
        <w:rPr>
          <w:rStyle w:val="AERbodytextChar"/>
          <w:rFonts w:eastAsiaTheme="minorHAnsi"/>
        </w:rPr>
        <w:t>14</w:t>
      </w:r>
      <w:r w:rsidR="00311762">
        <w:rPr>
          <w:rStyle w:val="AERbodytextChar"/>
          <w:rFonts w:eastAsiaTheme="minorHAnsi"/>
        </w:rPr>
        <w:t> </w:t>
      </w:r>
      <w:r w:rsidR="00522723" w:rsidRPr="00CC02E9">
        <w:rPr>
          <w:rStyle w:val="AERbodytextChar"/>
          <w:rFonts w:eastAsiaTheme="minorHAnsi"/>
        </w:rPr>
        <w:t>255</w:t>
      </w:r>
      <w:r w:rsidR="00277707" w:rsidRPr="00CC02E9">
        <w:rPr>
          <w:rStyle w:val="AERbodytextChar"/>
          <w:rFonts w:eastAsiaTheme="minorHAnsi"/>
        </w:rPr>
        <w:t>.2</w:t>
      </w:r>
      <w:r w:rsidRPr="00CC02E9">
        <w:rPr>
          <w:rStyle w:val="AERbodytextChar"/>
          <w:rFonts w:eastAsiaTheme="minorHAnsi"/>
        </w:rPr>
        <w:t xml:space="preserve"> million ($ nominal</w:t>
      </w:r>
      <w:r>
        <w:t xml:space="preserve">) Energex proposed. </w:t>
      </w:r>
      <w:r w:rsidR="00FA6D21">
        <w:t>The</w:t>
      </w:r>
      <w:r w:rsidR="00CE0819">
        <w:t xml:space="preserve"> main reasons for this reduction are our adjustments</w:t>
      </w:r>
      <w:r>
        <w:t xml:space="preserve"> to: </w:t>
      </w:r>
    </w:p>
    <w:p w:rsidR="00112BF8" w:rsidRPr="00112BF8" w:rsidRDefault="00112BF8" w:rsidP="00112BF8">
      <w:pPr>
        <w:pStyle w:val="AERbulletlistfirststyle"/>
      </w:pPr>
      <w:r w:rsidRPr="00112BF8">
        <w:t>forecast capex (attachment 6)</w:t>
      </w:r>
    </w:p>
    <w:p w:rsidR="00112BF8" w:rsidRDefault="00112BF8" w:rsidP="00112BF8">
      <w:pPr>
        <w:pStyle w:val="AERbulletlistfirststyle"/>
      </w:pPr>
      <w:r w:rsidRPr="00112BF8">
        <w:t xml:space="preserve">forecast depreciation (attachment 5). </w:t>
      </w:r>
    </w:p>
    <w:p w:rsidR="00C31090" w:rsidRDefault="00C31090" w:rsidP="00C31090">
      <w:r w:rsidRPr="009F4C42">
        <w:t xml:space="preserve">Details of our </w:t>
      </w:r>
      <w:r w:rsidR="00FA6D21">
        <w:t>preliminary decision on the value of the RAB are set out in</w:t>
      </w:r>
      <w:r w:rsidRPr="009F4C42">
        <w:t xml:space="preserve"> attachment</w:t>
      </w:r>
      <w:r>
        <w:t xml:space="preserve"> 2</w:t>
      </w:r>
      <w:r w:rsidRPr="009F4C42">
        <w:t>.</w:t>
      </w:r>
    </w:p>
    <w:p w:rsidR="00E54A59" w:rsidRDefault="00E54A59" w:rsidP="00E54A59">
      <w:pPr>
        <w:pStyle w:val="Heading2"/>
      </w:pPr>
      <w:bookmarkStart w:id="24" w:name="_Toc417973138"/>
      <w:bookmarkStart w:id="25" w:name="_Toc390936279"/>
      <w:bookmarkStart w:id="26" w:name="_Toc404437129"/>
      <w:bookmarkStart w:id="27" w:name="_Toc411428029"/>
      <w:r>
        <w:t>Rate of return (return on capital)</w:t>
      </w:r>
      <w:bookmarkEnd w:id="24"/>
    </w:p>
    <w:p w:rsidR="00F86A91" w:rsidRDefault="00F86A91" w:rsidP="00112BF8">
      <w:pPr>
        <w:numPr>
          <w:ilvl w:val="0"/>
          <w:numId w:val="25"/>
        </w:numPr>
      </w:pPr>
      <w:r>
        <w:t>The return on capital provides a distributor with revenue to service the interest on its loans and to give a return on equity to shareholders. This building block is calculated as a produc</w:t>
      </w:r>
      <w:r w:rsidR="00FB69D7">
        <w:t>t</w:t>
      </w:r>
      <w:r>
        <w:t xml:space="preserve"> of the rate of return and the value of the RAB.</w:t>
      </w:r>
      <w:r w:rsidRPr="00F86A91">
        <w:rPr>
          <w:rStyle w:val="FootnoteReference"/>
        </w:rPr>
        <w:t xml:space="preserve"> </w:t>
      </w:r>
      <w:r w:rsidRPr="00112BF8">
        <w:rPr>
          <w:rStyle w:val="FootnoteReference"/>
        </w:rPr>
        <w:footnoteReference w:id="19"/>
      </w:r>
      <w:r>
        <w:t xml:space="preserve"> </w:t>
      </w:r>
    </w:p>
    <w:p w:rsidR="00F86A91" w:rsidRDefault="005828D2" w:rsidP="00112BF8">
      <w:pPr>
        <w:numPr>
          <w:ilvl w:val="0"/>
          <w:numId w:val="25"/>
        </w:numPr>
      </w:pPr>
      <w:r>
        <w:t>The NER set</w:t>
      </w:r>
      <w:r w:rsidR="006563DF">
        <w:t>s</w:t>
      </w:r>
      <w:r>
        <w:t xml:space="preserve"> out that t</w:t>
      </w:r>
      <w:r w:rsidR="00F86A91">
        <w:t>he allowed rate of return must be commensurate with the efficient financing costs of a benchmark efficient entity with a similar degree of risk as that which applies to the distributor in respect of the provision of distribution services.</w:t>
      </w:r>
      <w:r w:rsidR="00F86A91">
        <w:rPr>
          <w:rStyle w:val="FootnoteReference"/>
        </w:rPr>
        <w:footnoteReference w:id="20"/>
      </w:r>
      <w:r w:rsidR="00F86A91">
        <w:t xml:space="preserve"> The NER refers to this requirement as the allowed rate of return objective.</w:t>
      </w:r>
    </w:p>
    <w:p w:rsidR="00112BF8" w:rsidRPr="00112BF8" w:rsidRDefault="00112BF8" w:rsidP="000C7D19">
      <w:r w:rsidRPr="00112BF8">
        <w:t xml:space="preserve">We </w:t>
      </w:r>
      <w:r w:rsidR="00F86A91">
        <w:t>have determined</w:t>
      </w:r>
      <w:r w:rsidRPr="00112BF8">
        <w:t xml:space="preserve"> </w:t>
      </w:r>
      <w:r w:rsidR="00F86A91">
        <w:t>an</w:t>
      </w:r>
      <w:r w:rsidRPr="00112BF8">
        <w:t xml:space="preserve"> allowed rate of return </w:t>
      </w:r>
      <w:r w:rsidRPr="00CC02E9">
        <w:rPr>
          <w:rStyle w:val="AERbodytextChar"/>
          <w:rFonts w:eastAsiaTheme="minorHAnsi"/>
        </w:rPr>
        <w:t xml:space="preserve">of </w:t>
      </w:r>
      <w:r w:rsidR="00522723" w:rsidRPr="00CC02E9">
        <w:rPr>
          <w:rStyle w:val="AERbodytextChar"/>
          <w:rFonts w:eastAsiaTheme="minorHAnsi"/>
        </w:rPr>
        <w:t>5.</w:t>
      </w:r>
      <w:r w:rsidR="00522723" w:rsidRPr="00255A8A">
        <w:rPr>
          <w:rStyle w:val="AERbodytextChar"/>
          <w:rFonts w:eastAsiaTheme="minorHAnsi"/>
        </w:rPr>
        <w:t>85</w:t>
      </w:r>
      <w:r w:rsidR="00791C96" w:rsidRPr="00255A8A">
        <w:rPr>
          <w:rStyle w:val="AERbodytextChar"/>
          <w:rFonts w:eastAsiaTheme="minorHAnsi"/>
        </w:rPr>
        <w:t xml:space="preserve"> </w:t>
      </w:r>
      <w:r w:rsidRPr="00255A8A">
        <w:rPr>
          <w:rStyle w:val="AERbodytextChar"/>
          <w:rFonts w:eastAsiaTheme="minorHAnsi"/>
        </w:rPr>
        <w:t>per</w:t>
      </w:r>
      <w:r w:rsidRPr="00112BF8">
        <w:t xml:space="preserve"> cent (nominal vanilla</w:t>
      </w:r>
      <w:r w:rsidRPr="00112BF8">
        <w:rPr>
          <w:rStyle w:val="FootnoteReference"/>
        </w:rPr>
        <w:footnoteReference w:id="21"/>
      </w:r>
      <w:r w:rsidRPr="00112BF8">
        <w:t>), subject to updating</w:t>
      </w:r>
      <w:r w:rsidR="00F86A91">
        <w:t xml:space="preserve">. </w:t>
      </w:r>
      <w:r w:rsidRPr="00112BF8">
        <w:t xml:space="preserve">We </w:t>
      </w:r>
      <w:r w:rsidR="00F86A91">
        <w:t>have not accepted</w:t>
      </w:r>
      <w:r w:rsidRPr="00112BF8">
        <w:t xml:space="preserve"> Energex's proposed </w:t>
      </w:r>
      <w:r w:rsidR="000C7D19" w:rsidRPr="000C7D19">
        <w:t>7.75</w:t>
      </w:r>
      <w:r w:rsidR="000C7D19" w:rsidRPr="00112BF8">
        <w:t xml:space="preserve"> </w:t>
      </w:r>
      <w:r w:rsidRPr="00112BF8">
        <w:t>per cent return</w:t>
      </w:r>
      <w:r w:rsidR="00F86A91">
        <w:t>.</w:t>
      </w:r>
      <w:r w:rsidR="002A0806">
        <w:rPr>
          <w:rStyle w:val="FootnoteReference"/>
        </w:rPr>
        <w:footnoteReference w:id="22"/>
      </w:r>
      <w:r w:rsidR="00F86A91">
        <w:t xml:space="preserve"> </w:t>
      </w:r>
      <w:r w:rsidR="005828D2">
        <w:t>In accordance with the Guideline, w</w:t>
      </w:r>
      <w:r w:rsidR="00CD4C1B">
        <w:t>e</w:t>
      </w:r>
      <w:r w:rsidR="00CD4C1B" w:rsidRPr="00112BF8">
        <w:t xml:space="preserve"> will update</w:t>
      </w:r>
      <w:r w:rsidR="00CD4C1B">
        <w:t xml:space="preserve"> the rate of return </w:t>
      </w:r>
      <w:r w:rsidR="00CD4C1B" w:rsidRPr="00112BF8">
        <w:t>annually</w:t>
      </w:r>
      <w:r w:rsidR="00CD4C1B">
        <w:t>, consistent with Energex's proposal and our approach to return on debt</w:t>
      </w:r>
      <w:r w:rsidR="00CD4C1B" w:rsidRPr="00112BF8">
        <w:t>.</w:t>
      </w:r>
      <w:r w:rsidR="00CD4C1B">
        <w:rPr>
          <w:rStyle w:val="FootnoteReference"/>
        </w:rPr>
        <w:footnoteReference w:id="23"/>
      </w:r>
      <w:r w:rsidR="00CD4C1B" w:rsidRPr="00112BF8">
        <w:t xml:space="preserve"> </w:t>
      </w:r>
      <w:r w:rsidR="00F86A91">
        <w:t>T</w:t>
      </w:r>
      <w:r w:rsidR="00C46EBD">
        <w:t xml:space="preserve">able </w:t>
      </w:r>
      <w:r w:rsidR="00C43224">
        <w:t>5</w:t>
      </w:r>
      <w:r w:rsidR="00F86A91">
        <w:t xml:space="preserve"> sets out the parameters we have used to determine the rate of return</w:t>
      </w:r>
      <w:r w:rsidRPr="00112BF8">
        <w:t>.</w:t>
      </w:r>
    </w:p>
    <w:p w:rsidR="00112BF8" w:rsidRDefault="00112BF8" w:rsidP="00112BF8">
      <w:pPr>
        <w:pStyle w:val="Caption"/>
      </w:pPr>
      <w:r w:rsidRPr="00112BF8">
        <w:t xml:space="preserve">Table </w:t>
      </w:r>
      <w:r w:rsidR="00C43224">
        <w:t>5</w:t>
      </w:r>
      <w:r w:rsidRPr="00112BF8">
        <w:tab/>
        <w:t>AER's preliminary decision on Energex's rate of return (nominal)</w:t>
      </w:r>
    </w:p>
    <w:tbl>
      <w:tblPr>
        <w:tblStyle w:val="AERtable-numbers"/>
        <w:tblW w:w="5000" w:type="pct"/>
        <w:tblLook w:val="04A0" w:firstRow="1" w:lastRow="0" w:firstColumn="1" w:lastColumn="0" w:noHBand="0" w:noVBand="1"/>
      </w:tblPr>
      <w:tblGrid>
        <w:gridCol w:w="3902"/>
        <w:gridCol w:w="1028"/>
        <w:gridCol w:w="1173"/>
        <w:gridCol w:w="1295"/>
        <w:gridCol w:w="1295"/>
      </w:tblGrid>
      <w:tr w:rsidR="00791C96" w:rsidRPr="0036067E" w:rsidTr="000F5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Pr>
          <w:p w:rsidR="00791C96" w:rsidRPr="00796C00" w:rsidRDefault="00791C96" w:rsidP="00791C96">
            <w:pPr>
              <w:numPr>
                <w:ilvl w:val="0"/>
                <w:numId w:val="24"/>
              </w:numPr>
            </w:pPr>
          </w:p>
        </w:tc>
        <w:tc>
          <w:tcPr>
            <w:tcW w:w="614" w:type="pct"/>
          </w:tcPr>
          <w:p w:rsidR="00791C96" w:rsidRPr="00791C96" w:rsidRDefault="00791C96" w:rsidP="00791C96">
            <w:pPr>
              <w:pStyle w:val="AERtabletextright"/>
              <w:cnfStyle w:val="100000000000" w:firstRow="1" w:lastRow="0" w:firstColumn="0" w:lastColumn="0" w:oddVBand="0" w:evenVBand="0" w:oddHBand="0" w:evenHBand="0" w:firstRowFirstColumn="0" w:firstRowLastColumn="0" w:lastRowFirstColumn="0" w:lastRowLastColumn="0"/>
            </w:pPr>
            <w:r w:rsidRPr="00381B0E">
              <w:t>AER decision</w:t>
            </w:r>
          </w:p>
          <w:p w:rsidR="00791C96" w:rsidRPr="00791C96" w:rsidRDefault="00791C96" w:rsidP="00791C96">
            <w:pPr>
              <w:pStyle w:val="AERtabletextright"/>
              <w:cnfStyle w:val="100000000000" w:firstRow="1" w:lastRow="0" w:firstColumn="0" w:lastColumn="0" w:oddVBand="0" w:evenVBand="0" w:oddHBand="0" w:evenHBand="0" w:firstRowFirstColumn="0" w:firstRowLastColumn="0" w:lastRowFirstColumn="0" w:lastRowLastColumn="0"/>
            </w:pPr>
            <w:r>
              <w:t>2010–15</w:t>
            </w:r>
          </w:p>
        </w:tc>
        <w:tc>
          <w:tcPr>
            <w:tcW w:w="766" w:type="pct"/>
          </w:tcPr>
          <w:p w:rsidR="00791C96" w:rsidRPr="00791C96" w:rsidRDefault="00791C96" w:rsidP="00791C96">
            <w:pPr>
              <w:pStyle w:val="AERtabletextright"/>
              <w:cnfStyle w:val="100000000000" w:firstRow="1" w:lastRow="0" w:firstColumn="0" w:lastColumn="0" w:oddVBand="0" w:evenVBand="0" w:oddHBand="0" w:evenHBand="0" w:firstRowFirstColumn="0" w:firstRowLastColumn="0" w:lastRowFirstColumn="0" w:lastRowLastColumn="0"/>
            </w:pPr>
            <w:r>
              <w:t>Energex</w:t>
            </w:r>
            <w:r w:rsidRPr="00791C96">
              <w:t>’s proposal</w:t>
            </w:r>
          </w:p>
          <w:p w:rsidR="00791C96" w:rsidRPr="00791C96" w:rsidRDefault="00791C96" w:rsidP="00791C96">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15" w:type="pct"/>
          </w:tcPr>
          <w:p w:rsidR="00791C96" w:rsidRPr="00791C96" w:rsidRDefault="00791C96" w:rsidP="00791C96">
            <w:pPr>
              <w:pStyle w:val="AERtabletextright"/>
              <w:cnfStyle w:val="100000000000" w:firstRow="1" w:lastRow="0" w:firstColumn="0" w:lastColumn="0" w:oddVBand="0" w:evenVBand="0" w:oddHBand="0" w:evenHBand="0" w:firstRowFirstColumn="0" w:firstRowLastColumn="0" w:lastRowFirstColumn="0" w:lastRowLastColumn="0"/>
            </w:pPr>
            <w:r w:rsidRPr="00381B0E">
              <w:t xml:space="preserve">AER </w:t>
            </w:r>
            <w:r w:rsidRPr="00791C96">
              <w:t>preliminary decision</w:t>
            </w:r>
            <w:r w:rsidRPr="00791C96">
              <w:rPr>
                <w:rStyle w:val="AERsuperscript"/>
              </w:rPr>
              <w:t>(a)</w:t>
            </w:r>
          </w:p>
          <w:p w:rsidR="00791C96" w:rsidRPr="00791C96" w:rsidRDefault="00791C96" w:rsidP="00791C96">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46" w:type="pct"/>
          </w:tcPr>
          <w:p w:rsidR="00791C96" w:rsidRPr="00791C96" w:rsidRDefault="00791C96" w:rsidP="00791C96">
            <w:pPr>
              <w:pStyle w:val="AERtabletextright"/>
              <w:cnfStyle w:val="100000000000" w:firstRow="1" w:lastRow="0" w:firstColumn="0" w:lastColumn="0" w:oddVBand="0" w:evenVBand="0" w:oddHBand="0" w:evenHBand="0" w:firstRowFirstColumn="0" w:firstRowLastColumn="0" w:lastRowFirstColumn="0" w:lastRowLastColumn="0"/>
            </w:pPr>
            <w:r>
              <w:t xml:space="preserve">AER </w:t>
            </w:r>
            <w:r w:rsidRPr="00791C96">
              <w:t>preliminary decision</w:t>
            </w:r>
            <w:r w:rsidRPr="00791C96">
              <w:rPr>
                <w:rStyle w:val="AERsuperscript"/>
              </w:rPr>
              <w:t>(a)</w:t>
            </w:r>
          </w:p>
          <w:p w:rsidR="00791C96" w:rsidRPr="00791C96" w:rsidRDefault="00791C96" w:rsidP="00791C96">
            <w:pPr>
              <w:pStyle w:val="AERtabletextright"/>
              <w:cnfStyle w:val="100000000000" w:firstRow="1" w:lastRow="0" w:firstColumn="0" w:lastColumn="0" w:oddVBand="0" w:evenVBand="0" w:oddHBand="0" w:evenHBand="0" w:firstRowFirstColumn="0" w:firstRowLastColumn="0" w:lastRowFirstColumn="0" w:lastRowLastColumn="0"/>
            </w:pPr>
            <w:r>
              <w:t>2016–20</w:t>
            </w:r>
          </w:p>
        </w:tc>
      </w:tr>
      <w:tr w:rsidR="00791C96" w:rsidRPr="00BD56F3" w:rsidTr="000F5B95">
        <w:tc>
          <w:tcPr>
            <w:cnfStyle w:val="001000000000" w:firstRow="0" w:lastRow="0" w:firstColumn="1" w:lastColumn="0" w:oddVBand="0" w:evenVBand="0" w:oddHBand="0" w:evenHBand="0" w:firstRowFirstColumn="0" w:firstRowLastColumn="0" w:lastRowFirstColumn="0" w:lastRowLastColumn="0"/>
            <w:tcW w:w="2359" w:type="pct"/>
          </w:tcPr>
          <w:p w:rsidR="00791C96" w:rsidRPr="00791C96" w:rsidRDefault="00791C96" w:rsidP="00791C96">
            <w:pPr>
              <w:pStyle w:val="AERtabletextleft"/>
              <w:rPr>
                <w:rStyle w:val="AERtextsize8"/>
              </w:rPr>
            </w:pPr>
            <w:r w:rsidRPr="00791C96">
              <w:rPr>
                <w:rStyle w:val="AERtextsize8"/>
              </w:rPr>
              <w:t>Nominal risk free rate (return on equity)(b)</w:t>
            </w:r>
          </w:p>
        </w:tc>
        <w:tc>
          <w:tcPr>
            <w:tcW w:w="614"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5.89%</w:t>
            </w:r>
          </w:p>
        </w:tc>
        <w:tc>
          <w:tcPr>
            <w:tcW w:w="766"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3.63%</w:t>
            </w:r>
          </w:p>
        </w:tc>
        <w:tc>
          <w:tcPr>
            <w:tcW w:w="615"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2.55%</w:t>
            </w:r>
          </w:p>
        </w:tc>
        <w:tc>
          <w:tcPr>
            <w:tcW w:w="646"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2.55%</w:t>
            </w:r>
          </w:p>
        </w:tc>
      </w:tr>
      <w:tr w:rsidR="00791C96" w:rsidRPr="00BD56F3" w:rsidTr="000F5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Pr>
          <w:p w:rsidR="00791C96" w:rsidRPr="00791C96" w:rsidRDefault="00791C96" w:rsidP="00791C96">
            <w:pPr>
              <w:pStyle w:val="AERtabletextleft"/>
              <w:rPr>
                <w:rStyle w:val="AERtextsize8"/>
              </w:rPr>
            </w:pPr>
            <w:r w:rsidRPr="00791C96">
              <w:rPr>
                <w:rStyle w:val="AERtextsize8"/>
              </w:rPr>
              <w:t xml:space="preserve">Equity risk premium </w:t>
            </w:r>
          </w:p>
        </w:tc>
        <w:tc>
          <w:tcPr>
            <w:tcW w:w="614"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5.20%</w:t>
            </w:r>
          </w:p>
        </w:tc>
        <w:tc>
          <w:tcPr>
            <w:tcW w:w="766"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6.87%</w:t>
            </w:r>
          </w:p>
        </w:tc>
        <w:tc>
          <w:tcPr>
            <w:tcW w:w="615"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4.55%</w:t>
            </w:r>
          </w:p>
        </w:tc>
        <w:tc>
          <w:tcPr>
            <w:tcW w:w="646"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4.55%</w:t>
            </w:r>
          </w:p>
        </w:tc>
      </w:tr>
      <w:tr w:rsidR="00791C96" w:rsidRPr="00BD56F3" w:rsidTr="000F5B95">
        <w:tc>
          <w:tcPr>
            <w:cnfStyle w:val="001000000000" w:firstRow="0" w:lastRow="0" w:firstColumn="1" w:lastColumn="0" w:oddVBand="0" w:evenVBand="0" w:oddHBand="0" w:evenHBand="0" w:firstRowFirstColumn="0" w:firstRowLastColumn="0" w:lastRowFirstColumn="0" w:lastRowLastColumn="0"/>
            <w:tcW w:w="2359" w:type="pct"/>
          </w:tcPr>
          <w:p w:rsidR="00791C96" w:rsidRPr="00791C96" w:rsidRDefault="00791C96" w:rsidP="00791C96">
            <w:pPr>
              <w:pStyle w:val="AERtabletextleft"/>
              <w:rPr>
                <w:rStyle w:val="AERtextsize8"/>
              </w:rPr>
            </w:pPr>
            <w:r w:rsidRPr="00791C96">
              <w:rPr>
                <w:rStyle w:val="AERtextsize8"/>
              </w:rPr>
              <w:t>MRP</w:t>
            </w:r>
          </w:p>
        </w:tc>
        <w:tc>
          <w:tcPr>
            <w:tcW w:w="614"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6.50%</w:t>
            </w:r>
          </w:p>
        </w:tc>
        <w:tc>
          <w:tcPr>
            <w:tcW w:w="766"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7.57%</w:t>
            </w:r>
          </w:p>
        </w:tc>
        <w:tc>
          <w:tcPr>
            <w:tcW w:w="615"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6.50%</w:t>
            </w:r>
          </w:p>
        </w:tc>
        <w:tc>
          <w:tcPr>
            <w:tcW w:w="646"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6.50%</w:t>
            </w:r>
          </w:p>
        </w:tc>
      </w:tr>
      <w:tr w:rsidR="00791C96" w:rsidRPr="00BD56F3" w:rsidTr="000F5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Pr>
          <w:p w:rsidR="00791C96" w:rsidRPr="00791C96" w:rsidRDefault="00791C96" w:rsidP="00791C96">
            <w:pPr>
              <w:pStyle w:val="AERtabletextleft"/>
              <w:rPr>
                <w:rStyle w:val="AERtextsize8"/>
              </w:rPr>
            </w:pPr>
            <w:r w:rsidRPr="00791C96">
              <w:rPr>
                <w:rStyle w:val="AERtextsize8"/>
              </w:rPr>
              <w:t>Equity beta</w:t>
            </w:r>
          </w:p>
        </w:tc>
        <w:tc>
          <w:tcPr>
            <w:tcW w:w="614"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0.8</w:t>
            </w:r>
          </w:p>
        </w:tc>
        <w:tc>
          <w:tcPr>
            <w:tcW w:w="766"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0.91</w:t>
            </w:r>
          </w:p>
        </w:tc>
        <w:tc>
          <w:tcPr>
            <w:tcW w:w="615"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0.7</w:t>
            </w:r>
          </w:p>
        </w:tc>
        <w:tc>
          <w:tcPr>
            <w:tcW w:w="646"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0.7</w:t>
            </w:r>
          </w:p>
        </w:tc>
      </w:tr>
      <w:tr w:rsidR="00791C96" w:rsidRPr="00BD56F3" w:rsidTr="000F5B95">
        <w:tc>
          <w:tcPr>
            <w:cnfStyle w:val="001000000000" w:firstRow="0" w:lastRow="0" w:firstColumn="1" w:lastColumn="0" w:oddVBand="0" w:evenVBand="0" w:oddHBand="0" w:evenHBand="0" w:firstRowFirstColumn="0" w:firstRowLastColumn="0" w:lastRowFirstColumn="0" w:lastRowLastColumn="0"/>
            <w:tcW w:w="2359" w:type="pct"/>
          </w:tcPr>
          <w:p w:rsidR="00791C96" w:rsidRPr="00791C96" w:rsidRDefault="00791C96" w:rsidP="00791C96">
            <w:pPr>
              <w:pStyle w:val="AERtabletextleft"/>
              <w:rPr>
                <w:rStyle w:val="AERtextsize8"/>
              </w:rPr>
            </w:pPr>
            <w:r w:rsidRPr="00791C96">
              <w:rPr>
                <w:rStyle w:val="AERtextsize8"/>
              </w:rPr>
              <w:t xml:space="preserve">Nominal post–tax return on equity </w:t>
            </w:r>
          </w:p>
        </w:tc>
        <w:tc>
          <w:tcPr>
            <w:tcW w:w="614"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11.09%</w:t>
            </w:r>
          </w:p>
        </w:tc>
        <w:tc>
          <w:tcPr>
            <w:tcW w:w="766"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10.50%</w:t>
            </w:r>
          </w:p>
        </w:tc>
        <w:tc>
          <w:tcPr>
            <w:tcW w:w="615"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7.1%</w:t>
            </w:r>
          </w:p>
        </w:tc>
        <w:tc>
          <w:tcPr>
            <w:tcW w:w="646"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7.1%</w:t>
            </w:r>
          </w:p>
        </w:tc>
      </w:tr>
      <w:tr w:rsidR="00791C96" w:rsidRPr="00BD56F3" w:rsidTr="000F5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Pr>
          <w:p w:rsidR="00791C96" w:rsidRPr="00791C96" w:rsidRDefault="00791C96" w:rsidP="00791C96">
            <w:pPr>
              <w:pStyle w:val="AERtabletextleft"/>
              <w:rPr>
                <w:rStyle w:val="AERtextsize8"/>
              </w:rPr>
            </w:pPr>
            <w:r w:rsidRPr="00791C96">
              <w:rPr>
                <w:rStyle w:val="AERtextsize8"/>
              </w:rPr>
              <w:t>Nominal pre–tax return on debt</w:t>
            </w:r>
          </w:p>
        </w:tc>
        <w:tc>
          <w:tcPr>
            <w:tcW w:w="614"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8.87%</w:t>
            </w:r>
          </w:p>
        </w:tc>
        <w:tc>
          <w:tcPr>
            <w:tcW w:w="766"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5.91%</w:t>
            </w:r>
          </w:p>
        </w:tc>
        <w:tc>
          <w:tcPr>
            <w:tcW w:w="615"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5.01%</w:t>
            </w:r>
          </w:p>
        </w:tc>
        <w:tc>
          <w:tcPr>
            <w:tcW w:w="646" w:type="pct"/>
          </w:tcPr>
          <w:p w:rsidR="00791C96" w:rsidRPr="00255A8A" w:rsidRDefault="0067447D" w:rsidP="0067447D">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Updated annually</w:t>
            </w:r>
            <w:r w:rsidR="00791C96" w:rsidRPr="00255A8A">
              <w:rPr>
                <w:rStyle w:val="AERtextsize8"/>
              </w:rPr>
              <w:t>(c)</w:t>
            </w:r>
          </w:p>
        </w:tc>
      </w:tr>
      <w:tr w:rsidR="00791C96" w:rsidRPr="00BD56F3" w:rsidTr="000F5B95">
        <w:tc>
          <w:tcPr>
            <w:cnfStyle w:val="001000000000" w:firstRow="0" w:lastRow="0" w:firstColumn="1" w:lastColumn="0" w:oddVBand="0" w:evenVBand="0" w:oddHBand="0" w:evenHBand="0" w:firstRowFirstColumn="0" w:firstRowLastColumn="0" w:lastRowFirstColumn="0" w:lastRowLastColumn="0"/>
            <w:tcW w:w="2359" w:type="pct"/>
          </w:tcPr>
          <w:p w:rsidR="00791C96" w:rsidRPr="00791C96" w:rsidRDefault="00791C96" w:rsidP="00791C96">
            <w:pPr>
              <w:pStyle w:val="AERtabletextleft"/>
              <w:rPr>
                <w:rStyle w:val="AERtextsize8"/>
              </w:rPr>
            </w:pPr>
            <w:r w:rsidRPr="00791C96">
              <w:rPr>
                <w:rStyle w:val="AERtextsize8"/>
              </w:rPr>
              <w:t>Gearing</w:t>
            </w:r>
          </w:p>
        </w:tc>
        <w:tc>
          <w:tcPr>
            <w:tcW w:w="614"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60%</w:t>
            </w:r>
          </w:p>
        </w:tc>
        <w:tc>
          <w:tcPr>
            <w:tcW w:w="766"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60%</w:t>
            </w:r>
          </w:p>
        </w:tc>
        <w:tc>
          <w:tcPr>
            <w:tcW w:w="615"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60%</w:t>
            </w:r>
          </w:p>
        </w:tc>
        <w:tc>
          <w:tcPr>
            <w:tcW w:w="646" w:type="pct"/>
          </w:tcPr>
          <w:p w:rsidR="00791C96" w:rsidRPr="00255A8A"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255A8A">
              <w:rPr>
                <w:rStyle w:val="AERtextsize8"/>
              </w:rPr>
              <w:t>60%</w:t>
            </w:r>
          </w:p>
        </w:tc>
      </w:tr>
      <w:tr w:rsidR="00791C96" w:rsidRPr="00255A8A" w:rsidTr="000F5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pct"/>
          </w:tcPr>
          <w:p w:rsidR="00791C96" w:rsidRPr="00791C96" w:rsidRDefault="00791C96" w:rsidP="00791C96">
            <w:pPr>
              <w:pStyle w:val="AERtabletextleft"/>
              <w:rPr>
                <w:rStyle w:val="AERtextsize8"/>
              </w:rPr>
            </w:pPr>
            <w:r w:rsidRPr="00791C96">
              <w:rPr>
                <w:rStyle w:val="AERtextsize8"/>
              </w:rPr>
              <w:t>Nominal vanilla WACC</w:t>
            </w:r>
          </w:p>
        </w:tc>
        <w:tc>
          <w:tcPr>
            <w:tcW w:w="614"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9.76%</w:t>
            </w:r>
          </w:p>
        </w:tc>
        <w:tc>
          <w:tcPr>
            <w:tcW w:w="766"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7.75%</w:t>
            </w:r>
          </w:p>
        </w:tc>
        <w:tc>
          <w:tcPr>
            <w:tcW w:w="615" w:type="pct"/>
          </w:tcPr>
          <w:p w:rsidR="00791C96" w:rsidRPr="00791C96" w:rsidRDefault="00791C96"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791C96">
              <w:rPr>
                <w:rStyle w:val="AERtextsize8"/>
              </w:rPr>
              <w:t>5.85%</w:t>
            </w:r>
          </w:p>
        </w:tc>
        <w:tc>
          <w:tcPr>
            <w:tcW w:w="646" w:type="pct"/>
          </w:tcPr>
          <w:p w:rsidR="00791C96" w:rsidRPr="00255A8A" w:rsidRDefault="0067447D" w:rsidP="00791C96">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Updated annually</w:t>
            </w:r>
            <w:r w:rsidR="00791C96" w:rsidRPr="00255A8A">
              <w:rPr>
                <w:rStyle w:val="AERtextsize8"/>
              </w:rPr>
              <w:t>(c)</w:t>
            </w:r>
          </w:p>
        </w:tc>
      </w:tr>
      <w:tr w:rsidR="00791C96" w:rsidRPr="00BD56F3" w:rsidTr="000F5B95">
        <w:tc>
          <w:tcPr>
            <w:cnfStyle w:val="001000000000" w:firstRow="0" w:lastRow="0" w:firstColumn="1" w:lastColumn="0" w:oddVBand="0" w:evenVBand="0" w:oddHBand="0" w:evenHBand="0" w:firstRowFirstColumn="0" w:firstRowLastColumn="0" w:lastRowFirstColumn="0" w:lastRowLastColumn="0"/>
            <w:tcW w:w="2359" w:type="pct"/>
          </w:tcPr>
          <w:p w:rsidR="00791C96" w:rsidRPr="00791C96" w:rsidRDefault="00791C96" w:rsidP="00791C96">
            <w:pPr>
              <w:pStyle w:val="AERtabletextleft"/>
              <w:rPr>
                <w:rStyle w:val="AERtextsize8"/>
              </w:rPr>
            </w:pPr>
            <w:r w:rsidRPr="00791C96">
              <w:rPr>
                <w:rStyle w:val="AERtextsize8"/>
              </w:rPr>
              <w:t>Forecast inflation</w:t>
            </w:r>
          </w:p>
        </w:tc>
        <w:tc>
          <w:tcPr>
            <w:tcW w:w="614"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2.52%</w:t>
            </w:r>
          </w:p>
        </w:tc>
        <w:tc>
          <w:tcPr>
            <w:tcW w:w="766" w:type="pct"/>
          </w:tcPr>
          <w:p w:rsidR="00791C96" w:rsidRPr="00791C96" w:rsidRDefault="00791C96" w:rsidP="00791C96">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2.52%</w:t>
            </w:r>
          </w:p>
        </w:tc>
        <w:tc>
          <w:tcPr>
            <w:tcW w:w="615" w:type="pct"/>
          </w:tcPr>
          <w:p w:rsidR="00791C96" w:rsidRPr="00791C96" w:rsidRDefault="00791C96" w:rsidP="00C24EBE">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2.</w:t>
            </w:r>
            <w:r w:rsidR="00C24EBE">
              <w:rPr>
                <w:rStyle w:val="AERtextsize8"/>
              </w:rPr>
              <w:t>55</w:t>
            </w:r>
            <w:r w:rsidRPr="00791C96">
              <w:rPr>
                <w:rStyle w:val="AERtextsize8"/>
              </w:rPr>
              <w:t>%</w:t>
            </w:r>
          </w:p>
        </w:tc>
        <w:tc>
          <w:tcPr>
            <w:tcW w:w="646" w:type="pct"/>
          </w:tcPr>
          <w:p w:rsidR="00791C96" w:rsidRPr="00791C96" w:rsidRDefault="00791C96" w:rsidP="00C24EBE">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791C96">
              <w:rPr>
                <w:rStyle w:val="AERtextsize8"/>
              </w:rPr>
              <w:t>2.</w:t>
            </w:r>
            <w:r w:rsidR="00C24EBE">
              <w:rPr>
                <w:rStyle w:val="AERtextsize8"/>
              </w:rPr>
              <w:t>55</w:t>
            </w:r>
            <w:r w:rsidRPr="00791C96">
              <w:rPr>
                <w:rStyle w:val="AERtextsize8"/>
              </w:rPr>
              <w:t>%</w:t>
            </w:r>
          </w:p>
        </w:tc>
      </w:tr>
    </w:tbl>
    <w:p w:rsidR="00791C96" w:rsidRDefault="00791C96" w:rsidP="00791C96">
      <w:pPr>
        <w:pStyle w:val="AERtablesource"/>
      </w:pPr>
      <w:r>
        <w:t>Source:</w:t>
      </w:r>
      <w:r>
        <w:tab/>
        <w:t xml:space="preserve">AER analysis; Energex, </w:t>
      </w:r>
      <w:r w:rsidRPr="00381B0E">
        <w:rPr>
          <w:rStyle w:val="AERtextitalic"/>
        </w:rPr>
        <w:t>R</w:t>
      </w:r>
      <w:r w:rsidRPr="005623BD">
        <w:rPr>
          <w:rStyle w:val="AERtextitalic"/>
        </w:rPr>
        <w:t>egulatory proposal</w:t>
      </w:r>
      <w:r w:rsidRPr="002A3876">
        <w:t xml:space="preserve">, </w:t>
      </w:r>
      <w:r>
        <w:t xml:space="preserve">October 2014; AER, </w:t>
      </w:r>
      <w:r w:rsidRPr="00740B5F">
        <w:rPr>
          <w:rStyle w:val="AERtextitalic"/>
        </w:rPr>
        <w:t xml:space="preserve">Final decision: </w:t>
      </w:r>
      <w:r>
        <w:rPr>
          <w:rStyle w:val="AERtextitalic"/>
        </w:rPr>
        <w:t>Queensland</w:t>
      </w:r>
      <w:r w:rsidRPr="00740B5F">
        <w:rPr>
          <w:rStyle w:val="AERtextitalic"/>
        </w:rPr>
        <w:t xml:space="preserve"> distribution determination 20</w:t>
      </w:r>
      <w:r>
        <w:rPr>
          <w:rStyle w:val="AERtextitalic"/>
        </w:rPr>
        <w:t>1</w:t>
      </w:r>
      <w:r w:rsidRPr="00740B5F">
        <w:rPr>
          <w:rStyle w:val="AERtextitalic"/>
        </w:rPr>
        <w:t>0–1</w:t>
      </w:r>
      <w:r>
        <w:rPr>
          <w:rStyle w:val="AERtextitalic"/>
        </w:rPr>
        <w:t>1</w:t>
      </w:r>
      <w:r w:rsidRPr="00740B5F">
        <w:rPr>
          <w:rStyle w:val="AERtextitalic"/>
        </w:rPr>
        <w:t xml:space="preserve"> to 201</w:t>
      </w:r>
      <w:r>
        <w:rPr>
          <w:rStyle w:val="AERtextitalic"/>
        </w:rPr>
        <w:t>4</w:t>
      </w:r>
      <w:r w:rsidRPr="00740B5F">
        <w:rPr>
          <w:rStyle w:val="AERtextitalic"/>
        </w:rPr>
        <w:t>–1</w:t>
      </w:r>
      <w:r>
        <w:rPr>
          <w:rStyle w:val="AERtextitalic"/>
        </w:rPr>
        <w:t>5</w:t>
      </w:r>
      <w:r>
        <w:t>, May 2010.</w:t>
      </w:r>
    </w:p>
    <w:p w:rsidR="00791C96" w:rsidRPr="009B74AA" w:rsidRDefault="00791C96" w:rsidP="00791C96">
      <w:pPr>
        <w:pStyle w:val="AERtablesource"/>
      </w:pPr>
      <w:r w:rsidRPr="009B74AA">
        <w:t>(a)</w:t>
      </w:r>
      <w:r w:rsidRPr="009B74AA">
        <w:tab/>
      </w:r>
      <w:r w:rsidRPr="00854388">
        <w:t xml:space="preserve">This </w:t>
      </w:r>
      <w:r>
        <w:t xml:space="preserve">rate of return </w:t>
      </w:r>
      <w:r w:rsidRPr="00854388">
        <w:t>estimate</w:t>
      </w:r>
      <w:r>
        <w:t xml:space="preserve"> </w:t>
      </w:r>
      <w:r w:rsidRPr="00854388">
        <w:t xml:space="preserve">will be used to </w:t>
      </w:r>
      <w:r>
        <w:t>determine prices to apply in</w:t>
      </w:r>
      <w:r w:rsidRPr="00854388">
        <w:t xml:space="preserve"> the 201</w:t>
      </w:r>
      <w:r>
        <w:t>5</w:t>
      </w:r>
      <w:r w:rsidRPr="00854388">
        <w:t>–1</w:t>
      </w:r>
      <w:r>
        <w:t>6</w:t>
      </w:r>
      <w:r w:rsidRPr="00854388">
        <w:t xml:space="preserve"> regulatory year</w:t>
      </w:r>
      <w:r>
        <w:t xml:space="preserve">. The rate of return, including the rate to apply to the 2015–16 regulatory year, will be updated in our </w:t>
      </w:r>
      <w:r w:rsidR="0067447D">
        <w:t xml:space="preserve">substitute </w:t>
      </w:r>
      <w:r>
        <w:t xml:space="preserve">determination for Energex. </w:t>
      </w:r>
    </w:p>
    <w:p w:rsidR="00791C96" w:rsidRPr="009B74AA" w:rsidRDefault="00791C96" w:rsidP="00791C96">
      <w:pPr>
        <w:pStyle w:val="AERtablesource"/>
      </w:pPr>
      <w:r w:rsidRPr="009B74AA">
        <w:t>(b)</w:t>
      </w:r>
      <w:r w:rsidRPr="009B74AA">
        <w:tab/>
      </w:r>
      <w:r>
        <w:t>Energex's risk free rate estimate was calculated using an averaging period 20 business days to 11 July 2014. AER preliminary decision risk free rate estimate is b</w:t>
      </w:r>
      <w:r w:rsidRPr="009B74AA">
        <w:t xml:space="preserve">ased on a 20 business day averaging period from </w:t>
      </w:r>
      <w:r>
        <w:t xml:space="preserve">9 February </w:t>
      </w:r>
      <w:r w:rsidRPr="009B74AA">
        <w:t xml:space="preserve">to </w:t>
      </w:r>
      <w:r>
        <w:t xml:space="preserve">6 March 2015. </w:t>
      </w:r>
    </w:p>
    <w:p w:rsidR="00791C96" w:rsidRPr="009B74AA" w:rsidRDefault="00791C96" w:rsidP="00791C96">
      <w:pPr>
        <w:pStyle w:val="AERtablesource"/>
      </w:pPr>
      <w:r w:rsidRPr="009B74AA">
        <w:t>(c)</w:t>
      </w:r>
      <w:r w:rsidRPr="009B74AA">
        <w:tab/>
      </w:r>
      <w:r>
        <w:t>The allowed return on debt is to be updated annually and the nominal vanilla WACC will be updated annually to reflect the allowed return on debt. The allowed return on debt for 2015–16 has already been estimated. Return on debt allowances for subsequent years will be estimated based on the formula</w:t>
      </w:r>
      <w:r w:rsidR="00625169">
        <w:t xml:space="preserve"> set out in the Return on Debt a</w:t>
      </w:r>
      <w:r>
        <w:t>ppendix to attachment</w:t>
      </w:r>
      <w:r w:rsidR="00625169">
        <w:t xml:space="preserve"> 3</w:t>
      </w:r>
      <w:r>
        <w:t>.</w:t>
      </w:r>
    </w:p>
    <w:p w:rsidR="00112BF8" w:rsidRPr="00112BF8" w:rsidRDefault="00112BF8" w:rsidP="00112BF8">
      <w:pPr>
        <w:pStyle w:val="HeadingBoldBlue"/>
        <w:numPr>
          <w:ilvl w:val="0"/>
          <w:numId w:val="25"/>
        </w:numPr>
      </w:pPr>
      <w:bookmarkStart w:id="28" w:name="_Toc414891204"/>
      <w:bookmarkStart w:id="29" w:name="_Toc414977539"/>
      <w:bookmarkStart w:id="30" w:name="_Toc415837327"/>
      <w:bookmarkStart w:id="31" w:name="_Toc416178159"/>
      <w:bookmarkStart w:id="32" w:name="_Toc416340892"/>
      <w:bookmarkStart w:id="33" w:name="_Toc417973139"/>
      <w:r w:rsidRPr="00112BF8">
        <w:t>Our approach</w:t>
      </w:r>
      <w:bookmarkEnd w:id="28"/>
      <w:bookmarkEnd w:id="29"/>
      <w:bookmarkEnd w:id="30"/>
      <w:bookmarkEnd w:id="31"/>
      <w:bookmarkEnd w:id="32"/>
      <w:bookmarkEnd w:id="33"/>
    </w:p>
    <w:p w:rsidR="00F86A91" w:rsidRDefault="00F86A91" w:rsidP="00112BF8">
      <w:pPr>
        <w:numPr>
          <w:ilvl w:val="0"/>
          <w:numId w:val="25"/>
        </w:numPr>
      </w:pPr>
      <w:r>
        <w:t xml:space="preserve">All NER requirements relating to the rate of return are subject to the overall rate of return achieving the </w:t>
      </w:r>
      <w:r w:rsidR="00621E44">
        <w:t>allowed rate of return objective</w:t>
      </w:r>
      <w:r w:rsidR="005828D2">
        <w:t>.</w:t>
      </w:r>
      <w:r>
        <w:rPr>
          <w:rStyle w:val="FootnoteReference"/>
        </w:rPr>
        <w:footnoteReference w:id="24"/>
      </w:r>
      <w:r>
        <w:t xml:space="preserve">  The NER recognises that there are several plausible answers that could achieve the allowed rate of return objective.</w:t>
      </w:r>
      <w:r w:rsidR="00FF1D25" w:rsidRPr="00FF1D25">
        <w:rPr>
          <w:rStyle w:val="FootnoteReference"/>
        </w:rPr>
        <w:t xml:space="preserve"> </w:t>
      </w:r>
      <w:r w:rsidR="00FF1D25" w:rsidRPr="00D16140">
        <w:rPr>
          <w:rStyle w:val="FootnoteReference"/>
        </w:rPr>
        <w:footnoteReference w:id="25"/>
      </w:r>
      <w:r w:rsidR="00FF1D25">
        <w:t xml:space="preserve"> </w:t>
      </w:r>
      <w:r w:rsidR="00696DB0">
        <w:t>We</w:t>
      </w:r>
      <w:r w:rsidR="00FF1D25">
        <w:t xml:space="preserve"> agree with stakeholders </w:t>
      </w:r>
      <w:r w:rsidR="00F12EA2">
        <w:t xml:space="preserve">that </w:t>
      </w:r>
      <w:r w:rsidR="00FF1D25">
        <w:t>predictability of outcomes in rate of return issues could materially benefit the long term interests of consumers.</w:t>
      </w:r>
      <w:r w:rsidR="00FF1D25" w:rsidRPr="00FF1D25">
        <w:rPr>
          <w:rStyle w:val="FootnoteReference"/>
        </w:rPr>
        <w:t xml:space="preserve"> </w:t>
      </w:r>
      <w:r w:rsidR="00FF1D25" w:rsidRPr="00D16140">
        <w:rPr>
          <w:rStyle w:val="FootnoteReference"/>
        </w:rPr>
        <w:footnoteReference w:id="26"/>
      </w:r>
      <w:r w:rsidR="00FF1D25">
        <w:t xml:space="preserve"> </w:t>
      </w:r>
    </w:p>
    <w:p w:rsidR="00AF7513" w:rsidRPr="00D16140" w:rsidRDefault="00FF1D25" w:rsidP="00AF7513">
      <w:pPr>
        <w:numPr>
          <w:ilvl w:val="0"/>
          <w:numId w:val="25"/>
        </w:numPr>
      </w:pPr>
      <w:r>
        <w:t>We developed our approach prior to the submission of this regulatory proposal, as required by the rate of return framework. In December 2013, we published the</w:t>
      </w:r>
      <w:r w:rsidR="00497F95">
        <w:t xml:space="preserve"> G</w:t>
      </w:r>
      <w:r>
        <w:t>uideline</w:t>
      </w:r>
      <w:r w:rsidR="006B6D5C">
        <w:t>,</w:t>
      </w:r>
      <w:r w:rsidRPr="00D16140">
        <w:rPr>
          <w:rStyle w:val="FootnoteReference"/>
        </w:rPr>
        <w:footnoteReference w:id="27"/>
      </w:r>
      <w:r w:rsidR="006B6D5C">
        <w:t xml:space="preserve"> as contemplated by the NER. </w:t>
      </w:r>
      <w:r w:rsidRPr="00D16140">
        <w:t>The Guideline was designed through extensive consultation and in</w:t>
      </w:r>
      <w:r w:rsidR="00D54AC1">
        <w:t>volved</w:t>
      </w:r>
      <w:r w:rsidRPr="00D16140">
        <w:t xml:space="preserve"> effective and inclusive consumer participation.</w:t>
      </w:r>
      <w:r w:rsidR="00AF7513">
        <w:t xml:space="preserve"> </w:t>
      </w:r>
    </w:p>
    <w:p w:rsidR="00075F48" w:rsidRPr="00D16140" w:rsidRDefault="00075F48" w:rsidP="00075F48">
      <w:pPr>
        <w:pStyle w:val="HeadingBoldBlue"/>
        <w:numPr>
          <w:ilvl w:val="0"/>
          <w:numId w:val="25"/>
        </w:numPr>
      </w:pPr>
      <w:bookmarkStart w:id="34" w:name="_Toc417973140"/>
      <w:r w:rsidRPr="00D16140">
        <w:t>Return on debt</w:t>
      </w:r>
      <w:bookmarkEnd w:id="34"/>
    </w:p>
    <w:p w:rsidR="00696DB0" w:rsidRDefault="00075F48" w:rsidP="00AF7513">
      <w:r>
        <w:t>Previously,</w:t>
      </w:r>
      <w:r w:rsidRPr="00D16140">
        <w:t xml:space="preserve"> </w:t>
      </w:r>
      <w:r>
        <w:t xml:space="preserve">we used </w:t>
      </w:r>
      <w:r w:rsidRPr="00D16140">
        <w:t>an on-the-day approach</w:t>
      </w:r>
      <w:r>
        <w:t xml:space="preserve"> to determine the return on debt</w:t>
      </w:r>
      <w:r w:rsidRPr="00D16140">
        <w:t>.</w:t>
      </w:r>
      <w:r>
        <w:rPr>
          <w:rStyle w:val="FootnoteReference"/>
        </w:rPr>
        <w:footnoteReference w:id="28"/>
      </w:r>
      <w:r>
        <w:t xml:space="preserve"> This is the approach that many Australian regulators continue to use.</w:t>
      </w:r>
      <w:r w:rsidRPr="00D16140">
        <w:t xml:space="preserve"> </w:t>
      </w:r>
      <w:r>
        <w:t>However, for this decision, we have determined a return on debt estimate that gradually transitions from an on-the-day approach to a trailing average approach</w:t>
      </w:r>
      <w:r w:rsidRPr="00D16140">
        <w:t>.</w:t>
      </w:r>
      <w:r>
        <w:rPr>
          <w:rStyle w:val="FootnoteReference"/>
        </w:rPr>
        <w:footnoteReference w:id="29"/>
      </w:r>
      <w:r w:rsidRPr="00D16140">
        <w:t xml:space="preserve"> </w:t>
      </w:r>
      <w:r w:rsidR="005C44BA">
        <w:t xml:space="preserve"> This is consistent with the </w:t>
      </w:r>
      <w:r w:rsidR="00D54AC1">
        <w:t>approach</w:t>
      </w:r>
      <w:r w:rsidR="005C44BA">
        <w:t xml:space="preserve"> most stakeholders </w:t>
      </w:r>
      <w:r w:rsidR="00D54AC1">
        <w:t xml:space="preserve">supported </w:t>
      </w:r>
      <w:r w:rsidR="005C44BA">
        <w:t xml:space="preserve">during the Guideline </w:t>
      </w:r>
      <w:r w:rsidR="00696DB0">
        <w:t xml:space="preserve">development </w:t>
      </w:r>
      <w:r w:rsidR="005C44BA">
        <w:t xml:space="preserve">process. </w:t>
      </w:r>
      <w:r w:rsidR="00696DB0">
        <w:t>We note that</w:t>
      </w:r>
      <w:r w:rsidR="00AF7513">
        <w:t xml:space="preserve"> Energex</w:t>
      </w:r>
      <w:r w:rsidR="00E145FB">
        <w:t xml:space="preserve"> </w:t>
      </w:r>
      <w:r w:rsidR="00AF7513">
        <w:t>agree</w:t>
      </w:r>
      <w:r w:rsidR="00E145FB">
        <w:t>d</w:t>
      </w:r>
      <w:r w:rsidR="00AF7513">
        <w:t xml:space="preserve"> </w:t>
      </w:r>
      <w:r w:rsidR="006B6D5C">
        <w:t>with</w:t>
      </w:r>
      <w:r w:rsidR="00AF7513">
        <w:t xml:space="preserve"> the transition to the trailing average approach. </w:t>
      </w:r>
    </w:p>
    <w:p w:rsidR="00075F48" w:rsidRPr="00D16140" w:rsidRDefault="00075F48" w:rsidP="00075F48">
      <w:pPr>
        <w:pStyle w:val="HeadingBoldBlue"/>
        <w:numPr>
          <w:ilvl w:val="0"/>
          <w:numId w:val="25"/>
        </w:numPr>
      </w:pPr>
      <w:bookmarkStart w:id="35" w:name="_Toc417973141"/>
      <w:r w:rsidRPr="00D16140">
        <w:t>Return on equity</w:t>
      </w:r>
      <w:bookmarkEnd w:id="35"/>
    </w:p>
    <w:p w:rsidR="00075F48" w:rsidRPr="00D16140" w:rsidRDefault="00563FF9" w:rsidP="0043616E">
      <w:pPr>
        <w:pStyle w:val="ListParagraph"/>
        <w:numPr>
          <w:ilvl w:val="0"/>
          <w:numId w:val="25"/>
        </w:numPr>
      </w:pPr>
      <w:r>
        <w:t xml:space="preserve">Energex applied our approach to determining the return on equity. It involves considering all the information before us, through a six step process as set out in the </w:t>
      </w:r>
      <w:r w:rsidR="00FB69D7">
        <w:t>G</w:t>
      </w:r>
      <w:r>
        <w:t>uideline (foundation model approach).</w:t>
      </w:r>
      <w:r w:rsidR="00075F48">
        <w:rPr>
          <w:rStyle w:val="FootnoteReference"/>
        </w:rPr>
        <w:footnoteReference w:id="30"/>
      </w:r>
      <w:r w:rsidR="00075F48" w:rsidRPr="00D16140">
        <w:t xml:space="preserve"> </w:t>
      </w:r>
      <w:r w:rsidR="004206D2">
        <w:t>This includes detailed consideration of a number of financial models for determining the return on equity.</w:t>
      </w:r>
      <w:r w:rsidR="004206D2">
        <w:rPr>
          <w:rStyle w:val="FootnoteReference"/>
        </w:rPr>
        <w:footnoteReference w:id="31"/>
      </w:r>
      <w:r w:rsidR="004206D2">
        <w:t xml:space="preserve"> Considering all of this material helps inform a return on equity estimate that contributes to the achievement of the allowed rate of return objective.</w:t>
      </w:r>
    </w:p>
    <w:p w:rsidR="00075F48" w:rsidRPr="00D16140" w:rsidRDefault="00151620" w:rsidP="00075F48">
      <w:pPr>
        <w:numPr>
          <w:ilvl w:val="0"/>
          <w:numId w:val="25"/>
        </w:numPr>
      </w:pPr>
      <w:r>
        <w:t xml:space="preserve">We consider </w:t>
      </w:r>
      <w:r w:rsidR="00075F48" w:rsidRPr="00D16140">
        <w:t xml:space="preserve">that the </w:t>
      </w:r>
      <w:r w:rsidR="00075F48">
        <w:t>Sharpe–Lintner capital asset pricing model (</w:t>
      </w:r>
      <w:r w:rsidR="00075F48" w:rsidRPr="00D16140">
        <w:t>SLCAPM</w:t>
      </w:r>
      <w:r w:rsidR="00075F48">
        <w:t>)</w:t>
      </w:r>
      <w:r w:rsidR="00075F48" w:rsidRPr="00D16140">
        <w:t xml:space="preserve"> is the superior </w:t>
      </w:r>
      <w:r w:rsidR="00075F48">
        <w:t xml:space="preserve">financial </w:t>
      </w:r>
      <w:r w:rsidR="00075F48" w:rsidRPr="00D16140">
        <w:t>model in terms of estimating expected equity returns. We have therefore adopted this model as our foundatio</w:t>
      </w:r>
      <w:r w:rsidR="00075F48">
        <w:t>n model. The expert evidence before us</w:t>
      </w:r>
      <w:r w:rsidR="00075F48" w:rsidRPr="00D16140">
        <w:t xml:space="preserve"> </w:t>
      </w:r>
      <w:r w:rsidR="00075F48">
        <w:t>indicates</w:t>
      </w:r>
      <w:r w:rsidR="00075F48" w:rsidRPr="00D16140">
        <w:t xml:space="preserve"> that </w:t>
      </w:r>
      <w:r w:rsidR="00EA2027">
        <w:t xml:space="preserve">on balance </w:t>
      </w:r>
      <w:r w:rsidR="00075F48" w:rsidRPr="00D16140">
        <w:t xml:space="preserve">employing our foundation model approach and using the SLCAPM as the foundation model is expected to lead to a rate of return that </w:t>
      </w:r>
      <w:r w:rsidR="00075F48">
        <w:t>achieves</w:t>
      </w:r>
      <w:r w:rsidR="00075F48" w:rsidRPr="00D16140">
        <w:t xml:space="preserve"> the </w:t>
      </w:r>
      <w:r w:rsidR="00621E44">
        <w:t>allowed rate of return objective</w:t>
      </w:r>
      <w:r w:rsidR="00075F48" w:rsidRPr="00D16140">
        <w:t>.</w:t>
      </w:r>
      <w:r w:rsidR="00075F48" w:rsidRPr="00D16140">
        <w:rPr>
          <w:rStyle w:val="FootnoteReference"/>
        </w:rPr>
        <w:footnoteReference w:id="32"/>
      </w:r>
    </w:p>
    <w:p w:rsidR="00151620" w:rsidRDefault="00075F48" w:rsidP="008323F9">
      <w:pPr>
        <w:numPr>
          <w:ilvl w:val="0"/>
          <w:numId w:val="25"/>
        </w:numPr>
      </w:pPr>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rsidR="00A84FB8">
        <w:t>ny</w:t>
      </w:r>
      <w:r w:rsidRPr="00D16140">
        <w:t xml:space="preserve"> given time.</w:t>
      </w:r>
      <w:r w:rsidRPr="00D16140">
        <w:rPr>
          <w:rStyle w:val="FootnoteReference"/>
        </w:rPr>
        <w:footnoteReference w:id="33"/>
      </w:r>
      <w:r w:rsidRPr="00D16140">
        <w:t xml:space="preserve"> Our estimate of the ERP for the benchmark efficient entity is 4.55 per cent</w:t>
      </w:r>
      <w:r w:rsidR="00151620">
        <w:t xml:space="preserve"> which is within range</w:t>
      </w:r>
      <w:r w:rsidRPr="00D16140">
        <w:t xml:space="preserve"> of other information available to inform the return on equity</w:t>
      </w:r>
      <w:r w:rsidR="00151620">
        <w:t xml:space="preserve"> (see figure 5)</w:t>
      </w:r>
      <w:r w:rsidRPr="00D16140">
        <w:t xml:space="preserve">. </w:t>
      </w:r>
      <w:bookmarkStart w:id="36" w:name="_Ref402448694"/>
      <w:r w:rsidR="00151620" w:rsidRPr="00205830">
        <w:t xml:space="preserve">A detailed explanation of </w:t>
      </w:r>
      <w:r w:rsidR="00151620">
        <w:t xml:space="preserve">our findings on </w:t>
      </w:r>
      <w:r w:rsidR="00EA2027">
        <w:t>r</w:t>
      </w:r>
      <w:r w:rsidR="00151620">
        <w:t xml:space="preserve">eturn on </w:t>
      </w:r>
      <w:r w:rsidR="00EA2027">
        <w:t>e</w:t>
      </w:r>
      <w:r w:rsidR="00151620">
        <w:t xml:space="preserve">quity and </w:t>
      </w:r>
      <w:r w:rsidR="00151620" w:rsidRPr="00205830">
        <w:t>this figure can be found in the attachment 3: Rate of return</w:t>
      </w:r>
      <w:r w:rsidR="00151620">
        <w:t>.</w:t>
      </w:r>
    </w:p>
    <w:p w:rsidR="00EA2027" w:rsidRDefault="00EA2027" w:rsidP="00EA2027"/>
    <w:p w:rsidR="00075F48" w:rsidRPr="00D16140" w:rsidRDefault="00075F48" w:rsidP="00830DE2">
      <w:pPr>
        <w:pStyle w:val="Caption"/>
      </w:pPr>
      <w:r>
        <w:t>Figure</w:t>
      </w:r>
      <w:r w:rsidR="002C6D16">
        <w:t xml:space="preserve"> 5</w:t>
      </w:r>
      <w:bookmarkEnd w:id="36"/>
      <w:r>
        <w:tab/>
      </w:r>
      <w:r w:rsidRPr="00D16140">
        <w:t>Other information comparisons with the AER allowed ERP</w:t>
      </w:r>
      <w:r w:rsidRPr="00D16140">
        <w:tab/>
      </w:r>
    </w:p>
    <w:p w:rsidR="00CC5DB6" w:rsidRDefault="00CC5DB6" w:rsidP="00075F48">
      <w:pPr>
        <w:pStyle w:val="AERtablesource"/>
      </w:pPr>
      <w:r w:rsidRPr="00CC5DB6">
        <w:rPr>
          <w:noProof/>
          <w:lang w:eastAsia="en-AU"/>
        </w:rPr>
        <w:drawing>
          <wp:inline distT="0" distB="0" distL="0" distR="0" wp14:anchorId="5B658383" wp14:editId="607326CF">
            <wp:extent cx="5382895" cy="428561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4285615"/>
                    </a:xfrm>
                    <a:prstGeom prst="rect">
                      <a:avLst/>
                    </a:prstGeom>
                    <a:noFill/>
                    <a:ln>
                      <a:noFill/>
                    </a:ln>
                  </pic:spPr>
                </pic:pic>
              </a:graphicData>
            </a:graphic>
          </wp:inline>
        </w:drawing>
      </w:r>
    </w:p>
    <w:p w:rsidR="00CC5DB6" w:rsidRDefault="00CC5DB6" w:rsidP="00075F48">
      <w:pPr>
        <w:pStyle w:val="AERtablesource"/>
      </w:pPr>
    </w:p>
    <w:p w:rsidR="00075F48" w:rsidRDefault="00075F48" w:rsidP="00075F48">
      <w:pPr>
        <w:pStyle w:val="AERtablesource"/>
      </w:pPr>
      <w:r>
        <w:t>Source:</w:t>
      </w:r>
      <w:r>
        <w:tab/>
        <w:t>AER analysis and various submissions and reports.</w:t>
      </w:r>
    </w:p>
    <w:p w:rsidR="00EA2027" w:rsidRPr="00C95762" w:rsidRDefault="00EA2027" w:rsidP="00EA2027">
      <w:pPr>
        <w:pStyle w:val="AERtablesource"/>
      </w:pPr>
      <w:r w:rsidRPr="00C95762">
        <w:t xml:space="preserve">Notes: </w:t>
      </w:r>
      <w:r w:rsidRPr="00C9576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EA2027" w:rsidRPr="00C95762" w:rsidRDefault="00EA2027" w:rsidP="00EA2027">
      <w:pPr>
        <w:pStyle w:val="AERtablesource"/>
      </w:pPr>
      <w:r w:rsidRPr="00C95762">
        <w:tab/>
        <w:t>Grant Samuel's final WACC range included an</w:t>
      </w:r>
      <w:r>
        <w:t xml:space="preserve"> </w:t>
      </w:r>
      <w:r w:rsidRPr="00C95762">
        <w:t>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sidRPr="00C95762">
        <w:rPr>
          <w:rStyle w:val="FootnoteReference"/>
        </w:rPr>
        <w:footnoteReference w:id="34"/>
      </w:r>
      <w:r w:rsidRPr="00C95762">
        <w:t xml:space="preserve"> </w:t>
      </w:r>
    </w:p>
    <w:p w:rsidR="00EA2027" w:rsidRPr="00C95762" w:rsidRDefault="00EA2027" w:rsidP="00EA2027">
      <w:pPr>
        <w:pStyle w:val="AERtablesource"/>
      </w:pPr>
      <w:r w:rsidRPr="00C95762">
        <w:tab/>
        <w:t>The service provider proposals range is based on the proposals from businesses for which we are making final or preliminary decisions in April–May 2015.</w:t>
      </w:r>
      <w:r w:rsidRPr="00C95762">
        <w:rPr>
          <w:rStyle w:val="FootnoteReference"/>
        </w:rPr>
        <w:footnoteReference w:id="35"/>
      </w:r>
      <w:r w:rsidRPr="00C95762">
        <w:t xml:space="preserve"> Equity risk premiums were calculated as the proposed return on equity less the risk free rate utilised in the service provider's proposed estimation approach. </w:t>
      </w:r>
    </w:p>
    <w:p w:rsidR="00EA2027" w:rsidRPr="00C95762" w:rsidRDefault="00EA2027" w:rsidP="00EA2027">
      <w:pPr>
        <w:pStyle w:val="AERtablesource"/>
      </w:pPr>
      <w:r w:rsidRPr="00C95762">
        <w:tab/>
        <w:t>The CCP/stakeholder range is based on submissions made (not including service providers) in relation to our final or preliminary decisions in April–May 2015. The lower bound is based on the Energy Users Association of Australia submission on NSW distributors' revised proposals. The upper bound is based on Origin’s submission on ActewAGL’s proposal.</w:t>
      </w:r>
      <w:r w:rsidRPr="00C95762">
        <w:rPr>
          <w:rStyle w:val="FootnoteReference"/>
        </w:rPr>
        <w:footnoteReference w:id="36"/>
      </w:r>
    </w:p>
    <w:p w:rsidR="00112BF8" w:rsidRPr="00112BF8" w:rsidRDefault="00112BF8" w:rsidP="00112BF8">
      <w:pPr>
        <w:pStyle w:val="Heading2"/>
      </w:pPr>
      <w:bookmarkStart w:id="37" w:name="_Toc417973142"/>
      <w:r w:rsidRPr="00112BF8">
        <w:t>Value of imputation credits (gamma)</w:t>
      </w:r>
      <w:bookmarkEnd w:id="37"/>
    </w:p>
    <w:p w:rsidR="006A2559" w:rsidRDefault="006A2559" w:rsidP="006A2559">
      <w:pPr>
        <w:numPr>
          <w:ilvl w:val="0"/>
          <w:numId w:val="25"/>
        </w:numPr>
      </w:pPr>
      <w:bookmarkStart w:id="38" w:name="_Toc404437135"/>
      <w:bookmarkStart w:id="39" w:name="_Toc411428038"/>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37"/>
      </w:r>
      <w:r w:rsidRPr="00A3318E">
        <w:t xml:space="preserve"> </w:t>
      </w:r>
      <w:r w:rsidR="008323F9">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6A2559" w:rsidRDefault="006A2559" w:rsidP="006A2559">
      <w:pPr>
        <w:numPr>
          <w:ilvl w:val="0"/>
          <w:numId w:val="25"/>
        </w:numPr>
      </w:pPr>
      <w:r>
        <w:t xml:space="preserve">In determining a service provider's revenue allowance, the </w:t>
      </w:r>
      <w:r w:rsidR="00151620">
        <w:t>NER</w:t>
      </w:r>
      <w:r>
        <w:t xml:space="preserve"> require</w:t>
      </w:r>
      <w:r w:rsidR="00151620">
        <w:t>s</w:t>
      </w:r>
      <w:r>
        <w:t xml:space="preserve"> that the estimated cost of corporate income tax be estimated in accordance with a formula that reduces the estimated cost by the 'value of imputation credits'.</w:t>
      </w:r>
      <w:r>
        <w:rPr>
          <w:rStyle w:val="FootnoteReference"/>
        </w:rPr>
        <w:footnoteReference w:id="38"/>
      </w:r>
      <w:r w:rsidR="00D54AC1">
        <w:t xml:space="preserve"> That is, the revenue </w:t>
      </w:r>
      <w:r>
        <w:t>granted to a service provider to cover its expected tax liability must be reduced in a manner consistent with the value of imputation credits.</w:t>
      </w:r>
    </w:p>
    <w:p w:rsidR="00C00A11" w:rsidRPr="00C00A11" w:rsidRDefault="00C00A11" w:rsidP="00C00A11">
      <w:pPr>
        <w:numPr>
          <w:ilvl w:val="0"/>
          <w:numId w:val="25"/>
        </w:numPr>
      </w:pPr>
      <w:r w:rsidRPr="00C00A11">
        <w:t xml:space="preserve">Our preliminary decision is to adopt a value of imputation credits of 0.4. This differs from </w:t>
      </w:r>
      <w:r>
        <w:t>Energex's</w:t>
      </w:r>
      <w:r w:rsidRPr="00C00A11">
        <w:t xml:space="preserve"> proposed value of imputation credits of 0.25.</w:t>
      </w:r>
    </w:p>
    <w:p w:rsidR="006A2559" w:rsidRPr="003C2542" w:rsidRDefault="006A2559" w:rsidP="006A2559">
      <w:pPr>
        <w:numPr>
          <w:ilvl w:val="0"/>
          <w:numId w:val="25"/>
        </w:numPr>
      </w:pPr>
      <w:r>
        <w:t xml:space="preserve">Although we have broadly maintained the approach to determining the value of imputation credits set out in the </w:t>
      </w:r>
      <w:r w:rsidR="00497F95">
        <w:t>R</w:t>
      </w:r>
      <w:r>
        <w:t xml:space="preserve">ate of </w:t>
      </w:r>
      <w:r w:rsidR="00497F95">
        <w:t>R</w:t>
      </w:r>
      <w:r>
        <w:t xml:space="preserve">eturn </w:t>
      </w:r>
      <w:r w:rsidR="00497F95">
        <w:t>G</w:t>
      </w:r>
      <w:r>
        <w:t xml:space="preserve">uideline, we have re-examined the relevant evidence and estimates. This re-examination, and new evidence and advice considered </w:t>
      </w:r>
      <w:r w:rsidR="008323F9">
        <w:t xml:space="preserve">for the first time </w:t>
      </w:r>
      <w:r>
        <w:t xml:space="preserve">since the </w:t>
      </w:r>
      <w:r w:rsidR="00497F95">
        <w:t>G</w:t>
      </w:r>
      <w:r>
        <w:t xml:space="preserve">uideline, led us to depart from the value of 0.5 in the </w:t>
      </w:r>
      <w:r w:rsidR="00497F95">
        <w:t>G</w:t>
      </w:r>
      <w:r>
        <w:t>uideline.</w:t>
      </w:r>
      <w:r w:rsidR="008323F9">
        <w:t xml:space="preserve"> Most notably, our updated consideration of the relevant advice and evidence led us to generally lower estimates of the 'utilisation rate' </w:t>
      </w:r>
      <w:r w:rsidR="00EA2027">
        <w:t>from</w:t>
      </w:r>
      <w:r w:rsidR="008323F9">
        <w:t xml:space="preserve"> the 0.7 estimate of the Guideline.</w:t>
      </w:r>
      <w:r w:rsidR="00EA2027">
        <w:t xml:space="preserve"> </w:t>
      </w:r>
      <w:r>
        <w:t>Estimating the value of imputation credits is a complex and</w:t>
      </w:r>
      <w:r w:rsidR="00EA2027">
        <w:t xml:space="preserve"> somewhat</w:t>
      </w:r>
      <w:r>
        <w:t xml:space="preserve"> imprecise task. There is no consensus among experts on the appropriate value or estimation techniques to use. </w:t>
      </w:r>
    </w:p>
    <w:p w:rsidR="006A2559" w:rsidRDefault="006A2559" w:rsidP="006A2559">
      <w:pPr>
        <w:numPr>
          <w:ilvl w:val="0"/>
          <w:numId w:val="25"/>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6A2559" w:rsidRPr="00B10087" w:rsidRDefault="00A24ACB" w:rsidP="006A2559">
      <w:pPr>
        <w:pStyle w:val="AERbulletlistfirststyle"/>
      </w:pPr>
      <w:r>
        <w:t>t</w:t>
      </w:r>
      <w:r w:rsidR="006A2559" w:rsidRPr="00222B8F">
        <w:t>he proportion of Australian equity held by domestic investors (the 'equity ownership approach')</w:t>
      </w:r>
      <w:r w:rsidR="006A2559" w:rsidRPr="00B10087">
        <w:t>.</w:t>
      </w:r>
    </w:p>
    <w:p w:rsidR="006A2559" w:rsidRPr="00B10087" w:rsidRDefault="0049346B" w:rsidP="006A2559">
      <w:pPr>
        <w:pStyle w:val="AERbulletlistfirststyle"/>
      </w:pPr>
      <w:r>
        <w:t>t</w:t>
      </w:r>
      <w:r w:rsidR="006A2559" w:rsidRPr="00222B8F">
        <w:t xml:space="preserve">he reported value of credits utilised by investors in </w:t>
      </w:r>
      <w:r w:rsidR="006A2559" w:rsidRPr="00B10087">
        <w:t>Australian Taxation Office (ATO) statistics ('tax statistics').</w:t>
      </w:r>
    </w:p>
    <w:p w:rsidR="006A2559" w:rsidRPr="00B10087" w:rsidRDefault="0049346B" w:rsidP="006A2559">
      <w:pPr>
        <w:pStyle w:val="AERbulletlistfirststyle"/>
      </w:pPr>
      <w:r>
        <w:t>i</w:t>
      </w:r>
      <w:r w:rsidR="006A2559">
        <w:t>mplied market value studies—there is no separate market in which imputation credits are traded, and therefore there is no observable market price for imputation credits.</w:t>
      </w:r>
    </w:p>
    <w:p w:rsidR="006A2559" w:rsidRPr="009229E7" w:rsidRDefault="006A2559" w:rsidP="006A2559">
      <w:pPr>
        <w:numPr>
          <w:ilvl w:val="0"/>
          <w:numId w:val="25"/>
        </w:numPr>
      </w:pPr>
      <w:r>
        <w:t>In estimating the utilisation rate, we place:</w:t>
      </w:r>
    </w:p>
    <w:p w:rsidR="006A2559" w:rsidRPr="00B10087" w:rsidRDefault="006A2559" w:rsidP="006A2559">
      <w:pPr>
        <w:pStyle w:val="AERbulletlistfirststyle"/>
      </w:pPr>
      <w:r>
        <w:t>significant reliance upon the equity ownership approach</w:t>
      </w:r>
    </w:p>
    <w:p w:rsidR="006A2559" w:rsidRPr="00B10087" w:rsidRDefault="006A2559" w:rsidP="006A2559">
      <w:pPr>
        <w:pStyle w:val="AERbulletlistfirststyle"/>
      </w:pPr>
      <w:r>
        <w:t>some r</w:t>
      </w:r>
      <w:r w:rsidR="006B6D5C">
        <w:t>eliance upon tax statistics</w:t>
      </w:r>
    </w:p>
    <w:p w:rsidR="006A2559" w:rsidRPr="00B10087" w:rsidRDefault="006A2559" w:rsidP="006A2559">
      <w:pPr>
        <w:pStyle w:val="AERbulletlistfirststyle"/>
      </w:pPr>
      <w:r>
        <w:t>less reliance upon implied market value studies.</w:t>
      </w:r>
    </w:p>
    <w:p w:rsidR="006A2559" w:rsidRDefault="006A2559" w:rsidP="006A2559">
      <w:pPr>
        <w:numPr>
          <w:ilvl w:val="0"/>
          <w:numId w:val="25"/>
        </w:numPr>
      </w:pPr>
      <w:r>
        <w:t>Overall, the evidence on the distribution rate and the utilisation rate suggests that a reasonable estimate of the value of imputation credits is within the range 0.3 to 0.5. From within this range, we choose a value of 0.4. This is because:</w:t>
      </w:r>
    </w:p>
    <w:p w:rsidR="000D257F" w:rsidRDefault="000D257F" w:rsidP="006A2559">
      <w:pPr>
        <w:pStyle w:val="AERbulletlistfirststyle"/>
      </w:pPr>
      <w:r>
        <w:t xml:space="preserve">the equity ownership approach, on which we have placed the most reliance, suggests a value between 0.40 and 0.47 when applied to all equity and between 0.31 and 0.44 </w:t>
      </w:r>
      <w:r w:rsidR="00E91BD7">
        <w:t>when applied to only listed equity. Therefore, the overlap of the evidence from the equity ownership approach suggests a value between 0.40 and 0.44.</w:t>
      </w:r>
    </w:p>
    <w:p w:rsidR="00E91BD7" w:rsidRDefault="00E91BD7" w:rsidP="006A2559">
      <w:pPr>
        <w:pStyle w:val="AERbulletlistfirststyle"/>
      </w:pPr>
      <w:r>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E91BD7" w:rsidRDefault="00E91BD7" w:rsidP="006A2559">
      <w:pPr>
        <w:pStyle w:val="AERbulletlistfirststyle"/>
      </w:pPr>
      <w:r>
        <w:t>an estimate of 0.4 is reasonable in light of both higher and lower estimates from implied market value studies and the less</w:t>
      </w:r>
      <w:r w:rsidR="006B6D5C">
        <w:t>er</w:t>
      </w:r>
      <w:r>
        <w:t xml:space="preserve">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study (0.32) nor any increased reliance we might place on it relative to other implied market value studies are sufficient to warrant an estimate lower than 0.4.</w:t>
      </w:r>
    </w:p>
    <w:p w:rsidR="00112BF8" w:rsidRPr="00112BF8" w:rsidRDefault="00112BF8" w:rsidP="00112BF8">
      <w:pPr>
        <w:pStyle w:val="Heading2"/>
      </w:pPr>
      <w:bookmarkStart w:id="40" w:name="_Toc417973143"/>
      <w:bookmarkEnd w:id="38"/>
      <w:bookmarkEnd w:id="39"/>
      <w:r w:rsidRPr="00112BF8">
        <w:t>Regulatory depreciation (return of capital)</w:t>
      </w:r>
      <w:bookmarkEnd w:id="40"/>
    </w:p>
    <w:p w:rsidR="00112BF8" w:rsidRDefault="00B21852" w:rsidP="00B21852">
      <w:r>
        <w:t>Depreciation is the allowance provided so that capital investors recover their investment over the economic life of the asset (return of capital). We are required to decide on whether to approve the depreciation schedules submitted by Energex.</w:t>
      </w:r>
      <w:r>
        <w:rPr>
          <w:rStyle w:val="FootnoteReference"/>
        </w:rPr>
        <w:footnoteReference w:id="39"/>
      </w:r>
      <w:r>
        <w:t xml:space="preserve"> In doing so, we make </w:t>
      </w:r>
      <w:r w:rsidR="00FB69D7">
        <w:t xml:space="preserve">a </w:t>
      </w:r>
      <w:r>
        <w:t>determination on the indexation of the RAB and depreciation building blocks for Energex's 2015</w:t>
      </w:r>
      <w:r>
        <w:rPr>
          <w:rFonts w:cs="Arial"/>
        </w:rPr>
        <w:t>−</w:t>
      </w:r>
      <w:r>
        <w:t>20 regulatory control period.</w:t>
      </w:r>
      <w:r w:rsidR="00112BF8" w:rsidRPr="00112BF8">
        <w:t xml:space="preserve">  </w:t>
      </w:r>
    </w:p>
    <w:p w:rsidR="00112BF8" w:rsidRDefault="00112BF8" w:rsidP="00112BF8">
      <w:pPr>
        <w:numPr>
          <w:ilvl w:val="0"/>
          <w:numId w:val="25"/>
        </w:numPr>
      </w:pPr>
      <w:r w:rsidRPr="00112BF8">
        <w:t xml:space="preserve">Our preliminary decision is to determine alternative depreciation schedules, and hence, the depreciation allowance, to apply to </w:t>
      </w:r>
      <w:r w:rsidR="00830A66">
        <w:t>Energex</w:t>
      </w:r>
      <w:r w:rsidRPr="00112BF8">
        <w:t>.</w:t>
      </w:r>
      <w:r w:rsidRPr="00112BF8">
        <w:rPr>
          <w:rStyle w:val="FootnoteReference"/>
        </w:rPr>
        <w:footnoteReference w:id="40"/>
      </w:r>
      <w:r w:rsidRPr="00112BF8">
        <w:t xml:space="preserve"> </w:t>
      </w:r>
      <w:r w:rsidR="006A135A">
        <w:t>We have set</w:t>
      </w:r>
      <w:r w:rsidRPr="00112BF8">
        <w:t xml:space="preserve"> the allowance at </w:t>
      </w:r>
      <w:r w:rsidRPr="00CC5DB6">
        <w:rPr>
          <w:rStyle w:val="AERbodytextChar"/>
          <w:rFonts w:eastAsiaTheme="minorHAnsi"/>
        </w:rPr>
        <w:t>$</w:t>
      </w:r>
      <w:r w:rsidR="006A7ABB" w:rsidRPr="00CC5DB6">
        <w:rPr>
          <w:rStyle w:val="AERbodytextChar"/>
          <w:rFonts w:eastAsiaTheme="minorHAnsi"/>
        </w:rPr>
        <w:t>45</w:t>
      </w:r>
      <w:r w:rsidR="00D60A9B">
        <w:rPr>
          <w:rStyle w:val="AERbodytextChar"/>
          <w:rFonts w:eastAsiaTheme="minorHAnsi"/>
        </w:rPr>
        <w:t>5.4</w:t>
      </w:r>
      <w:r w:rsidRPr="00CC5DB6">
        <w:rPr>
          <w:rStyle w:val="AERbodytextChar"/>
          <w:rFonts w:eastAsiaTheme="minorHAnsi"/>
        </w:rPr>
        <w:t xml:space="preserve"> million ($ nominal)</w:t>
      </w:r>
      <w:r w:rsidR="008340EB">
        <w:rPr>
          <w:rStyle w:val="AERbodytextChar"/>
          <w:rFonts w:eastAsiaTheme="minorHAnsi"/>
        </w:rPr>
        <w:t>. This is</w:t>
      </w:r>
      <w:r w:rsidRPr="00CC5DB6">
        <w:rPr>
          <w:rStyle w:val="AERbodytextChar"/>
          <w:rFonts w:eastAsiaTheme="minorHAnsi"/>
        </w:rPr>
        <w:t xml:space="preserve"> </w:t>
      </w:r>
      <w:r w:rsidR="00522723" w:rsidRPr="00CC5DB6">
        <w:rPr>
          <w:rStyle w:val="AERbodytextChar"/>
          <w:rFonts w:eastAsiaTheme="minorHAnsi"/>
        </w:rPr>
        <w:t>9</w:t>
      </w:r>
      <w:r w:rsidR="00277707" w:rsidRPr="00CC5DB6">
        <w:rPr>
          <w:rStyle w:val="AERbodytextChar"/>
          <w:rFonts w:eastAsiaTheme="minorHAnsi"/>
        </w:rPr>
        <w:t>.</w:t>
      </w:r>
      <w:r w:rsidR="00D60A9B">
        <w:rPr>
          <w:rStyle w:val="AERbodytextChar"/>
          <w:rFonts w:eastAsiaTheme="minorHAnsi"/>
        </w:rPr>
        <w:t>2</w:t>
      </w:r>
      <w:r w:rsidR="00522723" w:rsidRPr="00CC5DB6">
        <w:rPr>
          <w:rStyle w:val="AERbodytextChar"/>
          <w:rFonts w:eastAsiaTheme="minorHAnsi"/>
        </w:rPr>
        <w:t xml:space="preserve"> </w:t>
      </w:r>
      <w:r w:rsidRPr="00CC5DB6">
        <w:rPr>
          <w:rStyle w:val="AERbodytextChar"/>
          <w:rFonts w:eastAsiaTheme="minorHAnsi"/>
        </w:rPr>
        <w:t>per cent, less</w:t>
      </w:r>
      <w:r w:rsidRPr="00112BF8">
        <w:t xml:space="preserve"> than the allowance </w:t>
      </w:r>
      <w:r w:rsidR="00F21296">
        <w:t>Energex</w:t>
      </w:r>
      <w:r w:rsidR="00F21296" w:rsidRPr="00112BF8">
        <w:t xml:space="preserve"> </w:t>
      </w:r>
      <w:r w:rsidRPr="00112BF8">
        <w:t>proposed.</w:t>
      </w:r>
    </w:p>
    <w:p w:rsidR="006A135A" w:rsidRPr="00112BF8" w:rsidRDefault="006A135A" w:rsidP="00112BF8">
      <w:pPr>
        <w:numPr>
          <w:ilvl w:val="0"/>
          <w:numId w:val="25"/>
        </w:numPr>
      </w:pPr>
      <w:r>
        <w:t>Table 6</w:t>
      </w:r>
      <w:r w:rsidRPr="00112BF8">
        <w:t xml:space="preserve"> sets out our </w:t>
      </w:r>
      <w:r>
        <w:t>preliminary</w:t>
      </w:r>
      <w:r w:rsidRPr="00112BF8">
        <w:t xml:space="preserve"> decision on </w:t>
      </w:r>
      <w:r>
        <w:t>Energex's</w:t>
      </w:r>
      <w:r w:rsidRPr="00112BF8">
        <w:t xml:space="preserve"> depreciation allowance for the 201</w:t>
      </w:r>
      <w:r>
        <w:t>5</w:t>
      </w:r>
      <w:r w:rsidRPr="00112BF8">
        <w:t>–</w:t>
      </w:r>
      <w:r>
        <w:t>20 regulatory control</w:t>
      </w:r>
      <w:r w:rsidRPr="00112BF8">
        <w:t xml:space="preserve"> period</w:t>
      </w:r>
      <w:r>
        <w:t>.</w:t>
      </w:r>
    </w:p>
    <w:p w:rsidR="00112BF8" w:rsidRPr="00112BF8" w:rsidRDefault="00112BF8" w:rsidP="00112BF8">
      <w:pPr>
        <w:pStyle w:val="Caption"/>
      </w:pPr>
      <w:r w:rsidRPr="00112BF8">
        <w:t xml:space="preserve">Table </w:t>
      </w:r>
      <w:r w:rsidR="00C43224">
        <w:t>6</w:t>
      </w:r>
      <w:r w:rsidRPr="00112BF8">
        <w:tab/>
        <w:t xml:space="preserve">AER's preliminary decision on Energex's depreciation allowance for the 2015−20 </w:t>
      </w:r>
      <w:r w:rsidR="004B1187">
        <w:t xml:space="preserve">regulatory control </w:t>
      </w:r>
      <w:r w:rsidRPr="00112BF8">
        <w:t>period ($ million, nominal)</w:t>
      </w:r>
    </w:p>
    <w:tbl>
      <w:tblPr>
        <w:tblStyle w:val="AERtable-numbers"/>
        <w:tblW w:w="5000" w:type="pct"/>
        <w:tblLook w:val="04A0" w:firstRow="1" w:lastRow="0" w:firstColumn="1" w:lastColumn="0" w:noHBand="0" w:noVBand="1"/>
      </w:tblPr>
      <w:tblGrid>
        <w:gridCol w:w="3370"/>
        <w:gridCol w:w="889"/>
        <w:gridCol w:w="889"/>
        <w:gridCol w:w="888"/>
        <w:gridCol w:w="888"/>
        <w:gridCol w:w="888"/>
        <w:gridCol w:w="881"/>
      </w:tblGrid>
      <w:tr w:rsidR="00112BF8" w:rsidRPr="004D699F" w:rsidTr="006A7A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112BF8" w:rsidRPr="00112BF8" w:rsidRDefault="00112BF8" w:rsidP="00112BF8">
            <w:r w:rsidRPr="00112BF8">
              <w:t> </w:t>
            </w:r>
          </w:p>
        </w:tc>
        <w:tc>
          <w:tcPr>
            <w:tcW w:w="511" w:type="pct"/>
            <w:noWrap/>
            <w:hideMark/>
          </w:tcPr>
          <w:p w:rsidR="00112BF8" w:rsidRPr="00112BF8" w:rsidRDefault="00112BF8" w:rsidP="00830A66">
            <w:pPr>
              <w:cnfStyle w:val="100000000000" w:firstRow="1" w:lastRow="0" w:firstColumn="0" w:lastColumn="0" w:oddVBand="0" w:evenVBand="0" w:oddHBand="0" w:evenHBand="0" w:firstRowFirstColumn="0" w:firstRowLastColumn="0" w:lastRowFirstColumn="0" w:lastRowLastColumn="0"/>
            </w:pPr>
            <w:r w:rsidRPr="00112BF8">
              <w:t>201</w:t>
            </w:r>
            <w:r w:rsidR="00830A66">
              <w:t>5</w:t>
            </w:r>
            <w:r w:rsidRPr="00112BF8">
              <w:t>–1</w:t>
            </w:r>
            <w:r w:rsidR="00830A66">
              <w:t>6</w:t>
            </w:r>
          </w:p>
        </w:tc>
        <w:tc>
          <w:tcPr>
            <w:tcW w:w="511" w:type="pct"/>
            <w:noWrap/>
            <w:hideMark/>
          </w:tcPr>
          <w:p w:rsidR="00112BF8" w:rsidRPr="00112BF8" w:rsidRDefault="00112BF8" w:rsidP="00830A66">
            <w:pPr>
              <w:cnfStyle w:val="100000000000" w:firstRow="1" w:lastRow="0" w:firstColumn="0" w:lastColumn="0" w:oddVBand="0" w:evenVBand="0" w:oddHBand="0" w:evenHBand="0" w:firstRowFirstColumn="0" w:firstRowLastColumn="0" w:lastRowFirstColumn="0" w:lastRowLastColumn="0"/>
            </w:pPr>
            <w:r w:rsidRPr="00112BF8">
              <w:t>201</w:t>
            </w:r>
            <w:r w:rsidR="00830A66">
              <w:t>6</w:t>
            </w:r>
            <w:r w:rsidRPr="00112BF8">
              <w:t>–1</w:t>
            </w:r>
            <w:r w:rsidR="00830A66">
              <w:t>7</w:t>
            </w:r>
          </w:p>
        </w:tc>
        <w:tc>
          <w:tcPr>
            <w:tcW w:w="511" w:type="pct"/>
            <w:noWrap/>
            <w:hideMark/>
          </w:tcPr>
          <w:p w:rsidR="00112BF8" w:rsidRPr="00112BF8" w:rsidRDefault="00112BF8" w:rsidP="00830A66">
            <w:pPr>
              <w:cnfStyle w:val="100000000000" w:firstRow="1" w:lastRow="0" w:firstColumn="0" w:lastColumn="0" w:oddVBand="0" w:evenVBand="0" w:oddHBand="0" w:evenHBand="0" w:firstRowFirstColumn="0" w:firstRowLastColumn="0" w:lastRowFirstColumn="0" w:lastRowLastColumn="0"/>
            </w:pPr>
            <w:r w:rsidRPr="00112BF8">
              <w:t>201</w:t>
            </w:r>
            <w:r w:rsidR="00830A66">
              <w:t>7</w:t>
            </w:r>
            <w:r w:rsidRPr="00112BF8">
              <w:t>–1</w:t>
            </w:r>
            <w:r w:rsidR="00830A66">
              <w:t>8</w:t>
            </w:r>
          </w:p>
        </w:tc>
        <w:tc>
          <w:tcPr>
            <w:tcW w:w="511" w:type="pct"/>
            <w:noWrap/>
            <w:hideMark/>
          </w:tcPr>
          <w:p w:rsidR="00112BF8" w:rsidRPr="00112BF8" w:rsidRDefault="00112BF8" w:rsidP="00830A66">
            <w:pPr>
              <w:cnfStyle w:val="100000000000" w:firstRow="1" w:lastRow="0" w:firstColumn="0" w:lastColumn="0" w:oddVBand="0" w:evenVBand="0" w:oddHBand="0" w:evenHBand="0" w:firstRowFirstColumn="0" w:firstRowLastColumn="0" w:lastRowFirstColumn="0" w:lastRowLastColumn="0"/>
            </w:pPr>
            <w:r w:rsidRPr="00112BF8">
              <w:t>201</w:t>
            </w:r>
            <w:r w:rsidR="00830A66">
              <w:t>8</w:t>
            </w:r>
            <w:r w:rsidRPr="00112BF8">
              <w:t>–1</w:t>
            </w:r>
            <w:r w:rsidR="00830A66">
              <w:t>9</w:t>
            </w:r>
          </w:p>
        </w:tc>
        <w:tc>
          <w:tcPr>
            <w:tcW w:w="511" w:type="pct"/>
            <w:noWrap/>
            <w:hideMark/>
          </w:tcPr>
          <w:p w:rsidR="00112BF8" w:rsidRPr="00112BF8" w:rsidRDefault="00112BF8" w:rsidP="00830A66">
            <w:pPr>
              <w:cnfStyle w:val="100000000000" w:firstRow="1" w:lastRow="0" w:firstColumn="0" w:lastColumn="0" w:oddVBand="0" w:evenVBand="0" w:oddHBand="0" w:evenHBand="0" w:firstRowFirstColumn="0" w:firstRowLastColumn="0" w:lastRowFirstColumn="0" w:lastRowLastColumn="0"/>
            </w:pPr>
            <w:r w:rsidRPr="00112BF8">
              <w:t>201</w:t>
            </w:r>
            <w:r w:rsidR="00830A66">
              <w:t>9</w:t>
            </w:r>
            <w:r w:rsidRPr="00112BF8">
              <w:t>–</w:t>
            </w:r>
            <w:r w:rsidR="00830A66">
              <w:t>20</w:t>
            </w:r>
          </w:p>
        </w:tc>
        <w:tc>
          <w:tcPr>
            <w:tcW w:w="507" w:type="pct"/>
            <w:noWrap/>
            <w:hideMark/>
          </w:tcPr>
          <w:p w:rsidR="00112BF8" w:rsidRPr="00112BF8" w:rsidRDefault="00112BF8" w:rsidP="00112BF8">
            <w:pPr>
              <w:cnfStyle w:val="100000000000" w:firstRow="1" w:lastRow="0" w:firstColumn="0" w:lastColumn="0" w:oddVBand="0" w:evenVBand="0" w:oddHBand="0" w:evenHBand="0" w:firstRowFirstColumn="0" w:firstRowLastColumn="0" w:lastRowFirstColumn="0" w:lastRowLastColumn="0"/>
            </w:pPr>
            <w:r w:rsidRPr="00112BF8">
              <w:t>Total</w:t>
            </w:r>
          </w:p>
        </w:tc>
      </w:tr>
      <w:tr w:rsidR="00D60A9B" w:rsidRPr="004D699F" w:rsidTr="00FB69D7">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D60A9B" w:rsidRPr="00D60A9B" w:rsidRDefault="00D60A9B" w:rsidP="00D60A9B">
            <w:r w:rsidRPr="00D60A9B">
              <w:t>Straight-line depreciation</w:t>
            </w:r>
          </w:p>
        </w:tc>
        <w:tc>
          <w:tcPr>
            <w:tcW w:w="511"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354.6</w:t>
            </w:r>
          </w:p>
        </w:tc>
        <w:tc>
          <w:tcPr>
            <w:tcW w:w="511"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378.4</w:t>
            </w:r>
          </w:p>
        </w:tc>
        <w:tc>
          <w:tcPr>
            <w:tcW w:w="511"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404.3</w:t>
            </w:r>
          </w:p>
        </w:tc>
        <w:tc>
          <w:tcPr>
            <w:tcW w:w="511"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423.6</w:t>
            </w:r>
          </w:p>
        </w:tc>
        <w:tc>
          <w:tcPr>
            <w:tcW w:w="511"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446.1</w:t>
            </w:r>
          </w:p>
        </w:tc>
        <w:tc>
          <w:tcPr>
            <w:tcW w:w="507"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2006.9</w:t>
            </w:r>
          </w:p>
        </w:tc>
      </w:tr>
      <w:tr w:rsidR="00D60A9B" w:rsidRPr="004D699F" w:rsidTr="00FB69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D60A9B" w:rsidRPr="00D60A9B" w:rsidRDefault="00D60A9B" w:rsidP="00D60A9B">
            <w:r w:rsidRPr="00D60A9B">
              <w:rPr>
                <w:rStyle w:val="AERtextitalic"/>
              </w:rPr>
              <w:t>Less</w:t>
            </w:r>
            <w:r w:rsidRPr="00D60A9B">
              <w:t>: inflation indexation on opening RAB</w:t>
            </w:r>
          </w:p>
        </w:tc>
        <w:tc>
          <w:tcPr>
            <w:tcW w:w="511"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289.0</w:t>
            </w:r>
          </w:p>
        </w:tc>
        <w:tc>
          <w:tcPr>
            <w:tcW w:w="511"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300.1</w:t>
            </w:r>
          </w:p>
        </w:tc>
        <w:tc>
          <w:tcPr>
            <w:tcW w:w="511"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311.1</w:t>
            </w:r>
          </w:p>
        </w:tc>
        <w:tc>
          <w:tcPr>
            <w:tcW w:w="511"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320.9</w:t>
            </w:r>
          </w:p>
        </w:tc>
        <w:tc>
          <w:tcPr>
            <w:tcW w:w="511"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330.4</w:t>
            </w:r>
          </w:p>
        </w:tc>
        <w:tc>
          <w:tcPr>
            <w:tcW w:w="507"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1551.5</w:t>
            </w:r>
          </w:p>
        </w:tc>
      </w:tr>
      <w:tr w:rsidR="00D60A9B" w:rsidRPr="00186632" w:rsidTr="00FB69D7">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D60A9B" w:rsidRPr="00186632" w:rsidRDefault="00D60A9B" w:rsidP="00CE0819">
            <w:pPr>
              <w:rPr>
                <w:rStyle w:val="Strong"/>
              </w:rPr>
            </w:pPr>
            <w:r w:rsidRPr="00186632">
              <w:rPr>
                <w:rStyle w:val="Strong"/>
              </w:rPr>
              <w:t>Regulatory depreciation</w:t>
            </w:r>
          </w:p>
        </w:tc>
        <w:tc>
          <w:tcPr>
            <w:tcW w:w="511" w:type="pct"/>
            <w:noWrap/>
            <w:vAlign w:val="bottom"/>
          </w:tcPr>
          <w:p w:rsidR="00D60A9B" w:rsidRPr="00186632" w:rsidRDefault="00D60A9B" w:rsidP="00CE0819">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65.6</w:t>
            </w:r>
          </w:p>
        </w:tc>
        <w:tc>
          <w:tcPr>
            <w:tcW w:w="511" w:type="pct"/>
            <w:noWrap/>
            <w:vAlign w:val="bottom"/>
          </w:tcPr>
          <w:p w:rsidR="00D60A9B" w:rsidRPr="00186632" w:rsidRDefault="00D60A9B" w:rsidP="00CE0819">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78.3</w:t>
            </w:r>
          </w:p>
        </w:tc>
        <w:tc>
          <w:tcPr>
            <w:tcW w:w="511" w:type="pct"/>
            <w:noWrap/>
            <w:vAlign w:val="bottom"/>
          </w:tcPr>
          <w:p w:rsidR="00D60A9B" w:rsidRPr="00186632" w:rsidRDefault="00D60A9B" w:rsidP="00CE0819">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93.1</w:t>
            </w:r>
          </w:p>
        </w:tc>
        <w:tc>
          <w:tcPr>
            <w:tcW w:w="511" w:type="pct"/>
            <w:noWrap/>
            <w:vAlign w:val="bottom"/>
          </w:tcPr>
          <w:p w:rsidR="00D60A9B" w:rsidRPr="00186632" w:rsidRDefault="00D60A9B" w:rsidP="00CE0819">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102.6</w:t>
            </w:r>
          </w:p>
        </w:tc>
        <w:tc>
          <w:tcPr>
            <w:tcW w:w="511" w:type="pct"/>
            <w:noWrap/>
            <w:vAlign w:val="bottom"/>
          </w:tcPr>
          <w:p w:rsidR="00D60A9B" w:rsidRPr="00186632" w:rsidRDefault="00D60A9B" w:rsidP="00CE0819">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115.7</w:t>
            </w:r>
          </w:p>
        </w:tc>
        <w:tc>
          <w:tcPr>
            <w:tcW w:w="507" w:type="pct"/>
            <w:noWrap/>
            <w:vAlign w:val="bottom"/>
          </w:tcPr>
          <w:p w:rsidR="00D60A9B" w:rsidRPr="00186632" w:rsidRDefault="00D60A9B" w:rsidP="00CE0819">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455.4</w:t>
            </w:r>
          </w:p>
        </w:tc>
      </w:tr>
    </w:tbl>
    <w:p w:rsidR="007F3EA4" w:rsidRDefault="00112BF8" w:rsidP="007F3EA4">
      <w:pPr>
        <w:pStyle w:val="AERtablesource"/>
      </w:pPr>
      <w:r w:rsidRPr="00112BF8">
        <w:t>Source:</w:t>
      </w:r>
      <w:r w:rsidRPr="00112BF8">
        <w:tab/>
        <w:t>AER analysis.</w:t>
      </w:r>
    </w:p>
    <w:p w:rsidR="00112BF8" w:rsidRPr="007F3EA4" w:rsidRDefault="00112BF8" w:rsidP="007F3EA4">
      <w:r w:rsidRPr="007F3EA4">
        <w:t xml:space="preserve">In coming to </w:t>
      </w:r>
      <w:r w:rsidR="00830A66" w:rsidRPr="007F3EA4">
        <w:t xml:space="preserve">our preliminary decision to determine a regulatory depreciation allowance </w:t>
      </w:r>
      <w:r w:rsidR="00830A66" w:rsidRPr="00CC5DB6">
        <w:rPr>
          <w:rStyle w:val="AERbodytextChar"/>
          <w:rFonts w:eastAsiaTheme="minorHAnsi"/>
        </w:rPr>
        <w:t>of $</w:t>
      </w:r>
      <w:r w:rsidR="006A7ABB" w:rsidRPr="00CC5DB6">
        <w:rPr>
          <w:rStyle w:val="AERbodytextChar"/>
          <w:rFonts w:eastAsiaTheme="minorHAnsi"/>
        </w:rPr>
        <w:t>45</w:t>
      </w:r>
      <w:r w:rsidR="00D60A9B">
        <w:rPr>
          <w:rStyle w:val="AERbodytextChar"/>
          <w:rFonts w:eastAsiaTheme="minorHAnsi"/>
        </w:rPr>
        <w:t>5.4</w:t>
      </w:r>
      <w:r w:rsidR="006A7ABB" w:rsidRPr="00CC5DB6">
        <w:rPr>
          <w:rStyle w:val="AERbodytextChar"/>
          <w:rFonts w:eastAsiaTheme="minorHAnsi"/>
        </w:rPr>
        <w:t xml:space="preserve"> </w:t>
      </w:r>
      <w:r w:rsidR="006B6D5C">
        <w:rPr>
          <w:rStyle w:val="AERbodytextChar"/>
          <w:rFonts w:eastAsiaTheme="minorHAnsi"/>
        </w:rPr>
        <w:t xml:space="preserve">million </w:t>
      </w:r>
      <w:r w:rsidR="00830A66" w:rsidRPr="00CC5DB6">
        <w:rPr>
          <w:rStyle w:val="AERbodytextChar"/>
          <w:rFonts w:eastAsiaTheme="minorHAnsi"/>
        </w:rPr>
        <w:t>($nominal</w:t>
      </w:r>
      <w:r w:rsidR="00830A66" w:rsidRPr="007F3EA4">
        <w:t>)</w:t>
      </w:r>
      <w:r w:rsidRPr="007F3EA4">
        <w:t>, we:</w:t>
      </w:r>
    </w:p>
    <w:p w:rsidR="008F1982" w:rsidRDefault="008F1982" w:rsidP="008F1982">
      <w:pPr>
        <w:pStyle w:val="AERbulletlistfirststyle"/>
      </w:pPr>
      <w:r>
        <w:t>a</w:t>
      </w:r>
      <w:r w:rsidRPr="00F433A3">
        <w:t xml:space="preserve">ccept </w:t>
      </w:r>
      <w:r>
        <w:t>Energex's</w:t>
      </w:r>
      <w:r w:rsidRPr="00F433A3">
        <w:t xml:space="preserve"> proposed asset classes, </w:t>
      </w:r>
      <w:r>
        <w:t xml:space="preserve">its </w:t>
      </w:r>
      <w:r w:rsidRPr="00F433A3">
        <w:t xml:space="preserve">straight-line depreciation method, and the standard asset lives used to calculate the regulatory depreciation allowance. We consider </w:t>
      </w:r>
      <w:r>
        <w:t xml:space="preserve">Energex's </w:t>
      </w:r>
      <w:r w:rsidRPr="00F433A3">
        <w:t>proposed asset classes and standard asset lives are consistent with those approved at the 2010-15 distribution determination</w:t>
      </w:r>
      <w:r>
        <w:t>,</w:t>
      </w:r>
      <w:r w:rsidRPr="00F433A3">
        <w:t xml:space="preserve"> and reflect the nature and economic lives of the assets.</w:t>
      </w:r>
      <w:r w:rsidRPr="00F433A3">
        <w:rPr>
          <w:rStyle w:val="FootnoteReference"/>
        </w:rPr>
        <w:footnoteReference w:id="41"/>
      </w:r>
      <w:r>
        <w:t xml:space="preserve"> </w:t>
      </w:r>
    </w:p>
    <w:p w:rsidR="008F1982" w:rsidRDefault="008F1982" w:rsidP="008F1982">
      <w:pPr>
        <w:pStyle w:val="AERbulletlistfirststyle"/>
      </w:pPr>
      <w:r>
        <w:t>ac</w:t>
      </w:r>
      <w:r w:rsidRPr="00F01ABB">
        <w:t xml:space="preserve">cept </w:t>
      </w:r>
      <w:r>
        <w:t>Energex</w:t>
      </w:r>
      <w:r w:rsidRPr="00F01ABB">
        <w:t>'s proposed weighted average method to calculate remaining asset</w:t>
      </w:r>
      <w:r>
        <w:t xml:space="preserve"> </w:t>
      </w:r>
      <w:r w:rsidRPr="00F01ABB">
        <w:t>lives at 1 July 201</w:t>
      </w:r>
      <w:r>
        <w:t>5</w:t>
      </w:r>
      <w:r w:rsidRPr="00F01ABB">
        <w:t>. However, we have updated these lives to reflect our</w:t>
      </w:r>
      <w:r>
        <w:t xml:space="preserve"> </w:t>
      </w:r>
      <w:r w:rsidRPr="00F01ABB">
        <w:t xml:space="preserve">adjustments to the RAB in the roll forward model (RFM), as discussed in attachment </w:t>
      </w:r>
      <w:r>
        <w:t>2.</w:t>
      </w:r>
    </w:p>
    <w:p w:rsidR="008F1982" w:rsidRDefault="008F1982" w:rsidP="008F1982">
      <w:pPr>
        <w:pStyle w:val="AERbulletlistfirststyle"/>
      </w:pPr>
      <w:r>
        <w:t xml:space="preserve">accept the reallocation of the residual value of the old 'Metering' asset class to be replaced by a new </w:t>
      </w:r>
      <w:r w:rsidRPr="00B17633">
        <w:t xml:space="preserve">'Load </w:t>
      </w:r>
      <w:r>
        <w:t>c</w:t>
      </w:r>
      <w:r w:rsidRPr="00B17633">
        <w:t xml:space="preserve">ontrol &amp; </w:t>
      </w:r>
      <w:r>
        <w:t>n</w:t>
      </w:r>
      <w:r w:rsidRPr="00B17633">
        <w:t xml:space="preserve">etwork </w:t>
      </w:r>
      <w:r>
        <w:t>m</w:t>
      </w:r>
      <w:r w:rsidRPr="00B17633">
        <w:t xml:space="preserve">etering </w:t>
      </w:r>
      <w:r>
        <w:t>d</w:t>
      </w:r>
      <w:r w:rsidRPr="00B17633">
        <w:t>evices</w:t>
      </w:r>
      <w:r>
        <w:t>' asset class. We also accept the proposed standard asset life for this asset class. However, we have revised the remaining asset life for past assets allocated to this asset class.</w:t>
      </w:r>
    </w:p>
    <w:p w:rsidR="008F1982" w:rsidRDefault="008F1982" w:rsidP="008F1982">
      <w:pPr>
        <w:pStyle w:val="AERbulletlistfirststyle"/>
      </w:pPr>
      <w:r>
        <w:t>revised the remaining asset life of the '</w:t>
      </w:r>
      <w:r w:rsidR="00AE666E">
        <w:t>L</w:t>
      </w:r>
      <w:r w:rsidRPr="00B40D4D">
        <w:t xml:space="preserve">ow </w:t>
      </w:r>
      <w:r>
        <w:t>v</w:t>
      </w:r>
      <w:r w:rsidRPr="00B40D4D">
        <w:t xml:space="preserve">oltage </w:t>
      </w:r>
      <w:r>
        <w:t>s</w:t>
      </w:r>
      <w:r w:rsidRPr="00B40D4D">
        <w:t>ervices</w:t>
      </w:r>
      <w:r>
        <w:t>' asset class to account for the effect of the proposed shifting of assets to the 'Metering' asset class in 2013–14.</w:t>
      </w:r>
    </w:p>
    <w:p w:rsidR="008F1982" w:rsidRDefault="008F1982" w:rsidP="008F1982">
      <w:pPr>
        <w:pStyle w:val="AERbulletlistfirststyle"/>
      </w:pPr>
      <w:r>
        <w:t>m</w:t>
      </w:r>
      <w:r w:rsidRPr="00F01ABB">
        <w:t xml:space="preserve">ade determinations on other components of </w:t>
      </w:r>
      <w:r>
        <w:t xml:space="preserve">Energex's </w:t>
      </w:r>
      <w:r w:rsidRPr="00F01ABB">
        <w:t xml:space="preserve">proposal </w:t>
      </w:r>
      <w:r>
        <w:t xml:space="preserve">that </w:t>
      </w:r>
      <w:r w:rsidRPr="00F01ABB">
        <w:t>also affect the forecast regulatory depreciation allowance—for example, the forecast capex (attachment 6)</w:t>
      </w:r>
      <w:r w:rsidRPr="00D95C49">
        <w:t xml:space="preserve"> </w:t>
      </w:r>
      <w:r w:rsidRPr="00F01ABB">
        <w:t>and the opening RAB value (attachment 2).</w:t>
      </w:r>
      <w:r w:rsidRPr="00204479">
        <w:rPr>
          <w:rStyle w:val="AERsuperscript"/>
        </w:rPr>
        <w:footnoteReference w:id="42"/>
      </w:r>
    </w:p>
    <w:p w:rsidR="004F77EF" w:rsidRDefault="00AE666E" w:rsidP="004F77EF">
      <w:r>
        <w:t>D</w:t>
      </w:r>
      <w:r w:rsidR="004F77EF" w:rsidRPr="004F77EF">
        <w:t>etail</w:t>
      </w:r>
      <w:r>
        <w:t>s of</w:t>
      </w:r>
      <w:r w:rsidR="004F77EF" w:rsidRPr="004F77EF">
        <w:t xml:space="preserve"> our preliminary decision on </w:t>
      </w:r>
      <w:r>
        <w:t>the</w:t>
      </w:r>
      <w:r w:rsidR="004F77EF" w:rsidRPr="004F77EF">
        <w:t xml:space="preserve"> regulatory depreciation allowance</w:t>
      </w:r>
      <w:r>
        <w:t xml:space="preserve"> are set out in attachment 5</w:t>
      </w:r>
      <w:r w:rsidR="004F77EF" w:rsidRPr="004F77EF">
        <w:t>.</w:t>
      </w:r>
    </w:p>
    <w:p w:rsidR="00112BF8" w:rsidRPr="00112BF8" w:rsidRDefault="00112BF8" w:rsidP="00112BF8">
      <w:pPr>
        <w:pStyle w:val="Heading2"/>
      </w:pPr>
      <w:bookmarkStart w:id="41" w:name="_Toc417973144"/>
      <w:r w:rsidRPr="00112BF8">
        <w:t>Capital expenditure</w:t>
      </w:r>
      <w:bookmarkEnd w:id="41"/>
    </w:p>
    <w:p w:rsidR="00112BF8" w:rsidRPr="00112BF8" w:rsidRDefault="00112BF8" w:rsidP="00112BF8">
      <w:pPr>
        <w:rPr>
          <w:rStyle w:val="AERbody"/>
        </w:rPr>
      </w:pPr>
      <w:r w:rsidRPr="00112BF8">
        <w:rPr>
          <w:rStyle w:val="AERbody"/>
        </w:rPr>
        <w:t xml:space="preserve">Capex refers to the capital expenses incurred in the provision of network services. The return on and of forecast capex for standard control services are two of the building blocks we use to determine a service provider's total revenue requirement.  </w:t>
      </w:r>
    </w:p>
    <w:p w:rsidR="00293DD1" w:rsidRDefault="00293DD1" w:rsidP="00293DD1">
      <w:r>
        <w:t xml:space="preserve">We </w:t>
      </w:r>
      <w:r w:rsidR="00E91BD7">
        <w:t>estimate</w:t>
      </w:r>
      <w:r>
        <w:t xml:space="preserve"> total forecast capex </w:t>
      </w:r>
      <w:r w:rsidRPr="00CC5DB6">
        <w:rPr>
          <w:rStyle w:val="AERbodytextChar"/>
          <w:rFonts w:eastAsiaTheme="minorHAnsi"/>
        </w:rPr>
        <w:t>of $</w:t>
      </w:r>
      <w:r w:rsidR="00C05551" w:rsidRPr="00CC5DB6">
        <w:rPr>
          <w:rStyle w:val="AERbodytextChar"/>
          <w:rFonts w:eastAsiaTheme="minorHAnsi"/>
        </w:rPr>
        <w:t xml:space="preserve">2361.5 </w:t>
      </w:r>
      <w:r w:rsidR="00105CD8" w:rsidRPr="00CC5DB6">
        <w:rPr>
          <w:rStyle w:val="AERbodytextChar"/>
          <w:rFonts w:eastAsiaTheme="minorHAnsi"/>
        </w:rPr>
        <w:t>million ($2014</w:t>
      </w:r>
      <w:r w:rsidRPr="00CC5DB6">
        <w:rPr>
          <w:rStyle w:val="AERbodytextChar"/>
          <w:rFonts w:eastAsiaTheme="minorHAnsi"/>
        </w:rPr>
        <w:t>−</w:t>
      </w:r>
      <w:r w:rsidR="00AE666E">
        <w:rPr>
          <w:rStyle w:val="AERbodytextChar"/>
          <w:rFonts w:eastAsiaTheme="minorHAnsi"/>
        </w:rPr>
        <w:t>1</w:t>
      </w:r>
      <w:r w:rsidRPr="00CC5DB6">
        <w:rPr>
          <w:rStyle w:val="AERbodytextChar"/>
          <w:rFonts w:eastAsiaTheme="minorHAnsi"/>
        </w:rPr>
        <w:t xml:space="preserve">5) for Energex's 2015−20 regulatory control period: </w:t>
      </w:r>
      <w:r w:rsidR="00C05551" w:rsidRPr="00CC5DB6">
        <w:rPr>
          <w:rStyle w:val="AERbodytextChar"/>
          <w:rFonts w:eastAsiaTheme="minorHAnsi"/>
        </w:rPr>
        <w:t>72.9</w:t>
      </w:r>
      <w:r w:rsidRPr="00CC5DB6">
        <w:rPr>
          <w:rStyle w:val="AERbodytextChar"/>
          <w:rFonts w:eastAsiaTheme="minorHAnsi"/>
        </w:rPr>
        <w:t xml:space="preserve"> per</w:t>
      </w:r>
      <w:r>
        <w:t xml:space="preserve"> cent of Energex's proposed capex.</w:t>
      </w:r>
      <w:r w:rsidR="00B21852">
        <w:t xml:space="preserve"> We are satisfied that our substitute estimate of Energex's total forecast capex reasonably reflects the capex criteria. </w:t>
      </w:r>
      <w:r w:rsidR="00830DE2">
        <w:t xml:space="preserve">Table 7 </w:t>
      </w:r>
      <w:r>
        <w:t>shows our preliminary decision compared to Energex's proposal.</w:t>
      </w:r>
    </w:p>
    <w:p w:rsidR="00112BF8" w:rsidRPr="00112BF8" w:rsidRDefault="00112BF8" w:rsidP="009B0EDD">
      <w:pPr>
        <w:pStyle w:val="Caption"/>
      </w:pPr>
      <w:r w:rsidRPr="00112BF8">
        <w:t xml:space="preserve">Table </w:t>
      </w:r>
      <w:r w:rsidR="00C43224">
        <w:t>7</w:t>
      </w:r>
      <w:r w:rsidRPr="00112BF8">
        <w:tab/>
        <w:t xml:space="preserve"> </w:t>
      </w:r>
      <w:r w:rsidR="00FB69D7">
        <w:t>AER</w:t>
      </w:r>
      <w:r w:rsidRPr="00112BF8">
        <w:t xml:space="preserve"> preliminary decision on total net capex ($million </w:t>
      </w:r>
      <w:r w:rsidRPr="009B0EDD">
        <w:t>201</w:t>
      </w:r>
      <w:r w:rsidR="009B0EDD" w:rsidRPr="009B0EDD">
        <w:t>4</w:t>
      </w:r>
      <w:r w:rsidRPr="009B0EDD">
        <w:t>–1</w:t>
      </w:r>
      <w:r w:rsidR="009B0EDD" w:rsidRPr="009B0EDD">
        <w:t>5</w:t>
      </w:r>
      <w:r w:rsidRPr="009B0EDD">
        <w:t>)</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0201AB" w:rsidRPr="00767B5A" w:rsidTr="00882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0201AB" w:rsidRPr="000201AB" w:rsidRDefault="000201AB" w:rsidP="000201AB">
            <w:pPr>
              <w:pStyle w:val="ListParagraph"/>
              <w:numPr>
                <w:ilvl w:val="0"/>
                <w:numId w:val="25"/>
              </w:numPr>
            </w:pPr>
          </w:p>
        </w:tc>
        <w:tc>
          <w:tcPr>
            <w:tcW w:w="1042" w:type="dxa"/>
            <w:vAlign w:val="top"/>
          </w:tcPr>
          <w:p w:rsidR="000201AB" w:rsidRPr="000201AB" w:rsidRDefault="000201AB" w:rsidP="000201AB">
            <w:pPr>
              <w:cnfStyle w:val="100000000000" w:firstRow="1" w:lastRow="0" w:firstColumn="0" w:lastColumn="0" w:oddVBand="0" w:evenVBand="0" w:oddHBand="0" w:evenHBand="0" w:firstRowFirstColumn="0" w:firstRowLastColumn="0" w:lastRowFirstColumn="0" w:lastRowLastColumn="0"/>
            </w:pPr>
            <w:r w:rsidRPr="00411AD3">
              <w:t>2015–16</w:t>
            </w:r>
          </w:p>
        </w:tc>
        <w:tc>
          <w:tcPr>
            <w:tcW w:w="1041" w:type="dxa"/>
            <w:vAlign w:val="top"/>
          </w:tcPr>
          <w:p w:rsidR="000201AB" w:rsidRPr="000201AB" w:rsidRDefault="000201AB" w:rsidP="000201AB">
            <w:pPr>
              <w:cnfStyle w:val="100000000000" w:firstRow="1" w:lastRow="0" w:firstColumn="0" w:lastColumn="0" w:oddVBand="0" w:evenVBand="0" w:oddHBand="0" w:evenHBand="0" w:firstRowFirstColumn="0" w:firstRowLastColumn="0" w:lastRowFirstColumn="0" w:lastRowLastColumn="0"/>
            </w:pPr>
            <w:r w:rsidRPr="00411AD3">
              <w:t>2016–17</w:t>
            </w:r>
          </w:p>
        </w:tc>
        <w:tc>
          <w:tcPr>
            <w:tcW w:w="1041" w:type="dxa"/>
            <w:vAlign w:val="top"/>
          </w:tcPr>
          <w:p w:rsidR="000201AB" w:rsidRPr="000201AB" w:rsidRDefault="000201AB" w:rsidP="000201AB">
            <w:pPr>
              <w:cnfStyle w:val="100000000000" w:firstRow="1" w:lastRow="0" w:firstColumn="0" w:lastColumn="0" w:oddVBand="0" w:evenVBand="0" w:oddHBand="0" w:evenHBand="0" w:firstRowFirstColumn="0" w:firstRowLastColumn="0" w:lastRowFirstColumn="0" w:lastRowLastColumn="0"/>
            </w:pPr>
            <w:r w:rsidRPr="00411AD3">
              <w:t>2017–18</w:t>
            </w:r>
          </w:p>
        </w:tc>
        <w:tc>
          <w:tcPr>
            <w:tcW w:w="1041" w:type="dxa"/>
            <w:vAlign w:val="top"/>
          </w:tcPr>
          <w:p w:rsidR="000201AB" w:rsidRPr="000201AB" w:rsidRDefault="000201AB" w:rsidP="000201AB">
            <w:pPr>
              <w:cnfStyle w:val="100000000000" w:firstRow="1" w:lastRow="0" w:firstColumn="0" w:lastColumn="0" w:oddVBand="0" w:evenVBand="0" w:oddHBand="0" w:evenHBand="0" w:firstRowFirstColumn="0" w:firstRowLastColumn="0" w:lastRowFirstColumn="0" w:lastRowLastColumn="0"/>
            </w:pPr>
            <w:r w:rsidRPr="00411AD3">
              <w:t>2018–19</w:t>
            </w:r>
          </w:p>
        </w:tc>
        <w:tc>
          <w:tcPr>
            <w:tcW w:w="1041" w:type="dxa"/>
            <w:vAlign w:val="top"/>
          </w:tcPr>
          <w:p w:rsidR="000201AB" w:rsidRPr="000201AB" w:rsidRDefault="000201AB" w:rsidP="000201AB">
            <w:pPr>
              <w:cnfStyle w:val="100000000000" w:firstRow="1" w:lastRow="0" w:firstColumn="0" w:lastColumn="0" w:oddVBand="0" w:evenVBand="0" w:oddHBand="0" w:evenHBand="0" w:firstRowFirstColumn="0" w:firstRowLastColumn="0" w:lastRowFirstColumn="0" w:lastRowLastColumn="0"/>
            </w:pPr>
            <w:r w:rsidRPr="00411AD3">
              <w:t>2019–20</w:t>
            </w:r>
          </w:p>
        </w:tc>
        <w:tc>
          <w:tcPr>
            <w:tcW w:w="1033" w:type="dxa"/>
          </w:tcPr>
          <w:p w:rsidR="000201AB" w:rsidRPr="000201AB" w:rsidRDefault="000201AB" w:rsidP="000201AB">
            <w:pPr>
              <w:cnfStyle w:val="100000000000" w:firstRow="1" w:lastRow="0" w:firstColumn="0" w:lastColumn="0" w:oddVBand="0" w:evenVBand="0" w:oddHBand="0" w:evenHBand="0" w:firstRowFirstColumn="0" w:firstRowLastColumn="0" w:lastRowFirstColumn="0" w:lastRowLastColumn="0"/>
            </w:pPr>
            <w:r w:rsidRPr="00411AD3">
              <w:t>Total</w:t>
            </w:r>
          </w:p>
        </w:tc>
      </w:tr>
      <w:tr w:rsidR="00442D75" w:rsidRPr="00767B5A" w:rsidTr="00882B95">
        <w:tc>
          <w:tcPr>
            <w:cnfStyle w:val="001000000000" w:firstRow="0" w:lastRow="0" w:firstColumn="1" w:lastColumn="0" w:oddVBand="0" w:evenVBand="0" w:oddHBand="0" w:evenHBand="0" w:firstRowFirstColumn="0" w:firstRowLastColumn="0" w:lastRowFirstColumn="0" w:lastRowLastColumn="0"/>
            <w:tcW w:w="2454" w:type="dxa"/>
          </w:tcPr>
          <w:p w:rsidR="00442D75" w:rsidRPr="00442D75" w:rsidRDefault="00442D75" w:rsidP="00442D75">
            <w:r w:rsidRPr="00442D75">
              <w:t>Energex's proposal</w:t>
            </w:r>
          </w:p>
        </w:tc>
        <w:tc>
          <w:tcPr>
            <w:tcW w:w="1042"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670.3</w:t>
            </w:r>
          </w:p>
        </w:tc>
        <w:tc>
          <w:tcPr>
            <w:tcW w:w="1041"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688.5</w:t>
            </w:r>
          </w:p>
        </w:tc>
        <w:tc>
          <w:tcPr>
            <w:tcW w:w="1041"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629.0</w:t>
            </w:r>
          </w:p>
        </w:tc>
        <w:tc>
          <w:tcPr>
            <w:tcW w:w="1041"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613.3</w:t>
            </w:r>
          </w:p>
        </w:tc>
        <w:tc>
          <w:tcPr>
            <w:tcW w:w="1041"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638.4</w:t>
            </w:r>
          </w:p>
        </w:tc>
        <w:tc>
          <w:tcPr>
            <w:tcW w:w="1033"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3239.6</w:t>
            </w:r>
          </w:p>
        </w:tc>
      </w:tr>
      <w:tr w:rsidR="00442D75" w:rsidRPr="00767B5A" w:rsidTr="00882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442D75" w:rsidRPr="00442D75" w:rsidRDefault="00442D75" w:rsidP="00442D75">
            <w:r w:rsidRPr="00442D75">
              <w:t>AER preliminary decision</w:t>
            </w:r>
          </w:p>
        </w:tc>
        <w:tc>
          <w:tcPr>
            <w:tcW w:w="1042" w:type="dxa"/>
          </w:tcPr>
          <w:p w:rsidR="00442D75" w:rsidRPr="00442D75" w:rsidRDefault="00442D75" w:rsidP="00442D75">
            <w:pPr>
              <w:cnfStyle w:val="000000010000" w:firstRow="0" w:lastRow="0" w:firstColumn="0" w:lastColumn="0" w:oddVBand="0" w:evenVBand="0" w:oddHBand="0" w:evenHBand="1" w:firstRowFirstColumn="0" w:firstRowLastColumn="0" w:lastRowFirstColumn="0" w:lastRowLastColumn="0"/>
            </w:pPr>
            <w:r w:rsidRPr="00442D75">
              <w:t>498.5</w:t>
            </w:r>
          </w:p>
        </w:tc>
        <w:tc>
          <w:tcPr>
            <w:tcW w:w="1041" w:type="dxa"/>
          </w:tcPr>
          <w:p w:rsidR="00442D75" w:rsidRPr="00442D75" w:rsidRDefault="00442D75" w:rsidP="00442D75">
            <w:pPr>
              <w:cnfStyle w:val="000000010000" w:firstRow="0" w:lastRow="0" w:firstColumn="0" w:lastColumn="0" w:oddVBand="0" w:evenVBand="0" w:oddHBand="0" w:evenHBand="1" w:firstRowFirstColumn="0" w:firstRowLastColumn="0" w:lastRowFirstColumn="0" w:lastRowLastColumn="0"/>
            </w:pPr>
            <w:r w:rsidRPr="00442D75">
              <w:t>513.6</w:t>
            </w:r>
          </w:p>
        </w:tc>
        <w:tc>
          <w:tcPr>
            <w:tcW w:w="1041" w:type="dxa"/>
          </w:tcPr>
          <w:p w:rsidR="00442D75" w:rsidRPr="00442D75" w:rsidRDefault="00442D75" w:rsidP="00442D75">
            <w:pPr>
              <w:cnfStyle w:val="000000010000" w:firstRow="0" w:lastRow="0" w:firstColumn="0" w:lastColumn="0" w:oddVBand="0" w:evenVBand="0" w:oddHBand="0" w:evenHBand="1" w:firstRowFirstColumn="0" w:firstRowLastColumn="0" w:lastRowFirstColumn="0" w:lastRowLastColumn="0"/>
            </w:pPr>
            <w:r w:rsidRPr="00442D75">
              <w:t>465.5</w:t>
            </w:r>
          </w:p>
        </w:tc>
        <w:tc>
          <w:tcPr>
            <w:tcW w:w="1041" w:type="dxa"/>
          </w:tcPr>
          <w:p w:rsidR="00442D75" w:rsidRPr="00442D75" w:rsidRDefault="00442D75" w:rsidP="00442D75">
            <w:pPr>
              <w:cnfStyle w:val="000000010000" w:firstRow="0" w:lastRow="0" w:firstColumn="0" w:lastColumn="0" w:oddVBand="0" w:evenVBand="0" w:oddHBand="0" w:evenHBand="1" w:firstRowFirstColumn="0" w:firstRowLastColumn="0" w:lastRowFirstColumn="0" w:lastRowLastColumn="0"/>
            </w:pPr>
            <w:r w:rsidRPr="00442D75">
              <w:t>446.2</w:t>
            </w:r>
          </w:p>
        </w:tc>
        <w:tc>
          <w:tcPr>
            <w:tcW w:w="1041" w:type="dxa"/>
          </w:tcPr>
          <w:p w:rsidR="00442D75" w:rsidRPr="00442D75" w:rsidRDefault="00442D75" w:rsidP="00442D75">
            <w:pPr>
              <w:cnfStyle w:val="000000010000" w:firstRow="0" w:lastRow="0" w:firstColumn="0" w:lastColumn="0" w:oddVBand="0" w:evenVBand="0" w:oddHBand="0" w:evenHBand="1" w:firstRowFirstColumn="0" w:firstRowLastColumn="0" w:lastRowFirstColumn="0" w:lastRowLastColumn="0"/>
            </w:pPr>
            <w:r w:rsidRPr="00442D75">
              <w:t>437.8</w:t>
            </w:r>
          </w:p>
        </w:tc>
        <w:tc>
          <w:tcPr>
            <w:tcW w:w="1033" w:type="dxa"/>
          </w:tcPr>
          <w:p w:rsidR="00442D75" w:rsidRPr="00442D75" w:rsidRDefault="00442D75" w:rsidP="00442D75">
            <w:pPr>
              <w:cnfStyle w:val="000000010000" w:firstRow="0" w:lastRow="0" w:firstColumn="0" w:lastColumn="0" w:oddVBand="0" w:evenVBand="0" w:oddHBand="0" w:evenHBand="1" w:firstRowFirstColumn="0" w:firstRowLastColumn="0" w:lastRowFirstColumn="0" w:lastRowLastColumn="0"/>
            </w:pPr>
            <w:r w:rsidRPr="00442D75">
              <w:t>2361.5</w:t>
            </w:r>
          </w:p>
        </w:tc>
      </w:tr>
      <w:tr w:rsidR="00442D75" w:rsidRPr="00767B5A" w:rsidTr="00882B95">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442D75" w:rsidRPr="00442D75" w:rsidRDefault="00442D75" w:rsidP="00442D75">
            <w:r w:rsidRPr="00442D75">
              <w:t>Difference</w:t>
            </w:r>
          </w:p>
        </w:tc>
        <w:tc>
          <w:tcPr>
            <w:tcW w:w="1042"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-171.9</w:t>
            </w:r>
          </w:p>
        </w:tc>
        <w:tc>
          <w:tcPr>
            <w:tcW w:w="1041"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-175.0</w:t>
            </w:r>
          </w:p>
        </w:tc>
        <w:tc>
          <w:tcPr>
            <w:tcW w:w="1041"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-163.5</w:t>
            </w:r>
          </w:p>
        </w:tc>
        <w:tc>
          <w:tcPr>
            <w:tcW w:w="1041"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-167.1</w:t>
            </w:r>
          </w:p>
        </w:tc>
        <w:tc>
          <w:tcPr>
            <w:tcW w:w="1041"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-200.6</w:t>
            </w:r>
          </w:p>
        </w:tc>
        <w:tc>
          <w:tcPr>
            <w:tcW w:w="1033" w:type="dxa"/>
          </w:tcPr>
          <w:p w:rsidR="00442D75" w:rsidRPr="00442D75" w:rsidRDefault="00442D75" w:rsidP="00442D75">
            <w:pPr>
              <w:cnfStyle w:val="000000000000" w:firstRow="0" w:lastRow="0" w:firstColumn="0" w:lastColumn="0" w:oddVBand="0" w:evenVBand="0" w:oddHBand="0" w:evenHBand="0" w:firstRowFirstColumn="0" w:firstRowLastColumn="0" w:lastRowFirstColumn="0" w:lastRowLastColumn="0"/>
            </w:pPr>
            <w:r w:rsidRPr="00442D75">
              <w:t>-878.1</w:t>
            </w:r>
          </w:p>
        </w:tc>
      </w:tr>
      <w:tr w:rsidR="00C05551" w:rsidRPr="00767B5A" w:rsidTr="00882B95">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C05551" w:rsidRPr="00C05551" w:rsidRDefault="00C05551" w:rsidP="00C05551">
            <w:r w:rsidRPr="00C05551">
              <w:t>Percentage difference (%)</w:t>
            </w:r>
          </w:p>
        </w:tc>
        <w:tc>
          <w:tcPr>
            <w:tcW w:w="1042" w:type="dxa"/>
          </w:tcPr>
          <w:p w:rsidR="00C05551" w:rsidRPr="00C05551" w:rsidRDefault="00C05551" w:rsidP="00C05551">
            <w:pPr>
              <w:cnfStyle w:val="000000010000" w:firstRow="0" w:lastRow="0" w:firstColumn="0" w:lastColumn="0" w:oddVBand="0" w:evenVBand="0" w:oddHBand="0" w:evenHBand="1" w:firstRowFirstColumn="0" w:firstRowLastColumn="0" w:lastRowFirstColumn="0" w:lastRowLastColumn="0"/>
            </w:pPr>
            <w:r w:rsidRPr="00C05551">
              <w:t>-26%</w:t>
            </w:r>
          </w:p>
        </w:tc>
        <w:tc>
          <w:tcPr>
            <w:tcW w:w="1041" w:type="dxa"/>
          </w:tcPr>
          <w:p w:rsidR="00C05551" w:rsidRPr="00C05551" w:rsidRDefault="00C05551" w:rsidP="00C05551">
            <w:pPr>
              <w:cnfStyle w:val="000000010000" w:firstRow="0" w:lastRow="0" w:firstColumn="0" w:lastColumn="0" w:oddVBand="0" w:evenVBand="0" w:oddHBand="0" w:evenHBand="1" w:firstRowFirstColumn="0" w:firstRowLastColumn="0" w:lastRowFirstColumn="0" w:lastRowLastColumn="0"/>
            </w:pPr>
            <w:r w:rsidRPr="00C05551">
              <w:t>-25%</w:t>
            </w:r>
          </w:p>
        </w:tc>
        <w:tc>
          <w:tcPr>
            <w:tcW w:w="1041" w:type="dxa"/>
          </w:tcPr>
          <w:p w:rsidR="00C05551" w:rsidRPr="00C05551" w:rsidRDefault="00C05551" w:rsidP="00C05551">
            <w:pPr>
              <w:cnfStyle w:val="000000010000" w:firstRow="0" w:lastRow="0" w:firstColumn="0" w:lastColumn="0" w:oddVBand="0" w:evenVBand="0" w:oddHBand="0" w:evenHBand="1" w:firstRowFirstColumn="0" w:firstRowLastColumn="0" w:lastRowFirstColumn="0" w:lastRowLastColumn="0"/>
            </w:pPr>
            <w:r w:rsidRPr="00C05551">
              <w:t>-26%</w:t>
            </w:r>
          </w:p>
        </w:tc>
        <w:tc>
          <w:tcPr>
            <w:tcW w:w="1041" w:type="dxa"/>
          </w:tcPr>
          <w:p w:rsidR="00C05551" w:rsidRPr="00C05551" w:rsidRDefault="00C05551" w:rsidP="00C05551">
            <w:pPr>
              <w:cnfStyle w:val="000000010000" w:firstRow="0" w:lastRow="0" w:firstColumn="0" w:lastColumn="0" w:oddVBand="0" w:evenVBand="0" w:oddHBand="0" w:evenHBand="1" w:firstRowFirstColumn="0" w:firstRowLastColumn="0" w:lastRowFirstColumn="0" w:lastRowLastColumn="0"/>
            </w:pPr>
            <w:r w:rsidRPr="00C05551">
              <w:t>-27%</w:t>
            </w:r>
          </w:p>
        </w:tc>
        <w:tc>
          <w:tcPr>
            <w:tcW w:w="1041" w:type="dxa"/>
          </w:tcPr>
          <w:p w:rsidR="00C05551" w:rsidRPr="00C05551" w:rsidRDefault="00C05551" w:rsidP="00C05551">
            <w:pPr>
              <w:cnfStyle w:val="000000010000" w:firstRow="0" w:lastRow="0" w:firstColumn="0" w:lastColumn="0" w:oddVBand="0" w:evenVBand="0" w:oddHBand="0" w:evenHBand="1" w:firstRowFirstColumn="0" w:firstRowLastColumn="0" w:lastRowFirstColumn="0" w:lastRowLastColumn="0"/>
            </w:pPr>
            <w:r w:rsidRPr="00C05551">
              <w:t>-31%</w:t>
            </w:r>
          </w:p>
        </w:tc>
        <w:tc>
          <w:tcPr>
            <w:tcW w:w="1033" w:type="dxa"/>
          </w:tcPr>
          <w:p w:rsidR="00C05551" w:rsidRPr="00C05551" w:rsidRDefault="00C05551" w:rsidP="00C05551">
            <w:pPr>
              <w:cnfStyle w:val="000000010000" w:firstRow="0" w:lastRow="0" w:firstColumn="0" w:lastColumn="0" w:oddVBand="0" w:evenVBand="0" w:oddHBand="0" w:evenHBand="1" w:firstRowFirstColumn="0" w:firstRowLastColumn="0" w:lastRowFirstColumn="0" w:lastRowLastColumn="0"/>
            </w:pPr>
            <w:r w:rsidRPr="00C05551">
              <w:t>-27%</w:t>
            </w:r>
          </w:p>
        </w:tc>
      </w:tr>
    </w:tbl>
    <w:p w:rsidR="000201AB" w:rsidRPr="000201AB" w:rsidRDefault="000201AB" w:rsidP="000201AB">
      <w:pPr>
        <w:pStyle w:val="AERtablesource"/>
        <w:rPr>
          <w:rFonts w:eastAsia="Calibri"/>
        </w:rPr>
      </w:pPr>
      <w:r w:rsidRPr="00767B5A">
        <w:t>Source:</w:t>
      </w:r>
      <w:r w:rsidRPr="00767B5A">
        <w:tab/>
      </w:r>
      <w:r>
        <w:t>Energex,</w:t>
      </w:r>
      <w:r w:rsidRPr="00767B5A">
        <w:t xml:space="preserve"> </w:t>
      </w:r>
      <w:r w:rsidRPr="000201AB">
        <w:rPr>
          <w:rStyle w:val="AERtextitalic"/>
        </w:rPr>
        <w:t>Regulatory Proposal</w:t>
      </w:r>
      <w:r>
        <w:t>, October 2014</w:t>
      </w:r>
      <w:r w:rsidRPr="00767B5A">
        <w:t>; AER analysis</w:t>
      </w:r>
      <w:r>
        <w:t>.</w:t>
      </w:r>
    </w:p>
    <w:p w:rsidR="000201AB" w:rsidRPr="000201AB" w:rsidRDefault="000201AB" w:rsidP="000201AB">
      <w:pPr>
        <w:pStyle w:val="AERtablesource"/>
        <w:rPr>
          <w:rFonts w:eastAsia="Calibri"/>
        </w:rPr>
      </w:pPr>
      <w:r w:rsidRPr="00767B5A">
        <w:t>Note:</w:t>
      </w:r>
      <w:r w:rsidRPr="00767B5A">
        <w:tab/>
        <w:t>Numbers may not add up due to rounding.</w:t>
      </w:r>
    </w:p>
    <w:p w:rsidR="00E91BD7" w:rsidRDefault="00E91BD7" w:rsidP="0056451C">
      <w:pPr>
        <w:numPr>
          <w:ilvl w:val="0"/>
          <w:numId w:val="25"/>
        </w:numPr>
      </w:pPr>
      <w:r>
        <w:t xml:space="preserve">Figure </w:t>
      </w:r>
      <w:r w:rsidR="002C6D16">
        <w:t xml:space="preserve">6 </w:t>
      </w:r>
      <w:r>
        <w:t xml:space="preserve">shows our preliminary decision compared to Energex's past and proposed capex and </w:t>
      </w:r>
      <w:r w:rsidR="006B6D5C">
        <w:t>our</w:t>
      </w:r>
      <w:r>
        <w:t xml:space="preserve"> preliminary decision.</w:t>
      </w:r>
    </w:p>
    <w:p w:rsidR="00E91BD7" w:rsidRDefault="00E91BD7" w:rsidP="00E91BD7">
      <w:pPr>
        <w:pStyle w:val="Caption"/>
      </w:pPr>
      <w:r>
        <w:t xml:space="preserve">Figure </w:t>
      </w:r>
      <w:r w:rsidR="002C6D16">
        <w:t>6</w:t>
      </w:r>
      <w:r>
        <w:t xml:space="preserve"> AER preliminary decision compared to Energex's past and proposed capex ($million 2014</w:t>
      </w:r>
      <w:r>
        <w:rPr>
          <w:rFonts w:cs="Arial"/>
        </w:rPr>
        <w:t>−</w:t>
      </w:r>
      <w:r>
        <w:t>15)</w:t>
      </w:r>
    </w:p>
    <w:p w:rsidR="00711B99" w:rsidRPr="00711B99" w:rsidRDefault="00F225E3" w:rsidP="00CC5DB6">
      <w:r>
        <w:rPr>
          <w:noProof/>
          <w:lang w:eastAsia="en-AU"/>
        </w:rPr>
        <w:drawing>
          <wp:inline distT="0" distB="0" distL="0" distR="0" wp14:anchorId="3CA4B475" wp14:editId="15ABBD81">
            <wp:extent cx="5730875" cy="345694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3456940"/>
                    </a:xfrm>
                    <a:prstGeom prst="rect">
                      <a:avLst/>
                    </a:prstGeom>
                    <a:noFill/>
                  </pic:spPr>
                </pic:pic>
              </a:graphicData>
            </a:graphic>
          </wp:inline>
        </w:drawing>
      </w:r>
    </w:p>
    <w:p w:rsidR="002C6D16" w:rsidRPr="00EA44F0" w:rsidRDefault="00EA44F0" w:rsidP="00EA44F0">
      <w:pPr>
        <w:pStyle w:val="AERtablesource"/>
        <w:rPr>
          <w:rStyle w:val="AERbody"/>
          <w:sz w:val="16"/>
        </w:rPr>
      </w:pPr>
      <w:r w:rsidRPr="00EA44F0">
        <w:rPr>
          <w:rStyle w:val="AERbody"/>
          <w:sz w:val="16"/>
        </w:rPr>
        <w:t>Source: AER analysis</w:t>
      </w:r>
    </w:p>
    <w:p w:rsidR="0056451C" w:rsidRDefault="0056451C" w:rsidP="0056451C">
      <w:pPr>
        <w:numPr>
          <w:ilvl w:val="0"/>
          <w:numId w:val="25"/>
        </w:numPr>
      </w:pPr>
      <w:r w:rsidRPr="0027738A">
        <w:t xml:space="preserve">Attachment </w:t>
      </w:r>
      <w:r>
        <w:t>6</w:t>
      </w:r>
      <w:r w:rsidRPr="0027738A">
        <w:t xml:space="preserve"> sets out our detailed reasons for our </w:t>
      </w:r>
      <w:r>
        <w:t xml:space="preserve">preliminary </w:t>
      </w:r>
      <w:r w:rsidRPr="0027738A">
        <w:t xml:space="preserve">decision on </w:t>
      </w:r>
      <w:r>
        <w:t xml:space="preserve">Energex's </w:t>
      </w:r>
      <w:r w:rsidRPr="0027738A">
        <w:t xml:space="preserve">total forecast </w:t>
      </w:r>
      <w:r>
        <w:t>ca</w:t>
      </w:r>
      <w:r w:rsidRPr="0027738A">
        <w:t xml:space="preserve">pex. </w:t>
      </w:r>
      <w:r w:rsidR="00A4466A">
        <w:t>We examined Energex's f</w:t>
      </w:r>
      <w:r w:rsidR="00A4466A" w:rsidRPr="00B71392">
        <w:t>orecasting methodology, key assumptions and past capex performance</w:t>
      </w:r>
      <w:r w:rsidR="00A4466A">
        <w:t xml:space="preserve">. </w:t>
      </w:r>
      <w:r w:rsidR="00A4466A" w:rsidRPr="00B71392">
        <w:t xml:space="preserve"> We conclude that Energex's forecasting methodology predominately relies upon a bottom-up build (or bottom-up assessment) to estimate the forecast expenditure and that the top-down  constraints imposed by their governance process are insufficient for us to be able to conclude that </w:t>
      </w:r>
      <w:r w:rsidR="00A4466A">
        <w:t>Energex's</w:t>
      </w:r>
      <w:r w:rsidR="00A4466A" w:rsidRPr="00B71392">
        <w:t xml:space="preserve"> forecasts are prudent and </w:t>
      </w:r>
      <w:r w:rsidR="00CD4C1B" w:rsidRPr="00B71392">
        <w:t>efficient.</w:t>
      </w:r>
      <w:r w:rsidR="00CD4C1B" w:rsidRPr="0027738A">
        <w:t xml:space="preserve"> The</w:t>
      </w:r>
      <w:r w:rsidRPr="0027738A">
        <w:t xml:space="preserve"> key areas of difference between our </w:t>
      </w:r>
      <w:r w:rsidR="00F3122D">
        <w:t>substitute</w:t>
      </w:r>
      <w:r w:rsidRPr="0027738A">
        <w:t xml:space="preserve"> estimate </w:t>
      </w:r>
      <w:r w:rsidRPr="0027738A">
        <w:rPr>
          <w:rStyle w:val="AERbody"/>
        </w:rPr>
        <w:t xml:space="preserve">and </w:t>
      </w:r>
      <w:r>
        <w:rPr>
          <w:rStyle w:val="AERbody"/>
        </w:rPr>
        <w:t>Energex's</w:t>
      </w:r>
      <w:r w:rsidRPr="0027738A">
        <w:t xml:space="preserve"> proposal are</w:t>
      </w:r>
      <w:r w:rsidR="00A4466A">
        <w:t xml:space="preserve"> </w:t>
      </w:r>
      <w:r w:rsidR="0051364F">
        <w:t xml:space="preserve">below: </w:t>
      </w:r>
    </w:p>
    <w:p w:rsidR="000201AB" w:rsidRPr="00CC5DB6" w:rsidRDefault="0036083B" w:rsidP="00A4466A">
      <w:pPr>
        <w:pStyle w:val="AERbulletlistfirststyle"/>
        <w:rPr>
          <w:rStyle w:val="AERbodytextChar"/>
          <w:rFonts w:eastAsiaTheme="minorHAnsi"/>
        </w:rPr>
      </w:pPr>
      <w:r>
        <w:t xml:space="preserve">We have reduced </w:t>
      </w:r>
      <w:r w:rsidR="006B6D5C">
        <w:t xml:space="preserve">the revenue which </w:t>
      </w:r>
      <w:r w:rsidRPr="0036083B">
        <w:t xml:space="preserve">Energex proposed </w:t>
      </w:r>
      <w:r w:rsidR="006B6D5C">
        <w:t xml:space="preserve">to recover from consumers for </w:t>
      </w:r>
      <w:r w:rsidRPr="0036083B">
        <w:t xml:space="preserve">repex </w:t>
      </w:r>
      <w:r w:rsidRPr="00CC5DB6">
        <w:rPr>
          <w:rStyle w:val="AERbodytextChar"/>
          <w:rFonts w:eastAsiaTheme="minorHAnsi"/>
        </w:rPr>
        <w:t xml:space="preserve">by </w:t>
      </w:r>
      <w:r w:rsidR="00C05551" w:rsidRPr="00CC5DB6">
        <w:rPr>
          <w:rStyle w:val="AERbodytextChar"/>
          <w:rFonts w:eastAsiaTheme="minorHAnsi"/>
        </w:rPr>
        <w:t xml:space="preserve">50 </w:t>
      </w:r>
      <w:r w:rsidRPr="00CC5DB6">
        <w:rPr>
          <w:rStyle w:val="AERbodytextChar"/>
          <w:rFonts w:eastAsiaTheme="minorHAnsi"/>
        </w:rPr>
        <w:t>per cent. W</w:t>
      </w:r>
      <w:r w:rsidR="00030A6E" w:rsidRPr="00CC5DB6">
        <w:rPr>
          <w:rStyle w:val="AERbodytextChar"/>
          <w:rFonts w:eastAsiaTheme="minorHAnsi"/>
        </w:rPr>
        <w:t xml:space="preserve">e have included in our </w:t>
      </w:r>
      <w:r w:rsidR="00F3122D" w:rsidRPr="00CC5DB6">
        <w:rPr>
          <w:rStyle w:val="AERbodytextChar"/>
          <w:rFonts w:eastAsiaTheme="minorHAnsi"/>
        </w:rPr>
        <w:t>substitute</w:t>
      </w:r>
      <w:r w:rsidR="00030A6E" w:rsidRPr="00CC5DB6">
        <w:rPr>
          <w:rStyle w:val="AERbodytextChar"/>
          <w:rFonts w:eastAsiaTheme="minorHAnsi"/>
        </w:rPr>
        <w:t xml:space="preserve"> estimate of overall total capex $</w:t>
      </w:r>
      <w:r w:rsidR="00C05551" w:rsidRPr="00CC5DB6">
        <w:rPr>
          <w:rStyle w:val="AERbodytextChar"/>
          <w:rFonts w:eastAsiaTheme="minorHAnsi"/>
        </w:rPr>
        <w:t xml:space="preserve">621.8 million </w:t>
      </w:r>
      <w:r w:rsidR="00030A6E" w:rsidRPr="00CC5DB6">
        <w:rPr>
          <w:rStyle w:val="AERbodytextChar"/>
          <w:rFonts w:eastAsiaTheme="minorHAnsi"/>
        </w:rPr>
        <w:t xml:space="preserve">($2014−15) for </w:t>
      </w:r>
      <w:r w:rsidR="00C22030" w:rsidRPr="00CC5DB6">
        <w:rPr>
          <w:rStyle w:val="AERbodytextChar"/>
          <w:rFonts w:eastAsiaTheme="minorHAnsi"/>
        </w:rPr>
        <w:t>a reduction of $</w:t>
      </w:r>
      <w:r w:rsidR="00C05551" w:rsidRPr="00CC5DB6">
        <w:rPr>
          <w:rStyle w:val="AERbodytextChar"/>
          <w:rFonts w:eastAsiaTheme="minorHAnsi"/>
        </w:rPr>
        <w:t xml:space="preserve">627.7 million </w:t>
      </w:r>
      <w:r w:rsidR="00C22030" w:rsidRPr="00CC5DB6">
        <w:rPr>
          <w:rStyle w:val="AERbodytextChar"/>
          <w:rFonts w:eastAsiaTheme="minorHAnsi"/>
        </w:rPr>
        <w:t xml:space="preserve">($2014−15) </w:t>
      </w:r>
      <w:r w:rsidR="000C786A" w:rsidRPr="00CC5DB6">
        <w:rPr>
          <w:rStyle w:val="AERbodytextChar"/>
          <w:rFonts w:eastAsiaTheme="minorHAnsi"/>
        </w:rPr>
        <w:t>to</w:t>
      </w:r>
      <w:r w:rsidR="00C22030" w:rsidRPr="00CC5DB6">
        <w:rPr>
          <w:rStyle w:val="AERbodytextChar"/>
          <w:rFonts w:eastAsiaTheme="minorHAnsi"/>
        </w:rPr>
        <w:t xml:space="preserve"> Energex's proposed repex</w:t>
      </w:r>
      <w:r w:rsidR="00030A6E" w:rsidRPr="00CC5DB6">
        <w:rPr>
          <w:rStyle w:val="AERbodytextChar"/>
          <w:rFonts w:eastAsiaTheme="minorHAnsi"/>
        </w:rPr>
        <w:t xml:space="preserve">. </w:t>
      </w:r>
      <w:r w:rsidR="00A549C8">
        <w:rPr>
          <w:rStyle w:val="AERbodytextChar"/>
          <w:rFonts w:eastAsiaTheme="minorHAnsi"/>
        </w:rPr>
        <w:t xml:space="preserve">This reflects the outcomes of our predictive modelling and evidence that Energex has an overly conservative risk management approach and a bias towards overestimation in its repex forecasts. </w:t>
      </w:r>
      <w:r w:rsidR="000201AB" w:rsidRPr="00CC5DB6">
        <w:rPr>
          <w:rStyle w:val="AERbodytextChar"/>
          <w:rFonts w:eastAsiaTheme="minorHAnsi"/>
        </w:rPr>
        <w:t>Consequently, we did not consider it had established the need for a step increase in repex above the business</w:t>
      </w:r>
      <w:r w:rsidR="00105CD8" w:rsidRPr="00CC5DB6">
        <w:rPr>
          <w:rStyle w:val="AERbodytextChar"/>
          <w:rFonts w:eastAsiaTheme="minorHAnsi"/>
        </w:rPr>
        <w:t>-</w:t>
      </w:r>
      <w:r w:rsidR="000201AB" w:rsidRPr="00CC5DB6">
        <w:rPr>
          <w:rStyle w:val="AERbodytextChar"/>
          <w:rFonts w:eastAsiaTheme="minorHAnsi"/>
        </w:rPr>
        <w:t>as</w:t>
      </w:r>
      <w:r w:rsidR="00105CD8" w:rsidRPr="00CC5DB6">
        <w:rPr>
          <w:rStyle w:val="AERbodytextChar"/>
          <w:rFonts w:eastAsiaTheme="minorHAnsi"/>
        </w:rPr>
        <w:t>-</w:t>
      </w:r>
      <w:r w:rsidR="000201AB" w:rsidRPr="00CC5DB6">
        <w:rPr>
          <w:rStyle w:val="AERbodytextChar"/>
          <w:rFonts w:eastAsiaTheme="minorHAnsi"/>
        </w:rPr>
        <w:t xml:space="preserve">usual </w:t>
      </w:r>
      <w:r w:rsidR="00105CD8" w:rsidRPr="00CC5DB6">
        <w:rPr>
          <w:rStyle w:val="AERbodytextChar"/>
          <w:rFonts w:eastAsiaTheme="minorHAnsi"/>
        </w:rPr>
        <w:t>a</w:t>
      </w:r>
      <w:r w:rsidR="000201AB" w:rsidRPr="00CC5DB6">
        <w:rPr>
          <w:rStyle w:val="AERbodytextChar"/>
          <w:rFonts w:eastAsiaTheme="minorHAnsi"/>
        </w:rPr>
        <w:t xml:space="preserve">mount. </w:t>
      </w:r>
    </w:p>
    <w:p w:rsidR="00484482" w:rsidRPr="00484482" w:rsidRDefault="0036083B" w:rsidP="004D65F6">
      <w:pPr>
        <w:pStyle w:val="AERbulletlistfirststyle"/>
      </w:pPr>
      <w:r w:rsidRPr="00CC5DB6">
        <w:rPr>
          <w:rStyle w:val="AERbodytextChar"/>
          <w:rFonts w:eastAsiaTheme="minorHAnsi"/>
        </w:rPr>
        <w:t xml:space="preserve">We have reduced Energex's proposed augex by </w:t>
      </w:r>
      <w:r w:rsidR="00C05551" w:rsidRPr="00CC5DB6">
        <w:rPr>
          <w:rStyle w:val="AERbodytextChar"/>
          <w:rFonts w:eastAsiaTheme="minorHAnsi"/>
        </w:rPr>
        <w:t xml:space="preserve">21 </w:t>
      </w:r>
      <w:r w:rsidRPr="00CC5DB6">
        <w:rPr>
          <w:rStyle w:val="AERbodytextChar"/>
          <w:rFonts w:eastAsiaTheme="minorHAnsi"/>
        </w:rPr>
        <w:t>per cent. W</w:t>
      </w:r>
      <w:r w:rsidR="00A4466A" w:rsidRPr="00CC5DB6">
        <w:rPr>
          <w:rStyle w:val="AERbodytextChar"/>
          <w:rFonts w:eastAsiaTheme="minorHAnsi"/>
        </w:rPr>
        <w:t>e have included in our substitute estimate of overall total capex $</w:t>
      </w:r>
      <w:r w:rsidR="007E7FD8" w:rsidRPr="007E7FD8">
        <w:rPr>
          <w:rStyle w:val="AERbodytextChar"/>
          <w:rFonts w:eastAsiaTheme="minorHAnsi"/>
        </w:rPr>
        <w:t>405.8</w:t>
      </w:r>
      <w:r w:rsidR="007E7FD8" w:rsidRPr="00CC5DB6">
        <w:rPr>
          <w:rStyle w:val="AERbodytextChar"/>
          <w:rFonts w:eastAsiaTheme="minorHAnsi"/>
        </w:rPr>
        <w:t xml:space="preserve"> </w:t>
      </w:r>
      <w:r w:rsidR="00A4466A" w:rsidRPr="00CC5DB6">
        <w:rPr>
          <w:rStyle w:val="AERbodytextChar"/>
          <w:rFonts w:eastAsiaTheme="minorHAnsi"/>
        </w:rPr>
        <w:t>($2014−15)</w:t>
      </w:r>
      <w:r w:rsidR="004D65F6">
        <w:rPr>
          <w:rStyle w:val="AERbodytextChar"/>
          <w:rFonts w:eastAsiaTheme="minorHAnsi"/>
        </w:rPr>
        <w:t>,</w:t>
      </w:r>
      <w:r w:rsidR="00A4466A" w:rsidRPr="00CC5DB6">
        <w:rPr>
          <w:rStyle w:val="AERbodytextChar"/>
          <w:rFonts w:eastAsiaTheme="minorHAnsi"/>
        </w:rPr>
        <w:t xml:space="preserve"> a reduction of $</w:t>
      </w:r>
      <w:r w:rsidR="007E7FD8">
        <w:rPr>
          <w:rStyle w:val="AERbodytextChar"/>
          <w:rFonts w:eastAsiaTheme="minorHAnsi"/>
        </w:rPr>
        <w:t>106.9</w:t>
      </w:r>
      <w:r w:rsidR="00C05551" w:rsidRPr="00CC5DB6">
        <w:rPr>
          <w:rStyle w:val="AERbodytextChar"/>
          <w:rFonts w:eastAsiaTheme="minorHAnsi"/>
        </w:rPr>
        <w:t xml:space="preserve"> </w:t>
      </w:r>
      <w:r w:rsidR="00A4466A" w:rsidRPr="00CC5DB6">
        <w:rPr>
          <w:rStyle w:val="AERbodytextChar"/>
          <w:rFonts w:eastAsiaTheme="minorHAnsi"/>
        </w:rPr>
        <w:t>($2014−15) to Energex's proposed augex.</w:t>
      </w:r>
      <w:r w:rsidR="00484482" w:rsidRPr="00484482">
        <w:t xml:space="preserve"> </w:t>
      </w:r>
      <w:r w:rsidR="004D65F6">
        <w:t xml:space="preserve">While </w:t>
      </w:r>
      <w:r w:rsidR="004D65F6" w:rsidRPr="004D65F6">
        <w:t>Energex</w:t>
      </w:r>
      <w:r w:rsidR="004D65F6">
        <w:t>'s</w:t>
      </w:r>
      <w:r w:rsidR="004D65F6" w:rsidRPr="004D65F6">
        <w:t xml:space="preserve"> proposed augex </w:t>
      </w:r>
      <w:r w:rsidR="004D65F6">
        <w:t xml:space="preserve">is </w:t>
      </w:r>
      <w:r w:rsidR="004D65F6" w:rsidRPr="004D65F6">
        <w:t xml:space="preserve">supported by </w:t>
      </w:r>
      <w:r w:rsidR="004D65F6">
        <w:t>low</w:t>
      </w:r>
      <w:r w:rsidR="004D65F6" w:rsidRPr="004D65F6">
        <w:t xml:space="preserve"> demand forecasts, </w:t>
      </w:r>
      <w:r w:rsidR="004D65F6">
        <w:t>we</w:t>
      </w:r>
      <w:r w:rsidR="00484482" w:rsidRPr="00484482">
        <w:t xml:space="preserve"> found that </w:t>
      </w:r>
      <w:r w:rsidR="00E47542">
        <w:t>the</w:t>
      </w:r>
      <w:r w:rsidR="00E47542" w:rsidRPr="00484482">
        <w:t xml:space="preserve"> </w:t>
      </w:r>
      <w:r w:rsidR="00484482" w:rsidRPr="00484482">
        <w:t xml:space="preserve">proposed </w:t>
      </w:r>
      <w:r w:rsidR="00EA44F0">
        <w:t>au</w:t>
      </w:r>
      <w:r w:rsidR="00A50919">
        <w:t>g</w:t>
      </w:r>
      <w:r w:rsidR="00484482" w:rsidRPr="00484482">
        <w:t xml:space="preserve">ex </w:t>
      </w:r>
      <w:r w:rsidR="00E47542">
        <w:t>is</w:t>
      </w:r>
      <w:r w:rsidR="00E47542" w:rsidRPr="00484482">
        <w:t xml:space="preserve"> </w:t>
      </w:r>
      <w:r w:rsidR="00484482" w:rsidRPr="00484482">
        <w:t>overestimated</w:t>
      </w:r>
      <w:r w:rsidR="004D65F6">
        <w:t>. This is</w:t>
      </w:r>
      <w:r w:rsidR="00484482" w:rsidRPr="00484482">
        <w:t xml:space="preserve"> because:</w:t>
      </w:r>
    </w:p>
    <w:p w:rsidR="00484482" w:rsidRPr="00484482" w:rsidRDefault="004D65F6" w:rsidP="00484482">
      <w:pPr>
        <w:pStyle w:val="AERbulletlistsecondstyle"/>
      </w:pPr>
      <w:r>
        <w:t>Energex's</w:t>
      </w:r>
      <w:r w:rsidRPr="00484482">
        <w:t xml:space="preserve"> </w:t>
      </w:r>
      <w:r w:rsidR="00484482" w:rsidRPr="00484482">
        <w:t xml:space="preserve">proposed augex to augment </w:t>
      </w:r>
      <w:r>
        <w:t>its</w:t>
      </w:r>
      <w:r w:rsidRPr="00484482">
        <w:t xml:space="preserve"> </w:t>
      </w:r>
      <w:r w:rsidR="00484482" w:rsidRPr="00484482">
        <w:t xml:space="preserve">distribution and sub-transmission networks </w:t>
      </w:r>
      <w:r>
        <w:t>is</w:t>
      </w:r>
      <w:r w:rsidRPr="00484482">
        <w:t xml:space="preserve"> </w:t>
      </w:r>
      <w:r w:rsidR="00484482" w:rsidRPr="00484482">
        <w:t xml:space="preserve">not adequately supported by cost-benefit analysis and risk assessment, and Energex did not efficiently consider the potential to defer some augmentation projects based </w:t>
      </w:r>
      <w:r w:rsidR="006B6D5C">
        <w:t xml:space="preserve">on </w:t>
      </w:r>
      <w:r w:rsidR="00484482" w:rsidRPr="00484482">
        <w:t>the likelihood that forecast demand may not eventuate in all parts of the network</w:t>
      </w:r>
    </w:p>
    <w:p w:rsidR="00484482" w:rsidRPr="00484482" w:rsidRDefault="004D65F6" w:rsidP="00484482">
      <w:pPr>
        <w:pStyle w:val="AERbulletlistsecondstyle"/>
      </w:pPr>
      <w:r w:rsidRPr="004D65F6">
        <w:t xml:space="preserve">Energex's </w:t>
      </w:r>
      <w:r w:rsidR="00484482" w:rsidRPr="00484482">
        <w:t xml:space="preserve">proposed </w:t>
      </w:r>
      <w:r>
        <w:t xml:space="preserve">augex for its network reliability and </w:t>
      </w:r>
      <w:r w:rsidR="00484482" w:rsidRPr="00484482">
        <w:t>network monitoring program</w:t>
      </w:r>
      <w:r w:rsidR="00DD50D2">
        <w:t>s</w:t>
      </w:r>
      <w:r w:rsidR="00484482" w:rsidRPr="00484482">
        <w:t xml:space="preserve"> </w:t>
      </w:r>
      <w:r w:rsidRPr="004D65F6">
        <w:t>likely overstates the volume of work that will be required</w:t>
      </w:r>
      <w:r>
        <w:t>.</w:t>
      </w:r>
    </w:p>
    <w:p w:rsidR="000201AB" w:rsidRDefault="0096433A" w:rsidP="000051BC">
      <w:pPr>
        <w:pStyle w:val="AERbulletlistfirststyle"/>
      </w:pPr>
      <w:r w:rsidRPr="00CC5DB6">
        <w:rPr>
          <w:rStyle w:val="AERbodytextChar"/>
          <w:rFonts w:eastAsiaTheme="minorHAnsi"/>
        </w:rPr>
        <w:t>W</w:t>
      </w:r>
      <w:r w:rsidR="0036083B" w:rsidRPr="00CC5DB6">
        <w:rPr>
          <w:rStyle w:val="AERbodytextChar"/>
          <w:rFonts w:eastAsiaTheme="minorHAnsi"/>
        </w:rPr>
        <w:t xml:space="preserve">e have reduced Energex's proposed capitalised overheads by </w:t>
      </w:r>
      <w:r w:rsidR="00C05551" w:rsidRPr="00CC5DB6">
        <w:rPr>
          <w:rStyle w:val="AERbodytextChar"/>
          <w:rFonts w:eastAsiaTheme="minorHAnsi"/>
        </w:rPr>
        <w:t xml:space="preserve">9 </w:t>
      </w:r>
      <w:r w:rsidR="0036083B" w:rsidRPr="00CC5DB6">
        <w:rPr>
          <w:rStyle w:val="AERbodytextChar"/>
          <w:rFonts w:eastAsiaTheme="minorHAnsi"/>
        </w:rPr>
        <w:t>per cent. W</w:t>
      </w:r>
      <w:r w:rsidR="00030A6E" w:rsidRPr="00CC5DB6">
        <w:rPr>
          <w:rStyle w:val="AERbodytextChar"/>
          <w:rFonts w:eastAsiaTheme="minorHAnsi"/>
        </w:rPr>
        <w:t xml:space="preserve">e have included in our </w:t>
      </w:r>
      <w:r w:rsidR="00F3122D" w:rsidRPr="00CC5DB6">
        <w:rPr>
          <w:rStyle w:val="AERbodytextChar"/>
          <w:rFonts w:eastAsiaTheme="minorHAnsi"/>
        </w:rPr>
        <w:t>substitute</w:t>
      </w:r>
      <w:r w:rsidR="00030A6E" w:rsidRPr="00CC5DB6">
        <w:rPr>
          <w:rStyle w:val="AERbodytextChar"/>
          <w:rFonts w:eastAsiaTheme="minorHAnsi"/>
        </w:rPr>
        <w:t xml:space="preserve"> estimate of overall total capex $</w:t>
      </w:r>
      <w:r w:rsidR="00C05551" w:rsidRPr="00CC5DB6">
        <w:rPr>
          <w:rStyle w:val="AERbodytextChar"/>
          <w:rFonts w:eastAsiaTheme="minorHAnsi"/>
        </w:rPr>
        <w:t xml:space="preserve">823.5 million </w:t>
      </w:r>
      <w:r w:rsidR="00030A6E" w:rsidRPr="00CC5DB6">
        <w:rPr>
          <w:rStyle w:val="AERbodytextChar"/>
          <w:rFonts w:eastAsiaTheme="minorHAnsi"/>
        </w:rPr>
        <w:t>($2014−15) for</w:t>
      </w:r>
      <w:r w:rsidR="0036083B" w:rsidRPr="00CC5DB6">
        <w:rPr>
          <w:rStyle w:val="AERbodytextChar"/>
          <w:rFonts w:eastAsiaTheme="minorHAnsi"/>
        </w:rPr>
        <w:t xml:space="preserve"> a </w:t>
      </w:r>
      <w:r w:rsidR="00C22030" w:rsidRPr="00CC5DB6">
        <w:rPr>
          <w:rStyle w:val="AERbodytextChar"/>
          <w:rFonts w:eastAsiaTheme="minorHAnsi"/>
        </w:rPr>
        <w:t>reduction</w:t>
      </w:r>
      <w:r w:rsidR="00AB68E8" w:rsidRPr="00CC5DB6">
        <w:rPr>
          <w:rStyle w:val="AERbodytextChar"/>
          <w:rFonts w:eastAsiaTheme="minorHAnsi"/>
        </w:rPr>
        <w:t xml:space="preserve"> of $</w:t>
      </w:r>
      <w:r w:rsidR="00C05551" w:rsidRPr="00CC5DB6">
        <w:rPr>
          <w:rStyle w:val="AERbodytextChar"/>
          <w:rFonts w:eastAsiaTheme="minorHAnsi"/>
        </w:rPr>
        <w:t xml:space="preserve">76.9 million </w:t>
      </w:r>
      <w:r w:rsidR="00AB68E8" w:rsidRPr="00CC5DB6">
        <w:rPr>
          <w:rStyle w:val="AERbodytextChar"/>
          <w:rFonts w:eastAsiaTheme="minorHAnsi"/>
        </w:rPr>
        <w:t xml:space="preserve">($2014−15) </w:t>
      </w:r>
      <w:r w:rsidR="000C786A" w:rsidRPr="00CC5DB6">
        <w:rPr>
          <w:rStyle w:val="AERbodytextChar"/>
          <w:rFonts w:eastAsiaTheme="minorHAnsi"/>
        </w:rPr>
        <w:t>to</w:t>
      </w:r>
      <w:r w:rsidR="00AB68E8" w:rsidRPr="00CC5DB6">
        <w:rPr>
          <w:rStyle w:val="AERbodytextChar"/>
          <w:rFonts w:eastAsiaTheme="minorHAnsi"/>
        </w:rPr>
        <w:t xml:space="preserve"> Energex's</w:t>
      </w:r>
      <w:r w:rsidR="00AB68E8">
        <w:t xml:space="preserve"> proposed capitalised overheads. </w:t>
      </w:r>
      <w:r w:rsidR="006B6D5C">
        <w:t>Our</w:t>
      </w:r>
      <w:r w:rsidR="000201AB" w:rsidRPr="00B71392">
        <w:t xml:space="preserve"> assessment of Energex's proposed direct capex, </w:t>
      </w:r>
      <w:r w:rsidR="006B6D5C">
        <w:t>indicates</w:t>
      </w:r>
      <w:r w:rsidR="000201AB" w:rsidRPr="00B71392">
        <w:t xml:space="preserve"> that a prudent and efficient </w:t>
      </w:r>
      <w:r w:rsidR="00AB68E8">
        <w:t>distributor</w:t>
      </w:r>
      <w:r w:rsidR="000201AB" w:rsidRPr="00B71392">
        <w:t xml:space="preserve"> would not unde</w:t>
      </w:r>
      <w:r w:rsidR="006B6D5C">
        <w:t>rtake the full range of direct capex</w:t>
      </w:r>
      <w:r w:rsidR="00AB68E8">
        <w:t xml:space="preserve"> contained in Energex's </w:t>
      </w:r>
      <w:r w:rsidR="000201AB" w:rsidRPr="00B71392">
        <w:t xml:space="preserve">proposal. It follows that </w:t>
      </w:r>
      <w:r w:rsidR="00A4466A">
        <w:t xml:space="preserve">there is a decrease in </w:t>
      </w:r>
      <w:r w:rsidR="000201AB" w:rsidRPr="00B71392">
        <w:t>Energex’s capitalised overheads.</w:t>
      </w:r>
      <w:r w:rsidR="00C05551">
        <w:t xml:space="preserve"> </w:t>
      </w:r>
      <w:r w:rsidR="000051BC" w:rsidRPr="000051BC">
        <w:t xml:space="preserve">However, we also note that </w:t>
      </w:r>
      <w:r w:rsidR="00F27E69">
        <w:t>35</w:t>
      </w:r>
      <w:r w:rsidR="00F27E69" w:rsidRPr="000051BC">
        <w:t xml:space="preserve"> </w:t>
      </w:r>
      <w:r w:rsidR="000051BC" w:rsidRPr="000051BC">
        <w:t>per cent of Energex's proposed $900.4 million ($2014</w:t>
      </w:r>
      <w:r w:rsidR="00CC5DB6">
        <w:rPr>
          <w:rFonts w:cs="Arial"/>
        </w:rPr>
        <w:t>−</w:t>
      </w:r>
      <w:r w:rsidR="000051BC" w:rsidRPr="000051BC">
        <w:t xml:space="preserve">15) total capitalised overheads is attributable to information, communications and technology (ICT) services. We have identified some issues regarding this expenditure which we expect </w:t>
      </w:r>
      <w:r w:rsidR="00CC5DB6">
        <w:t xml:space="preserve">Energex </w:t>
      </w:r>
      <w:r w:rsidR="000051BC" w:rsidRPr="000051BC">
        <w:t>to address in its revised proposal.</w:t>
      </w:r>
      <w:r w:rsidR="00C05551">
        <w:t xml:space="preserve">  </w:t>
      </w:r>
      <w:r w:rsidR="00C05551" w:rsidRPr="00C05551">
        <w:t xml:space="preserve">  </w:t>
      </w:r>
    </w:p>
    <w:p w:rsidR="00112BF8" w:rsidRPr="00112BF8" w:rsidRDefault="00112BF8" w:rsidP="00112BF8">
      <w:pPr>
        <w:pStyle w:val="Heading2"/>
      </w:pPr>
      <w:bookmarkStart w:id="42" w:name="_Toc417973145"/>
      <w:r w:rsidRPr="00112BF8">
        <w:t>Operating expenditure</w:t>
      </w:r>
      <w:bookmarkEnd w:id="42"/>
    </w:p>
    <w:p w:rsidR="00D5634F" w:rsidRPr="00D5634F" w:rsidRDefault="00D5634F" w:rsidP="00D5634F">
      <w:pPr>
        <w:numPr>
          <w:ilvl w:val="0"/>
          <w:numId w:val="25"/>
        </w:numPr>
      </w:pPr>
      <w:r w:rsidRPr="00D5634F">
        <w:t xml:space="preserve">Opex includes forecast operating, maintenance and other non-capital costs incurred in the provision of distribution network services. It includes labour costs and other non-capital costs that Energex is likely to require during the 2015–20 regulatory control period for the operation of its network. </w:t>
      </w:r>
    </w:p>
    <w:p w:rsidR="00D5634F" w:rsidRPr="00CC5DB6" w:rsidRDefault="00D5634F" w:rsidP="00D5634F">
      <w:pPr>
        <w:rPr>
          <w:rStyle w:val="AERbodytextChar"/>
          <w:rFonts w:eastAsiaTheme="minorHAnsi"/>
        </w:rPr>
      </w:pPr>
      <w:r w:rsidRPr="00CC5DB6">
        <w:rPr>
          <w:rStyle w:val="AERbodytextChar"/>
          <w:rFonts w:eastAsiaTheme="minorHAnsi"/>
        </w:rPr>
        <w:t xml:space="preserve">Energex forecast total opex of $1738.2 million ($2014–15) over the 2015–20 regulatory control period. We are satisfied that Energex's opex forecast reasonably reflects the opex criteria. </w:t>
      </w:r>
    </w:p>
    <w:p w:rsidR="00D5634F" w:rsidRPr="00CC5DB6" w:rsidRDefault="00D5634F" w:rsidP="00D5634F">
      <w:pPr>
        <w:rPr>
          <w:rStyle w:val="AERbodytextChar"/>
          <w:rFonts w:eastAsiaTheme="minorHAnsi"/>
        </w:rPr>
      </w:pPr>
      <w:r w:rsidRPr="00CC5DB6">
        <w:rPr>
          <w:rStyle w:val="AERbodytextChar"/>
          <w:rFonts w:eastAsiaTheme="minorHAnsi"/>
        </w:rPr>
        <w:t>Table 8 shows our preliminary decision on total opex compared to Energex's proposal.</w:t>
      </w:r>
    </w:p>
    <w:p w:rsidR="00D5634F" w:rsidRPr="00CC5DB6" w:rsidRDefault="00D5634F" w:rsidP="00D5634F">
      <w:pPr>
        <w:pStyle w:val="Caption"/>
        <w:rPr>
          <w:rStyle w:val="AERbodytextChar"/>
          <w:rFonts w:eastAsiaTheme="minorHAnsi"/>
        </w:rPr>
      </w:pPr>
      <w:r w:rsidRPr="00CC5DB6">
        <w:rPr>
          <w:rStyle w:val="AERbodytextChar"/>
          <w:rFonts w:eastAsiaTheme="minorHAnsi"/>
        </w:rPr>
        <w:t>Table 8</w:t>
      </w:r>
      <w:r w:rsidRPr="00CC5DB6">
        <w:rPr>
          <w:rStyle w:val="AERbodytextChar"/>
          <w:rFonts w:eastAsiaTheme="minorHAnsi"/>
        </w:rPr>
        <w:tab/>
        <w:t>AER preliminary decision and Energex's proposed total opex ($ million, 2014–15)</w:t>
      </w:r>
    </w:p>
    <w:tbl>
      <w:tblPr>
        <w:tblStyle w:val="AERtable-numbers"/>
        <w:tblW w:w="0" w:type="auto"/>
        <w:tblLook w:val="04A0" w:firstRow="1" w:lastRow="0" w:firstColumn="1" w:lastColumn="0" w:noHBand="0" w:noVBand="1"/>
      </w:tblPr>
      <w:tblGrid>
        <w:gridCol w:w="2706"/>
        <w:gridCol w:w="971"/>
        <w:gridCol w:w="971"/>
        <w:gridCol w:w="971"/>
        <w:gridCol w:w="971"/>
        <w:gridCol w:w="971"/>
        <w:gridCol w:w="1132"/>
      </w:tblGrid>
      <w:tr w:rsidR="00D5634F" w:rsidTr="00BF0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6" w:type="dxa"/>
          </w:tcPr>
          <w:p w:rsidR="00D5634F" w:rsidRPr="00D5634F" w:rsidRDefault="00D5634F" w:rsidP="00D5634F">
            <w:r w:rsidRPr="00D5634F">
              <w:t>Year ending 30 June</w:t>
            </w:r>
          </w:p>
        </w:tc>
        <w:tc>
          <w:tcPr>
            <w:tcW w:w="971" w:type="dxa"/>
          </w:tcPr>
          <w:p w:rsidR="00D5634F" w:rsidRPr="00D5634F" w:rsidRDefault="00D5634F" w:rsidP="00D5634F">
            <w:pPr>
              <w:cnfStyle w:val="100000000000" w:firstRow="1" w:lastRow="0" w:firstColumn="0" w:lastColumn="0" w:oddVBand="0" w:evenVBand="0" w:oddHBand="0" w:evenHBand="0" w:firstRowFirstColumn="0" w:firstRowLastColumn="0" w:lastRowFirstColumn="0" w:lastRowLastColumn="0"/>
            </w:pPr>
            <w:r w:rsidRPr="00D5634F">
              <w:t>2015–16</w:t>
            </w:r>
          </w:p>
        </w:tc>
        <w:tc>
          <w:tcPr>
            <w:tcW w:w="971" w:type="dxa"/>
          </w:tcPr>
          <w:p w:rsidR="00D5634F" w:rsidRPr="00D5634F" w:rsidRDefault="00D5634F" w:rsidP="00D5634F">
            <w:pPr>
              <w:cnfStyle w:val="100000000000" w:firstRow="1" w:lastRow="0" w:firstColumn="0" w:lastColumn="0" w:oddVBand="0" w:evenVBand="0" w:oddHBand="0" w:evenHBand="0" w:firstRowFirstColumn="0" w:firstRowLastColumn="0" w:lastRowFirstColumn="0" w:lastRowLastColumn="0"/>
            </w:pPr>
            <w:r w:rsidRPr="00D5634F">
              <w:t>2016–17</w:t>
            </w:r>
          </w:p>
        </w:tc>
        <w:tc>
          <w:tcPr>
            <w:tcW w:w="971" w:type="dxa"/>
          </w:tcPr>
          <w:p w:rsidR="00D5634F" w:rsidRPr="00D5634F" w:rsidRDefault="00D5634F" w:rsidP="00D5634F">
            <w:pPr>
              <w:cnfStyle w:val="100000000000" w:firstRow="1" w:lastRow="0" w:firstColumn="0" w:lastColumn="0" w:oddVBand="0" w:evenVBand="0" w:oddHBand="0" w:evenHBand="0" w:firstRowFirstColumn="0" w:firstRowLastColumn="0" w:lastRowFirstColumn="0" w:lastRowLastColumn="0"/>
            </w:pPr>
            <w:r w:rsidRPr="00D5634F">
              <w:t>2017–18</w:t>
            </w:r>
          </w:p>
        </w:tc>
        <w:tc>
          <w:tcPr>
            <w:tcW w:w="971" w:type="dxa"/>
          </w:tcPr>
          <w:p w:rsidR="00D5634F" w:rsidRPr="00D5634F" w:rsidRDefault="00D5634F" w:rsidP="00D5634F">
            <w:pPr>
              <w:cnfStyle w:val="100000000000" w:firstRow="1" w:lastRow="0" w:firstColumn="0" w:lastColumn="0" w:oddVBand="0" w:evenVBand="0" w:oddHBand="0" w:evenHBand="0" w:firstRowFirstColumn="0" w:firstRowLastColumn="0" w:lastRowFirstColumn="0" w:lastRowLastColumn="0"/>
            </w:pPr>
            <w:r w:rsidRPr="00D5634F">
              <w:t>2018–19</w:t>
            </w:r>
          </w:p>
        </w:tc>
        <w:tc>
          <w:tcPr>
            <w:tcW w:w="971" w:type="dxa"/>
          </w:tcPr>
          <w:p w:rsidR="00D5634F" w:rsidRPr="00D5634F" w:rsidRDefault="00D5634F" w:rsidP="00D5634F">
            <w:pPr>
              <w:cnfStyle w:val="100000000000" w:firstRow="1" w:lastRow="0" w:firstColumn="0" w:lastColumn="0" w:oddVBand="0" w:evenVBand="0" w:oddHBand="0" w:evenHBand="0" w:firstRowFirstColumn="0" w:firstRowLastColumn="0" w:lastRowFirstColumn="0" w:lastRowLastColumn="0"/>
            </w:pPr>
            <w:r w:rsidRPr="00D5634F">
              <w:t>2019–20</w:t>
            </w:r>
          </w:p>
        </w:tc>
        <w:tc>
          <w:tcPr>
            <w:tcW w:w="1132" w:type="dxa"/>
          </w:tcPr>
          <w:p w:rsidR="00D5634F" w:rsidRPr="00D5634F" w:rsidRDefault="00D5634F" w:rsidP="00D5634F">
            <w:pPr>
              <w:cnfStyle w:val="100000000000" w:firstRow="1" w:lastRow="0" w:firstColumn="0" w:lastColumn="0" w:oddVBand="0" w:evenVBand="0" w:oddHBand="0" w:evenHBand="0" w:firstRowFirstColumn="0" w:firstRowLastColumn="0" w:lastRowFirstColumn="0" w:lastRowLastColumn="0"/>
            </w:pPr>
            <w:r w:rsidRPr="00D5634F">
              <w:t>Total</w:t>
            </w:r>
          </w:p>
        </w:tc>
      </w:tr>
      <w:tr w:rsidR="00D5634F" w:rsidTr="00D5634F">
        <w:tc>
          <w:tcPr>
            <w:cnfStyle w:val="001000000000" w:firstRow="0" w:lastRow="0" w:firstColumn="1" w:lastColumn="0" w:oddVBand="0" w:evenVBand="0" w:oddHBand="0" w:evenHBand="0" w:firstRowFirstColumn="0" w:firstRowLastColumn="0" w:lastRowFirstColumn="0" w:lastRowLastColumn="0"/>
            <w:tcW w:w="2962" w:type="dxa"/>
          </w:tcPr>
          <w:p w:rsidR="00D5634F" w:rsidRPr="00D5634F" w:rsidRDefault="00D5634F" w:rsidP="00D5634F">
            <w:r w:rsidRPr="00D5634F">
              <w:t>Energex's proposal</w:t>
            </w:r>
          </w:p>
        </w:tc>
        <w:tc>
          <w:tcPr>
            <w:tcW w:w="1017"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342.5</w:t>
            </w:r>
          </w:p>
        </w:tc>
        <w:tc>
          <w:tcPr>
            <w:tcW w:w="1017"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339.3</w:t>
            </w:r>
          </w:p>
        </w:tc>
        <w:tc>
          <w:tcPr>
            <w:tcW w:w="1017"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344.1</w:t>
            </w:r>
          </w:p>
        </w:tc>
        <w:tc>
          <w:tcPr>
            <w:tcW w:w="1017"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355.0</w:t>
            </w:r>
          </w:p>
        </w:tc>
        <w:tc>
          <w:tcPr>
            <w:tcW w:w="1017"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357.2</w:t>
            </w:r>
          </w:p>
        </w:tc>
        <w:tc>
          <w:tcPr>
            <w:tcW w:w="1195"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1738.2</w:t>
            </w:r>
          </w:p>
        </w:tc>
      </w:tr>
      <w:tr w:rsidR="00D5634F" w:rsidTr="00D56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6" w:type="dxa"/>
          </w:tcPr>
          <w:p w:rsidR="00D5634F" w:rsidRPr="00D5634F" w:rsidRDefault="00D5634F" w:rsidP="00D5634F">
            <w:r w:rsidRPr="00D5634F">
              <w:t>AER preliminary decision</w:t>
            </w:r>
          </w:p>
        </w:tc>
        <w:tc>
          <w:tcPr>
            <w:tcW w:w="971" w:type="dxa"/>
          </w:tcPr>
          <w:p w:rsidR="00D5634F" w:rsidRPr="00D5634F" w:rsidRDefault="00D5634F" w:rsidP="00D5634F">
            <w:pPr>
              <w:cnfStyle w:val="000000010000" w:firstRow="0" w:lastRow="0" w:firstColumn="0" w:lastColumn="0" w:oddVBand="0" w:evenVBand="0" w:oddHBand="0" w:evenHBand="1" w:firstRowFirstColumn="0" w:firstRowLastColumn="0" w:lastRowFirstColumn="0" w:lastRowLastColumn="0"/>
            </w:pPr>
            <w:r w:rsidRPr="00D5634F">
              <w:t>342.5</w:t>
            </w:r>
          </w:p>
        </w:tc>
        <w:tc>
          <w:tcPr>
            <w:tcW w:w="971" w:type="dxa"/>
          </w:tcPr>
          <w:p w:rsidR="00D5634F" w:rsidRPr="00D5634F" w:rsidRDefault="00D5634F" w:rsidP="00D5634F">
            <w:pPr>
              <w:cnfStyle w:val="000000010000" w:firstRow="0" w:lastRow="0" w:firstColumn="0" w:lastColumn="0" w:oddVBand="0" w:evenVBand="0" w:oddHBand="0" w:evenHBand="1" w:firstRowFirstColumn="0" w:firstRowLastColumn="0" w:lastRowFirstColumn="0" w:lastRowLastColumn="0"/>
            </w:pPr>
            <w:r w:rsidRPr="00D5634F">
              <w:t>339.3</w:t>
            </w:r>
          </w:p>
        </w:tc>
        <w:tc>
          <w:tcPr>
            <w:tcW w:w="971" w:type="dxa"/>
          </w:tcPr>
          <w:p w:rsidR="00D5634F" w:rsidRPr="00D5634F" w:rsidRDefault="00D5634F" w:rsidP="00D5634F">
            <w:pPr>
              <w:cnfStyle w:val="000000010000" w:firstRow="0" w:lastRow="0" w:firstColumn="0" w:lastColumn="0" w:oddVBand="0" w:evenVBand="0" w:oddHBand="0" w:evenHBand="1" w:firstRowFirstColumn="0" w:firstRowLastColumn="0" w:lastRowFirstColumn="0" w:lastRowLastColumn="0"/>
            </w:pPr>
            <w:r w:rsidRPr="00D5634F">
              <w:t>344.1</w:t>
            </w:r>
          </w:p>
        </w:tc>
        <w:tc>
          <w:tcPr>
            <w:tcW w:w="971" w:type="dxa"/>
          </w:tcPr>
          <w:p w:rsidR="00D5634F" w:rsidRPr="00D5634F" w:rsidRDefault="00D5634F" w:rsidP="00D5634F">
            <w:pPr>
              <w:cnfStyle w:val="000000010000" w:firstRow="0" w:lastRow="0" w:firstColumn="0" w:lastColumn="0" w:oddVBand="0" w:evenVBand="0" w:oddHBand="0" w:evenHBand="1" w:firstRowFirstColumn="0" w:firstRowLastColumn="0" w:lastRowFirstColumn="0" w:lastRowLastColumn="0"/>
            </w:pPr>
            <w:r w:rsidRPr="00D5634F">
              <w:t>355.0</w:t>
            </w:r>
          </w:p>
        </w:tc>
        <w:tc>
          <w:tcPr>
            <w:tcW w:w="971" w:type="dxa"/>
          </w:tcPr>
          <w:p w:rsidR="00D5634F" w:rsidRPr="00D5634F" w:rsidRDefault="00D5634F" w:rsidP="00D5634F">
            <w:pPr>
              <w:cnfStyle w:val="000000010000" w:firstRow="0" w:lastRow="0" w:firstColumn="0" w:lastColumn="0" w:oddVBand="0" w:evenVBand="0" w:oddHBand="0" w:evenHBand="1" w:firstRowFirstColumn="0" w:firstRowLastColumn="0" w:lastRowFirstColumn="0" w:lastRowLastColumn="0"/>
            </w:pPr>
            <w:r w:rsidRPr="00D5634F">
              <w:t>357.2</w:t>
            </w:r>
          </w:p>
        </w:tc>
        <w:tc>
          <w:tcPr>
            <w:tcW w:w="1132" w:type="dxa"/>
          </w:tcPr>
          <w:p w:rsidR="00D5634F" w:rsidRPr="00D5634F" w:rsidRDefault="00D5634F" w:rsidP="00D5634F">
            <w:pPr>
              <w:cnfStyle w:val="000000010000" w:firstRow="0" w:lastRow="0" w:firstColumn="0" w:lastColumn="0" w:oddVBand="0" w:evenVBand="0" w:oddHBand="0" w:evenHBand="1" w:firstRowFirstColumn="0" w:firstRowLastColumn="0" w:lastRowFirstColumn="0" w:lastRowLastColumn="0"/>
            </w:pPr>
            <w:r w:rsidRPr="00D5634F">
              <w:t>1738.2</w:t>
            </w:r>
          </w:p>
        </w:tc>
      </w:tr>
      <w:tr w:rsidR="00D5634F" w:rsidTr="00BF0231">
        <w:tc>
          <w:tcPr>
            <w:cnfStyle w:val="001000000000" w:firstRow="0" w:lastRow="0" w:firstColumn="1" w:lastColumn="0" w:oddVBand="0" w:evenVBand="0" w:oddHBand="0" w:evenHBand="0" w:firstRowFirstColumn="0" w:firstRowLastColumn="0" w:lastRowFirstColumn="0" w:lastRowLastColumn="0"/>
            <w:tcW w:w="2706" w:type="dxa"/>
          </w:tcPr>
          <w:p w:rsidR="00D5634F" w:rsidRPr="00D5634F" w:rsidRDefault="00D5634F" w:rsidP="00D5634F">
            <w:r w:rsidRPr="00D5634F">
              <w:t>Difference</w:t>
            </w:r>
          </w:p>
        </w:tc>
        <w:tc>
          <w:tcPr>
            <w:tcW w:w="971"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0</w:t>
            </w:r>
          </w:p>
        </w:tc>
        <w:tc>
          <w:tcPr>
            <w:tcW w:w="971"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0</w:t>
            </w:r>
          </w:p>
        </w:tc>
        <w:tc>
          <w:tcPr>
            <w:tcW w:w="971"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0</w:t>
            </w:r>
          </w:p>
        </w:tc>
        <w:tc>
          <w:tcPr>
            <w:tcW w:w="971"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0</w:t>
            </w:r>
          </w:p>
        </w:tc>
        <w:tc>
          <w:tcPr>
            <w:tcW w:w="971"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0</w:t>
            </w:r>
          </w:p>
        </w:tc>
        <w:tc>
          <w:tcPr>
            <w:tcW w:w="1132" w:type="dxa"/>
          </w:tcPr>
          <w:p w:rsidR="00D5634F" w:rsidRPr="00D5634F" w:rsidRDefault="00D5634F" w:rsidP="00D5634F">
            <w:pPr>
              <w:cnfStyle w:val="000000000000" w:firstRow="0" w:lastRow="0" w:firstColumn="0" w:lastColumn="0" w:oddVBand="0" w:evenVBand="0" w:oddHBand="0" w:evenHBand="0" w:firstRowFirstColumn="0" w:firstRowLastColumn="0" w:lastRowFirstColumn="0" w:lastRowLastColumn="0"/>
            </w:pPr>
            <w:r w:rsidRPr="00D5634F">
              <w:t>0</w:t>
            </w:r>
          </w:p>
        </w:tc>
      </w:tr>
    </w:tbl>
    <w:p w:rsidR="00D5634F" w:rsidRPr="00D5634F" w:rsidRDefault="00D5634F" w:rsidP="00D5634F">
      <w:pPr>
        <w:pStyle w:val="AERtablesource"/>
      </w:pPr>
      <w:r w:rsidRPr="00D5634F">
        <w:t>Source:</w:t>
      </w:r>
      <w:r w:rsidRPr="00D5634F">
        <w:tab/>
        <w:t>AER analysis.</w:t>
      </w:r>
    </w:p>
    <w:p w:rsidR="00D5634F" w:rsidRPr="00D5634F" w:rsidRDefault="00D5634F" w:rsidP="00D5634F">
      <w:pPr>
        <w:pStyle w:val="AERtablesource"/>
      </w:pPr>
      <w:r w:rsidRPr="00D5634F">
        <w:t>Note:</w:t>
      </w:r>
      <w:r w:rsidRPr="00D5634F">
        <w:tab/>
        <w:t>Includes debt raising costs.</w:t>
      </w:r>
    </w:p>
    <w:p w:rsidR="00D5634F" w:rsidRPr="00D5634F" w:rsidRDefault="00D5634F" w:rsidP="00D5634F">
      <w:pPr>
        <w:numPr>
          <w:ilvl w:val="0"/>
          <w:numId w:val="25"/>
        </w:numPr>
        <w:rPr>
          <w:rStyle w:val="AERbody"/>
        </w:rPr>
      </w:pPr>
      <w:r w:rsidRPr="00D5634F">
        <w:rPr>
          <w:rStyle w:val="AERbody"/>
        </w:rPr>
        <w:t>Figure 7 shows our preliminary decision compared to Energex's proposal, its past allowances and past actual expenditure.</w:t>
      </w:r>
    </w:p>
    <w:p w:rsidR="00D5634F" w:rsidRPr="00D5634F" w:rsidRDefault="00D5634F" w:rsidP="00D5634F">
      <w:pPr>
        <w:pStyle w:val="Caption"/>
      </w:pPr>
      <w:r w:rsidRPr="00D5634F">
        <w:t>Figure 7 AER preliminary decision compared to Energex's past and proposed opex ($million</w:t>
      </w:r>
      <w:r w:rsidRPr="00CC5DB6">
        <w:rPr>
          <w:rStyle w:val="AERbodytextChar"/>
          <w:rFonts w:eastAsiaTheme="minorHAnsi"/>
        </w:rPr>
        <w:t>, 2014−15)</w:t>
      </w:r>
    </w:p>
    <w:p w:rsidR="00D5634F" w:rsidRPr="00D5634F" w:rsidRDefault="00FE169C" w:rsidP="00D5634F">
      <w:pPr>
        <w:pStyle w:val="AERtablesource"/>
      </w:pPr>
      <w:r w:rsidRPr="00FE169C">
        <w:rPr>
          <w:noProof/>
          <w:lang w:eastAsia="en-AU"/>
        </w:rPr>
        <w:drawing>
          <wp:inline distT="0" distB="0" distL="0" distR="0" wp14:anchorId="7891BEE6" wp14:editId="0A5570DF">
            <wp:extent cx="5382895" cy="3176233"/>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176233"/>
                    </a:xfrm>
                    <a:prstGeom prst="rect">
                      <a:avLst/>
                    </a:prstGeom>
                    <a:noFill/>
                    <a:ln>
                      <a:noFill/>
                    </a:ln>
                  </pic:spPr>
                </pic:pic>
              </a:graphicData>
            </a:graphic>
          </wp:inline>
        </w:drawing>
      </w:r>
      <w:r w:rsidR="00D5634F" w:rsidRPr="00D5634F">
        <w:t xml:space="preserve"> </w:t>
      </w:r>
    </w:p>
    <w:p w:rsidR="00D5634F" w:rsidRPr="00D5634F" w:rsidRDefault="00D5634F" w:rsidP="00D5634F">
      <w:pPr>
        <w:pStyle w:val="AERtablesource"/>
      </w:pPr>
      <w:r w:rsidRPr="00D5634F">
        <w:t>Note:</w:t>
      </w:r>
      <w:r w:rsidRPr="00D5634F">
        <w:tab/>
        <w:t>The opex for the period 2005/06 to 2014/15 include some services that have been reclassified as ancillary reference services; the forecast opex for period 2015/16 to 2019/20 does not. The opex for the period 2005/06 to 2009/10 also includes debt raising costs; the opex and forecast opex for the period 2010/11 to 2019/20 do not.</w:t>
      </w:r>
    </w:p>
    <w:p w:rsidR="00D5634F" w:rsidRPr="00D5634F" w:rsidRDefault="00D5634F" w:rsidP="00D5634F">
      <w:pPr>
        <w:pStyle w:val="AERtablesource"/>
      </w:pPr>
      <w:r w:rsidRPr="00D5634F">
        <w:t>Source:</w:t>
      </w:r>
      <w:r w:rsidRPr="00D5634F">
        <w:tab/>
        <w:t>Energex, Regulatory accounts 2005/06 to 2009/10; Energex 2010/11–2014/15 PTRM, Annual Reporting RIN 2010/11–2013/14, Regulatory proposal for the 2015–20 period - Regulatory Information Notice; AER analysis.</w:t>
      </w:r>
      <w:r w:rsidRPr="00D5634F" w:rsidDel="007715D4">
        <w:t xml:space="preserve"> </w:t>
      </w:r>
    </w:p>
    <w:p w:rsidR="00D5634F" w:rsidRPr="00D5634F" w:rsidRDefault="00D5634F" w:rsidP="00D5634F">
      <w:r w:rsidRPr="00D5634F">
        <w:rPr>
          <w:rStyle w:val="AERbody"/>
        </w:rPr>
        <w:t>We are satisfied that Energex's total forecast opex reasonably reflects the opex criteria</w:t>
      </w:r>
      <w:r w:rsidRPr="00D5634F">
        <w:t xml:space="preserve">. </w:t>
      </w:r>
      <w:r w:rsidRPr="00D5634F">
        <w:rPr>
          <w:rStyle w:val="AERbody"/>
        </w:rPr>
        <w:t>In reaching this view we have compared Energex's opex proposal with our alternative estimate of total opex. While we have reached a different position on specific elements that make up the opex forecast</w:t>
      </w:r>
      <w:r w:rsidRPr="00D5634F">
        <w:t xml:space="preserve">, our preliminary decision is to accept Energex's forecast of total opex. </w:t>
      </w:r>
    </w:p>
    <w:p w:rsidR="00D5634F" w:rsidRPr="00D5634F" w:rsidRDefault="00D5634F" w:rsidP="00D5634F">
      <w:r w:rsidRPr="00D5634F">
        <w:t>Attachment 7 sets out the detailed reasons for our preliminary decision.</w:t>
      </w:r>
    </w:p>
    <w:p w:rsidR="00112BF8" w:rsidRPr="00112BF8" w:rsidRDefault="00112BF8" w:rsidP="00112BF8">
      <w:pPr>
        <w:pStyle w:val="Heading2"/>
      </w:pPr>
      <w:bookmarkStart w:id="43" w:name="_Toc417973146"/>
      <w:r w:rsidRPr="00112BF8">
        <w:t>Corporate income tax</w:t>
      </w:r>
      <w:bookmarkEnd w:id="43"/>
    </w:p>
    <w:p w:rsidR="009749B8" w:rsidRDefault="00D906B3" w:rsidP="00112BF8">
      <w:pPr>
        <w:numPr>
          <w:ilvl w:val="0"/>
          <w:numId w:val="25"/>
        </w:numPr>
      </w:pPr>
      <w:r>
        <w:t>The NER require</w:t>
      </w:r>
      <w:r w:rsidR="006563DF">
        <w:t>s</w:t>
      </w:r>
      <w:r>
        <w:t xml:space="preserve"> us </w:t>
      </w:r>
      <w:r w:rsidRPr="00521143">
        <w:rPr>
          <w:rStyle w:val="AERbody"/>
        </w:rPr>
        <w:t xml:space="preserve">to make a decision on the estimated cost of corporate income tax for </w:t>
      </w:r>
      <w:r>
        <w:rPr>
          <w:rStyle w:val="AERbody"/>
        </w:rPr>
        <w:t>Energex's</w:t>
      </w:r>
      <w:r w:rsidRPr="00521143">
        <w:rPr>
          <w:rStyle w:val="AERbody"/>
        </w:rPr>
        <w:t xml:space="preserve"> 2015–20 regulatory control period.</w:t>
      </w:r>
      <w:r w:rsidRPr="00577DF0">
        <w:rPr>
          <w:rStyle w:val="FootnoteReference"/>
        </w:rPr>
        <w:footnoteReference w:id="43"/>
      </w:r>
      <w:r w:rsidR="00FB69D7">
        <w:rPr>
          <w:rStyle w:val="AERbody"/>
        </w:rPr>
        <w:t xml:space="preserve"> </w:t>
      </w:r>
      <w:r w:rsidR="00112BF8" w:rsidRPr="00112BF8">
        <w:t xml:space="preserve">The estimated cost of corporate income tax contributes to our determination of the total revenue requirements for Energex over the 2015–20 regulatory control period. </w:t>
      </w:r>
      <w:r w:rsidR="009749B8">
        <w:t xml:space="preserve">It </w:t>
      </w:r>
      <w:r w:rsidR="00112BF8" w:rsidRPr="00112BF8">
        <w:t xml:space="preserve">enables Energex to recover the costs associated with the estimated corporate income tax payable during that period. </w:t>
      </w:r>
    </w:p>
    <w:p w:rsidR="00112BF8" w:rsidRDefault="00112BF8" w:rsidP="005F6C07">
      <w:r w:rsidRPr="00112BF8">
        <w:t xml:space="preserve">We forecast Energex's corporate income tax allowance at </w:t>
      </w:r>
      <w:r w:rsidRPr="00CC5DB6">
        <w:rPr>
          <w:rStyle w:val="AERbodytextChar"/>
          <w:rFonts w:eastAsiaTheme="minorHAnsi"/>
        </w:rPr>
        <w:t>$</w:t>
      </w:r>
      <w:r w:rsidR="00277707" w:rsidRPr="00CC5DB6">
        <w:rPr>
          <w:rStyle w:val="AERbodytextChar"/>
          <w:rFonts w:eastAsiaTheme="minorHAnsi"/>
        </w:rPr>
        <w:t>24</w:t>
      </w:r>
      <w:r w:rsidR="00D60A9B">
        <w:rPr>
          <w:rStyle w:val="AERbodytextChar"/>
          <w:rFonts w:eastAsiaTheme="minorHAnsi"/>
        </w:rPr>
        <w:t>2.4</w:t>
      </w:r>
      <w:r w:rsidRPr="00CC5DB6">
        <w:rPr>
          <w:rStyle w:val="AERbodytextChar"/>
          <w:rFonts w:eastAsiaTheme="minorHAnsi"/>
        </w:rPr>
        <w:t xml:space="preserve"> million ($ nominal) </w:t>
      </w:r>
      <w:r w:rsidR="00AE666E">
        <w:rPr>
          <w:rStyle w:val="AERbodytextChar"/>
          <w:rFonts w:eastAsiaTheme="minorHAnsi"/>
        </w:rPr>
        <w:t>over the 2015–20 regulatory control period</w:t>
      </w:r>
      <w:r w:rsidR="00557821">
        <w:rPr>
          <w:rStyle w:val="AERbodytextChar"/>
          <w:rFonts w:eastAsiaTheme="minorHAnsi"/>
        </w:rPr>
        <w:t xml:space="preserve"> as set out in t</w:t>
      </w:r>
      <w:r w:rsidR="00AE666E">
        <w:rPr>
          <w:rStyle w:val="AERbodytextChar"/>
          <w:rFonts w:eastAsiaTheme="minorHAnsi"/>
        </w:rPr>
        <w:t>able 9</w:t>
      </w:r>
      <w:r w:rsidRPr="00CC5DB6">
        <w:rPr>
          <w:rStyle w:val="AERbodytextChar"/>
          <w:rFonts w:eastAsiaTheme="minorHAnsi"/>
        </w:rPr>
        <w:t xml:space="preserve">. </w:t>
      </w:r>
      <w:r w:rsidR="009749B8" w:rsidRPr="00CC5DB6">
        <w:rPr>
          <w:rStyle w:val="AERbodytextChar"/>
          <w:rFonts w:eastAsiaTheme="minorHAnsi"/>
        </w:rPr>
        <w:t>This is instead of Energex's proposed cost of corporate income tax allowance of $</w:t>
      </w:r>
      <w:r w:rsidR="00277707" w:rsidRPr="00CC5DB6">
        <w:rPr>
          <w:rStyle w:val="AERbodytextChar"/>
          <w:rFonts w:eastAsiaTheme="minorHAnsi"/>
        </w:rPr>
        <w:t>602.3</w:t>
      </w:r>
      <w:r w:rsidR="009749B8" w:rsidRPr="00CC5DB6">
        <w:rPr>
          <w:rStyle w:val="AERbodytextChar"/>
          <w:rFonts w:eastAsiaTheme="minorHAnsi"/>
        </w:rPr>
        <w:t xml:space="preserve"> million</w:t>
      </w:r>
      <w:r w:rsidR="009749B8">
        <w:t xml:space="preserve">. </w:t>
      </w:r>
      <w:r w:rsidR="00FB69D7" w:rsidRPr="00112BF8">
        <w:t xml:space="preserve">Our preliminary decision </w:t>
      </w:r>
      <w:r w:rsidR="00FB69D7" w:rsidRPr="00FB69D7">
        <w:rPr>
          <w:rStyle w:val="AERbodytextChar"/>
          <w:rFonts w:eastAsiaTheme="minorHAnsi"/>
        </w:rPr>
        <w:t xml:space="preserve">is 40.2 </w:t>
      </w:r>
      <w:r w:rsidR="00FB69D7" w:rsidRPr="005F6C07">
        <w:t>per cent of the amount Energex proposed.</w:t>
      </w:r>
      <w:r w:rsidR="00FB69D7">
        <w:t xml:space="preserve"> </w:t>
      </w:r>
    </w:p>
    <w:p w:rsidR="00112BF8" w:rsidRPr="00112BF8" w:rsidRDefault="00112BF8" w:rsidP="00112BF8">
      <w:pPr>
        <w:pStyle w:val="Caption"/>
      </w:pPr>
      <w:r w:rsidRPr="00112BF8">
        <w:t>Table</w:t>
      </w:r>
      <w:r w:rsidR="00880096">
        <w:t xml:space="preserve"> 9</w:t>
      </w:r>
      <w:r w:rsidRPr="00112BF8">
        <w:t xml:space="preserve"> </w:t>
      </w:r>
      <w:r w:rsidRPr="00112BF8">
        <w:tab/>
        <w:t xml:space="preserve">AER's preliminary decision on Energex's cost of corporate income tax allowance for the 2015–20 </w:t>
      </w:r>
      <w:r w:rsidR="004B1187">
        <w:t xml:space="preserve">regulatory control </w:t>
      </w:r>
      <w:r w:rsidRPr="00112BF8">
        <w:t>period ($ million, nominal)</w:t>
      </w:r>
    </w:p>
    <w:tbl>
      <w:tblPr>
        <w:tblStyle w:val="AERtable-numbers"/>
        <w:tblW w:w="5000" w:type="pct"/>
        <w:tblLook w:val="04A0" w:firstRow="1" w:lastRow="0" w:firstColumn="1" w:lastColumn="0" w:noHBand="0" w:noVBand="1"/>
      </w:tblPr>
      <w:tblGrid>
        <w:gridCol w:w="3101"/>
        <w:gridCol w:w="932"/>
        <w:gridCol w:w="932"/>
        <w:gridCol w:w="932"/>
        <w:gridCol w:w="932"/>
        <w:gridCol w:w="932"/>
        <w:gridCol w:w="932"/>
      </w:tblGrid>
      <w:tr w:rsidR="00112BF8" w:rsidRPr="00F516A1" w:rsidTr="002777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112BF8" w:rsidRPr="00112BF8" w:rsidRDefault="00112BF8" w:rsidP="00112BF8">
            <w:r w:rsidRPr="00112BF8">
              <w:t> </w:t>
            </w:r>
          </w:p>
        </w:tc>
        <w:tc>
          <w:tcPr>
            <w:tcW w:w="536" w:type="pct"/>
            <w:noWrap/>
            <w:hideMark/>
          </w:tcPr>
          <w:p w:rsidR="00112BF8" w:rsidRPr="00112BF8" w:rsidRDefault="00112BF8" w:rsidP="004F78A3">
            <w:pPr>
              <w:cnfStyle w:val="100000000000" w:firstRow="1" w:lastRow="0" w:firstColumn="0" w:lastColumn="0" w:oddVBand="0" w:evenVBand="0" w:oddHBand="0" w:evenHBand="0" w:firstRowFirstColumn="0" w:firstRowLastColumn="0" w:lastRowFirstColumn="0" w:lastRowLastColumn="0"/>
            </w:pPr>
            <w:r w:rsidRPr="00112BF8">
              <w:t>201</w:t>
            </w:r>
            <w:r w:rsidR="004F78A3">
              <w:t>5</w:t>
            </w:r>
            <w:r w:rsidRPr="00112BF8">
              <w:t>–1</w:t>
            </w:r>
            <w:r w:rsidR="004F78A3">
              <w:t>6</w:t>
            </w:r>
          </w:p>
        </w:tc>
        <w:tc>
          <w:tcPr>
            <w:tcW w:w="536" w:type="pct"/>
            <w:noWrap/>
            <w:hideMark/>
          </w:tcPr>
          <w:p w:rsidR="00112BF8" w:rsidRPr="00112BF8" w:rsidRDefault="00112BF8" w:rsidP="004F78A3">
            <w:pPr>
              <w:cnfStyle w:val="100000000000" w:firstRow="1" w:lastRow="0" w:firstColumn="0" w:lastColumn="0" w:oddVBand="0" w:evenVBand="0" w:oddHBand="0" w:evenHBand="0" w:firstRowFirstColumn="0" w:firstRowLastColumn="0" w:lastRowFirstColumn="0" w:lastRowLastColumn="0"/>
            </w:pPr>
            <w:r w:rsidRPr="00112BF8">
              <w:t>201</w:t>
            </w:r>
            <w:r w:rsidR="004F78A3">
              <w:t>6</w:t>
            </w:r>
            <w:r w:rsidRPr="00112BF8">
              <w:t>–1</w:t>
            </w:r>
            <w:r w:rsidR="004F78A3">
              <w:t>7</w:t>
            </w:r>
          </w:p>
        </w:tc>
        <w:tc>
          <w:tcPr>
            <w:tcW w:w="536" w:type="pct"/>
            <w:noWrap/>
            <w:hideMark/>
          </w:tcPr>
          <w:p w:rsidR="00112BF8" w:rsidRPr="00112BF8" w:rsidRDefault="00112BF8" w:rsidP="004F78A3">
            <w:pPr>
              <w:cnfStyle w:val="100000000000" w:firstRow="1" w:lastRow="0" w:firstColumn="0" w:lastColumn="0" w:oddVBand="0" w:evenVBand="0" w:oddHBand="0" w:evenHBand="0" w:firstRowFirstColumn="0" w:firstRowLastColumn="0" w:lastRowFirstColumn="0" w:lastRowLastColumn="0"/>
            </w:pPr>
            <w:r w:rsidRPr="00112BF8">
              <w:t>201</w:t>
            </w:r>
            <w:r w:rsidR="004F78A3">
              <w:t>7</w:t>
            </w:r>
            <w:r w:rsidRPr="00112BF8">
              <w:t>–1</w:t>
            </w:r>
            <w:r w:rsidR="004F78A3">
              <w:t>8</w:t>
            </w:r>
          </w:p>
        </w:tc>
        <w:tc>
          <w:tcPr>
            <w:tcW w:w="536" w:type="pct"/>
            <w:noWrap/>
            <w:hideMark/>
          </w:tcPr>
          <w:p w:rsidR="00112BF8" w:rsidRPr="00112BF8" w:rsidRDefault="00112BF8" w:rsidP="004F78A3">
            <w:pPr>
              <w:cnfStyle w:val="100000000000" w:firstRow="1" w:lastRow="0" w:firstColumn="0" w:lastColumn="0" w:oddVBand="0" w:evenVBand="0" w:oddHBand="0" w:evenHBand="0" w:firstRowFirstColumn="0" w:firstRowLastColumn="0" w:lastRowFirstColumn="0" w:lastRowLastColumn="0"/>
            </w:pPr>
            <w:r w:rsidRPr="00112BF8">
              <w:t>201</w:t>
            </w:r>
            <w:r w:rsidR="004F78A3">
              <w:t>8</w:t>
            </w:r>
            <w:r w:rsidRPr="00112BF8">
              <w:t>–1</w:t>
            </w:r>
            <w:r w:rsidR="004F78A3">
              <w:t>9</w:t>
            </w:r>
          </w:p>
        </w:tc>
        <w:tc>
          <w:tcPr>
            <w:tcW w:w="536" w:type="pct"/>
            <w:noWrap/>
            <w:hideMark/>
          </w:tcPr>
          <w:p w:rsidR="00112BF8" w:rsidRPr="00112BF8" w:rsidRDefault="00112BF8" w:rsidP="004F78A3">
            <w:pPr>
              <w:cnfStyle w:val="100000000000" w:firstRow="1" w:lastRow="0" w:firstColumn="0" w:lastColumn="0" w:oddVBand="0" w:evenVBand="0" w:oddHBand="0" w:evenHBand="0" w:firstRowFirstColumn="0" w:firstRowLastColumn="0" w:lastRowFirstColumn="0" w:lastRowLastColumn="0"/>
            </w:pPr>
            <w:r w:rsidRPr="00112BF8">
              <w:t>20</w:t>
            </w:r>
            <w:r w:rsidR="004F78A3">
              <w:t>19</w:t>
            </w:r>
            <w:r w:rsidRPr="00112BF8">
              <w:t>–</w:t>
            </w:r>
            <w:r w:rsidR="004F78A3">
              <w:t>20</w:t>
            </w:r>
          </w:p>
        </w:tc>
        <w:tc>
          <w:tcPr>
            <w:tcW w:w="536" w:type="pct"/>
            <w:noWrap/>
            <w:hideMark/>
          </w:tcPr>
          <w:p w:rsidR="00112BF8" w:rsidRPr="00112BF8" w:rsidRDefault="00112BF8" w:rsidP="00112BF8">
            <w:pPr>
              <w:cnfStyle w:val="100000000000" w:firstRow="1" w:lastRow="0" w:firstColumn="0" w:lastColumn="0" w:oddVBand="0" w:evenVBand="0" w:oddHBand="0" w:evenHBand="0" w:firstRowFirstColumn="0" w:firstRowLastColumn="0" w:lastRowFirstColumn="0" w:lastRowLastColumn="0"/>
            </w:pPr>
            <w:r w:rsidRPr="00112BF8">
              <w:t>Total</w:t>
            </w:r>
          </w:p>
        </w:tc>
      </w:tr>
      <w:tr w:rsidR="00D60A9B" w:rsidRPr="00F516A1" w:rsidTr="00FB69D7">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D60A9B" w:rsidRPr="00D60A9B" w:rsidRDefault="00D60A9B" w:rsidP="00D60A9B">
            <w:r w:rsidRPr="00D60A9B">
              <w:t>Tax payable</w:t>
            </w:r>
          </w:p>
        </w:tc>
        <w:tc>
          <w:tcPr>
            <w:tcW w:w="536"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69.3</w:t>
            </w:r>
          </w:p>
        </w:tc>
        <w:tc>
          <w:tcPr>
            <w:tcW w:w="536"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76.0</w:t>
            </w:r>
          </w:p>
        </w:tc>
        <w:tc>
          <w:tcPr>
            <w:tcW w:w="536"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81.0</w:t>
            </w:r>
          </w:p>
        </w:tc>
        <w:tc>
          <w:tcPr>
            <w:tcW w:w="536"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85.6</w:t>
            </w:r>
          </w:p>
        </w:tc>
        <w:tc>
          <w:tcPr>
            <w:tcW w:w="536"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91.9</w:t>
            </w:r>
          </w:p>
        </w:tc>
        <w:tc>
          <w:tcPr>
            <w:tcW w:w="536" w:type="pct"/>
            <w:noWrap/>
            <w:vAlign w:val="bottom"/>
          </w:tcPr>
          <w:p w:rsidR="00D60A9B" w:rsidRPr="00D60A9B" w:rsidRDefault="00D60A9B" w:rsidP="00D60A9B">
            <w:pPr>
              <w:cnfStyle w:val="000000000000" w:firstRow="0" w:lastRow="0" w:firstColumn="0" w:lastColumn="0" w:oddVBand="0" w:evenVBand="0" w:oddHBand="0" w:evenHBand="0" w:firstRowFirstColumn="0" w:firstRowLastColumn="0" w:lastRowFirstColumn="0" w:lastRowLastColumn="0"/>
            </w:pPr>
            <w:r w:rsidRPr="00D60A9B">
              <w:t>403.9</w:t>
            </w:r>
          </w:p>
        </w:tc>
      </w:tr>
      <w:tr w:rsidR="00D60A9B" w:rsidRPr="00F516A1" w:rsidTr="00FB69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D60A9B" w:rsidRPr="00D60A9B" w:rsidRDefault="00D60A9B" w:rsidP="00D60A9B">
            <w:r w:rsidRPr="00D60A9B">
              <w:rPr>
                <w:rStyle w:val="AERtextitalic"/>
              </w:rPr>
              <w:t>Less</w:t>
            </w:r>
            <w:r w:rsidRPr="00D60A9B">
              <w:t>: value of imputation credits</w:t>
            </w:r>
          </w:p>
        </w:tc>
        <w:tc>
          <w:tcPr>
            <w:tcW w:w="536"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27.7</w:t>
            </w:r>
          </w:p>
        </w:tc>
        <w:tc>
          <w:tcPr>
            <w:tcW w:w="536"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30.4</w:t>
            </w:r>
          </w:p>
        </w:tc>
        <w:tc>
          <w:tcPr>
            <w:tcW w:w="536"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32.4</w:t>
            </w:r>
          </w:p>
        </w:tc>
        <w:tc>
          <w:tcPr>
            <w:tcW w:w="536"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34.2</w:t>
            </w:r>
          </w:p>
        </w:tc>
        <w:tc>
          <w:tcPr>
            <w:tcW w:w="536"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36.8</w:t>
            </w:r>
          </w:p>
        </w:tc>
        <w:tc>
          <w:tcPr>
            <w:tcW w:w="536" w:type="pct"/>
            <w:noWrap/>
            <w:vAlign w:val="bottom"/>
          </w:tcPr>
          <w:p w:rsidR="00D60A9B" w:rsidRPr="00D60A9B" w:rsidRDefault="00D60A9B" w:rsidP="00D60A9B">
            <w:pPr>
              <w:cnfStyle w:val="000000010000" w:firstRow="0" w:lastRow="0" w:firstColumn="0" w:lastColumn="0" w:oddVBand="0" w:evenVBand="0" w:oddHBand="0" w:evenHBand="1" w:firstRowFirstColumn="0" w:firstRowLastColumn="0" w:lastRowFirstColumn="0" w:lastRowLastColumn="0"/>
            </w:pPr>
            <w:r w:rsidRPr="00D60A9B">
              <w:t>161.6</w:t>
            </w:r>
          </w:p>
        </w:tc>
      </w:tr>
      <w:tr w:rsidR="00D60A9B" w:rsidRPr="00186632" w:rsidTr="00FB69D7">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D60A9B" w:rsidRPr="00186632" w:rsidRDefault="00D60A9B" w:rsidP="00AE666E">
            <w:pPr>
              <w:rPr>
                <w:rStyle w:val="Strong"/>
              </w:rPr>
            </w:pPr>
            <w:r w:rsidRPr="00186632">
              <w:rPr>
                <w:rStyle w:val="Strong"/>
              </w:rPr>
              <w:t>Corporate income tax allowance</w:t>
            </w:r>
          </w:p>
        </w:tc>
        <w:tc>
          <w:tcPr>
            <w:tcW w:w="536" w:type="pct"/>
            <w:noWrap/>
            <w:vAlign w:val="bottom"/>
          </w:tcPr>
          <w:p w:rsidR="00D60A9B" w:rsidRPr="00186632" w:rsidRDefault="00D60A9B" w:rsidP="00AE666E">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41.6</w:t>
            </w:r>
          </w:p>
        </w:tc>
        <w:tc>
          <w:tcPr>
            <w:tcW w:w="536" w:type="pct"/>
            <w:noWrap/>
            <w:vAlign w:val="bottom"/>
          </w:tcPr>
          <w:p w:rsidR="00D60A9B" w:rsidRPr="00186632" w:rsidRDefault="00D60A9B" w:rsidP="00AE666E">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45.6</w:t>
            </w:r>
          </w:p>
        </w:tc>
        <w:tc>
          <w:tcPr>
            <w:tcW w:w="536" w:type="pct"/>
            <w:noWrap/>
            <w:vAlign w:val="bottom"/>
          </w:tcPr>
          <w:p w:rsidR="00D60A9B" w:rsidRPr="00186632" w:rsidRDefault="00D60A9B" w:rsidP="00AE666E">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48.6</w:t>
            </w:r>
          </w:p>
        </w:tc>
        <w:tc>
          <w:tcPr>
            <w:tcW w:w="536" w:type="pct"/>
            <w:noWrap/>
            <w:vAlign w:val="bottom"/>
          </w:tcPr>
          <w:p w:rsidR="00D60A9B" w:rsidRPr="00186632" w:rsidRDefault="00D60A9B" w:rsidP="00AE666E">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51.4</w:t>
            </w:r>
          </w:p>
        </w:tc>
        <w:tc>
          <w:tcPr>
            <w:tcW w:w="536" w:type="pct"/>
            <w:noWrap/>
            <w:vAlign w:val="bottom"/>
          </w:tcPr>
          <w:p w:rsidR="00D60A9B" w:rsidRPr="00186632" w:rsidRDefault="00D60A9B" w:rsidP="00AE666E">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55.2</w:t>
            </w:r>
          </w:p>
        </w:tc>
        <w:tc>
          <w:tcPr>
            <w:tcW w:w="536" w:type="pct"/>
            <w:noWrap/>
            <w:vAlign w:val="bottom"/>
          </w:tcPr>
          <w:p w:rsidR="00D60A9B" w:rsidRPr="00186632" w:rsidRDefault="00D60A9B" w:rsidP="00AE666E">
            <w:pPr>
              <w:cnfStyle w:val="000000000000" w:firstRow="0" w:lastRow="0" w:firstColumn="0" w:lastColumn="0" w:oddVBand="0" w:evenVBand="0" w:oddHBand="0" w:evenHBand="0" w:firstRowFirstColumn="0" w:firstRowLastColumn="0" w:lastRowFirstColumn="0" w:lastRowLastColumn="0"/>
              <w:rPr>
                <w:rStyle w:val="Strong"/>
              </w:rPr>
            </w:pPr>
            <w:r w:rsidRPr="00186632">
              <w:rPr>
                <w:rStyle w:val="Strong"/>
              </w:rPr>
              <w:t>242.4</w:t>
            </w:r>
          </w:p>
        </w:tc>
      </w:tr>
    </w:tbl>
    <w:p w:rsidR="00112BF8" w:rsidRPr="00112BF8" w:rsidRDefault="00112BF8" w:rsidP="00112BF8">
      <w:pPr>
        <w:pStyle w:val="AERtablesource"/>
      </w:pPr>
      <w:r w:rsidRPr="00112BF8">
        <w:t>Source:</w:t>
      </w:r>
      <w:r w:rsidRPr="00112BF8">
        <w:tab/>
        <w:t>AER analysis.</w:t>
      </w:r>
    </w:p>
    <w:p w:rsidR="00553AC4" w:rsidRDefault="00112BF8" w:rsidP="00553AC4">
      <w:r w:rsidRPr="00112BF8">
        <w:t xml:space="preserve">Our preliminary decision reflects our amendments to some of Energex's proposed inputs for forecasting the cost of corporate income tax such as the opening tax asset base, and the remaining tax asset lives. </w:t>
      </w:r>
      <w:r w:rsidR="00553AC4" w:rsidRPr="00112BF8">
        <w:t>It also reflects our preliminary decision on the value of imputation credits</w:t>
      </w:r>
      <w:r w:rsidR="00553AC4">
        <w:t xml:space="preserve"> (</w:t>
      </w:r>
      <w:r w:rsidR="00553AC4" w:rsidRPr="00112BF8">
        <w:t>gamma</w:t>
      </w:r>
      <w:r w:rsidR="00553AC4">
        <w:t xml:space="preserve">) </w:t>
      </w:r>
      <w:r w:rsidR="00553AC4" w:rsidRPr="00112BF8">
        <w:t xml:space="preserve">discussed in attachment 4. Our preliminary decision changes to other building block costs that affect revenues also impact the tax calculation. </w:t>
      </w:r>
    </w:p>
    <w:p w:rsidR="00553AC4" w:rsidRDefault="00553AC4" w:rsidP="00553AC4">
      <w:r>
        <w:t>Details of our preliminary decision on the corporate income tax allowance are set out in attachment 8.</w:t>
      </w:r>
    </w:p>
    <w:p w:rsidR="00891DF8" w:rsidRPr="00222367" w:rsidRDefault="00891DF8" w:rsidP="00222367">
      <w:pPr>
        <w:pStyle w:val="Heading1"/>
      </w:pPr>
      <w:bookmarkStart w:id="44" w:name="_Toc417973147"/>
      <w:bookmarkEnd w:id="25"/>
      <w:bookmarkEnd w:id="26"/>
      <w:bookmarkEnd w:id="27"/>
      <w:r w:rsidRPr="00222367">
        <w:t xml:space="preserve">Service classification, </w:t>
      </w:r>
      <w:r w:rsidR="00222367" w:rsidRPr="00222367">
        <w:t xml:space="preserve">control mechanisms and </w:t>
      </w:r>
      <w:r w:rsidRPr="00222367">
        <w:t>incentive schemes</w:t>
      </w:r>
      <w:bookmarkEnd w:id="44"/>
      <w:r w:rsidRPr="00222367">
        <w:t xml:space="preserve"> </w:t>
      </w:r>
    </w:p>
    <w:p w:rsidR="00891DF8" w:rsidRPr="00891DF8" w:rsidRDefault="00891DF8" w:rsidP="00891DF8">
      <w:r w:rsidRPr="00891DF8">
        <w:t xml:space="preserve">A range of factors, in addition to the building blocks, affect </w:t>
      </w:r>
      <w:r w:rsidR="00152A16">
        <w:t>Energex's</w:t>
      </w:r>
      <w:r w:rsidRPr="00891DF8">
        <w:t xml:space="preserve"> revenues. These include service classification, the control mechanism, incentive schemes to promote efficiency, and our approach to services charged to individual consumers. This section sets out our approach to these issues.</w:t>
      </w:r>
    </w:p>
    <w:p w:rsidR="00891DF8" w:rsidRPr="00112BF8" w:rsidRDefault="00891DF8" w:rsidP="00891DF8">
      <w:pPr>
        <w:pStyle w:val="Heading2"/>
      </w:pPr>
      <w:bookmarkStart w:id="45" w:name="_Toc417973148"/>
      <w:r w:rsidRPr="00112BF8">
        <w:t>Classification of services and control mechanisms</w:t>
      </w:r>
      <w:bookmarkEnd w:id="45"/>
    </w:p>
    <w:p w:rsidR="00891DF8" w:rsidRPr="00112BF8" w:rsidRDefault="00891DF8" w:rsidP="00891DF8">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rsidR="00687F34">
        <w:t xml:space="preserve">preliminary </w:t>
      </w:r>
      <w:r w:rsidRPr="00112BF8">
        <w:t xml:space="preserve">decision reflects our assessment of a number of factors, including existing and potential competition to supply these services. </w:t>
      </w:r>
    </w:p>
    <w:p w:rsidR="00891DF8" w:rsidRDefault="00891DF8" w:rsidP="00891DF8">
      <w:r>
        <w:rPr>
          <w:rStyle w:val="AERbody"/>
        </w:rPr>
        <w:t>Our preliminary</w:t>
      </w:r>
      <w:r w:rsidRPr="003E7844">
        <w:rPr>
          <w:rStyle w:val="AERbody"/>
        </w:rPr>
        <w:t xml:space="preserve"> decision is to retain the classification s</w:t>
      </w:r>
      <w:r>
        <w:rPr>
          <w:rStyle w:val="AERbody"/>
        </w:rPr>
        <w:t xml:space="preserve">tructure set out in our </w:t>
      </w:r>
      <w:r w:rsidR="00687F34">
        <w:rPr>
          <w:rStyle w:val="AERbody"/>
        </w:rPr>
        <w:t>Framework and Approach (</w:t>
      </w:r>
      <w:r w:rsidRPr="003E7844">
        <w:rPr>
          <w:rStyle w:val="AERbody"/>
        </w:rPr>
        <w:t>F&amp;A</w:t>
      </w:r>
      <w:r w:rsidR="00687F34">
        <w:rPr>
          <w:rStyle w:val="AERbody"/>
        </w:rPr>
        <w:t>)</w:t>
      </w:r>
      <w:r w:rsidRPr="003E7844">
        <w:rPr>
          <w:rStyle w:val="AERbody"/>
        </w:rPr>
        <w:t>,</w:t>
      </w:r>
      <w:r w:rsidR="00687F34">
        <w:rPr>
          <w:rStyle w:val="FootnoteReference"/>
        </w:rPr>
        <w:footnoteReference w:id="44"/>
      </w:r>
      <w:r w:rsidRPr="003E7844">
        <w:rPr>
          <w:rStyle w:val="AERbody"/>
        </w:rPr>
        <w:t xml:space="preserve"> subject to </w:t>
      </w:r>
      <w:r>
        <w:rPr>
          <w:rStyle w:val="AERbody"/>
        </w:rPr>
        <w:t xml:space="preserve">a small number of changes. </w:t>
      </w:r>
      <w:r>
        <w:t>The changes we have made will facilitate competition in the provision of metering services.</w:t>
      </w:r>
    </w:p>
    <w:p w:rsidR="00E810C8" w:rsidRDefault="00E810C8" w:rsidP="00891DF8">
      <w:r w:rsidRPr="00112BF8">
        <w:t>We have also refined the definitions of network services (standard control) and metering services (alternative control) to make clear our intended approach to the classification of load control services</w:t>
      </w:r>
      <w:r>
        <w:t>. Load control services provided by equipment located outside a type 5 or 6 meter are grouped with network services and classified standard control. Load control services provided by a type 5 or 6 meter are grouped with ancillary metering services and classified alternative control.</w:t>
      </w:r>
    </w:p>
    <w:p w:rsidR="00891DF8" w:rsidRPr="00112BF8" w:rsidRDefault="00891DF8" w:rsidP="00891DF8">
      <w:r w:rsidRPr="00112BF8">
        <w:t xml:space="preserve">Figure </w:t>
      </w:r>
      <w:r w:rsidR="002C6D16">
        <w:t>8</w:t>
      </w:r>
      <w:r>
        <w:t xml:space="preserve"> </w:t>
      </w:r>
      <w:r w:rsidR="001A5A80">
        <w:t>summarises</w:t>
      </w:r>
      <w:r w:rsidRPr="00112BF8">
        <w:t xml:space="preserve"> our preliminary decision on service classifications for the 2015–20 regulatory control period. </w:t>
      </w:r>
    </w:p>
    <w:p w:rsidR="00891DF8" w:rsidRPr="00112BF8" w:rsidRDefault="00891DF8" w:rsidP="00891DF8">
      <w:pPr>
        <w:pStyle w:val="Caption"/>
      </w:pPr>
      <w:r w:rsidRPr="00112BF8">
        <w:t xml:space="preserve">Figure </w:t>
      </w:r>
      <w:r w:rsidR="002C6D16">
        <w:t>8</w:t>
      </w:r>
      <w:r w:rsidRPr="00112BF8">
        <w:tab/>
        <w:t>AER preliminary decision on 2015–20 service classifications for Energex</w:t>
      </w:r>
    </w:p>
    <w:p w:rsidR="00891DF8" w:rsidRPr="00112BF8" w:rsidRDefault="00891DF8" w:rsidP="00891DF8">
      <w:pPr>
        <w:pStyle w:val="AERtablesource"/>
      </w:pPr>
      <w:r w:rsidRPr="00891DF8">
        <w:rPr>
          <w:noProof/>
          <w:lang w:eastAsia="en-AU"/>
        </w:rPr>
        <w:drawing>
          <wp:inline distT="0" distB="0" distL="0" distR="0" wp14:anchorId="4B7BF093" wp14:editId="6CC91FA0">
            <wp:extent cx="5381625" cy="2952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2895" cy="2953447"/>
                    </a:xfrm>
                    <a:prstGeom prst="rect">
                      <a:avLst/>
                    </a:prstGeom>
                    <a:noFill/>
                    <a:ln>
                      <a:noFill/>
                    </a:ln>
                  </pic:spPr>
                </pic:pic>
              </a:graphicData>
            </a:graphic>
          </wp:inline>
        </w:drawing>
      </w:r>
    </w:p>
    <w:p w:rsidR="00891DF8" w:rsidRPr="00112BF8" w:rsidRDefault="00891DF8" w:rsidP="00891DF8">
      <w:pPr>
        <w:pStyle w:val="AERtablesource"/>
      </w:pPr>
    </w:p>
    <w:p w:rsidR="00891DF8" w:rsidRDefault="00891DF8" w:rsidP="00891DF8">
      <w:pPr>
        <w:pStyle w:val="AERtablesource"/>
      </w:pPr>
      <w:r w:rsidRPr="00112BF8">
        <w:t>Source: AER.</w:t>
      </w:r>
    </w:p>
    <w:p w:rsidR="00CB7F2E" w:rsidRDefault="00CB7F2E" w:rsidP="00CB7F2E">
      <w:pPr>
        <w:numPr>
          <w:ilvl w:val="0"/>
          <w:numId w:val="25"/>
        </w:numPr>
      </w:pPr>
      <w:r>
        <w:rPr>
          <w:rStyle w:val="AERbody"/>
        </w:rPr>
        <w:t>In accordance with our F&amp;A, Energex will be subject to a 'revenue cap' form of control for standard control services over the next regulator</w:t>
      </w:r>
      <w:r w:rsidR="00687F34">
        <w:rPr>
          <w:rStyle w:val="AERbody"/>
        </w:rPr>
        <w:t>y</w:t>
      </w:r>
      <w:r>
        <w:rPr>
          <w:rStyle w:val="AERbody"/>
        </w:rPr>
        <w:t xml:space="preserve"> control period. </w:t>
      </w:r>
      <w:r w:rsidRPr="00112BF8">
        <w:t>The control mechanism (</w:t>
      </w:r>
      <w:r>
        <w:t>which describes how the revenues will vary from year to year</w:t>
      </w:r>
      <w:r w:rsidRPr="00112BF8">
        <w:t xml:space="preserve">) </w:t>
      </w:r>
      <w:r>
        <w:t xml:space="preserve">is discussed in attachments 14 and 16. The control mechanism for standard control services is described in mathematical terms and reflects all possible adjustments that might be made to the revenue cap. </w:t>
      </w:r>
    </w:p>
    <w:p w:rsidR="00891DF8" w:rsidRPr="00112BF8" w:rsidRDefault="00891DF8" w:rsidP="00891DF8">
      <w:pPr>
        <w:pStyle w:val="Heading2"/>
      </w:pPr>
      <w:bookmarkStart w:id="46" w:name="_Toc417973149"/>
      <w:r w:rsidRPr="00112BF8">
        <w:t>Alternative control services</w:t>
      </w:r>
      <w:bookmarkEnd w:id="46"/>
    </w:p>
    <w:p w:rsidR="0058687D" w:rsidRPr="0058687D" w:rsidRDefault="0058687D" w:rsidP="0058687D">
      <w:r w:rsidRPr="0058687D">
        <w:t xml:space="preserve">Alternative control services do not form part of </w:t>
      </w:r>
      <w:r>
        <w:t xml:space="preserve">Energex's </w:t>
      </w:r>
      <w:r w:rsidRPr="0058687D">
        <w:t xml:space="preserve">revenue cap. Rather, the prices of these services are set individually. Our preliminary decision is to maintain the approach adopted in our F&amp;A, that the form of control mechanism to apply to </w:t>
      </w:r>
      <w:r>
        <w:t>Energex's</w:t>
      </w:r>
      <w:r w:rsidRPr="0058687D">
        <w:t xml:space="preserve"> alternative control services will be price caps. </w:t>
      </w:r>
      <w:r w:rsidR="00736F78">
        <w:t xml:space="preserve">Energex must demonstrate compliance with the control mechanism through an annual pricing proposal. </w:t>
      </w:r>
    </w:p>
    <w:p w:rsidR="0058687D" w:rsidRPr="0058687D" w:rsidRDefault="0058687D" w:rsidP="0058687D">
      <w:pPr>
        <w:numPr>
          <w:ilvl w:val="0"/>
          <w:numId w:val="25"/>
        </w:numPr>
      </w:pPr>
      <w:r w:rsidRPr="0058687D">
        <w:t xml:space="preserve">To avoid large metering transfer or exit fees, we consider </w:t>
      </w:r>
      <w:r w:rsidR="007070F0">
        <w:t>Energex</w:t>
      </w:r>
      <w:r w:rsidRPr="0058687D">
        <w:t xml:space="preserve"> should recover the residual cost of its redundant meters from all customers through an alternative control service charge. By switching, customers may avoid the operating costs that would be charged </w:t>
      </w:r>
      <w:r w:rsidR="00CB7F2E">
        <w:t xml:space="preserve">by </w:t>
      </w:r>
      <w:r w:rsidR="00DE3B43">
        <w:t xml:space="preserve">Energex </w:t>
      </w:r>
      <w:r w:rsidRPr="0058687D">
        <w:t>for type 5 or 6 metering services.</w:t>
      </w:r>
    </w:p>
    <w:p w:rsidR="00F73B92" w:rsidRDefault="00F73B92" w:rsidP="00F73B92">
      <w:pPr>
        <w:numPr>
          <w:ilvl w:val="0"/>
          <w:numId w:val="25"/>
        </w:numPr>
      </w:pPr>
      <w:r w:rsidRPr="00E934D3">
        <w:t>We did not approve large upfront metering transfer or exit fees which would be a barrier to competitive entry. Instead, when a customer switches to a competitive metering provider, they will continue to pay a regulated annual charge that recovers the fixed capital costs associated with their past regulated type 5 or 6 metering service</w:t>
      </w:r>
      <w:r>
        <w:t xml:space="preserve">. </w:t>
      </w:r>
    </w:p>
    <w:p w:rsidR="00E934D3" w:rsidRPr="00E934D3" w:rsidRDefault="00EA2027" w:rsidP="00E934D3">
      <w:r>
        <w:t xml:space="preserve">On 26 March 2015, the AEMC made a draft determination and draft rule in relation to the provision of metering and related services in the NEM. </w:t>
      </w:r>
      <w:r w:rsidR="0058687D" w:rsidRPr="0058687D">
        <w:t>The rule change</w:t>
      </w:r>
      <w:r>
        <w:t xml:space="preserve"> proposes</w:t>
      </w:r>
      <w:r w:rsidR="0058687D" w:rsidRPr="0058687D">
        <w:t xml:space="preserve"> to expand competition in metering and related services and facilitate a market led roll out of advanced metering technology</w:t>
      </w:r>
      <w:r>
        <w:t>.</w:t>
      </w:r>
      <w:r w:rsidR="0058687D" w:rsidRPr="00DE3B43">
        <w:rPr>
          <w:rStyle w:val="AERsuperscript"/>
        </w:rPr>
        <w:footnoteReference w:id="45"/>
      </w:r>
      <w:r w:rsidR="0020091D">
        <w:t xml:space="preserve"> </w:t>
      </w:r>
      <w:r w:rsidR="0058687D" w:rsidRPr="00DE3B43">
        <w:rPr>
          <w:rStyle w:val="AERsuperscript"/>
        </w:rPr>
        <w:t xml:space="preserve"> </w:t>
      </w:r>
      <w:r w:rsidR="00E934D3" w:rsidRPr="00E934D3">
        <w:t>We have sought to create a regulatory framework robust enough to handle the transition to competition once the rule change takes effect from 1 July 2017.</w:t>
      </w:r>
    </w:p>
    <w:p w:rsidR="0058687D" w:rsidRPr="0058687D" w:rsidRDefault="0058687D" w:rsidP="00E934D3">
      <w:pPr>
        <w:numPr>
          <w:ilvl w:val="0"/>
          <w:numId w:val="25"/>
        </w:numPr>
      </w:pPr>
      <w:r w:rsidRPr="0058687D">
        <w:t xml:space="preserve">Our preliminary decision does not accept </w:t>
      </w:r>
      <w:r w:rsidR="00DE3B43">
        <w:t>Energex's</w:t>
      </w:r>
      <w:r w:rsidRPr="0058687D">
        <w:t xml:space="preserve"> proposed:</w:t>
      </w:r>
    </w:p>
    <w:p w:rsidR="0058687D" w:rsidRPr="0058687D" w:rsidRDefault="0058687D" w:rsidP="00DE3B43">
      <w:pPr>
        <w:pStyle w:val="AERbulletlistfirststyle"/>
      </w:pPr>
      <w:r w:rsidRPr="0058687D">
        <w:t xml:space="preserve">annual metering service charge, because the forecast capital and labour costs do not reasonably reflect the efficient costs of a prudent operator </w:t>
      </w:r>
    </w:p>
    <w:p w:rsidR="0058687D" w:rsidRPr="0058687D" w:rsidRDefault="0058687D" w:rsidP="00DE3B43">
      <w:pPr>
        <w:pStyle w:val="AERbulletlistfirststyle"/>
      </w:pPr>
      <w:r w:rsidRPr="0058687D">
        <w:t>price caps for new and upgraded connections, for similar reasons</w:t>
      </w:r>
    </w:p>
    <w:p w:rsidR="0058687D" w:rsidRPr="0058687D" w:rsidRDefault="0058687D" w:rsidP="00DE3B43">
      <w:pPr>
        <w:pStyle w:val="AERbulletlistfirststyle"/>
      </w:pPr>
      <w:r w:rsidRPr="0058687D">
        <w:t xml:space="preserve">transfer or exit fee to switching customers to recover residual metering </w:t>
      </w:r>
      <w:r w:rsidR="00D906B3">
        <w:t xml:space="preserve">or administrative </w:t>
      </w:r>
      <w:r w:rsidRPr="0058687D">
        <w:t>costs.</w:t>
      </w:r>
    </w:p>
    <w:p w:rsidR="00464DE5" w:rsidRPr="00112BF8" w:rsidRDefault="00464DE5" w:rsidP="00464DE5">
      <w:pPr>
        <w:pStyle w:val="Heading2"/>
      </w:pPr>
      <w:bookmarkStart w:id="47" w:name="_Toc417973150"/>
      <w:r w:rsidRPr="00112BF8">
        <w:t>Incentive schemes</w:t>
      </w:r>
      <w:bookmarkEnd w:id="47"/>
    </w:p>
    <w:p w:rsidR="00DA1C52" w:rsidRPr="00AA082F" w:rsidRDefault="00DA1C52" w:rsidP="00DA1C52">
      <w:r w:rsidRPr="00AA082F">
        <w:t xml:space="preserve">Incentive schemes are a component of incentive-based regulation and complement our approach to assessing efficient costs. The incentive schemes </w:t>
      </w:r>
      <w:r>
        <w:t xml:space="preserve">that will apply to Energex </w:t>
      </w:r>
      <w:r w:rsidRPr="00AA082F">
        <w:t>are:</w:t>
      </w:r>
    </w:p>
    <w:p w:rsidR="00464DE5" w:rsidRPr="00112BF8" w:rsidRDefault="00464DE5" w:rsidP="00464DE5">
      <w:pPr>
        <w:pStyle w:val="AERbulletlistfirststyle"/>
      </w:pPr>
      <w:r w:rsidRPr="00112BF8">
        <w:t>The efficiency benefit sharing scheme (EBSS)</w:t>
      </w:r>
    </w:p>
    <w:p w:rsidR="00464DE5" w:rsidRPr="00112BF8" w:rsidRDefault="00464DE5" w:rsidP="00464DE5">
      <w:pPr>
        <w:pStyle w:val="AERbulletlistfirststyle"/>
      </w:pPr>
      <w:r w:rsidRPr="00112BF8">
        <w:t>The capital expenditure sharing scheme (CESS)</w:t>
      </w:r>
    </w:p>
    <w:p w:rsidR="00464DE5" w:rsidRPr="00112BF8" w:rsidRDefault="00464DE5" w:rsidP="00464DE5">
      <w:pPr>
        <w:pStyle w:val="AERbulletlistfirststyle"/>
      </w:pPr>
      <w:r w:rsidRPr="00112BF8">
        <w:t>The service target performance incentive scheme (STPIS)</w:t>
      </w:r>
    </w:p>
    <w:p w:rsidR="00464DE5" w:rsidRPr="00112BF8" w:rsidRDefault="00464DE5" w:rsidP="00464DE5">
      <w:pPr>
        <w:pStyle w:val="AERbulletlistfirststyle"/>
      </w:pPr>
      <w:r w:rsidRPr="00112BF8">
        <w:t>The demand management incentive scheme (DMIS).</w:t>
      </w:r>
    </w:p>
    <w:p w:rsidR="00464DE5" w:rsidRPr="00112BF8" w:rsidRDefault="00464DE5" w:rsidP="00464DE5">
      <w:pPr>
        <w:pStyle w:val="Heading3"/>
      </w:pPr>
      <w:bookmarkStart w:id="48" w:name="_Toc414891236"/>
      <w:bookmarkStart w:id="49" w:name="_Toc414977571"/>
      <w:bookmarkStart w:id="50" w:name="_Toc417973151"/>
      <w:r w:rsidRPr="00112BF8">
        <w:t>Efficiency benefit sharing scheme</w:t>
      </w:r>
      <w:bookmarkEnd w:id="48"/>
      <w:bookmarkEnd w:id="49"/>
      <w:bookmarkEnd w:id="50"/>
    </w:p>
    <w:p w:rsidR="00464DE5" w:rsidRDefault="00464DE5" w:rsidP="00464DE5">
      <w:pPr>
        <w:numPr>
          <w:ilvl w:val="0"/>
          <w:numId w:val="25"/>
        </w:numPr>
        <w:rPr>
          <w:rStyle w:val="AERbody"/>
        </w:rPr>
      </w:pPr>
      <w:r w:rsidRPr="00112BF8">
        <w:rPr>
          <w:rStyle w:val="AERbody"/>
        </w:rPr>
        <w:t xml:space="preserve">The efficiency benefit sharing scheme (EBSS) provides an additional incentive for service providers to pursue efficiency improvements in opex. </w:t>
      </w:r>
    </w:p>
    <w:p w:rsidR="00464DE5" w:rsidRDefault="00687F34" w:rsidP="00464DE5">
      <w:r>
        <w:t>As</w:t>
      </w:r>
      <w:r w:rsidR="00F73B92">
        <w:t xml:space="preserve"> 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control period to forecast opex for the next regulatory control period. We call this the 'revealed cost approach'. </w:t>
      </w:r>
    </w:p>
    <w:p w:rsidR="00F73B92" w:rsidRPr="00E105E6" w:rsidRDefault="00F73B92" w:rsidP="00464DE5">
      <w:r>
        <w:t>To encourage a distributor to become more efficient during the regulatory control period it is allowed to keep any difference between its approved forecast and its actual opex during a regulatory control period. This is supplemented by the EBSS which allows the distributor to retain efficiency savings and efficiency losses for a longer period of time. In total these rewards and penalties work together to provide a continuous incentive for a service provider to pursue efficiency gains over the regulatory control period. The EBSS also discourages a distributor from incurring opex in the expected base year in order to receive a higher opex allowance in the following regulatory control period.</w:t>
      </w:r>
      <w:r>
        <w:rPr>
          <w:rStyle w:val="FootnoteReference"/>
        </w:rPr>
        <w:footnoteReference w:id="46"/>
      </w:r>
    </w:p>
    <w:p w:rsidR="00464DE5" w:rsidRDefault="00464DE5" w:rsidP="00FC6F26">
      <w:r>
        <w:rPr>
          <w:rStyle w:val="AERbody"/>
        </w:rPr>
        <w:t xml:space="preserve"> </w:t>
      </w:r>
      <w:r w:rsidRPr="001D6F12">
        <w:rPr>
          <w:rStyle w:val="AERbody"/>
        </w:rPr>
        <w:t xml:space="preserve">Our preliminary </w:t>
      </w:r>
      <w:r>
        <w:rPr>
          <w:rStyle w:val="AERbody"/>
        </w:rPr>
        <w:t>decision</w:t>
      </w:r>
      <w:r w:rsidRPr="001D6F12">
        <w:rPr>
          <w:rStyle w:val="AERbody"/>
        </w:rPr>
        <w:t xml:space="preserve"> </w:t>
      </w:r>
      <w:r w:rsidR="009B135B">
        <w:rPr>
          <w:rStyle w:val="AERbody"/>
        </w:rPr>
        <w:t xml:space="preserve">on the </w:t>
      </w:r>
      <w:r w:rsidRPr="001D6F12">
        <w:rPr>
          <w:rStyle w:val="AERbody"/>
        </w:rPr>
        <w:t>EBSS</w:t>
      </w:r>
      <w:r w:rsidR="009B135B">
        <w:rPr>
          <w:rStyle w:val="AERbody"/>
        </w:rPr>
        <w:t xml:space="preserve"> is outlined</w:t>
      </w:r>
      <w:r w:rsidRPr="00BD4587">
        <w:t xml:space="preserve"> in </w:t>
      </w:r>
      <w:r>
        <w:t>attachment 9</w:t>
      </w:r>
      <w:r w:rsidR="00FC6F26">
        <w:t>.</w:t>
      </w:r>
    </w:p>
    <w:p w:rsidR="00464DE5" w:rsidRPr="00112BF8" w:rsidRDefault="00464DE5" w:rsidP="00464DE5">
      <w:pPr>
        <w:pStyle w:val="Heading3"/>
      </w:pPr>
      <w:bookmarkStart w:id="51" w:name="_Toc414891239"/>
      <w:bookmarkStart w:id="52" w:name="_Toc414977574"/>
      <w:bookmarkStart w:id="53" w:name="_Toc417973152"/>
      <w:r w:rsidRPr="00112BF8">
        <w:t>Capital expenditure sharing scheme</w:t>
      </w:r>
      <w:bookmarkEnd w:id="51"/>
      <w:bookmarkEnd w:id="52"/>
      <w:bookmarkEnd w:id="53"/>
    </w:p>
    <w:p w:rsidR="00464DE5" w:rsidRPr="00112BF8" w:rsidRDefault="00464DE5" w:rsidP="00464DE5">
      <w:pPr>
        <w:numPr>
          <w:ilvl w:val="0"/>
          <w:numId w:val="25"/>
        </w:numPr>
      </w:pPr>
      <w:r w:rsidRPr="00112BF8">
        <w:t xml:space="preserve">The capital expenditure sharing scheme (CESS) provides financial rewards for network service providers whose capex becomes more efficient </w:t>
      </w:r>
      <w:r w:rsidR="00A638CE">
        <w:t xml:space="preserve">throughout the regulatory control period </w:t>
      </w:r>
      <w:r w:rsidRPr="00112BF8">
        <w:t xml:space="preserve">and financial penalties for those that become less efficient. Consumers benefit from improved efficiency through lower regulated prices. </w:t>
      </w:r>
    </w:p>
    <w:p w:rsidR="00464DE5" w:rsidRPr="009400D3" w:rsidRDefault="00464DE5" w:rsidP="00464DE5">
      <w:pPr>
        <w:numPr>
          <w:ilvl w:val="0"/>
          <w:numId w:val="25"/>
        </w:numPr>
        <w:rPr>
          <w:shd w:val="clear" w:color="auto" w:fill="FFFF00"/>
        </w:rPr>
      </w:pPr>
      <w:r w:rsidRPr="00112BF8">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A638CE" w:rsidRDefault="00A638CE" w:rsidP="00A638CE">
      <w:pPr>
        <w:numPr>
          <w:ilvl w:val="0"/>
          <w:numId w:val="25"/>
        </w:numPr>
      </w:pPr>
      <w:r>
        <w:t>T</w:t>
      </w:r>
      <w:r w:rsidRPr="002C4193">
        <w:t xml:space="preserve">he CESS is not predicated on addressing incentives resulting from a revealed cost forecasting approach. </w:t>
      </w:r>
      <w:r>
        <w:t xml:space="preserve">The purpose of the CESS is to provide a continuous incentive to deliver efficient overall capex and to share the benefits of capex efficiency gains (or costs of capex efficiency losses) between the distributor and consumers. The way in which capex underspends and overspends are shared occurs independently of </w:t>
      </w:r>
      <w:r w:rsidRPr="00A840C0">
        <w:t xml:space="preserve">how the EBSS </w:t>
      </w:r>
      <w:r>
        <w:t>applies, and independently of the precise amount of total forecast capex.</w:t>
      </w:r>
      <w:r>
        <w:rPr>
          <w:rStyle w:val="FootnoteReference"/>
        </w:rPr>
        <w:footnoteReference w:id="47"/>
      </w:r>
      <w:r>
        <w:t xml:space="preserve"> </w:t>
      </w:r>
    </w:p>
    <w:p w:rsidR="00464DE5" w:rsidRPr="00112BF8" w:rsidRDefault="00464DE5" w:rsidP="00464DE5">
      <w:r w:rsidRPr="00112BF8">
        <w:t xml:space="preserve">We will apply version 1 of the CESS as set out the </w:t>
      </w:r>
      <w:r w:rsidR="00497F95">
        <w:t>C</w:t>
      </w:r>
      <w:r w:rsidRPr="00112BF8">
        <w:t xml:space="preserve">apital </w:t>
      </w:r>
      <w:r w:rsidR="00497F95">
        <w:t>E</w:t>
      </w:r>
      <w:r w:rsidRPr="00112BF8">
        <w:t xml:space="preserve">xpenditure </w:t>
      </w:r>
      <w:r w:rsidR="00497F95">
        <w:t>I</w:t>
      </w:r>
      <w:r w:rsidRPr="00112BF8">
        <w:t xml:space="preserve">ncentives </w:t>
      </w:r>
      <w:r w:rsidR="00497F95">
        <w:t>G</w:t>
      </w:r>
      <w:r w:rsidRPr="00112BF8">
        <w:t>uideline to Energex in the 201</w:t>
      </w:r>
      <w:r>
        <w:t>5–20 regulatory control period as Energex proposed.</w:t>
      </w:r>
      <w:r w:rsidRPr="0026327F">
        <w:rPr>
          <w:rStyle w:val="AERsuperscript"/>
        </w:rPr>
        <w:footnoteReference w:id="48"/>
      </w:r>
      <w:r w:rsidR="0026327F">
        <w:t xml:space="preserve"> Attachment 10 sets out our reasons for our preliminary decision on CESS. </w:t>
      </w:r>
    </w:p>
    <w:p w:rsidR="00464DE5" w:rsidRPr="00112BF8" w:rsidRDefault="00464DE5" w:rsidP="00464DE5">
      <w:pPr>
        <w:pStyle w:val="Heading3"/>
      </w:pPr>
      <w:bookmarkStart w:id="54" w:name="_Toc414891242"/>
      <w:bookmarkStart w:id="55" w:name="_Toc414977577"/>
      <w:bookmarkStart w:id="56" w:name="_Toc417973153"/>
      <w:r w:rsidRPr="00112BF8">
        <w:t>Service target performance incentive scheme (STPIS)</w:t>
      </w:r>
      <w:bookmarkEnd w:id="54"/>
      <w:bookmarkEnd w:id="55"/>
      <w:bookmarkEnd w:id="56"/>
    </w:p>
    <w:p w:rsidR="006E5A4D" w:rsidRPr="006E5A4D" w:rsidRDefault="006E5A4D" w:rsidP="006E5A4D">
      <w:pPr>
        <w:numPr>
          <w:ilvl w:val="0"/>
          <w:numId w:val="25"/>
        </w:numPr>
      </w:pPr>
      <w:r w:rsidRPr="006E5A4D">
        <w:t xml:space="preserve">We will apply the s-factor component of our national STPIS to </w:t>
      </w:r>
      <w:r>
        <w:t>Energex</w:t>
      </w:r>
      <w:r w:rsidRPr="006E5A4D">
        <w:t xml:space="preserve"> for the 2015–</w:t>
      </w:r>
      <w:r>
        <w:t>20</w:t>
      </w:r>
      <w:r w:rsidRPr="006E5A4D">
        <w:t xml:space="preserve"> regulatory control period. We will not apply the </w:t>
      </w:r>
      <w:r w:rsidR="00687F34">
        <w:t>guarantee service level (</w:t>
      </w:r>
      <w:r w:rsidRPr="006E5A4D">
        <w:t>GSL</w:t>
      </w:r>
      <w:r w:rsidR="00687F34">
        <w:t>)</w:t>
      </w:r>
      <w:r w:rsidRPr="006E5A4D">
        <w:t xml:space="preserve"> component to </w:t>
      </w:r>
      <w:r>
        <w:t>Energex</w:t>
      </w:r>
      <w:r w:rsidRPr="006E5A4D">
        <w:t xml:space="preserve"> as the existing </w:t>
      </w:r>
      <w:r w:rsidR="00687F34">
        <w:t>Queensland</w:t>
      </w:r>
      <w:r w:rsidRPr="006E5A4D">
        <w:t xml:space="preserve"> arrangements will continue to apply.</w:t>
      </w:r>
      <w:r>
        <w:t xml:space="preserve"> </w:t>
      </w:r>
      <w:r w:rsidRPr="006E5A4D">
        <w:t xml:space="preserve">We have accepted Energex's proposal to cap revenue at risk under the scheme at ±2 per cent. </w:t>
      </w:r>
    </w:p>
    <w:p w:rsidR="006E5A4D" w:rsidRPr="006E5A4D" w:rsidRDefault="006E5A4D" w:rsidP="006E5A4D">
      <w:pPr>
        <w:numPr>
          <w:ilvl w:val="0"/>
          <w:numId w:val="25"/>
        </w:numPr>
        <w:rPr>
          <w:rStyle w:val="AERbody"/>
        </w:rPr>
      </w:pPr>
      <w:r w:rsidRPr="006E5A4D">
        <w:t>The national STPIS is intended to balance the incentives to reduce expenditure with the need to maintain or improve service quality. It achieves this by providing financial incentives to distributors to maintain and improve service performance (where customers are willing to pay for these improvements).</w:t>
      </w:r>
      <w:r w:rsidRPr="006E5A4D">
        <w:rPr>
          <w:rStyle w:val="FootnoteReference"/>
        </w:rPr>
        <w:footnoteReference w:id="49"/>
      </w:r>
      <w:r w:rsidRPr="006E5A4D">
        <w:t xml:space="preserve"> Hence, t</w:t>
      </w:r>
      <w:r w:rsidRPr="006E5A4D">
        <w:rPr>
          <w:rStyle w:val="AERbody"/>
        </w:rPr>
        <w:t xml:space="preserve">he STPIS also provides an incentive for distributors to invest in further reliability improvements (via additional capex or opex) where customers are willing to pay for it. Conversely, the STPIS penalises distributors where they let reliability deteriorate. Importantly, the distributor will only receive a financial reward after actual improvements are delivered to the customers. </w:t>
      </w:r>
    </w:p>
    <w:p w:rsidR="006E5A4D" w:rsidRPr="006E5A4D" w:rsidRDefault="006E5A4D" w:rsidP="006E5A4D">
      <w:pPr>
        <w:rPr>
          <w:rStyle w:val="AERbody"/>
        </w:rPr>
      </w:pPr>
      <w:r w:rsidRPr="006E5A4D">
        <w:rPr>
          <w:rStyle w:val="AERbody"/>
        </w:rPr>
        <w:t>In conjunction with CESS, the STPIS will ensure that:</w:t>
      </w:r>
    </w:p>
    <w:p w:rsidR="006E5A4D" w:rsidRPr="006E5A4D" w:rsidRDefault="006E5A4D" w:rsidP="006E5A4D">
      <w:pPr>
        <w:pStyle w:val="AERbulletlistfirststyle"/>
        <w:rPr>
          <w:rStyle w:val="AERbody"/>
        </w:rPr>
      </w:pPr>
      <w:r w:rsidRPr="006E5A4D">
        <w:rPr>
          <w:rStyle w:val="AERbody"/>
        </w:rPr>
        <w:t>any additional investments to improve reliability are based on prudent economic decisions</w:t>
      </w:r>
    </w:p>
    <w:p w:rsidR="006E5A4D" w:rsidRPr="006E5A4D" w:rsidRDefault="006E5A4D" w:rsidP="006E5A4D">
      <w:pPr>
        <w:pStyle w:val="AERbulletlistfirststyle"/>
        <w:rPr>
          <w:rStyle w:val="AERbody"/>
        </w:rPr>
      </w:pPr>
      <w:r w:rsidRPr="006E5A4D">
        <w:rPr>
          <w:rStyle w:val="AERbody"/>
        </w:rPr>
        <w:t>reductions in capex are achieved efficiently, rather than at the expense of service levels to customers.</w:t>
      </w:r>
    </w:p>
    <w:p w:rsidR="006E5A4D" w:rsidRPr="006E5A4D" w:rsidRDefault="006E5A4D" w:rsidP="006E5A4D">
      <w:pPr>
        <w:numPr>
          <w:ilvl w:val="0"/>
          <w:numId w:val="25"/>
        </w:numPr>
      </w:pPr>
      <w:r w:rsidRPr="006E5A4D">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EF223E" w:rsidRDefault="00EF223E" w:rsidP="006E5A4D">
      <w:pPr>
        <w:numPr>
          <w:ilvl w:val="0"/>
          <w:numId w:val="25"/>
        </w:numPr>
        <w:rPr>
          <w:rStyle w:val="AERbody"/>
        </w:rPr>
      </w:pPr>
      <w:r>
        <w:rPr>
          <w:rStyle w:val="AERbody"/>
        </w:rPr>
        <w:t xml:space="preserve">Attachment 11 sets out our preliminary decision on Energex's service component parameter values. </w:t>
      </w:r>
    </w:p>
    <w:p w:rsidR="00464DE5" w:rsidRPr="00112BF8" w:rsidRDefault="00464DE5" w:rsidP="00464DE5">
      <w:pPr>
        <w:pStyle w:val="Heading3"/>
      </w:pPr>
      <w:bookmarkStart w:id="57" w:name="_Toc414891245"/>
      <w:bookmarkStart w:id="58" w:name="_Toc414977580"/>
      <w:bookmarkStart w:id="59" w:name="_Toc417973154"/>
      <w:r w:rsidRPr="00112BF8">
        <w:t>Demand management incentive scheme</w:t>
      </w:r>
      <w:bookmarkEnd w:id="57"/>
      <w:bookmarkEnd w:id="58"/>
      <w:bookmarkEnd w:id="59"/>
    </w:p>
    <w:p w:rsidR="00464DE5" w:rsidRPr="00112BF8" w:rsidRDefault="00464DE5" w:rsidP="00464DE5">
      <w:pPr>
        <w:numPr>
          <w:ilvl w:val="0"/>
          <w:numId w:val="25"/>
        </w:numPr>
      </w:pPr>
      <w:r w:rsidRPr="00112BF8">
        <w:t>The demand management incentive scheme (DMIS) includes a demand management innovation allowance (DMIA). The DMIA is a capped allowance for distributors to investigate and conduct broad based and/or peak demand management projects.</w:t>
      </w:r>
    </w:p>
    <w:p w:rsidR="00464DE5" w:rsidRDefault="00464DE5" w:rsidP="00464DE5">
      <w:r w:rsidRPr="00112BF8">
        <w:t xml:space="preserve">We have determined to continue Part A of the Demand Management Innovation Allowance (DMIA) </w:t>
      </w:r>
      <w:r>
        <w:t>to</w:t>
      </w:r>
      <w:r w:rsidRPr="00854231">
        <w:t xml:space="preserve"> Energex</w:t>
      </w:r>
      <w:r>
        <w:t xml:space="preserve"> in the 2015–20</w:t>
      </w:r>
      <w:r w:rsidRPr="00112BF8">
        <w:t xml:space="preserve"> regulatory control period. This is consistent with our proposed approach in </w:t>
      </w:r>
      <w:r w:rsidR="00687F34">
        <w:t xml:space="preserve">the </w:t>
      </w:r>
      <w:r w:rsidRPr="00112BF8">
        <w:t xml:space="preserve">final F&amp;A. </w:t>
      </w:r>
    </w:p>
    <w:p w:rsidR="00464DE5" w:rsidRDefault="00D014AE" w:rsidP="00464DE5">
      <w:r>
        <w:t xml:space="preserve">Energex will continue to be able to recover an </w:t>
      </w:r>
      <w:r w:rsidRPr="00112BF8">
        <w:t xml:space="preserve">amount of $1 million ($2014-15) per annum in the 2015–20 regulatory </w:t>
      </w:r>
      <w:r>
        <w:t xml:space="preserve">control </w:t>
      </w:r>
      <w:r w:rsidRPr="00112BF8">
        <w:t>period</w:t>
      </w:r>
      <w:r>
        <w:t xml:space="preserve"> for innovation</w:t>
      </w:r>
      <w:r w:rsidRPr="00112BF8">
        <w:t>.</w:t>
      </w:r>
    </w:p>
    <w:p w:rsidR="009761DD" w:rsidRDefault="009761DD" w:rsidP="009761DD">
      <w:pPr>
        <w:pStyle w:val="Heading1"/>
      </w:pPr>
      <w:bookmarkStart w:id="60" w:name="_Toc417973155"/>
      <w:r w:rsidRPr="008F3A0D">
        <w:t>Regulatory framework</w:t>
      </w:r>
      <w:bookmarkEnd w:id="60"/>
    </w:p>
    <w:p w:rsidR="00201F77" w:rsidRDefault="00201F77" w:rsidP="00201F77">
      <w:pPr>
        <w:numPr>
          <w:ilvl w:val="0"/>
          <w:numId w:val="25"/>
        </w:numPr>
      </w:pPr>
      <w:r w:rsidRPr="006C7462">
        <w:t xml:space="preserve">The NEL and the NER provide the </w:t>
      </w:r>
      <w:r>
        <w:t>regulatory</w:t>
      </w:r>
      <w:r w:rsidRPr="006C7462">
        <w:t xml:space="preserve"> framework under which we operate. </w:t>
      </w:r>
      <w:r>
        <w:t xml:space="preserve">These set out how we must assess a regulatory proposal and make our </w:t>
      </w:r>
      <w:r w:rsidR="00687F34">
        <w:t xml:space="preserve">preliminary </w:t>
      </w:r>
      <w:r>
        <w:t>decision. In this section we set out some key aspects of this framework.</w:t>
      </w:r>
    </w:p>
    <w:p w:rsidR="00201F77" w:rsidRPr="006C7462" w:rsidRDefault="00201F77" w:rsidP="00201F77">
      <w:pPr>
        <w:numPr>
          <w:ilvl w:val="0"/>
          <w:numId w:val="25"/>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p>
    <w:p w:rsidR="00201F77" w:rsidRPr="006C7462" w:rsidRDefault="00201F77" w:rsidP="00201F77">
      <w:pPr>
        <w:pStyle w:val="AERquote"/>
      </w:pPr>
      <w:r w:rsidRPr="006C7462">
        <w:t>price, quality, safety, reliability and security of supply of electricity; and</w:t>
      </w:r>
    </w:p>
    <w:p w:rsidR="00201F77" w:rsidRPr="006C7462" w:rsidRDefault="00201F77" w:rsidP="00201F77">
      <w:pPr>
        <w:pStyle w:val="AERquote"/>
      </w:pPr>
      <w:r w:rsidRPr="006C7462">
        <w:t>the reliability, safety and security of the national electricity system.</w:t>
      </w:r>
      <w:r w:rsidRPr="006C7462">
        <w:rPr>
          <w:rStyle w:val="FootnoteReference"/>
        </w:rPr>
        <w:footnoteReference w:id="50"/>
      </w:r>
      <w:r w:rsidRPr="006C7462">
        <w:t xml:space="preserve">  </w:t>
      </w:r>
    </w:p>
    <w:p w:rsidR="00201F77" w:rsidRPr="003B504B" w:rsidRDefault="00201F77" w:rsidP="00201F77">
      <w:r w:rsidRPr="006C7462">
        <w:t>The NEL also includes the revenue and pricing principles (RPP), which support the NEO.</w:t>
      </w:r>
      <w:r w:rsidRPr="006C7462">
        <w:rPr>
          <w:rStyle w:val="FootnoteReference"/>
        </w:rPr>
        <w:footnoteReference w:id="51"/>
      </w:r>
      <w:r w:rsidRPr="006C7462">
        <w:t xml:space="preserve"> As the NEL requires,</w:t>
      </w:r>
      <w:r w:rsidRPr="006C7462">
        <w:rPr>
          <w:rStyle w:val="FootnoteReference"/>
        </w:rPr>
        <w:footnoteReference w:id="52"/>
      </w:r>
      <w:r w:rsidRPr="006C7462">
        <w:t xml:space="preserve"> we have taken the RPPs into account throughout our analysis. The RPPs are: </w:t>
      </w:r>
    </w:p>
    <w:p w:rsidR="00201F77" w:rsidRPr="00AF78C7" w:rsidRDefault="00201F77" w:rsidP="00201F77">
      <w:pPr>
        <w:pStyle w:val="AERquote"/>
      </w:pPr>
      <w:bookmarkStart w:id="61" w:name="id3d9e0c67_2587_487c_84b5_232488295210_a"/>
      <w:r w:rsidRPr="00AF78C7">
        <w:t>A regulated network service provider should be provided with a reasonable opportunity to recover at least the efficient costs the operator incurs in—</w:t>
      </w:r>
      <w:bookmarkEnd w:id="61"/>
    </w:p>
    <w:p w:rsidR="00201F77" w:rsidRPr="00AF78C7" w:rsidRDefault="00201F77" w:rsidP="00201F77">
      <w:pPr>
        <w:pStyle w:val="AERquotebullet1"/>
      </w:pPr>
      <w:r w:rsidRPr="00AF78C7">
        <w:t>providing direct control network services; and</w:t>
      </w:r>
    </w:p>
    <w:p w:rsidR="00201F77" w:rsidRPr="00AF78C7" w:rsidRDefault="00201F77" w:rsidP="00201F77">
      <w:pPr>
        <w:pStyle w:val="AERquotebullet1"/>
      </w:pPr>
      <w:bookmarkStart w:id="62" w:name="id39d95c28_3773_4662_b32f_fead85a8dc26_0"/>
      <w:r w:rsidRPr="00AF78C7">
        <w:t>complying with a regulatory obligation or requirement or making a regulatory payment.</w:t>
      </w:r>
      <w:bookmarkEnd w:id="62"/>
    </w:p>
    <w:p w:rsidR="00201F77" w:rsidRPr="00AF78C7" w:rsidRDefault="00201F77" w:rsidP="00201F77">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201F77" w:rsidRPr="00AF78C7" w:rsidRDefault="00201F77" w:rsidP="00201F77">
      <w:pPr>
        <w:pStyle w:val="AERquotebullet1"/>
      </w:pPr>
      <w:r w:rsidRPr="00AF78C7">
        <w:t>efficient investment in a distribution system or transmission system with which the operator provides direct control network services; and</w:t>
      </w:r>
    </w:p>
    <w:p w:rsidR="00201F77" w:rsidRPr="003B504B" w:rsidRDefault="00201F77" w:rsidP="00201F77">
      <w:pPr>
        <w:pStyle w:val="AERquotebullet1"/>
      </w:pPr>
      <w:r w:rsidRPr="00AF78C7">
        <w:t>the efficient provision of electricity network services; and</w:t>
      </w:r>
    </w:p>
    <w:p w:rsidR="00201F77" w:rsidRPr="00AF78C7" w:rsidRDefault="00201F77" w:rsidP="00201F77">
      <w:pPr>
        <w:pStyle w:val="AERquotebullet1"/>
      </w:pPr>
      <w:r w:rsidRPr="00AF78C7">
        <w:t>the efficient use of the distribution system or transmission system with which the operator provides direct control network services.</w:t>
      </w:r>
    </w:p>
    <w:p w:rsidR="00201F77" w:rsidRPr="00AF78C7" w:rsidRDefault="00201F77" w:rsidP="00201F77">
      <w:pPr>
        <w:pStyle w:val="AERquote"/>
      </w:pPr>
      <w:r w:rsidRPr="00AF78C7">
        <w:t>Regard should be had to the regulatory asset base with respect to a distribution system or transmission system adopted—</w:t>
      </w:r>
    </w:p>
    <w:p w:rsidR="00201F77" w:rsidRPr="00AF78C7" w:rsidRDefault="00201F77" w:rsidP="00201F77">
      <w:pPr>
        <w:pStyle w:val="AERquotebullet1"/>
      </w:pPr>
      <w:r w:rsidRPr="00AF78C7">
        <w:t>in any previous—</w:t>
      </w:r>
    </w:p>
    <w:p w:rsidR="00201F77" w:rsidRPr="00AF78C7" w:rsidRDefault="00201F77" w:rsidP="001A5A80">
      <w:pPr>
        <w:pStyle w:val="AERquotebullet1"/>
        <w:numPr>
          <w:ilvl w:val="1"/>
          <w:numId w:val="23"/>
        </w:numPr>
      </w:pPr>
      <w:r w:rsidRPr="00AF78C7">
        <w:t>as the case requires, distribution determination or transmission determination; or</w:t>
      </w:r>
    </w:p>
    <w:p w:rsidR="00201F77" w:rsidRPr="00AF78C7" w:rsidRDefault="00201F77" w:rsidP="001A5A80">
      <w:pPr>
        <w:pStyle w:val="AERquotebullet1"/>
        <w:numPr>
          <w:ilvl w:val="1"/>
          <w:numId w:val="23"/>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201F77" w:rsidRPr="00AF78C7" w:rsidRDefault="00201F77" w:rsidP="00201F77">
      <w:pPr>
        <w:pStyle w:val="AERquotebullet1"/>
      </w:pPr>
      <w:r w:rsidRPr="00AF78C7">
        <w:t>in the Rules.</w:t>
      </w:r>
    </w:p>
    <w:p w:rsidR="00201F77" w:rsidRPr="00AF78C7" w:rsidRDefault="00201F77" w:rsidP="00201F77">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201F77" w:rsidRPr="00AF78C7" w:rsidRDefault="00201F77" w:rsidP="00201F77">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201F77" w:rsidRDefault="00201F77" w:rsidP="00201F77">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201F77" w:rsidRDefault="009652BA" w:rsidP="00201F77">
      <w:pPr>
        <w:numPr>
          <w:ilvl w:val="0"/>
          <w:numId w:val="25"/>
        </w:numPr>
      </w:pPr>
      <w:r>
        <w:t>Consistent with Energy Ministers' views, we set</w:t>
      </w:r>
      <w:r w:rsidR="00687F34">
        <w:t xml:space="preserve"> </w:t>
      </w:r>
      <w:r>
        <w:t xml:space="preserve">revenue </w:t>
      </w:r>
      <w:r w:rsidR="00D54AC1">
        <w:t>allowances</w:t>
      </w:r>
      <w:r w:rsidR="00687F34">
        <w:t xml:space="preserve"> to </w:t>
      </w:r>
      <w:r>
        <w:t>balance all element of the NEO and consider each of the RPPs are equally vital.</w:t>
      </w:r>
      <w:r w:rsidR="00201F77">
        <w:rPr>
          <w:rStyle w:val="FootnoteReference"/>
        </w:rPr>
        <w:footnoteReference w:id="53"/>
      </w:r>
      <w:r w:rsidR="00201F77">
        <w:t xml:space="preserve"> </w:t>
      </w:r>
    </w:p>
    <w:p w:rsidR="00201F77" w:rsidRDefault="00201F77" w:rsidP="00201F77">
      <w:pPr>
        <w:numPr>
          <w:ilvl w:val="0"/>
          <w:numId w:val="25"/>
        </w:numPr>
      </w:pPr>
      <w:r>
        <w:t>C</w:t>
      </w:r>
      <w:r w:rsidRPr="00892ECD">
        <w:t xml:space="preserve">hapter 6 of the NER provides </w:t>
      </w:r>
      <w:r>
        <w:t xml:space="preserve">specifically for the </w:t>
      </w:r>
      <w:r w:rsidRPr="00892ECD">
        <w:t>economic regulation of distributors</w:t>
      </w:r>
      <w:r>
        <w:t>. It includes detailed rules about the constituent components of our decisions. These are intended to contribute to the achievement of the NEO.</w:t>
      </w:r>
      <w:r>
        <w:rPr>
          <w:rStyle w:val="FootnoteReference"/>
        </w:rPr>
        <w:footnoteReference w:id="54"/>
      </w:r>
      <w:r>
        <w:t xml:space="preserve"> The AEMC has made clear that, in relation to key aspects of revenue, the rules guide the AER</w:t>
      </w:r>
      <w:r w:rsidR="00174D8E">
        <w:t>, but</w:t>
      </w:r>
      <w:r>
        <w:t xml:space="preserve"> do not dictate any specific regulatory outcome.</w:t>
      </w:r>
      <w:r>
        <w:rPr>
          <w:rStyle w:val="FootnoteReference"/>
        </w:rPr>
        <w:footnoteReference w:id="55"/>
      </w:r>
      <w:r>
        <w:t xml:space="preserve"> For example, the AEMC has said:</w:t>
      </w:r>
    </w:p>
    <w:p w:rsidR="00201F77" w:rsidRPr="00E25951" w:rsidRDefault="00201F77" w:rsidP="00201F77">
      <w:pPr>
        <w:pStyle w:val="AERquote"/>
      </w:pPr>
      <w:r w:rsidRPr="00E25951">
        <w:t>Some stakeholders appear to have understood the objectives as imposing on the regulator a requirement and that failure to comply with this would mean the regulator is in breach of the rules. This is not the case. Although the language of an obligation is used in some objectives, it is not necessarily expected that the substance of the objective will always be fully achieved, but rather the regulator should be striving to achieve the objective as fully as possible.</w:t>
      </w:r>
    </w:p>
    <w:p w:rsidR="00201F77" w:rsidRDefault="00201F77" w:rsidP="00201F77">
      <w:r>
        <w:t>Given this framework</w:t>
      </w:r>
      <w:r w:rsidRPr="00715EF7">
        <w:t>, we consider the NEO and how to achieve it throughout our decision making processes.</w:t>
      </w:r>
    </w:p>
    <w:p w:rsidR="00E105E6" w:rsidRDefault="00E105E6" w:rsidP="00201F77"/>
    <w:p w:rsidR="00201F77" w:rsidRPr="00201F77" w:rsidRDefault="00201F77" w:rsidP="00201F77">
      <w:pPr>
        <w:pStyle w:val="Heading2"/>
      </w:pPr>
      <w:bookmarkStart w:id="63" w:name="_Toc404154709"/>
      <w:bookmarkStart w:id="64" w:name="_Toc409422589"/>
      <w:bookmarkStart w:id="65" w:name="_Toc411428072"/>
      <w:bookmarkStart w:id="66" w:name="_Toc417973156"/>
      <w:bookmarkStart w:id="67" w:name="_Toc409422588"/>
      <w:bookmarkStart w:id="68" w:name="_Ref409431158"/>
      <w:bookmarkStart w:id="69" w:name="_Toc411428071"/>
      <w:bookmarkEnd w:id="63"/>
      <w:r w:rsidRPr="00352D7C">
        <w:t>Understanding</w:t>
      </w:r>
      <w:r w:rsidRPr="00201F77">
        <w:t xml:space="preserve"> the NEO</w:t>
      </w:r>
      <w:bookmarkEnd w:id="64"/>
      <w:bookmarkEnd w:id="65"/>
      <w:bookmarkEnd w:id="66"/>
    </w:p>
    <w:p w:rsidR="00201F77" w:rsidRPr="006C7462" w:rsidRDefault="00201F77" w:rsidP="00201F77">
      <w:r w:rsidRPr="006C7462">
        <w:t>Energy Ministers have provided us with</w:t>
      </w:r>
      <w:r w:rsidR="00687F34">
        <w:t xml:space="preserve"> a substantial body of explanatory material</w:t>
      </w:r>
      <w:r w:rsidRPr="006C7462">
        <w:t xml:space="preserve"> that guides our understanding of the NEO.</w:t>
      </w:r>
      <w:r w:rsidRPr="006C7462">
        <w:rPr>
          <w:rStyle w:val="FootnoteReference"/>
        </w:rPr>
        <w:footnoteReference w:id="56"/>
      </w:r>
      <w:r>
        <w:t xml:space="preserve"> </w:t>
      </w:r>
      <w:r w:rsidRPr="006C7462">
        <w:t>The long term interests of consumers are not delivered by any one of the NEO's factors in isolation, but rather by balancing them</w:t>
      </w:r>
      <w:r w:rsidR="00D906B3">
        <w:t xml:space="preserve"> in reaching a regulatory decision</w:t>
      </w:r>
      <w:r w:rsidRPr="006C7462">
        <w:t>.</w:t>
      </w:r>
      <w:r w:rsidRPr="006C7462">
        <w:rPr>
          <w:rStyle w:val="FootnoteReference"/>
        </w:rPr>
        <w:footnoteReference w:id="57"/>
      </w:r>
    </w:p>
    <w:p w:rsidR="00201F77" w:rsidRPr="006C7462" w:rsidRDefault="00201F77" w:rsidP="00201F77">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rsidR="00D906B3">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58"/>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201F77" w:rsidRPr="006C7462" w:rsidRDefault="00201F77" w:rsidP="00201F77">
      <w:r w:rsidRPr="006C7462">
        <w:t xml:space="preserve">However, in the energy networks industry the usual competitive disciplines do not </w:t>
      </w:r>
      <w:r w:rsidR="00A638CE">
        <w:t>apply</w:t>
      </w:r>
      <w:r w:rsidRPr="006C7462">
        <w:t xml:space="preserve">. </w:t>
      </w:r>
      <w:r w:rsidR="00A638CE">
        <w:t>D</w:t>
      </w:r>
      <w:r w:rsidRPr="006C7462">
        <w:t xml:space="preserve">istributors </w:t>
      </w:r>
      <w:r w:rsidR="00A638CE">
        <w:t xml:space="preserve">are largely natural monopolies. In addition, many </w:t>
      </w:r>
      <w:r w:rsidRPr="006C7462">
        <w:t>of the products they offer are essential services for most consumers. Consequently, in an uncompetitive environment, consumers have little choice but to accept the quality</w:t>
      </w:r>
      <w:r w:rsidR="00D906B3">
        <w:t xml:space="preserve">, reliability </w:t>
      </w:r>
      <w:r w:rsidRPr="006C7462">
        <w:t>and price the distributors offer.</w:t>
      </w:r>
    </w:p>
    <w:p w:rsidR="00201F77" w:rsidRPr="006C7462" w:rsidRDefault="00201F77" w:rsidP="00201F77">
      <w:r w:rsidRPr="006C7462">
        <w:t xml:space="preserve">The NEL and NER aim to remedy the absence of competition by </w:t>
      </w:r>
      <w:r>
        <w:t>providing that we</w:t>
      </w:r>
      <w:r w:rsidRPr="006C7462">
        <w:t xml:space="preserve">, as </w:t>
      </w:r>
      <w:r w:rsidR="00D54AC1">
        <w:t xml:space="preserve">the </w:t>
      </w:r>
      <w:r w:rsidRPr="006C7462">
        <w:t xml:space="preserve">regulator, make decisions that are in the long term interests of consumers. In particular, we might need to require the distributors to offer their services at a different price than they would choose themselves. By its nature, this process will involve exercising regulatory </w:t>
      </w:r>
      <w:r>
        <w:t>judgement</w:t>
      </w:r>
      <w:r w:rsidRPr="006C7462">
        <w:t xml:space="preserve"> to balance the NEO's various factors.</w:t>
      </w:r>
    </w:p>
    <w:p w:rsidR="00215265" w:rsidRDefault="00201F77" w:rsidP="00201F77">
      <w:r w:rsidRPr="006C7462">
        <w:t xml:space="preserve">It is important to recognise that there </w:t>
      </w:r>
      <w:r>
        <w:t xml:space="preserve">are a number of plausible outcomes </w:t>
      </w:r>
      <w:r w:rsidRPr="006C7462">
        <w:t xml:space="preserve">that </w:t>
      </w:r>
      <w:r>
        <w:t xml:space="preserve">may </w:t>
      </w:r>
      <w:r w:rsidRPr="006C7462">
        <w:t xml:space="preserve">contribute to the achievement of the NEO. The nature of decisions </w:t>
      </w:r>
      <w:r w:rsidR="00174D8E">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59"/>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60"/>
      </w:r>
      <w:r w:rsidRPr="006C7462">
        <w:t xml:space="preserve"> This could have significant longer term pricing implications for those consumers who continue to use network services. </w:t>
      </w:r>
    </w:p>
    <w:p w:rsidR="00201F77" w:rsidRDefault="00201F77" w:rsidP="00201F77">
      <w:r w:rsidRPr="006C7462">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w:t>
      </w:r>
      <w:r w:rsidR="00533FB7">
        <w:t xml:space="preserve">could </w:t>
      </w:r>
      <w:r w:rsidRPr="006C7462">
        <w:t>creat</w:t>
      </w:r>
      <w:r>
        <w:t>e</w:t>
      </w:r>
      <w:r w:rsidRPr="006C7462">
        <w:t xml:space="preserve"> longer term problems in the network</w:t>
      </w:r>
      <w:r w:rsidRPr="006C7462">
        <w:rPr>
          <w:rStyle w:val="FootnoteReference"/>
        </w:rPr>
        <w:footnoteReference w:id="61"/>
      </w:r>
      <w:r w:rsidRPr="006C7462">
        <w:t xml:space="preserve"> </w:t>
      </w:r>
      <w:r>
        <w:t>and</w:t>
      </w:r>
      <w:r w:rsidRPr="006C7462">
        <w:t xml:space="preserve"> </w:t>
      </w:r>
      <w:r w:rsidR="00533FB7">
        <w:t>could</w:t>
      </w:r>
      <w:r w:rsidRPr="006C7462">
        <w:t xml:space="preserve"> have adverse consequences for safety, security and reliability of the network. </w:t>
      </w:r>
    </w:p>
    <w:p w:rsidR="00201F77" w:rsidRPr="00201F77" w:rsidRDefault="002A0806" w:rsidP="00201F77">
      <w:pPr>
        <w:pStyle w:val="Heading2"/>
      </w:pPr>
      <w:bookmarkStart w:id="70" w:name="_Toc417973157"/>
      <w:bookmarkEnd w:id="67"/>
      <w:bookmarkEnd w:id="68"/>
      <w:bookmarkEnd w:id="69"/>
      <w:r>
        <w:t>The 2012 framework changes</w:t>
      </w:r>
      <w:bookmarkEnd w:id="70"/>
    </w:p>
    <w:p w:rsidR="00201F77" w:rsidRPr="006C7462" w:rsidRDefault="00201F77" w:rsidP="00201F77">
      <w:r w:rsidRPr="006C7462">
        <w:t xml:space="preserve">This is the first decision we have made </w:t>
      </w:r>
      <w:r w:rsidR="00D54AC1">
        <w:t xml:space="preserve">for Energex </w:t>
      </w:r>
      <w:r w:rsidRPr="006C7462">
        <w:t xml:space="preserve">following changes to the NEL and NER in 2012 and 2013. The NEL and NER were </w:t>
      </w:r>
      <w:r w:rsidR="00D906B3">
        <w:t>amended</w:t>
      </w:r>
      <w:r w:rsidRPr="006C7462">
        <w:t xml:space="preserve"> to provide greater emphasis on the NEO and greater discretion to us.</w:t>
      </w:r>
      <w:r w:rsidRPr="006C7462">
        <w:rPr>
          <w:rStyle w:val="FootnoteReference"/>
        </w:rPr>
        <w:footnoteReference w:id="62"/>
      </w:r>
      <w:r w:rsidRPr="006C7462">
        <w:t xml:space="preserve"> The amended NER allow</w:t>
      </w:r>
      <w:r w:rsidR="00533FB7">
        <w:t xml:space="preserve">, and the AEMC has </w:t>
      </w:r>
      <w:r w:rsidRPr="006C7462">
        <w:t>encourage</w:t>
      </w:r>
      <w:r w:rsidR="00533FB7">
        <w:t>d,</w:t>
      </w:r>
      <w:r w:rsidRPr="006C7462">
        <w:t xml:space="preserve"> us to approach decision making more holistically to meet overall objectives consistent with the NEO and RPPs.</w:t>
      </w:r>
      <w:r w:rsidRPr="006C7462">
        <w:rPr>
          <w:rStyle w:val="FootnoteReference"/>
        </w:rPr>
        <w:footnoteReference w:id="63"/>
      </w:r>
      <w:r w:rsidRPr="006C7462">
        <w:t xml:space="preserve"> </w:t>
      </w:r>
      <w:r w:rsidR="009652BA">
        <w:t>Also, one of the</w:t>
      </w:r>
      <w:r w:rsidR="00F74B90">
        <w:t xml:space="preserve"> purpose</w:t>
      </w:r>
      <w:r w:rsidR="009652BA">
        <w:t>s</w:t>
      </w:r>
      <w:r w:rsidR="00F74B90">
        <w:t xml:space="preserve"> of these changes was to give consumers a clearer and more prominent role in the decision making process</w:t>
      </w:r>
      <w:r w:rsidRPr="006C7462">
        <w:t>.</w:t>
      </w:r>
      <w:r w:rsidRPr="006C7462">
        <w:rPr>
          <w:rStyle w:val="FootnoteReference"/>
        </w:rPr>
        <w:footnoteReference w:id="64"/>
      </w:r>
    </w:p>
    <w:p w:rsidR="00F74B90" w:rsidRDefault="00201F77" w:rsidP="00201F77">
      <w:pPr>
        <w:numPr>
          <w:ilvl w:val="0"/>
          <w:numId w:val="25"/>
        </w:numPr>
      </w:pPr>
      <w:r w:rsidRPr="006C7462">
        <w:t xml:space="preserve">In 2013, the NEL was changed with similar aims in mind. </w:t>
      </w:r>
      <w:r w:rsidR="00F74B90">
        <w:t>The long term interests of consumers are a key focus of the changes</w:t>
      </w:r>
      <w:r w:rsidRPr="006C7462">
        <w:t>.</w:t>
      </w:r>
      <w:r w:rsidRPr="006C7462">
        <w:rPr>
          <w:rStyle w:val="FootnoteReference"/>
        </w:rPr>
        <w:footnoteReference w:id="65"/>
      </w:r>
      <w:r w:rsidRPr="006C7462">
        <w:t xml:space="preserve"> The changes also </w:t>
      </w:r>
      <w:r w:rsidR="00533FB7">
        <w:t>support analysing</w:t>
      </w:r>
      <w:r w:rsidRPr="006C7462">
        <w:t xml:space="preserve"> the decision </w:t>
      </w:r>
      <w:r w:rsidRPr="009400D3">
        <w:rPr>
          <w:rStyle w:val="AERtextitalic"/>
        </w:rPr>
        <w:t>as a whole</w:t>
      </w:r>
      <w:r w:rsidRPr="006C7462">
        <w:t xml:space="preserve"> in light of the NEO.</w:t>
      </w:r>
      <w:r w:rsidRPr="006C7462">
        <w:rPr>
          <w:rStyle w:val="FootnoteReference"/>
        </w:rPr>
        <w:footnoteReference w:id="66"/>
      </w:r>
      <w:r w:rsidRPr="006C7462">
        <w:t xml:space="preserve"> </w:t>
      </w:r>
    </w:p>
    <w:p w:rsidR="00201F77" w:rsidRDefault="00F74B90" w:rsidP="00717EFB">
      <w:pPr>
        <w:numPr>
          <w:ilvl w:val="0"/>
          <w:numId w:val="25"/>
        </w:numPr>
      </w:pPr>
      <w:r>
        <w:t>Specifically, th</w:t>
      </w:r>
      <w:r w:rsidR="00201F77" w:rsidRPr="00C362C1">
        <w:t>e NEL now requires us to specify how the constituent components of our decision relate to each other and how we have taken those interrelationships into account in making our decision.</w:t>
      </w:r>
      <w:r w:rsidR="00201F77">
        <w:rPr>
          <w:rStyle w:val="FootnoteReference"/>
        </w:rPr>
        <w:footnoteReference w:id="67"/>
      </w:r>
      <w:r w:rsidR="00201F77" w:rsidRPr="00C362C1">
        <w:t xml:space="preserve"> </w:t>
      </w:r>
      <w:r>
        <w:t xml:space="preserve">It </w:t>
      </w:r>
      <w:r w:rsidR="00201F77" w:rsidRPr="00C362C1">
        <w:t>also anticipates th</w:t>
      </w:r>
      <w:r>
        <w:t xml:space="preserve">e possibility of </w:t>
      </w:r>
      <w:r w:rsidR="00201F77" w:rsidRPr="00C362C1">
        <w:t>two or more decisions that will or are likely to contribute to the achievement of the NEO. It requires that, in those cases, we must make the decision we are satisfied will or is likely to contribute to the achievement of the NEO to the greatest degree.</w:t>
      </w:r>
      <w:r w:rsidR="00201F77">
        <w:rPr>
          <w:rStyle w:val="FootnoteReference"/>
        </w:rPr>
        <w:footnoteReference w:id="68"/>
      </w:r>
      <w:r w:rsidR="00201F77">
        <w:t xml:space="preserve"> </w:t>
      </w:r>
      <w:r w:rsidR="00215265">
        <w:t>The NER requires that we provide reasons for our decisions.</w:t>
      </w:r>
      <w:r w:rsidR="00215265">
        <w:rPr>
          <w:rStyle w:val="FootnoteReference"/>
        </w:rPr>
        <w:footnoteReference w:id="69"/>
      </w:r>
    </w:p>
    <w:p w:rsidR="00201F77" w:rsidRDefault="00717EFB" w:rsidP="00201F77">
      <w:r>
        <w:t>The NEL does not prescribe how we are to apply these overarching requirements and so in applying them, we have exercised our regulatory judgement. We have done so by</w:t>
      </w:r>
      <w:r w:rsidR="0051364F">
        <w:t xml:space="preserve"> </w:t>
      </w:r>
      <w:r>
        <w:t xml:space="preserve">determining </w:t>
      </w:r>
      <w:r w:rsidR="00201F77">
        <w:t xml:space="preserve">revenue in accordance with the detailed provisions in the NER. </w:t>
      </w:r>
      <w:r>
        <w:t xml:space="preserve">This assessment is in each of our attachments. As part of that assessment, and in accordance with the NEL requirements, we identify and assess </w:t>
      </w:r>
      <w:r w:rsidR="0051364F">
        <w:t>i</w:t>
      </w:r>
      <w:r>
        <w:t xml:space="preserve">nterrelationships between the constituent components of our preliminary decision. In the following sections, we explain our approach to evaluating these interrelationships and then set out how we assessed what will contribute to the achievement of the NEO to the greatest degree. Section 1 of this overview demonstrates how we have applied these approaches for this decision. </w:t>
      </w:r>
    </w:p>
    <w:p w:rsidR="00D54AC1" w:rsidRDefault="00D54AC1" w:rsidP="00D54AC1">
      <w:pPr>
        <w:pStyle w:val="ListParagraph"/>
        <w:numPr>
          <w:ilvl w:val="0"/>
          <w:numId w:val="25"/>
        </w:numPr>
      </w:pPr>
      <w:r w:rsidRPr="004579DA">
        <w:t xml:space="preserve">This preliminary decision is made </w:t>
      </w:r>
      <w:r>
        <w:t xml:space="preserve">under transitional rules made to allow for revenue determinations to be made across the National Electricity Market that apply the changes to the NEL and the NER described above. For distributors in Queensland and South Australia, this has involved the making of a 'preliminary decision which is revoked and substituted with a final decision (see sections 5.2.1 and 6 below for more detail), in lieu of the usual process of making draft and final decisions. </w:t>
      </w:r>
    </w:p>
    <w:p w:rsidR="00D54AC1" w:rsidRPr="004579DA" w:rsidRDefault="00D54AC1" w:rsidP="00D54AC1">
      <w:pPr>
        <w:pStyle w:val="ListParagraph"/>
        <w:numPr>
          <w:ilvl w:val="0"/>
          <w:numId w:val="25"/>
        </w:numPr>
      </w:pPr>
      <w:r>
        <w:t>Under the usual process, our draft decision has no effect on revenues or prices. In contrast, this preliminary decision will be used to determine prices for the first year of the regulatory control period. Any difference between the preliminary and final decisions will be accounted for by way of an adjustment to revenues in the balance of the regulatory control period (see section 5.2.1).</w:t>
      </w:r>
    </w:p>
    <w:p w:rsidR="00201F77" w:rsidRPr="00C362C1" w:rsidRDefault="00201F77" w:rsidP="00201F77">
      <w:pPr>
        <w:pStyle w:val="Heading3"/>
      </w:pPr>
      <w:bookmarkStart w:id="71" w:name="_Toc411428018"/>
      <w:bookmarkStart w:id="72" w:name="_Toc414891188"/>
      <w:bookmarkStart w:id="73" w:name="_Toc414977586"/>
      <w:bookmarkStart w:id="74" w:name="_Toc417973158"/>
      <w:r w:rsidRPr="00C362C1">
        <w:t>Interrelationships</w:t>
      </w:r>
      <w:bookmarkEnd w:id="71"/>
      <w:bookmarkEnd w:id="72"/>
      <w:bookmarkEnd w:id="73"/>
      <w:bookmarkEnd w:id="74"/>
      <w:r w:rsidRPr="00C362C1">
        <w:t xml:space="preserve"> </w:t>
      </w:r>
    </w:p>
    <w:p w:rsidR="00201F77" w:rsidRPr="00C362C1" w:rsidRDefault="00201F77" w:rsidP="00201F77">
      <w:r w:rsidRPr="00C362C1">
        <w:t xml:space="preserve">A distribution determination is a complex decision and must be considered as such. </w:t>
      </w:r>
      <w:r w:rsidR="00215265">
        <w:t>E</w:t>
      </w:r>
      <w:r w:rsidRPr="00C362C1">
        <w:t>xamining constituent components in isolation ignores the importance of these interrelationships</w:t>
      </w:r>
      <w:r w:rsidR="00785863">
        <w:t xml:space="preserve"> </w:t>
      </w:r>
      <w:r w:rsidR="00A638CE">
        <w:t xml:space="preserve">between the components </w:t>
      </w:r>
      <w:r w:rsidR="00785863">
        <w:t>and</w:t>
      </w:r>
      <w:r w:rsidRPr="00C362C1">
        <w:t xml:space="preserve"> would not contribute to the achievement of the NEO</w:t>
      </w:r>
      <w:r w:rsidR="00533FB7">
        <w:t xml:space="preserve">. </w:t>
      </w:r>
      <w:r w:rsidR="00215265">
        <w:t xml:space="preserve">As outlined by Energy </w:t>
      </w:r>
      <w:r w:rsidR="00533FB7">
        <w:t>Ministers</w:t>
      </w:r>
      <w:r w:rsidR="00215265">
        <w:t>,</w:t>
      </w:r>
      <w:r w:rsidR="00533FB7">
        <w:t xml:space="preserve"> consider</w:t>
      </w:r>
      <w:r w:rsidR="00215265">
        <w:t>ing the elements in isolation</w:t>
      </w:r>
      <w:r w:rsidR="00533FB7">
        <w:t xml:space="preserve"> </w:t>
      </w:r>
      <w:r w:rsidRPr="00C362C1">
        <w:t>has resulted in regulatory failures</w:t>
      </w:r>
      <w:r w:rsidR="00D906B3">
        <w:t xml:space="preserve"> in the past</w:t>
      </w:r>
      <w:r w:rsidRPr="00C362C1">
        <w:t>.</w:t>
      </w:r>
      <w:r>
        <w:rPr>
          <w:rStyle w:val="FootnoteReference"/>
        </w:rPr>
        <w:footnoteReference w:id="70"/>
      </w:r>
      <w:r w:rsidRPr="00C362C1">
        <w:t xml:space="preserve"> Interrelationships can take various forms, including:</w:t>
      </w:r>
    </w:p>
    <w:p w:rsidR="00201F77" w:rsidRPr="00C362C1" w:rsidRDefault="00201F77" w:rsidP="00201F77">
      <w:pPr>
        <w:pStyle w:val="AERbulletlistfirststyle"/>
      </w:pPr>
      <w:r w:rsidRPr="00C362C1">
        <w:t xml:space="preserve">underlying drivers and context which are likely to affect many constituent components of our decision. For example, forecast demand affects the efficient levels of capex and opex in the regulatory control period </w:t>
      </w:r>
      <w:r w:rsidR="00174D8E">
        <w:t>(see attachment 6)</w:t>
      </w:r>
      <w:r w:rsidRPr="00C362C1">
        <w:t>.</w:t>
      </w:r>
    </w:p>
    <w:p w:rsidR="00201F77" w:rsidRPr="00C362C1" w:rsidRDefault="00201F77" w:rsidP="00201F77">
      <w:pPr>
        <w:pStyle w:val="AERbulletlistfirststyle"/>
      </w:pPr>
      <w:r w:rsidRPr="00C362C1">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w:t>
      </w:r>
      <w:r w:rsidR="00174D8E">
        <w:t xml:space="preserve"> (see attachments 3, 4 and 8)</w:t>
      </w:r>
      <w:r w:rsidRPr="00C362C1">
        <w:t>.</w:t>
      </w:r>
    </w:p>
    <w:p w:rsidR="00201F77" w:rsidRPr="00C362C1" w:rsidRDefault="00201F77" w:rsidP="00201F77">
      <w:pPr>
        <w:pStyle w:val="AERbulletlistfirststyle"/>
      </w:pPr>
      <w:r w:rsidRPr="00C362C1">
        <w:t xml:space="preserve">trade-offs between different components of revenue. For example, undertaking a particular capex project may affect the need for opex </w:t>
      </w:r>
      <w:r w:rsidR="00D906B3">
        <w:t>or</w:t>
      </w:r>
      <w:r w:rsidRPr="00C362C1">
        <w:t xml:space="preserve"> vice versa</w:t>
      </w:r>
      <w:r w:rsidR="00174D8E">
        <w:t xml:space="preserve"> (see attachments 6 and 7)</w:t>
      </w:r>
      <w:r w:rsidRPr="00C362C1">
        <w:t>.</w:t>
      </w:r>
    </w:p>
    <w:p w:rsidR="00201F77" w:rsidRPr="00C362C1" w:rsidRDefault="00201F77" w:rsidP="00201F77">
      <w:pPr>
        <w:pStyle w:val="AERbulletlistfirststyle"/>
      </w:pPr>
      <w:r w:rsidRPr="00C362C1">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w:t>
      </w:r>
      <w:r w:rsidR="00174D8E">
        <w:t xml:space="preserve"> (see attachments 6 and 7)</w:t>
      </w:r>
      <w:r w:rsidRPr="00C362C1">
        <w:t>.</w:t>
      </w:r>
    </w:p>
    <w:p w:rsidR="00201F77" w:rsidRPr="00C362C1" w:rsidRDefault="00201F77" w:rsidP="00201F77">
      <w:pPr>
        <w:pStyle w:val="AERbulletlistfirststyle"/>
      </w:pPr>
      <w:r w:rsidRPr="00C362C1">
        <w:t>the distributor's</w:t>
      </w:r>
      <w:r w:rsidR="00687F34">
        <w:t xml:space="preserve"> </w:t>
      </w:r>
      <w:r w:rsidR="00A549C8">
        <w:t>approach</w:t>
      </w:r>
      <w:r w:rsidRPr="00C362C1">
        <w:t xml:space="preserve"> to managing its network. The distributor's governance arrangements and its approach to risk management will influence most aspects of the proposal, including capex/opex trade-offs</w:t>
      </w:r>
      <w:r w:rsidR="00174D8E">
        <w:t xml:space="preserve"> (see attachment 6)</w:t>
      </w:r>
      <w:r w:rsidRPr="00C362C1">
        <w:t>.</w:t>
      </w:r>
    </w:p>
    <w:p w:rsidR="00F2786E" w:rsidRPr="00F2786E" w:rsidRDefault="00D906B3" w:rsidP="00F2786E">
      <w:r>
        <w:t xml:space="preserve">We have considered </w:t>
      </w:r>
      <w:r w:rsidR="00F2786E" w:rsidRPr="00F2786E">
        <w:t>interrelationships</w:t>
      </w:r>
      <w:r w:rsidR="009652BA">
        <w:t>, including those above,</w:t>
      </w:r>
      <w:r w:rsidR="00F2786E" w:rsidRPr="00F2786E">
        <w:t xml:space="preserve"> </w:t>
      </w:r>
      <w:r>
        <w:t>in</w:t>
      </w:r>
      <w:r w:rsidR="00F2786E" w:rsidRPr="00F2786E">
        <w:t xml:space="preserve"> our analysis of the constituent components of our </w:t>
      </w:r>
      <w:r w:rsidR="00687F34">
        <w:t xml:space="preserve">preliminary </w:t>
      </w:r>
      <w:r w:rsidR="00F2786E" w:rsidRPr="00F2786E">
        <w:t xml:space="preserve">decision. </w:t>
      </w:r>
      <w:r w:rsidR="002A0806">
        <w:t>These considerations are explored in the relevant attachments.</w:t>
      </w:r>
    </w:p>
    <w:p w:rsidR="00201F77" w:rsidRPr="006C7462" w:rsidRDefault="00201F77" w:rsidP="00201F77"/>
    <w:p w:rsidR="00650825" w:rsidRPr="00650825" w:rsidRDefault="00650825" w:rsidP="00650825">
      <w:pPr>
        <w:pStyle w:val="Heading1"/>
      </w:pPr>
      <w:bookmarkStart w:id="75" w:name="_Toc411428073"/>
      <w:bookmarkStart w:id="76" w:name="_Ref411507049"/>
      <w:bookmarkStart w:id="77" w:name="_Toc417973159"/>
      <w:r>
        <w:t>Process</w:t>
      </w:r>
      <w:bookmarkEnd w:id="75"/>
      <w:bookmarkEnd w:id="76"/>
      <w:bookmarkEnd w:id="77"/>
    </w:p>
    <w:p w:rsidR="00650825" w:rsidRPr="00BE1F1B" w:rsidRDefault="00650825" w:rsidP="00650825">
      <w:r>
        <w:t xml:space="preserve">The NEL requires us to inform stakeholders of the material issues we are considering and to give them a reasonable opportunity to make submissions in respect of this </w:t>
      </w:r>
      <w:r w:rsidR="00687F34">
        <w:t xml:space="preserve">preliminary </w:t>
      </w:r>
      <w:r>
        <w:t>decision.</w:t>
      </w:r>
      <w:r>
        <w:rPr>
          <w:rStyle w:val="FootnoteReference"/>
        </w:rPr>
        <w:footnoteReference w:id="71"/>
      </w:r>
    </w:p>
    <w:p w:rsidR="00650825" w:rsidRPr="003B504B" w:rsidRDefault="00650825" w:rsidP="00650825">
      <w:r>
        <w:t xml:space="preserve">Below we set out the process we have followed </w:t>
      </w:r>
      <w:r w:rsidR="00A638CE">
        <w:t xml:space="preserve">leading up to </w:t>
      </w:r>
      <w:r w:rsidR="00B43C5F">
        <w:t>Energex</w:t>
      </w:r>
      <w:r w:rsidR="00A638CE">
        <w:t xml:space="preserve">'s submission of </w:t>
      </w:r>
      <w:r>
        <w:t xml:space="preserve">its regulatory proposal, to ensure that </w:t>
      </w:r>
      <w:r w:rsidRPr="003B504B">
        <w:t xml:space="preserve">we have </w:t>
      </w:r>
      <w:r>
        <w:t>fully taken into account all views.</w:t>
      </w:r>
      <w:r w:rsidRPr="003B504B">
        <w:t xml:space="preserve"> </w:t>
      </w:r>
    </w:p>
    <w:p w:rsidR="00650825" w:rsidRPr="00274C7E" w:rsidRDefault="00650825" w:rsidP="00650825">
      <w:pPr>
        <w:pStyle w:val="Heading2"/>
      </w:pPr>
      <w:bookmarkStart w:id="78" w:name="_Ref399959548"/>
      <w:bookmarkStart w:id="79" w:name="_Toc404437109"/>
      <w:bookmarkStart w:id="80" w:name="_Toc411428074"/>
      <w:bookmarkStart w:id="81" w:name="_Toc417973160"/>
      <w:r w:rsidRPr="00274C7E">
        <w:t>Better Regulation program</w:t>
      </w:r>
      <w:bookmarkEnd w:id="78"/>
      <w:bookmarkEnd w:id="79"/>
      <w:bookmarkEnd w:id="80"/>
      <w:bookmarkEnd w:id="81"/>
    </w:p>
    <w:p w:rsidR="00892912" w:rsidRDefault="00650825" w:rsidP="00650825">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72"/>
      </w:r>
      <w:r>
        <w:t xml:space="preserve"> The Better Regulation program was designed to be an inclusive process that provided an opportunity for all stakeholders to be engaged and provide their input.</w:t>
      </w:r>
      <w:r w:rsidRPr="00BF5C86">
        <w:rPr>
          <w:rStyle w:val="FootnoteReference"/>
        </w:rPr>
        <w:footnoteReference w:id="73"/>
      </w:r>
      <w:r>
        <w:t xml:space="preserve"> </w:t>
      </w:r>
    </w:p>
    <w:p w:rsidR="00650825" w:rsidRDefault="00892912" w:rsidP="00650825">
      <w:pPr>
        <w:numPr>
          <w:ilvl w:val="0"/>
          <w:numId w:val="25"/>
        </w:numPr>
      </w:pPr>
      <w:r>
        <w:t xml:space="preserve">The resulting </w:t>
      </w:r>
      <w:r w:rsidR="00497F95">
        <w:t>G</w:t>
      </w:r>
      <w:r>
        <w:t xml:space="preserve">uidelines support our decision making framework as </w:t>
      </w:r>
      <w:r w:rsidR="00687F34">
        <w:t xml:space="preserve">set </w:t>
      </w:r>
      <w:r>
        <w:t xml:space="preserve">out in section 16 of the NEL. </w:t>
      </w:r>
      <w:r w:rsidR="00650825">
        <w:t xml:space="preserve">Our consultation and engagement gives us confidence the approaches set out in the </w:t>
      </w:r>
      <w:r w:rsidR="00497F95">
        <w:t>G</w:t>
      </w:r>
      <w:r w:rsidR="00650825">
        <w:t>uidelines</w:t>
      </w:r>
      <w:r>
        <w:t>, which we have applied in this decision,</w:t>
      </w:r>
      <w:r w:rsidR="00650825">
        <w:t xml:space="preserve"> will result in decisions that will or are likely to contribute to the achievement of the NEO</w:t>
      </w:r>
      <w:r w:rsidR="00D54AC1">
        <w:t xml:space="preserve"> to the greatest degree</w:t>
      </w:r>
      <w:r w:rsidR="00B43C5F">
        <w:t>.</w:t>
      </w:r>
      <w:r w:rsidR="00650825">
        <w:t xml:space="preserve"> </w:t>
      </w:r>
      <w:r w:rsidR="00215265">
        <w:t>Our Better Regulation Guidelines are available on our website and include:</w:t>
      </w:r>
      <w:r w:rsidR="00215265">
        <w:rPr>
          <w:rStyle w:val="FootnoteReference"/>
        </w:rPr>
        <w:footnoteReference w:id="74"/>
      </w:r>
    </w:p>
    <w:p w:rsidR="00215265" w:rsidRDefault="00215265" w:rsidP="00CC5DB6">
      <w:pPr>
        <w:pStyle w:val="AERbulletlistfirststyle"/>
      </w:pPr>
      <w:r>
        <w:t>Expenditure Forecast Assessment Guideline</w:t>
      </w:r>
    </w:p>
    <w:p w:rsidR="00215265" w:rsidRDefault="00215265" w:rsidP="00CC5DB6">
      <w:pPr>
        <w:pStyle w:val="AERbulletlistfirststyle"/>
      </w:pPr>
      <w:r>
        <w:t>Expenditure Incentives Guideline</w:t>
      </w:r>
    </w:p>
    <w:p w:rsidR="00215265" w:rsidRDefault="00215265" w:rsidP="00CC5DB6">
      <w:pPr>
        <w:pStyle w:val="AERbulletlistfirststyle"/>
      </w:pPr>
      <w:r>
        <w:t>Rate of Return Guideline</w:t>
      </w:r>
    </w:p>
    <w:p w:rsidR="00215265" w:rsidRDefault="00215265" w:rsidP="00CC5DB6">
      <w:pPr>
        <w:pStyle w:val="AERbulletlistfirststyle"/>
      </w:pPr>
      <w:r>
        <w:t>Consumer Engagement Guideline for Network Service Providers</w:t>
      </w:r>
    </w:p>
    <w:p w:rsidR="00215265" w:rsidRDefault="00215265" w:rsidP="00CC5DB6">
      <w:pPr>
        <w:pStyle w:val="AERbulletlistfirststyle"/>
      </w:pPr>
      <w:r>
        <w:t>Shared Assets Guideline</w:t>
      </w:r>
    </w:p>
    <w:p w:rsidR="00215265" w:rsidRDefault="00215265" w:rsidP="00CC5DB6">
      <w:pPr>
        <w:pStyle w:val="AERbulletlistfirststyle"/>
      </w:pPr>
      <w:r>
        <w:t>Confidentiality Guideline.</w:t>
      </w:r>
    </w:p>
    <w:p w:rsidR="00650825" w:rsidRPr="00650825" w:rsidRDefault="00650825" w:rsidP="00650825">
      <w:pPr>
        <w:pStyle w:val="Heading2"/>
      </w:pPr>
      <w:bookmarkStart w:id="82" w:name="_Toc404437111"/>
      <w:bookmarkStart w:id="83" w:name="_Toc411428076"/>
      <w:bookmarkStart w:id="84" w:name="_Toc417973161"/>
      <w:r>
        <w:t>Our e</w:t>
      </w:r>
      <w:r w:rsidRPr="00650825">
        <w:t>ngagement</w:t>
      </w:r>
      <w:bookmarkEnd w:id="82"/>
      <w:r w:rsidRPr="00650825">
        <w:t xml:space="preserve"> during the decision making process</w:t>
      </w:r>
      <w:bookmarkEnd w:id="83"/>
      <w:bookmarkEnd w:id="84"/>
    </w:p>
    <w:p w:rsidR="00650825" w:rsidRDefault="00650825" w:rsidP="00650825">
      <w:pPr>
        <w:numPr>
          <w:ilvl w:val="0"/>
          <w:numId w:val="25"/>
        </w:numPr>
      </w:pPr>
      <w:r>
        <w:t>Effective consultation with stakeholders is essential to the performance of our regulatory functions. In summary, throughout the review process, we engaged with stakeholders by:</w:t>
      </w:r>
    </w:p>
    <w:p w:rsidR="00650825" w:rsidRPr="008F3A0D" w:rsidRDefault="00650825" w:rsidP="00650825">
      <w:pPr>
        <w:pStyle w:val="AERbulletlistfirststyle"/>
      </w:pPr>
      <w:r>
        <w:t xml:space="preserve">holding monthly meetings with </w:t>
      </w:r>
      <w:r w:rsidR="00B43C5F">
        <w:t>Energex</w:t>
      </w:r>
      <w:r>
        <w:t xml:space="preserve"> to discuss issues relevant to this decision. These meetings commence</w:t>
      </w:r>
      <w:r w:rsidRPr="008F3A0D">
        <w:t xml:space="preserve">d </w:t>
      </w:r>
      <w:r w:rsidR="00C960AF">
        <w:rPr>
          <w:rStyle w:val="AERbody"/>
        </w:rPr>
        <w:t xml:space="preserve">in May 2013 </w:t>
      </w:r>
      <w:r w:rsidRPr="008F3A0D">
        <w:t>to discuss the framework and approach. The meetings continued throughout our decision making process.</w:t>
      </w:r>
    </w:p>
    <w:p w:rsidR="00650825" w:rsidRPr="008F3A0D" w:rsidRDefault="00650825" w:rsidP="00650825">
      <w:pPr>
        <w:pStyle w:val="AERbulletlistfirststyle"/>
      </w:pPr>
      <w:r>
        <w:t>establishing the CCP</w:t>
      </w:r>
      <w:r w:rsidRPr="008F3A0D">
        <w:t xml:space="preserve"> to assist us to make better regulatory determinations by providing input on issues of importance to consumers</w:t>
      </w:r>
    </w:p>
    <w:p w:rsidR="00650825" w:rsidRPr="008F3A0D" w:rsidRDefault="00650825" w:rsidP="00650825">
      <w:pPr>
        <w:pStyle w:val="AERbulletlistfirststyle"/>
      </w:pPr>
      <w:r>
        <w:t xml:space="preserve">publishing an issues paper to help stakeholders engage with, and meaningfully respond to issues in </w:t>
      </w:r>
      <w:r w:rsidR="00B43C5F">
        <w:t>Energex's</w:t>
      </w:r>
      <w:r>
        <w:t xml:space="preserve"> regulatory proposal that we considered material to consumers</w:t>
      </w:r>
    </w:p>
    <w:p w:rsidR="00650825" w:rsidRPr="008F3A0D" w:rsidRDefault="00650825" w:rsidP="00650825">
      <w:pPr>
        <w:pStyle w:val="AERbulletlistfirststyle"/>
      </w:pPr>
      <w:r w:rsidRPr="00583AB7">
        <w:t xml:space="preserve">hosting a public forum in </w:t>
      </w:r>
      <w:r w:rsidR="00B43C5F">
        <w:t>Brisbane</w:t>
      </w:r>
      <w:r w:rsidRPr="00583AB7">
        <w:t xml:space="preserve"> on </w:t>
      </w:r>
      <w:r w:rsidR="00B43C5F">
        <w:t>9 December</w:t>
      </w:r>
      <w:r w:rsidRPr="00583AB7">
        <w:t xml:space="preserve"> 2014 so stakeholders could question the AER, the CCP and </w:t>
      </w:r>
      <w:r w:rsidR="00B43C5F">
        <w:t>Energex</w:t>
      </w:r>
      <w:r w:rsidRPr="00583AB7">
        <w:t xml:space="preserve"> on its regulatory proposal</w:t>
      </w:r>
    </w:p>
    <w:p w:rsidR="00650825" w:rsidRPr="008F3A0D" w:rsidRDefault="00650825" w:rsidP="00650825">
      <w:pPr>
        <w:pStyle w:val="AERbulletlistfirststyle"/>
      </w:pPr>
      <w:r>
        <w:t xml:space="preserve">having </w:t>
      </w:r>
      <w:r w:rsidR="00B43C5F">
        <w:t>Energex</w:t>
      </w:r>
      <w:r>
        <w:t xml:space="preserve"> present its</w:t>
      </w:r>
      <w:r w:rsidR="00687F34">
        <w:t xml:space="preserve"> regulatory</w:t>
      </w:r>
      <w:r>
        <w:t xml:space="preserve"> proposal to the AER Board </w:t>
      </w:r>
      <w:r w:rsidR="00C960AF">
        <w:t>on 16 January 2015</w:t>
      </w:r>
      <w:r w:rsidRPr="008F3A0D">
        <w:t>, so questions could be raised and key issues explained</w:t>
      </w:r>
    </w:p>
    <w:p w:rsidR="00650825" w:rsidRDefault="00650825" w:rsidP="00650825">
      <w:pPr>
        <w:pStyle w:val="AERbulletlistfirststyle"/>
        <w:rPr>
          <w:rStyle w:val="AERbody"/>
        </w:rPr>
      </w:pPr>
      <w:r>
        <w:t xml:space="preserve">having the </w:t>
      </w:r>
      <w:r w:rsidRPr="008F3A0D">
        <w:t xml:space="preserve">CCP present its advice in response to </w:t>
      </w:r>
      <w:r w:rsidR="00B43C5F">
        <w:t xml:space="preserve">Energex's </w:t>
      </w:r>
      <w:r w:rsidRPr="008F3A0D">
        <w:t xml:space="preserve">regulatory proposal to the AER Board on </w:t>
      </w:r>
      <w:r w:rsidR="00B43C5F">
        <w:rPr>
          <w:rStyle w:val="AERbody"/>
        </w:rPr>
        <w:t>6 February 2015</w:t>
      </w:r>
    </w:p>
    <w:p w:rsidR="00785863" w:rsidRPr="008F3A0D" w:rsidRDefault="00785863" w:rsidP="00785863">
      <w:pPr>
        <w:pStyle w:val="AERbulletlistfirststyle"/>
      </w:pPr>
      <w:r>
        <w:t xml:space="preserve">considering 39 submissions </w:t>
      </w:r>
      <w:r w:rsidRPr="008F3A0D">
        <w:t xml:space="preserve">on </w:t>
      </w:r>
      <w:r>
        <w:t>Energex's</w:t>
      </w:r>
      <w:r w:rsidRPr="008F3A0D">
        <w:t xml:space="preserve"> regulatory proposal</w:t>
      </w:r>
      <w:r>
        <w:t xml:space="preserve">. A list of all submissions is at appendix B. </w:t>
      </w:r>
    </w:p>
    <w:p w:rsidR="00650825" w:rsidRPr="008F3A0D" w:rsidRDefault="00650825" w:rsidP="00650825">
      <w:pPr>
        <w:pStyle w:val="AERbulletlistfirststyle"/>
      </w:pPr>
      <w:r>
        <w:t xml:space="preserve">convening </w:t>
      </w:r>
      <w:r w:rsidRPr="008F3A0D">
        <w:t>monthly meetings between the CCP and AER staff to discuss key issues</w:t>
      </w:r>
    </w:p>
    <w:p w:rsidR="00650825" w:rsidRPr="008F3A0D" w:rsidRDefault="00650825" w:rsidP="00650825">
      <w:pPr>
        <w:pStyle w:val="AERbulletlistfirststyle"/>
      </w:pPr>
      <w:r>
        <w:t>ongoing formal and informal jurisdictional consumer forums fro</w:t>
      </w:r>
      <w:r w:rsidR="009652BA">
        <w:t>m November 2013</w:t>
      </w:r>
    </w:p>
    <w:p w:rsidR="00650825" w:rsidRPr="008F3A0D" w:rsidRDefault="00650825" w:rsidP="00650825">
      <w:pPr>
        <w:pStyle w:val="AERbulletlistfirststyle"/>
      </w:pPr>
      <w:r>
        <w:rPr>
          <w:rStyle w:val="AERbody"/>
        </w:rPr>
        <w:t xml:space="preserve">consulting on benchmarking measures prepared by </w:t>
      </w:r>
      <w:r w:rsidRPr="008F3A0D">
        <w:rPr>
          <w:rStyle w:val="AERbody"/>
        </w:rPr>
        <w:t xml:space="preserve">us and Economic Insights, jointly relevant to the preparation of the annual benchmarking report and our assessment of </w:t>
      </w:r>
      <w:r w:rsidR="00525367">
        <w:rPr>
          <w:rStyle w:val="AERbody"/>
        </w:rPr>
        <w:t>Energex's</w:t>
      </w:r>
      <w:r w:rsidRPr="008F3A0D">
        <w:rPr>
          <w:rStyle w:val="AERbody"/>
        </w:rPr>
        <w:t xml:space="preserve"> regulatory proposal</w:t>
      </w:r>
    </w:p>
    <w:p w:rsidR="00650825" w:rsidRPr="002C6D16" w:rsidRDefault="00650825" w:rsidP="00717EFB">
      <w:pPr>
        <w:pStyle w:val="AERbulletlistfirststyle"/>
      </w:pPr>
      <w:r>
        <w:t xml:space="preserve">having ongoing discussions with </w:t>
      </w:r>
      <w:r w:rsidR="00525367">
        <w:t>Energex</w:t>
      </w:r>
      <w:r>
        <w:t xml:space="preserve"> about its regulatory proposal</w:t>
      </w:r>
      <w:r w:rsidRPr="008F3A0D">
        <w:t xml:space="preserve">. In particular, our consultants and AER staff met with </w:t>
      </w:r>
      <w:r w:rsidR="00525367">
        <w:t>Energex</w:t>
      </w:r>
      <w:r w:rsidRPr="008F3A0D">
        <w:t xml:space="preserve"> </w:t>
      </w:r>
      <w:r w:rsidRPr="00717EFB">
        <w:t xml:space="preserve">to </w:t>
      </w:r>
      <w:r w:rsidRPr="002C6D16">
        <w:t xml:space="preserve">discuss </w:t>
      </w:r>
      <w:r w:rsidR="00687F34">
        <w:t>opex, augex and repex</w:t>
      </w:r>
      <w:r w:rsidRPr="002C6D16">
        <w:t xml:space="preserve">. During this process, AER staff and our consultants </w:t>
      </w:r>
      <w:r w:rsidR="00525367" w:rsidRPr="002C6D16">
        <w:t xml:space="preserve">considered over </w:t>
      </w:r>
      <w:r w:rsidR="00717EFB">
        <w:t>50</w:t>
      </w:r>
      <w:r w:rsidR="00717EFB" w:rsidRPr="002C6D16">
        <w:t xml:space="preserve"> </w:t>
      </w:r>
      <w:r w:rsidRPr="002C6D16">
        <w:t xml:space="preserve">responses to information requested from </w:t>
      </w:r>
      <w:r w:rsidR="00525367" w:rsidRPr="002C6D16">
        <w:t>Energex</w:t>
      </w:r>
      <w:r w:rsidRPr="002C6D16">
        <w:t>.</w:t>
      </w:r>
    </w:p>
    <w:p w:rsidR="00C960AF" w:rsidRDefault="00C960AF" w:rsidP="00650825">
      <w:pPr>
        <w:pStyle w:val="AERbulletlistfirststyle"/>
        <w:rPr>
          <w:rStyle w:val="AERbody"/>
        </w:rPr>
      </w:pPr>
      <w:r>
        <w:rPr>
          <w:rStyle w:val="AERbody"/>
        </w:rPr>
        <w:t>releas</w:t>
      </w:r>
      <w:r w:rsidR="00785863">
        <w:rPr>
          <w:rStyle w:val="AERbody"/>
        </w:rPr>
        <w:t>ing</w:t>
      </w:r>
      <w:r>
        <w:rPr>
          <w:rStyle w:val="AERbody"/>
        </w:rPr>
        <w:t xml:space="preserve"> a brief consultation paper on recovering the residual metering capital costs through an alternative control service charge and considering </w:t>
      </w:r>
      <w:r w:rsidR="00DE0799">
        <w:rPr>
          <w:rStyle w:val="AERbody"/>
        </w:rPr>
        <w:t>19</w:t>
      </w:r>
      <w:r>
        <w:rPr>
          <w:rStyle w:val="AERbody"/>
        </w:rPr>
        <w:t xml:space="preserve"> submissions in response.  </w:t>
      </w:r>
    </w:p>
    <w:p w:rsidR="00650825" w:rsidRDefault="00650825" w:rsidP="00C960AF">
      <w:r w:rsidRPr="001767F0">
        <w:t xml:space="preserve">We </w:t>
      </w:r>
      <w:r>
        <w:t>i</w:t>
      </w:r>
      <w:r w:rsidRPr="001767F0">
        <w:t xml:space="preserve">nvestigated </w:t>
      </w:r>
      <w:r w:rsidR="00525367">
        <w:t>Energex's</w:t>
      </w:r>
      <w:r w:rsidRPr="001767F0">
        <w:t xml:space="preserve"> proposal by engaging with </w:t>
      </w:r>
      <w:r>
        <w:t xml:space="preserve">our consultants and visiting </w:t>
      </w:r>
      <w:r w:rsidR="00525367">
        <w:t>Energex</w:t>
      </w:r>
      <w:r>
        <w:t xml:space="preserve"> at its offices</w:t>
      </w:r>
      <w:r w:rsidRPr="001767F0">
        <w:t>. AER staff, including our technical advisors</w:t>
      </w:r>
      <w:r w:rsidR="00DE0799">
        <w:t xml:space="preserve"> and</w:t>
      </w:r>
      <w:r w:rsidRPr="001767F0">
        <w:t xml:space="preserve"> </w:t>
      </w:r>
      <w:r w:rsidR="009C07C2">
        <w:t>Energy Market Consulting associates (</w:t>
      </w:r>
      <w:r w:rsidRPr="001767F0">
        <w:t>EMCa</w:t>
      </w:r>
      <w:r w:rsidR="009C07C2">
        <w:t>)</w:t>
      </w:r>
      <w:r w:rsidRPr="001767F0">
        <w:t xml:space="preserve"> directly engaged with </w:t>
      </w:r>
      <w:r w:rsidR="00525367">
        <w:t>Energex</w:t>
      </w:r>
      <w:r>
        <w:t xml:space="preserve"> staff</w:t>
      </w:r>
      <w:r w:rsidRPr="001767F0">
        <w:t xml:space="preserve"> involved in developing and managing the network, and tested material and information which underpins </w:t>
      </w:r>
      <w:r>
        <w:t>its</w:t>
      </w:r>
      <w:r w:rsidRPr="001767F0">
        <w:t xml:space="preserve"> r</w:t>
      </w:r>
      <w:r w:rsidR="00687F34">
        <w:t>egulatory</w:t>
      </w:r>
      <w:r w:rsidRPr="001767F0">
        <w:t xml:space="preserve"> proposal</w:t>
      </w:r>
      <w:r>
        <w:t>.</w:t>
      </w:r>
    </w:p>
    <w:p w:rsidR="00687F34" w:rsidRDefault="00687F34" w:rsidP="00C960AF"/>
    <w:p w:rsidR="00687F34" w:rsidRDefault="00687F34" w:rsidP="00C960AF"/>
    <w:p w:rsidR="00687F34" w:rsidRDefault="00687F34" w:rsidP="00C960AF"/>
    <w:p w:rsidR="00687F34" w:rsidRDefault="00687F34" w:rsidP="00C960AF"/>
    <w:p w:rsidR="00687F34" w:rsidRDefault="00687F34" w:rsidP="00C960AF"/>
    <w:p w:rsidR="00A05DF7" w:rsidRPr="00687F34" w:rsidRDefault="00A05DF7" w:rsidP="00687F34">
      <w:pPr>
        <w:pStyle w:val="Heading3"/>
      </w:pPr>
      <w:bookmarkStart w:id="85" w:name="_Toc417973162"/>
      <w:r w:rsidRPr="00687F34">
        <w:t>Revocation and substitution of preliminary decision</w:t>
      </w:r>
      <w:bookmarkEnd w:id="85"/>
    </w:p>
    <w:p w:rsidR="00A05DF7" w:rsidRDefault="003A0E03" w:rsidP="00A05DF7">
      <w:r>
        <w:t>In November 2012, the AEMC introduced major changes to the economic regulation of electricity distributors under chapter 6 of the NER.</w:t>
      </w:r>
      <w:r>
        <w:rPr>
          <w:rStyle w:val="FootnoteReference"/>
        </w:rPr>
        <w:footnoteReference w:id="75"/>
      </w:r>
    </w:p>
    <w:p w:rsidR="003A0E03" w:rsidRDefault="0052789A" w:rsidP="00A05DF7">
      <w:r>
        <w:t xml:space="preserve">To allow consumers to </w:t>
      </w:r>
      <w:r w:rsidR="000F04A8">
        <w:t>receive</w:t>
      </w:r>
      <w:r>
        <w:t xml:space="preserve"> the benefit of the new rules the AEMC made transitional rules under chapter 11 of the NER. </w:t>
      </w:r>
      <w:r w:rsidR="007A18FD">
        <w:t>The NER provide that we will:</w:t>
      </w:r>
      <w:r w:rsidR="007A18FD">
        <w:rPr>
          <w:rStyle w:val="FootnoteReference"/>
        </w:rPr>
        <w:footnoteReference w:id="76"/>
      </w:r>
    </w:p>
    <w:p w:rsidR="007A18FD" w:rsidRDefault="007A18FD" w:rsidP="007A18FD">
      <w:pPr>
        <w:pStyle w:val="AERbulletlistfirststyle"/>
      </w:pPr>
      <w:r>
        <w:t>make a preliminary determination for the 2015</w:t>
      </w:r>
      <w:r>
        <w:rPr>
          <w:rFonts w:cs="Arial"/>
        </w:rPr>
        <w:t>−</w:t>
      </w:r>
      <w:r>
        <w:t>20 regulatory control period by 30 April 2015</w:t>
      </w:r>
    </w:p>
    <w:p w:rsidR="007A18FD" w:rsidRDefault="007A18FD" w:rsidP="007A18FD">
      <w:pPr>
        <w:pStyle w:val="AERbulletlistfirststyle"/>
      </w:pPr>
      <w:r>
        <w:t>use t</w:t>
      </w:r>
      <w:r w:rsidR="00C4309E">
        <w:t xml:space="preserve">he preliminary determination as a basis for approving </w:t>
      </w:r>
      <w:r>
        <w:t>prices for 1 July 2015 to 30 June 2016</w:t>
      </w:r>
    </w:p>
    <w:p w:rsidR="006F559A" w:rsidRDefault="006F559A" w:rsidP="006F559A">
      <w:pPr>
        <w:pStyle w:val="AERbulletlistfirststyle"/>
      </w:pPr>
      <w:r>
        <w:t>it will also set out how we will apply a revenue adjustment that will 'true up' Energex's revenue over the regulatory control period to account for any difference between the preliminary determination and the final decision affecting its revenue for the 2015</w:t>
      </w:r>
      <w:r>
        <w:rPr>
          <w:rFonts w:cs="Arial"/>
        </w:rPr>
        <w:t>−</w:t>
      </w:r>
      <w:r>
        <w:t xml:space="preserve">16 regulatory year. </w:t>
      </w:r>
    </w:p>
    <w:p w:rsidR="00C4309E" w:rsidRPr="00C4309E" w:rsidRDefault="00C4309E" w:rsidP="00C4309E">
      <w:r>
        <w:t>The true-up will be calculated using forecasts as actual data for 2014</w:t>
      </w:r>
      <w:r>
        <w:rPr>
          <w:rFonts w:cs="Arial"/>
        </w:rPr>
        <w:t>−</w:t>
      </w:r>
      <w:r>
        <w:t xml:space="preserve">15 </w:t>
      </w:r>
      <w:r w:rsidR="00687F34">
        <w:t xml:space="preserve">that </w:t>
      </w:r>
      <w:r>
        <w:t xml:space="preserve">will not be available when the final decision is published in October 2015. </w:t>
      </w:r>
    </w:p>
    <w:p w:rsidR="007A18FD" w:rsidRPr="007A18FD" w:rsidRDefault="007A18FD" w:rsidP="007A18FD"/>
    <w:p w:rsidR="00201F77" w:rsidRDefault="00B1183E" w:rsidP="00B1183E">
      <w:pPr>
        <w:pStyle w:val="Heading1"/>
      </w:pPr>
      <w:bookmarkStart w:id="86" w:name="_Toc417973163"/>
      <w:r>
        <w:t>Next steps</w:t>
      </w:r>
      <w:bookmarkEnd w:id="86"/>
    </w:p>
    <w:p w:rsidR="00B1183E" w:rsidRDefault="00737799" w:rsidP="00B1183E">
      <w:r>
        <w:t>At time of publishing this preliminary decision for the 2015</w:t>
      </w:r>
      <w:r>
        <w:rPr>
          <w:rFonts w:cs="Arial"/>
        </w:rPr>
        <w:t>−</w:t>
      </w:r>
      <w:r>
        <w:t>20 regulatory control period, the NER requires us to invite written submissions on the revocation and substitution of our preliminary decision</w:t>
      </w:r>
      <w:r w:rsidR="00C551F2">
        <w:t>.</w:t>
      </w:r>
      <w:r w:rsidR="00C551F2">
        <w:rPr>
          <w:rStyle w:val="FootnoteReference"/>
        </w:rPr>
        <w:footnoteReference w:id="77"/>
      </w:r>
      <w:r>
        <w:t xml:space="preserve"> </w:t>
      </w:r>
      <w:r w:rsidR="00C551F2">
        <w:t xml:space="preserve">This invitation is published on the AER website. </w:t>
      </w:r>
    </w:p>
    <w:p w:rsidR="00C551F2" w:rsidRDefault="00C551F2" w:rsidP="00B1183E">
      <w:r>
        <w:t>Any person may make a written submission to us on our preliminary decision including the revocation and substitution of our decision. The NER also allowed Energex to make a submission in the form of revisions to its regulatory proposal submitted in October 2014.</w:t>
      </w:r>
      <w:r>
        <w:rPr>
          <w:rStyle w:val="FootnoteReference"/>
        </w:rPr>
        <w:footnoteReference w:id="78"/>
      </w:r>
    </w:p>
    <w:p w:rsidR="00B1183E" w:rsidRDefault="00C551F2" w:rsidP="00B1183E">
      <w:r>
        <w:t>After considering submissions, including revisions that Energex may submit we must revoke our preliminary decision and substitute it with a final decision by 31 October 2015.</w:t>
      </w:r>
      <w:r>
        <w:rPr>
          <w:rStyle w:val="FootnoteReference"/>
        </w:rPr>
        <w:footnoteReference w:id="79"/>
      </w:r>
      <w:r>
        <w:t xml:space="preserve"> Key dates for our assessment process are set out in table </w:t>
      </w:r>
      <w:r w:rsidR="00155F61">
        <w:t>1</w:t>
      </w:r>
      <w:r w:rsidR="00880096">
        <w:t>1</w:t>
      </w:r>
      <w:r>
        <w:t xml:space="preserve"> below. </w:t>
      </w:r>
    </w:p>
    <w:p w:rsidR="00B1183E" w:rsidRDefault="00C551F2" w:rsidP="00C551F2">
      <w:pPr>
        <w:pStyle w:val="Caption"/>
      </w:pPr>
      <w:r>
        <w:t>Table</w:t>
      </w:r>
      <w:r w:rsidR="00155F61">
        <w:t xml:space="preserve"> 1</w:t>
      </w:r>
      <w:r w:rsidR="00880096">
        <w:t>1</w:t>
      </w:r>
      <w:r w:rsidR="00155F61">
        <w:t xml:space="preserve"> </w:t>
      </w:r>
      <w:r>
        <w:t>Key dates for our assessment process</w:t>
      </w:r>
    </w:p>
    <w:tbl>
      <w:tblPr>
        <w:tblStyle w:val="AERtable-text0"/>
        <w:tblW w:w="0" w:type="auto"/>
        <w:tblLook w:val="04A0" w:firstRow="1" w:lastRow="0" w:firstColumn="1" w:lastColumn="0" w:noHBand="0" w:noVBand="1"/>
      </w:tblPr>
      <w:tblGrid>
        <w:gridCol w:w="6487"/>
        <w:gridCol w:w="2206"/>
      </w:tblGrid>
      <w:tr w:rsidR="00C551F2" w:rsidTr="00760CB5">
        <w:trPr>
          <w:cnfStyle w:val="100000000000" w:firstRow="1" w:lastRow="0" w:firstColumn="0" w:lastColumn="0" w:oddVBand="0" w:evenVBand="0" w:oddHBand="0" w:evenHBand="0" w:firstRowFirstColumn="0" w:firstRowLastColumn="0" w:lastRowFirstColumn="0" w:lastRowLastColumn="0"/>
        </w:trPr>
        <w:tc>
          <w:tcPr>
            <w:tcW w:w="6487" w:type="dxa"/>
          </w:tcPr>
          <w:p w:rsidR="00C551F2" w:rsidRDefault="002B1A95" w:rsidP="00B1183E">
            <w:r>
              <w:t>Task</w:t>
            </w:r>
          </w:p>
        </w:tc>
        <w:tc>
          <w:tcPr>
            <w:tcW w:w="2206" w:type="dxa"/>
          </w:tcPr>
          <w:p w:rsidR="00C551F2" w:rsidRDefault="002B1A95" w:rsidP="00B1183E">
            <w:r>
              <w:t>Date</w:t>
            </w:r>
          </w:p>
        </w:tc>
      </w:tr>
      <w:tr w:rsidR="00C551F2" w:rsidTr="00760CB5">
        <w:tc>
          <w:tcPr>
            <w:tcW w:w="6487" w:type="dxa"/>
          </w:tcPr>
          <w:p w:rsidR="00C551F2" w:rsidRDefault="002B1A95" w:rsidP="00B1183E">
            <w:r>
              <w:t>Energex's regulatory proposal submitted to AER</w:t>
            </w:r>
          </w:p>
        </w:tc>
        <w:tc>
          <w:tcPr>
            <w:tcW w:w="2206" w:type="dxa"/>
          </w:tcPr>
          <w:p w:rsidR="00C551F2" w:rsidRDefault="00EF7A35" w:rsidP="00B1183E">
            <w:r>
              <w:t>30 October 2014</w:t>
            </w:r>
          </w:p>
        </w:tc>
      </w:tr>
      <w:tr w:rsidR="00C551F2" w:rsidTr="00760CB5">
        <w:trPr>
          <w:cnfStyle w:val="000000010000" w:firstRow="0" w:lastRow="0" w:firstColumn="0" w:lastColumn="0" w:oddVBand="0" w:evenVBand="0" w:oddHBand="0" w:evenHBand="1" w:firstRowFirstColumn="0" w:firstRowLastColumn="0" w:lastRowFirstColumn="0" w:lastRowLastColumn="0"/>
        </w:trPr>
        <w:tc>
          <w:tcPr>
            <w:tcW w:w="6487" w:type="dxa"/>
          </w:tcPr>
          <w:p w:rsidR="00C551F2" w:rsidRDefault="002B1A95" w:rsidP="00B1183E">
            <w:r>
              <w:t>Published Energex's regulatory proposal and supporting documents</w:t>
            </w:r>
          </w:p>
        </w:tc>
        <w:tc>
          <w:tcPr>
            <w:tcW w:w="2206" w:type="dxa"/>
          </w:tcPr>
          <w:p w:rsidR="00C551F2" w:rsidRDefault="00EF7A35" w:rsidP="00421F4A">
            <w:r>
              <w:t>1</w:t>
            </w:r>
            <w:r w:rsidR="00421F4A">
              <w:t>9</w:t>
            </w:r>
            <w:r>
              <w:t xml:space="preserve"> November 2014</w:t>
            </w:r>
          </w:p>
        </w:tc>
      </w:tr>
      <w:tr w:rsidR="00C551F2" w:rsidTr="00760CB5">
        <w:tc>
          <w:tcPr>
            <w:tcW w:w="6487" w:type="dxa"/>
          </w:tcPr>
          <w:p w:rsidR="00C551F2" w:rsidRDefault="002B1A95" w:rsidP="00B1183E">
            <w:r>
              <w:t>AER released Issues paper on Energex's regulatory proposal</w:t>
            </w:r>
          </w:p>
        </w:tc>
        <w:tc>
          <w:tcPr>
            <w:tcW w:w="2206" w:type="dxa"/>
          </w:tcPr>
          <w:p w:rsidR="00C551F2" w:rsidRDefault="00EF7A35" w:rsidP="00B1183E">
            <w:r>
              <w:t>5 December 2014</w:t>
            </w:r>
          </w:p>
        </w:tc>
      </w:tr>
      <w:tr w:rsidR="002B1A95" w:rsidTr="00760CB5">
        <w:trPr>
          <w:cnfStyle w:val="000000010000" w:firstRow="0" w:lastRow="0" w:firstColumn="0" w:lastColumn="0" w:oddVBand="0" w:evenVBand="0" w:oddHBand="0" w:evenHBand="1" w:firstRowFirstColumn="0" w:firstRowLastColumn="0" w:lastRowFirstColumn="0" w:lastRowLastColumn="0"/>
        </w:trPr>
        <w:tc>
          <w:tcPr>
            <w:tcW w:w="6487" w:type="dxa"/>
          </w:tcPr>
          <w:p w:rsidR="002B1A95" w:rsidRDefault="002B1A95" w:rsidP="00B1183E">
            <w:r>
              <w:t>AER public forum</w:t>
            </w:r>
          </w:p>
        </w:tc>
        <w:tc>
          <w:tcPr>
            <w:tcW w:w="2206" w:type="dxa"/>
          </w:tcPr>
          <w:p w:rsidR="002B1A95" w:rsidRDefault="00EF7A35" w:rsidP="00B1183E">
            <w:r>
              <w:t>9 December 2014</w:t>
            </w:r>
          </w:p>
        </w:tc>
      </w:tr>
      <w:tr w:rsidR="002B1A95" w:rsidTr="00760CB5">
        <w:tc>
          <w:tcPr>
            <w:tcW w:w="6487" w:type="dxa"/>
          </w:tcPr>
          <w:p w:rsidR="002B1A95" w:rsidRDefault="002B1A95" w:rsidP="00B1183E">
            <w:r>
              <w:t>Stakeholder submissions on regulatory proposal close</w:t>
            </w:r>
            <w:r w:rsidR="00EF7A35">
              <w:t>d</w:t>
            </w:r>
          </w:p>
        </w:tc>
        <w:tc>
          <w:tcPr>
            <w:tcW w:w="2206" w:type="dxa"/>
          </w:tcPr>
          <w:p w:rsidR="002B1A95" w:rsidRDefault="00EF7A35" w:rsidP="00B1183E">
            <w:r>
              <w:t>30 January 2015</w:t>
            </w:r>
          </w:p>
        </w:tc>
      </w:tr>
      <w:tr w:rsidR="002B1A95" w:rsidTr="00760CB5">
        <w:trPr>
          <w:cnfStyle w:val="000000010000" w:firstRow="0" w:lastRow="0" w:firstColumn="0" w:lastColumn="0" w:oddVBand="0" w:evenVBand="0" w:oddHBand="0" w:evenHBand="1" w:firstRowFirstColumn="0" w:firstRowLastColumn="0" w:lastRowFirstColumn="0" w:lastRowLastColumn="0"/>
        </w:trPr>
        <w:tc>
          <w:tcPr>
            <w:tcW w:w="6487" w:type="dxa"/>
          </w:tcPr>
          <w:p w:rsidR="002B1A95" w:rsidRDefault="002B1A95" w:rsidP="002B1A95">
            <w:r>
              <w:t>AER issues preliminary decision</w:t>
            </w:r>
          </w:p>
        </w:tc>
        <w:tc>
          <w:tcPr>
            <w:tcW w:w="2206" w:type="dxa"/>
          </w:tcPr>
          <w:p w:rsidR="002B1A95" w:rsidRDefault="00EF7A35" w:rsidP="00B1183E">
            <w:r>
              <w:t>30 April 2015</w:t>
            </w:r>
          </w:p>
        </w:tc>
      </w:tr>
      <w:tr w:rsidR="002B1A95" w:rsidTr="00760CB5">
        <w:tc>
          <w:tcPr>
            <w:tcW w:w="6487" w:type="dxa"/>
          </w:tcPr>
          <w:p w:rsidR="002B1A95" w:rsidRDefault="002B1A95" w:rsidP="002B1A95">
            <w:r>
              <w:t>AER conference to explain preliminary decisions</w:t>
            </w:r>
          </w:p>
        </w:tc>
        <w:tc>
          <w:tcPr>
            <w:tcW w:w="2206" w:type="dxa"/>
          </w:tcPr>
          <w:p w:rsidR="002B1A95" w:rsidRDefault="00EF7A35" w:rsidP="00B1183E">
            <w:r>
              <w:t>12 May 2015</w:t>
            </w:r>
          </w:p>
        </w:tc>
      </w:tr>
      <w:tr w:rsidR="002B1A95" w:rsidTr="00760CB5">
        <w:trPr>
          <w:cnfStyle w:val="000000010000" w:firstRow="0" w:lastRow="0" w:firstColumn="0" w:lastColumn="0" w:oddVBand="0" w:evenVBand="0" w:oddHBand="0" w:evenHBand="1" w:firstRowFirstColumn="0" w:firstRowLastColumn="0" w:lastRowFirstColumn="0" w:lastRowLastColumn="0"/>
        </w:trPr>
        <w:tc>
          <w:tcPr>
            <w:tcW w:w="6487" w:type="dxa"/>
          </w:tcPr>
          <w:p w:rsidR="002B1A95" w:rsidRDefault="002B1A95" w:rsidP="002F6952">
            <w:r>
              <w:t xml:space="preserve">Stakeholder submissions on AER's preliminary decision close </w:t>
            </w:r>
          </w:p>
        </w:tc>
        <w:tc>
          <w:tcPr>
            <w:tcW w:w="2206" w:type="dxa"/>
          </w:tcPr>
          <w:p w:rsidR="002B1A95" w:rsidRDefault="00CA1D52" w:rsidP="00B1183E">
            <w:r>
              <w:t>3</w:t>
            </w:r>
            <w:r w:rsidR="00EF7A35">
              <w:t xml:space="preserve"> July 2015</w:t>
            </w:r>
          </w:p>
        </w:tc>
      </w:tr>
      <w:tr w:rsidR="002F6952" w:rsidTr="00760CB5">
        <w:tc>
          <w:tcPr>
            <w:tcW w:w="6487" w:type="dxa"/>
          </w:tcPr>
          <w:p w:rsidR="002F6952" w:rsidRDefault="002F6952" w:rsidP="002F6952">
            <w:r>
              <w:t>Energex's revised proposal due to AER</w:t>
            </w:r>
          </w:p>
        </w:tc>
        <w:tc>
          <w:tcPr>
            <w:tcW w:w="2206" w:type="dxa"/>
          </w:tcPr>
          <w:p w:rsidR="002F6952" w:rsidRDefault="00CA1D52" w:rsidP="00B1183E">
            <w:r>
              <w:t>3</w:t>
            </w:r>
            <w:r w:rsidR="002F6952">
              <w:t xml:space="preserve"> July 2015</w:t>
            </w:r>
          </w:p>
        </w:tc>
      </w:tr>
      <w:tr w:rsidR="002B1A95" w:rsidTr="00760CB5">
        <w:trPr>
          <w:cnfStyle w:val="000000010000" w:firstRow="0" w:lastRow="0" w:firstColumn="0" w:lastColumn="0" w:oddVBand="0" w:evenVBand="0" w:oddHBand="0" w:evenHBand="1" w:firstRowFirstColumn="0" w:firstRowLastColumn="0" w:lastRowFirstColumn="0" w:lastRowLastColumn="0"/>
        </w:trPr>
        <w:tc>
          <w:tcPr>
            <w:tcW w:w="6487" w:type="dxa"/>
          </w:tcPr>
          <w:p w:rsidR="002B1A95" w:rsidRDefault="002B1A95" w:rsidP="002B1A95">
            <w:r>
              <w:t>Stakeholder submissions on Energex's revised proposal close*</w:t>
            </w:r>
          </w:p>
        </w:tc>
        <w:tc>
          <w:tcPr>
            <w:tcW w:w="2206" w:type="dxa"/>
          </w:tcPr>
          <w:p w:rsidR="002B1A95" w:rsidRDefault="00EF7A35" w:rsidP="00B1183E">
            <w:r>
              <w:t>24 July 2015</w:t>
            </w:r>
          </w:p>
        </w:tc>
      </w:tr>
      <w:tr w:rsidR="002B1A95" w:rsidTr="00760CB5">
        <w:tc>
          <w:tcPr>
            <w:tcW w:w="6487" w:type="dxa"/>
          </w:tcPr>
          <w:p w:rsidR="002B1A95" w:rsidRDefault="002B1A95" w:rsidP="002B1A95">
            <w:r>
              <w:t>AER issues final decision</w:t>
            </w:r>
          </w:p>
        </w:tc>
        <w:tc>
          <w:tcPr>
            <w:tcW w:w="2206" w:type="dxa"/>
          </w:tcPr>
          <w:p w:rsidR="002B1A95" w:rsidRDefault="00EF7A35" w:rsidP="00B1183E">
            <w:r>
              <w:t>31 October 2015</w:t>
            </w:r>
          </w:p>
        </w:tc>
      </w:tr>
    </w:tbl>
    <w:p w:rsidR="002B1A95" w:rsidRDefault="00760CB5" w:rsidP="00760CB5">
      <w:pPr>
        <w:pStyle w:val="AERtablesource"/>
      </w:pPr>
      <w:r>
        <w:tab/>
      </w:r>
      <w:r w:rsidR="002B1A95">
        <w:t>*</w:t>
      </w:r>
      <w:r>
        <w:t xml:space="preserve"> </w:t>
      </w:r>
      <w:r w:rsidR="002B1A95">
        <w:t xml:space="preserve">The NER, under transitional provisions, did not provide for consultation on Energex's revised </w:t>
      </w:r>
      <w:r w:rsidR="00A50919">
        <w:t>proposal;</w:t>
      </w:r>
      <w:r w:rsidR="002B1A95">
        <w:t xml:space="preserve"> however we have added it to provide stakeholders with an opportunity to comment. </w:t>
      </w:r>
    </w:p>
    <w:p w:rsidR="00EF7A35" w:rsidRPr="00EF7A35" w:rsidRDefault="00EF7A35" w:rsidP="00EF7A35"/>
    <w:p w:rsidR="009761DD" w:rsidRDefault="009761DD" w:rsidP="009761DD">
      <w:pPr>
        <w:pStyle w:val="UnnumberedHeading"/>
        <w:numPr>
          <w:ilvl w:val="0"/>
          <w:numId w:val="24"/>
        </w:numPr>
      </w:pPr>
      <w:bookmarkStart w:id="87" w:name="_Toc417973164"/>
      <w:r>
        <w:t>A  Constituent decisions</w:t>
      </w:r>
      <w:bookmarkEnd w:id="87"/>
    </w:p>
    <w:p w:rsidR="009761DD" w:rsidRDefault="009761DD" w:rsidP="009761DD">
      <w:pPr>
        <w:numPr>
          <w:ilvl w:val="0"/>
          <w:numId w:val="25"/>
        </w:numPr>
      </w:pPr>
      <w:r>
        <w:t>Our preliminary distribution determination is predicated on the following decisions (constituent decision</w:t>
      </w:r>
      <w:r w:rsidR="008C330F">
        <w:t>s</w:t>
      </w:r>
      <w:r>
        <w:t>):</w:t>
      </w:r>
      <w:r>
        <w:rPr>
          <w:rStyle w:val="FootnoteReference"/>
        </w:rPr>
        <w:footnoteReference w:id="80"/>
      </w:r>
    </w:p>
    <w:tbl>
      <w:tblPr>
        <w:tblStyle w:val="AERtable-text0"/>
        <w:tblW w:w="0" w:type="auto"/>
        <w:tblLook w:val="04A0" w:firstRow="1" w:lastRow="0" w:firstColumn="1" w:lastColumn="0" w:noHBand="0" w:noVBand="1"/>
      </w:tblPr>
      <w:tblGrid>
        <w:gridCol w:w="8693"/>
      </w:tblGrid>
      <w:tr w:rsidR="009761DD" w:rsidTr="001E65EA">
        <w:trPr>
          <w:cnfStyle w:val="100000000000" w:firstRow="1" w:lastRow="0" w:firstColumn="0" w:lastColumn="0" w:oddVBand="0" w:evenVBand="0" w:oddHBand="0" w:evenHBand="0" w:firstRowFirstColumn="0" w:firstRowLastColumn="0" w:lastRowFirstColumn="0" w:lastRowLastColumn="0"/>
          <w:tblHeader/>
        </w:trPr>
        <w:tc>
          <w:tcPr>
            <w:tcW w:w="8693" w:type="dxa"/>
          </w:tcPr>
          <w:p w:rsidR="009761DD" w:rsidRPr="0046153F" w:rsidRDefault="009761DD" w:rsidP="009761DD">
            <w:pPr>
              <w:numPr>
                <w:ilvl w:val="0"/>
                <w:numId w:val="25"/>
              </w:numPr>
            </w:pPr>
            <w:r>
              <w:t>Constituent decision</w:t>
            </w:r>
          </w:p>
        </w:tc>
      </w:tr>
      <w:tr w:rsidR="009761DD" w:rsidRPr="00185712" w:rsidTr="000D667E">
        <w:trPr>
          <w:trHeight w:val="2209"/>
        </w:trPr>
        <w:tc>
          <w:tcPr>
            <w:tcW w:w="8693" w:type="dxa"/>
          </w:tcPr>
          <w:p w:rsidR="009761DD" w:rsidRPr="00185712" w:rsidRDefault="009761DD" w:rsidP="009761DD">
            <w:pPr>
              <w:numPr>
                <w:ilvl w:val="0"/>
                <w:numId w:val="25"/>
              </w:numPr>
            </w:pPr>
            <w:r>
              <w:t>In accordance with clause 6.12.1(1) of the NER, the following classification of services will apply to Energex for the 2015</w:t>
            </w:r>
            <w:r w:rsidRPr="0046153F">
              <w:t>–</w:t>
            </w:r>
            <w:r>
              <w:t xml:space="preserve">20 regulatory control period </w:t>
            </w:r>
            <w:r w:rsidRPr="00185712">
              <w:t>(listed by service group):</w:t>
            </w:r>
          </w:p>
          <w:p w:rsidR="009761DD" w:rsidRPr="009761DD" w:rsidRDefault="009761DD" w:rsidP="00A904D8">
            <w:pPr>
              <w:pStyle w:val="AERbulletlistfirststyle"/>
            </w:pPr>
            <w:r w:rsidRPr="001C2560">
              <w:t>Standard control services includ</w:t>
            </w:r>
            <w:r w:rsidR="001C2560" w:rsidRPr="001C2560">
              <w:t>e network</w:t>
            </w:r>
            <w:r w:rsidR="001C2560">
              <w:t xml:space="preserve"> services, small customer connections and type 7 metering services</w:t>
            </w:r>
            <w:r w:rsidR="001C2560" w:rsidRPr="001C2560">
              <w:t xml:space="preserve"> </w:t>
            </w:r>
          </w:p>
          <w:p w:rsidR="009761DD" w:rsidRPr="009761DD" w:rsidRDefault="009761DD" w:rsidP="009761DD">
            <w:pPr>
              <w:pStyle w:val="AERbulletlistfirststyle"/>
            </w:pPr>
            <w:r w:rsidRPr="00185712">
              <w:t xml:space="preserve">Alternative control services include metering types 5 and 6 </w:t>
            </w:r>
            <w:r w:rsidR="001C2560">
              <w:t xml:space="preserve">metering </w:t>
            </w:r>
            <w:r w:rsidRPr="00185712">
              <w:t xml:space="preserve">services, </w:t>
            </w:r>
            <w:r w:rsidR="001C2560">
              <w:t xml:space="preserve">large customer connections, </w:t>
            </w:r>
            <w:r w:rsidRPr="00185712">
              <w:t>ancillary network services and public lighting</w:t>
            </w:r>
          </w:p>
          <w:p w:rsidR="009761DD" w:rsidRDefault="00DE1EA5" w:rsidP="009761DD">
            <w:pPr>
              <w:pStyle w:val="AERbulletlistfirststyle"/>
            </w:pPr>
            <w:r w:rsidRPr="00185712">
              <w:t>Unregulated services include</w:t>
            </w:r>
            <w:r w:rsidR="009761DD" w:rsidRPr="00185712">
              <w:t xml:space="preserve"> type 1 to 4 metering services</w:t>
            </w:r>
            <w:r w:rsidR="001C2560">
              <w:t>.</w:t>
            </w:r>
          </w:p>
          <w:p w:rsidR="001C2560" w:rsidRPr="001C2560" w:rsidRDefault="001C2560" w:rsidP="001C2560">
            <w:r>
              <w:t xml:space="preserve">Attachment 13 discusses classification of services. </w:t>
            </w:r>
          </w:p>
        </w:tc>
      </w:tr>
      <w:tr w:rsidR="009761DD"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46153F" w:rsidRDefault="009761DD" w:rsidP="009761DD">
            <w:pPr>
              <w:numPr>
                <w:ilvl w:val="0"/>
                <w:numId w:val="25"/>
              </w:numPr>
            </w:pPr>
            <w:r>
              <w:t>In accordance with clause 6.12.1(2)(i) of the NER, the AER does not</w:t>
            </w:r>
            <w:r w:rsidRPr="0046153F">
              <w:t xml:space="preserve"> approve the annual revenue requirement set out in </w:t>
            </w:r>
            <w:r>
              <w:t>Energex'</w:t>
            </w:r>
            <w:r w:rsidRPr="0046153F">
              <w:t>s building block proposal. Our</w:t>
            </w:r>
            <w:r>
              <w:t xml:space="preserve"> preliminary</w:t>
            </w:r>
            <w:r w:rsidRPr="0046153F">
              <w:t xml:space="preserve"> decision on </w:t>
            </w:r>
            <w:r>
              <w:t>Energex's</w:t>
            </w:r>
            <w:r w:rsidRPr="0046153F">
              <w:t xml:space="preserve"> annual revenue requirement for each year of the 201</w:t>
            </w:r>
            <w:r>
              <w:t>5</w:t>
            </w:r>
            <w:r w:rsidRPr="0046153F">
              <w:t>–</w:t>
            </w:r>
            <w:r>
              <w:t>20 period is set out in a</w:t>
            </w:r>
            <w:r w:rsidRPr="0046153F">
              <w:t>ttachment 1 of the</w:t>
            </w:r>
            <w:r>
              <w:t xml:space="preserve"> preliminary </w:t>
            </w:r>
            <w:r w:rsidRPr="0046153F">
              <w:t>decision.</w:t>
            </w:r>
          </w:p>
        </w:tc>
      </w:tr>
      <w:tr w:rsidR="009761DD" w:rsidTr="001E65EA">
        <w:tc>
          <w:tcPr>
            <w:tcW w:w="8693" w:type="dxa"/>
          </w:tcPr>
          <w:p w:rsidR="009761DD" w:rsidRPr="0046153F" w:rsidRDefault="009761DD" w:rsidP="003F1F4A">
            <w:r>
              <w:t xml:space="preserve">In accordance with clause 6.12.1(2)(ii) of the NER, </w:t>
            </w:r>
            <w:r w:rsidRPr="0046153F">
              <w:t xml:space="preserve">the AER approves </w:t>
            </w:r>
            <w:r>
              <w:t>Energex's</w:t>
            </w:r>
            <w:r w:rsidRPr="0046153F">
              <w:t xml:space="preserve"> proposal that the regulatory control period will commence on 1 July 2015. Also in accordance with clause 6.12.1(2)(ii) of the NER, the AER approves </w:t>
            </w:r>
            <w:r>
              <w:t>Energex's</w:t>
            </w:r>
            <w:r w:rsidRPr="0046153F">
              <w:t xml:space="preserve"> proposal that the length of </w:t>
            </w:r>
            <w:r>
              <w:t>the</w:t>
            </w:r>
            <w:r w:rsidRPr="0046153F">
              <w:t xml:space="preserve"> regulatory control period will be </w:t>
            </w:r>
            <w:r>
              <w:t xml:space="preserve">five </w:t>
            </w:r>
            <w:r w:rsidRPr="0046153F">
              <w:t>years from 1 July 2015 to 30 June 20</w:t>
            </w:r>
            <w:r>
              <w:t>20</w:t>
            </w:r>
            <w:r w:rsidRPr="0046153F">
              <w:t xml:space="preserve">. </w:t>
            </w:r>
          </w:p>
        </w:tc>
      </w:tr>
      <w:tr w:rsidR="009761DD"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9761DD" w:rsidRDefault="009761DD" w:rsidP="008C330F">
            <w:r>
              <w:t xml:space="preserve">In accordance </w:t>
            </w:r>
            <w:r w:rsidRPr="009761DD">
              <w:t xml:space="preserve">with clause 6.12.1(3)(ii) and acting in accordance with clause 6.5.7(c), the AER does not accept Energex's proposed total forecast capital expenditure of </w:t>
            </w:r>
            <w:r w:rsidRPr="00D203D2">
              <w:rPr>
                <w:rStyle w:val="AERbodytextChar"/>
                <w:rFonts w:eastAsia="Calibri"/>
              </w:rPr>
              <w:t>$</w:t>
            </w:r>
            <w:r w:rsidR="00D915DD" w:rsidRPr="00D203D2">
              <w:rPr>
                <w:rStyle w:val="AERbodytextChar"/>
                <w:rFonts w:eastAsia="Calibri"/>
              </w:rPr>
              <w:t xml:space="preserve"> 3239.6</w:t>
            </w:r>
            <w:r w:rsidRPr="00D203D2">
              <w:rPr>
                <w:rStyle w:val="AERbodytextChar"/>
                <w:rFonts w:eastAsia="Calibri"/>
              </w:rPr>
              <w:t xml:space="preserve"> million ($201</w:t>
            </w:r>
            <w:r w:rsidR="00275FED" w:rsidRPr="00D203D2">
              <w:rPr>
                <w:rStyle w:val="AERbodytextChar"/>
                <w:rFonts w:eastAsia="Calibri"/>
              </w:rPr>
              <w:t>4</w:t>
            </w:r>
            <w:r w:rsidRPr="00D203D2">
              <w:rPr>
                <w:rStyle w:val="AERbodytextChar"/>
                <w:rFonts w:eastAsia="Calibri"/>
              </w:rPr>
              <w:t>–1</w:t>
            </w:r>
            <w:r w:rsidR="00275FED" w:rsidRPr="00D203D2">
              <w:rPr>
                <w:rStyle w:val="AERbodytextChar"/>
                <w:rFonts w:eastAsia="Calibri"/>
              </w:rPr>
              <w:t>5</w:t>
            </w:r>
            <w:r w:rsidRPr="00D203D2">
              <w:rPr>
                <w:rStyle w:val="AERbodytextChar"/>
                <w:rFonts w:eastAsia="Calibri"/>
              </w:rPr>
              <w:t>). Our substitute estimate of Energex's total forecast capex for the 2015–20 regulatory control period is $</w:t>
            </w:r>
            <w:r w:rsidR="00D915DD" w:rsidRPr="00D203D2">
              <w:rPr>
                <w:rStyle w:val="AERbodytextChar"/>
                <w:rFonts w:eastAsia="Calibri"/>
              </w:rPr>
              <w:t xml:space="preserve"> 2361.5</w:t>
            </w:r>
            <w:r w:rsidR="008C330F" w:rsidRPr="00D203D2">
              <w:rPr>
                <w:rStyle w:val="AERbodytextChar"/>
                <w:rFonts w:eastAsia="Calibri"/>
              </w:rPr>
              <w:t xml:space="preserve"> </w:t>
            </w:r>
            <w:r w:rsidRPr="00D203D2">
              <w:rPr>
                <w:rStyle w:val="AERbodytextChar"/>
                <w:rFonts w:eastAsia="Calibri"/>
              </w:rPr>
              <w:t>million</w:t>
            </w:r>
            <w:r w:rsidRPr="009761DD">
              <w:t xml:space="preserve"> ($</w:t>
            </w:r>
            <w:r w:rsidRPr="008C330F">
              <w:t>201</w:t>
            </w:r>
            <w:r w:rsidR="00275FED" w:rsidRPr="008C330F">
              <w:t>4</w:t>
            </w:r>
            <w:r w:rsidRPr="008C330F">
              <w:t>–1</w:t>
            </w:r>
            <w:r w:rsidR="00275FED" w:rsidRPr="008C330F">
              <w:t>5</w:t>
            </w:r>
            <w:r w:rsidRPr="009761DD">
              <w:t>). This is discussed in attachment 6 of the preliminary decision.</w:t>
            </w:r>
          </w:p>
        </w:tc>
      </w:tr>
      <w:tr w:rsidR="009761DD" w:rsidTr="001E65EA">
        <w:tc>
          <w:tcPr>
            <w:tcW w:w="8693" w:type="dxa"/>
          </w:tcPr>
          <w:p w:rsidR="009761DD" w:rsidRPr="009761DD" w:rsidRDefault="009761DD" w:rsidP="00343122">
            <w:r>
              <w:t xml:space="preserve">In accordance with clause 6.12.1(4)(ii) and acting in accordance with clause 6.5.6(d), </w:t>
            </w:r>
            <w:r w:rsidRPr="009761DD">
              <w:t xml:space="preserve">the AER does accept Energex's proposed total forecast operating expenditure </w:t>
            </w:r>
            <w:r w:rsidR="00A112B9">
              <w:t xml:space="preserve">inclusive of debt raising costs </w:t>
            </w:r>
            <w:r w:rsidRPr="00343122">
              <w:rPr>
                <w:rStyle w:val="AERbodytextChar"/>
                <w:rFonts w:eastAsia="Calibri"/>
              </w:rPr>
              <w:t>of $</w:t>
            </w:r>
            <w:r w:rsidR="00343122" w:rsidRPr="00343122">
              <w:rPr>
                <w:rStyle w:val="AERbodytextChar"/>
                <w:rFonts w:eastAsia="Calibri"/>
              </w:rPr>
              <w:t xml:space="preserve">1738.2 </w:t>
            </w:r>
            <w:r w:rsidRPr="00DE1EA5">
              <w:rPr>
                <w:rStyle w:val="AERbodytextChar"/>
                <w:rFonts w:eastAsia="Calibri"/>
              </w:rPr>
              <w:t>million (</w:t>
            </w:r>
            <w:r w:rsidRPr="008C330F">
              <w:t>$201</w:t>
            </w:r>
            <w:r w:rsidR="00275FED" w:rsidRPr="008C330F">
              <w:t>4</w:t>
            </w:r>
            <w:r w:rsidRPr="008C330F">
              <w:t>–1</w:t>
            </w:r>
            <w:r w:rsidR="00275FED" w:rsidRPr="008C330F">
              <w:t>5</w:t>
            </w:r>
            <w:r w:rsidRPr="008C330F">
              <w:t>).</w:t>
            </w:r>
            <w:r w:rsidRPr="009761DD">
              <w:t xml:space="preserve"> This is discussed in attachment 7 of the preliminary decision.</w:t>
            </w:r>
          </w:p>
        </w:tc>
      </w:tr>
      <w:tr w:rsidR="009761DD"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46153F" w:rsidRDefault="009761DD" w:rsidP="009761DD">
            <w:pPr>
              <w:numPr>
                <w:ilvl w:val="0"/>
                <w:numId w:val="25"/>
              </w:numPr>
            </w:pPr>
            <w:r>
              <w:t>In accordance with clause 6.12.1(4A)(i) the AER determines</w:t>
            </w:r>
            <w:r w:rsidRPr="0046153F">
              <w:t xml:space="preserve"> that there are no contingent projects for the purposes of the distribution</w:t>
            </w:r>
            <w:r>
              <w:t xml:space="preserve"> determination.</w:t>
            </w:r>
          </w:p>
        </w:tc>
      </w:tr>
      <w:tr w:rsidR="009761DD" w:rsidTr="001E65EA">
        <w:tc>
          <w:tcPr>
            <w:tcW w:w="8693" w:type="dxa"/>
          </w:tcPr>
          <w:p w:rsidR="009761DD" w:rsidRPr="0046153F" w:rsidRDefault="001E65EA" w:rsidP="00355076">
            <w:r>
              <w:t>Energex</w:t>
            </w:r>
            <w:r w:rsidR="009761DD">
              <w:t xml:space="preserve"> </w:t>
            </w:r>
            <w:r w:rsidR="009761DD" w:rsidRPr="00355076">
              <w:t>did not</w:t>
            </w:r>
            <w:r w:rsidR="009761DD">
              <w:t xml:space="preserve"> </w:t>
            </w:r>
            <w:r w:rsidR="009761DD" w:rsidRPr="0046153F">
              <w:t>include any proposed contingent projects in its regulatory proposal for the 2015–</w:t>
            </w:r>
            <w:r>
              <w:t>20</w:t>
            </w:r>
            <w:r w:rsidR="009761DD" w:rsidRPr="0046153F">
              <w:t xml:space="preserve"> regulatory control period. Therefore,</w:t>
            </w:r>
          </w:p>
          <w:p w:rsidR="009761DD" w:rsidRPr="009761DD" w:rsidRDefault="009761DD" w:rsidP="009761DD">
            <w:pPr>
              <w:pStyle w:val="AERbulletlistfirststyle"/>
            </w:pPr>
            <w:r>
              <w:t>i</w:t>
            </w:r>
            <w:r w:rsidRPr="009761DD">
              <w:t>n accordance with clause 6.12.1(4A)(ii), the AER has not made an assessment of whether the capital expenditure proposed in the context of each contingent project reflects the capital expenditure criteria and factors</w:t>
            </w:r>
          </w:p>
          <w:p w:rsidR="009761DD" w:rsidRPr="009761DD" w:rsidRDefault="009761DD" w:rsidP="009761DD">
            <w:pPr>
              <w:pStyle w:val="AERbulletlistfirststyle"/>
            </w:pPr>
            <w:r w:rsidRPr="00C97F75">
              <w:t xml:space="preserve">in accordance with clause </w:t>
            </w:r>
            <w:r w:rsidRPr="009761DD">
              <w:t>6.12.1(4A)(iii), the AER does not specify any trigger events in relation to contingent projects</w:t>
            </w:r>
          </w:p>
          <w:p w:rsidR="009761DD" w:rsidRPr="009761DD" w:rsidRDefault="009761DD" w:rsidP="009761DD">
            <w:pPr>
              <w:pStyle w:val="AERbulletlistfirststyle"/>
            </w:pPr>
            <w:r>
              <w:t>i</w:t>
            </w:r>
            <w:r w:rsidRPr="009761DD">
              <w:t>n accordance with clause 6.12.1(4A)(iv), the AER does not determine that any proposed contingent project is not a contingent project.</w:t>
            </w:r>
          </w:p>
        </w:tc>
      </w:tr>
      <w:tr w:rsidR="009761DD"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46153F" w:rsidRDefault="009761DD" w:rsidP="00D203D2">
            <w:r>
              <w:t>In accordance with clause 6.12.1(5) the AER's decision on the allowed rate o</w:t>
            </w:r>
            <w:r w:rsidRPr="0046153F">
              <w:t xml:space="preserve">f return for the first regulatory year of the regulatory </w:t>
            </w:r>
            <w:r w:rsidRPr="008960C0">
              <w:t xml:space="preserve">control period in accordance with clause  6.5.2 is not to accept </w:t>
            </w:r>
            <w:r>
              <w:t>Energex's</w:t>
            </w:r>
            <w:r w:rsidRPr="008960C0">
              <w:t xml:space="preserve"> proposal </w:t>
            </w:r>
            <w:r w:rsidR="00355076">
              <w:t>of 7.75</w:t>
            </w:r>
            <w:r w:rsidRPr="008960C0">
              <w:t xml:space="preserve"> per cent. Our decision on the allowed rate of return for the first regulatory year of the regulatory control period </w:t>
            </w:r>
            <w:r w:rsidRPr="00D203D2">
              <w:rPr>
                <w:rStyle w:val="AERbodytextChar"/>
                <w:rFonts w:eastAsia="Calibri"/>
              </w:rPr>
              <w:t>is</w:t>
            </w:r>
            <w:r w:rsidR="00355076" w:rsidRPr="00D203D2">
              <w:rPr>
                <w:rStyle w:val="AERbodytextChar"/>
                <w:rFonts w:eastAsia="Calibri"/>
              </w:rPr>
              <w:t xml:space="preserve"> </w:t>
            </w:r>
            <w:r w:rsidR="00D203D2" w:rsidRPr="00D203D2">
              <w:rPr>
                <w:rStyle w:val="AERbodytextChar"/>
                <w:rFonts w:eastAsia="Calibri"/>
              </w:rPr>
              <w:t>5.85</w:t>
            </w:r>
            <w:r w:rsidR="00355076" w:rsidRPr="00D203D2">
              <w:rPr>
                <w:rStyle w:val="AERbodytextChar"/>
                <w:rFonts w:eastAsia="Calibri"/>
              </w:rPr>
              <w:t xml:space="preserve"> per</w:t>
            </w:r>
            <w:r w:rsidRPr="00D203D2">
              <w:rPr>
                <w:rStyle w:val="AERbodytextChar"/>
                <w:rFonts w:eastAsia="Calibri"/>
              </w:rPr>
              <w:t xml:space="preserve"> cent as set out in table 3</w:t>
            </w:r>
            <w:r w:rsidR="00275FED" w:rsidRPr="00D203D2">
              <w:rPr>
                <w:rStyle w:val="AERbodytextChar"/>
                <w:rFonts w:eastAsia="Calibri"/>
              </w:rPr>
              <w:t>.</w:t>
            </w:r>
            <w:r w:rsidRPr="00D203D2">
              <w:rPr>
                <w:rStyle w:val="AERbodytextChar"/>
                <w:rFonts w:eastAsia="Calibri"/>
              </w:rPr>
              <w:t xml:space="preserve">1 of attachment 3 </w:t>
            </w:r>
            <w:r w:rsidRPr="008960C0">
              <w:t xml:space="preserve">of the </w:t>
            </w:r>
            <w:r>
              <w:t>preliminary</w:t>
            </w:r>
            <w:r w:rsidRPr="008960C0">
              <w:t xml:space="preserve"> decision. This rate of return will be updated annually bec</w:t>
            </w:r>
            <w:r w:rsidRPr="0046153F">
              <w:t>ause our decision is to apply a trailing average portfolio approach to estimating debt which incorporates annual updating of the allowed return on debt.</w:t>
            </w:r>
          </w:p>
        </w:tc>
      </w:tr>
      <w:tr w:rsidR="009761DD" w:rsidTr="001E65EA">
        <w:tc>
          <w:tcPr>
            <w:tcW w:w="8693" w:type="dxa"/>
          </w:tcPr>
          <w:p w:rsidR="009761DD" w:rsidRPr="0046153F" w:rsidRDefault="009761DD" w:rsidP="00D114FC">
            <w:r>
              <w:t>In accordance with clause 6.12.1(5A) the AER</w:t>
            </w:r>
            <w:r w:rsidRPr="0046153F">
              <w:t xml:space="preserve">'s decision is that the return on debt is to be estimated using a methodology referred to in clause 6.5.2(i)(2) which is </w:t>
            </w:r>
            <w:r w:rsidRPr="008960C0">
              <w:t xml:space="preserve">set out in </w:t>
            </w:r>
            <w:r w:rsidRPr="00D114FC">
              <w:t>attachment 3</w:t>
            </w:r>
            <w:r w:rsidRPr="008960C0">
              <w:t xml:space="preserve"> </w:t>
            </w:r>
            <w:r w:rsidR="00EA030E">
              <w:t xml:space="preserve">(appendix I) </w:t>
            </w:r>
            <w:r w:rsidRPr="008960C0">
              <w:t>of the</w:t>
            </w:r>
            <w:r w:rsidRPr="0046153F">
              <w:t xml:space="preserve"> </w:t>
            </w:r>
            <w:r>
              <w:t>preliminary</w:t>
            </w:r>
            <w:r w:rsidRPr="0046153F">
              <w:t xml:space="preserve"> decision. </w:t>
            </w:r>
          </w:p>
        </w:tc>
      </w:tr>
      <w:tr w:rsidR="009761DD"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46153F" w:rsidRDefault="009761DD" w:rsidP="00355076">
            <w:pPr>
              <w:numPr>
                <w:ilvl w:val="0"/>
                <w:numId w:val="25"/>
              </w:numPr>
            </w:pPr>
            <w:r>
              <w:t>In accordance with clause 6.12.1(5B) the AER's decision on the value of imputation credits as referred to in clause 6.5.3</w:t>
            </w:r>
            <w:r w:rsidRPr="0046153F">
              <w:t xml:space="preserve"> is to adopt a value of</w:t>
            </w:r>
            <w:r w:rsidR="00355076">
              <w:t xml:space="preserve"> 0.4</w:t>
            </w:r>
            <w:r w:rsidRPr="0046153F">
              <w:t xml:space="preserve">. This </w:t>
            </w:r>
            <w:r>
              <w:t xml:space="preserve">is set out in </w:t>
            </w:r>
            <w:r w:rsidRPr="0046153F">
              <w:t xml:space="preserve">f </w:t>
            </w:r>
            <w:r>
              <w:t>a</w:t>
            </w:r>
            <w:r w:rsidRPr="0046153F">
              <w:t xml:space="preserve">ttachment 4 of the </w:t>
            </w:r>
            <w:r>
              <w:t>preliminary</w:t>
            </w:r>
            <w:r w:rsidRPr="0046153F">
              <w:t xml:space="preserve"> decision. </w:t>
            </w:r>
          </w:p>
        </w:tc>
      </w:tr>
      <w:tr w:rsidR="009761DD" w:rsidTr="001E65EA">
        <w:tc>
          <w:tcPr>
            <w:tcW w:w="8693" w:type="dxa"/>
          </w:tcPr>
          <w:p w:rsidR="009761DD" w:rsidRPr="009761DD" w:rsidRDefault="009761DD" w:rsidP="00EB297A">
            <w:r>
              <w:t xml:space="preserve">In accordance with clause 6.12.1(6) the AER's decision on </w:t>
            </w:r>
            <w:r w:rsidR="003F1F4A">
              <w:t>Energex's</w:t>
            </w:r>
            <w:r>
              <w:t xml:space="preserve"> regulatory asset base as at 1 July 201</w:t>
            </w:r>
            <w:r w:rsidRPr="009761DD">
              <w:t>5 in accordance with clause 6.5.1 and schedule 6.</w:t>
            </w:r>
            <w:r w:rsidRPr="00343122">
              <w:rPr>
                <w:rStyle w:val="AERbodytextChar"/>
                <w:rFonts w:eastAsia="Calibri"/>
              </w:rPr>
              <w:t>2 is $</w:t>
            </w:r>
            <w:r w:rsidR="00355076" w:rsidRPr="00343122">
              <w:rPr>
                <w:rStyle w:val="AERbodytextChar"/>
                <w:rFonts w:eastAsia="Calibri"/>
              </w:rPr>
              <w:t>11</w:t>
            </w:r>
            <w:r w:rsidR="00311762">
              <w:rPr>
                <w:rStyle w:val="AERbodytextChar"/>
                <w:rFonts w:eastAsia="Calibri"/>
              </w:rPr>
              <w:t> </w:t>
            </w:r>
            <w:r w:rsidR="00355076" w:rsidRPr="00343122">
              <w:rPr>
                <w:rStyle w:val="AERbodytextChar"/>
                <w:rFonts w:eastAsia="Calibri"/>
              </w:rPr>
              <w:t>333.</w:t>
            </w:r>
            <w:r w:rsidR="00277707" w:rsidRPr="00343122">
              <w:rPr>
                <w:rStyle w:val="AERbodytextChar"/>
                <w:rFonts w:eastAsia="Calibri"/>
              </w:rPr>
              <w:t>7</w:t>
            </w:r>
            <w:r w:rsidRPr="00343122">
              <w:rPr>
                <w:rStyle w:val="AERbodytextChar"/>
                <w:rFonts w:eastAsia="Calibri"/>
              </w:rPr>
              <w:t xml:space="preserve"> million</w:t>
            </w:r>
            <w:r w:rsidRPr="009761DD">
              <w:t xml:space="preserve"> . This is set out in attachment 2 of the preliminary decision.</w:t>
            </w:r>
          </w:p>
        </w:tc>
      </w:tr>
      <w:tr w:rsidR="009761DD"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46153F" w:rsidRDefault="009761DD" w:rsidP="001A6379">
            <w:pPr>
              <w:numPr>
                <w:ilvl w:val="0"/>
                <w:numId w:val="25"/>
              </w:numPr>
            </w:pPr>
            <w:r>
              <w:t>In accordance with clause 6.12.1(7)</w:t>
            </w:r>
            <w:r w:rsidRPr="0046153F">
              <w:t xml:space="preserve"> the AER does not accept </w:t>
            </w:r>
            <w:r>
              <w:t>Energex's</w:t>
            </w:r>
            <w:r w:rsidRPr="0046153F">
              <w:t xml:space="preserve"> proposed corporate income tax </w:t>
            </w:r>
            <w:r w:rsidRPr="00343122">
              <w:rPr>
                <w:rStyle w:val="AERbodytextChar"/>
                <w:rFonts w:eastAsia="Calibri"/>
              </w:rPr>
              <w:t>of $</w:t>
            </w:r>
            <w:r w:rsidR="00277707" w:rsidRPr="00343122">
              <w:rPr>
                <w:rStyle w:val="AERbodytextChar"/>
                <w:rFonts w:eastAsia="Calibri"/>
              </w:rPr>
              <w:t>602.3</w:t>
            </w:r>
            <w:r w:rsidR="001A6379">
              <w:rPr>
                <w:rStyle w:val="AERbodytextChar"/>
                <w:rFonts w:eastAsia="Calibri"/>
              </w:rPr>
              <w:t> </w:t>
            </w:r>
            <w:r w:rsidRPr="00343122">
              <w:rPr>
                <w:rStyle w:val="AERbodytextChar"/>
                <w:rFonts w:eastAsia="Calibri"/>
              </w:rPr>
              <w:t>million ($</w:t>
            </w:r>
            <w:r w:rsidR="00355076" w:rsidRPr="00343122">
              <w:rPr>
                <w:rStyle w:val="AERbodytextChar"/>
                <w:rFonts w:eastAsia="Calibri"/>
              </w:rPr>
              <w:t xml:space="preserve"> </w:t>
            </w:r>
            <w:r w:rsidRPr="00343122">
              <w:rPr>
                <w:rStyle w:val="AERbodytextChar"/>
                <w:rFonts w:eastAsia="Calibri"/>
              </w:rPr>
              <w:t xml:space="preserve">nominal). Our decision on Energex's corporate income tax is $ </w:t>
            </w:r>
            <w:r w:rsidR="00277707" w:rsidRPr="00343122">
              <w:rPr>
                <w:rStyle w:val="AERbodytextChar"/>
                <w:rFonts w:eastAsia="Calibri"/>
              </w:rPr>
              <w:t>24</w:t>
            </w:r>
            <w:r w:rsidR="00D60A9B">
              <w:rPr>
                <w:rStyle w:val="AERbodytextChar"/>
                <w:rFonts w:eastAsia="Calibri"/>
              </w:rPr>
              <w:t>2.4</w:t>
            </w:r>
            <w:r w:rsidR="00277707" w:rsidRPr="00343122">
              <w:rPr>
                <w:rStyle w:val="AERbodytextChar"/>
                <w:rFonts w:eastAsia="Calibri"/>
              </w:rPr>
              <w:t xml:space="preserve"> </w:t>
            </w:r>
            <w:r w:rsidRPr="00343122">
              <w:rPr>
                <w:rStyle w:val="AERbodytextChar"/>
                <w:rFonts w:eastAsia="Calibri"/>
              </w:rPr>
              <w:t>million</w:t>
            </w:r>
            <w:r>
              <w:t xml:space="preserve"> ($</w:t>
            </w:r>
            <w:r w:rsidRPr="00685D0C">
              <w:t>nominal)</w:t>
            </w:r>
            <w:r w:rsidRPr="0046153F">
              <w:t>.</w:t>
            </w:r>
            <w:r>
              <w:t xml:space="preserve"> </w:t>
            </w:r>
            <w:r w:rsidRPr="0046153F">
              <w:t xml:space="preserve">This is set out in </w:t>
            </w:r>
            <w:r>
              <w:t>a</w:t>
            </w:r>
            <w:r w:rsidRPr="0046153F">
              <w:t xml:space="preserve">ttachment </w:t>
            </w:r>
            <w:r>
              <w:t>8</w:t>
            </w:r>
            <w:r w:rsidRPr="0046153F">
              <w:t xml:space="preserve"> of the </w:t>
            </w:r>
            <w:r>
              <w:t>preliminary</w:t>
            </w:r>
            <w:r w:rsidRPr="0046153F">
              <w:t xml:space="preserve"> decision</w:t>
            </w:r>
            <w:r>
              <w:t>.</w:t>
            </w:r>
          </w:p>
        </w:tc>
      </w:tr>
      <w:tr w:rsidR="009761DD" w:rsidTr="001E65EA">
        <w:tc>
          <w:tcPr>
            <w:tcW w:w="8693" w:type="dxa"/>
          </w:tcPr>
          <w:p w:rsidR="009761DD" w:rsidRPr="009761DD" w:rsidRDefault="009761DD" w:rsidP="009761DD">
            <w:r>
              <w:t xml:space="preserve">In accordance with clause 6.12.1(8) the AER's decision </w:t>
            </w:r>
            <w:r w:rsidRPr="009761DD">
              <w:t>is not to approve the depreciation schedules submitted by Energex. This is set out in attachment 5 of the preliminary decision.</w:t>
            </w:r>
          </w:p>
        </w:tc>
      </w:tr>
      <w:tr w:rsidR="009761DD"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9761DD" w:rsidRDefault="009761DD" w:rsidP="009761DD">
            <w:r>
              <w:t>In accordance with clause 6.12.1(9) the AER</w:t>
            </w:r>
            <w:r w:rsidRPr="009761DD">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9761DD" w:rsidRPr="009761DD" w:rsidRDefault="009761DD" w:rsidP="009761DD">
            <w:pPr>
              <w:pStyle w:val="AERbulletlistfirststyle"/>
            </w:pPr>
            <w:r w:rsidRPr="00DD74C3">
              <w:t>In accordance with clause 6.12.1(9) of the NER</w:t>
            </w:r>
            <w:r w:rsidRPr="009761DD">
              <w:t xml:space="preserve">, the AER's decision is </w:t>
            </w:r>
            <w:r w:rsidR="00DE1EA5">
              <w:t>to apply version 2 of the EBSS to Energex</w:t>
            </w:r>
            <w:r w:rsidRPr="009761DD">
              <w:t xml:space="preserve"> in the 2015–20 regulatory control period.</w:t>
            </w:r>
            <w:r w:rsidR="00355076">
              <w:t xml:space="preserve"> EBSS is discussed in attachment 9</w:t>
            </w:r>
            <w:r w:rsidR="00687F34">
              <w:t xml:space="preserve"> in the preliminary decision</w:t>
            </w:r>
            <w:r w:rsidR="00355076">
              <w:t>.</w:t>
            </w:r>
          </w:p>
          <w:p w:rsidR="009761DD" w:rsidRPr="009761DD" w:rsidRDefault="009761DD" w:rsidP="009761DD">
            <w:pPr>
              <w:pStyle w:val="AERbulletlistfirststyle"/>
            </w:pPr>
            <w:r w:rsidRPr="00DD74C3">
              <w:t>In accordance with clause 6.12.1(9) of the NER</w:t>
            </w:r>
            <w:r w:rsidRPr="009761DD">
              <w:t xml:space="preserve">, we will apply the CESS as set out in version 1 of the </w:t>
            </w:r>
            <w:r w:rsidR="00497F95">
              <w:t>C</w:t>
            </w:r>
            <w:r w:rsidRPr="009761DD">
              <w:t xml:space="preserve">apital </w:t>
            </w:r>
            <w:r w:rsidR="00497F95">
              <w:t>E</w:t>
            </w:r>
            <w:r w:rsidRPr="009761DD">
              <w:t xml:space="preserve">xpenditure </w:t>
            </w:r>
            <w:r w:rsidR="00497F95">
              <w:t>I</w:t>
            </w:r>
            <w:r w:rsidRPr="009761DD">
              <w:t xml:space="preserve">ncentives </w:t>
            </w:r>
            <w:r w:rsidR="00497F95">
              <w:t>G</w:t>
            </w:r>
            <w:r w:rsidRPr="009761DD">
              <w:t>uideline to Energex in the 2015–20 regulatory control period.</w:t>
            </w:r>
            <w:r w:rsidR="00355076">
              <w:t xml:space="preserve"> CESS is discussed in attachment 10.</w:t>
            </w:r>
          </w:p>
          <w:p w:rsidR="00FB29D4" w:rsidRPr="00FB29D4" w:rsidRDefault="00FB29D4" w:rsidP="00FB29D4">
            <w:pPr>
              <w:pStyle w:val="AERbulletlistfirststyle"/>
            </w:pPr>
            <w:r w:rsidRPr="00FB29D4">
              <w:t xml:space="preserve">In accordance with clause 6.12.1(9) of the NER, we will apply our </w:t>
            </w:r>
            <w:r>
              <w:t>S</w:t>
            </w:r>
            <w:r w:rsidRPr="00FB29D4">
              <w:t xml:space="preserve">ervice </w:t>
            </w:r>
            <w:r>
              <w:t>T</w:t>
            </w:r>
            <w:r w:rsidRPr="00FB29D4">
              <w:t xml:space="preserve">arget </w:t>
            </w:r>
            <w:r>
              <w:t>P</w:t>
            </w:r>
            <w:r w:rsidRPr="00FB29D4">
              <w:t xml:space="preserve">erformance </w:t>
            </w:r>
            <w:r>
              <w:t>I</w:t>
            </w:r>
            <w:r w:rsidRPr="00FB29D4">
              <w:t xml:space="preserve">ncentive </w:t>
            </w:r>
            <w:r>
              <w:t>S</w:t>
            </w:r>
            <w:r w:rsidRPr="00FB29D4">
              <w:t>cheme</w:t>
            </w:r>
            <w:r>
              <w:t xml:space="preserve"> (STPIS)</w:t>
            </w:r>
            <w:r w:rsidRPr="00FB29D4">
              <w:t xml:space="preserve"> to Energex for the 2015-20 regulatory control period.</w:t>
            </w:r>
          </w:p>
          <w:p w:rsidR="00FB29D4" w:rsidRPr="00FB29D4" w:rsidRDefault="00FB29D4" w:rsidP="00CC02E9">
            <w:pPr>
              <w:pStyle w:val="AERbulletlistsecondstyle"/>
            </w:pPr>
            <w:r w:rsidRPr="00FB29D4">
              <w:t>We will apply the System Average Interruption Duration Index (SAIDI) and System Average Interruption Frequency Index (SAIFI) reliability of supply parameters. We will also apply the customer service telephone answering parameter. We will not apply a guaranteed service level scheme as Energex m</w:t>
            </w:r>
            <w:r w:rsidR="00687F34">
              <w:t>ust comply with its existing Queensland</w:t>
            </w:r>
            <w:r w:rsidRPr="00FB29D4">
              <w:t xml:space="preserve"> jurisdictional guaranteed service level scheme. </w:t>
            </w:r>
          </w:p>
          <w:p w:rsidR="00FB29D4" w:rsidRPr="00FB29D4" w:rsidRDefault="00FB29D4" w:rsidP="00CC02E9">
            <w:pPr>
              <w:pStyle w:val="AERbulletlistsecondstyle"/>
            </w:pPr>
            <w:r w:rsidRPr="00FB29D4">
              <w:t xml:space="preserve">A beta of 2.5 will be used to calculate the major event day boundary. </w:t>
            </w:r>
          </w:p>
          <w:p w:rsidR="00FB29D4" w:rsidRPr="00FB29D4" w:rsidRDefault="00FB29D4" w:rsidP="00CC02E9">
            <w:pPr>
              <w:pStyle w:val="AERbulletlistsecondstyle"/>
            </w:pPr>
            <w:r w:rsidRPr="00FB29D4">
              <w:t xml:space="preserve">Our </w:t>
            </w:r>
            <w:r w:rsidR="00BA5AB7">
              <w:t>decision</w:t>
            </w:r>
            <w:r w:rsidRPr="00FB29D4">
              <w:t xml:space="preserve"> on the SAIDI and SAIFI incentive rates and performance targets to apply to Energex in the 2015-20 regulatory control period are set out in tables 11</w:t>
            </w:r>
            <w:r w:rsidR="00E36607">
              <w:t>.</w:t>
            </w:r>
            <w:r w:rsidRPr="00FB29D4">
              <w:t>1 and 11</w:t>
            </w:r>
            <w:r w:rsidR="00E36607">
              <w:t>.</w:t>
            </w:r>
            <w:r w:rsidRPr="00FB29D4">
              <w:t>3 of attachment 11 of this preliminary decision.</w:t>
            </w:r>
          </w:p>
          <w:p w:rsidR="00FB29D4" w:rsidRPr="00FB29D4" w:rsidRDefault="00FB29D4" w:rsidP="00CC02E9">
            <w:pPr>
              <w:pStyle w:val="AERbulletlistsecondstyle"/>
            </w:pPr>
            <w:r w:rsidRPr="00FB29D4">
              <w:t xml:space="preserve">Our </w:t>
            </w:r>
            <w:r w:rsidR="00BA5AB7">
              <w:t>decision</w:t>
            </w:r>
            <w:r w:rsidRPr="00FB29D4">
              <w:t xml:space="preserve"> on the customer service component incentive rate and performance </w:t>
            </w:r>
            <w:r w:rsidR="00AF762B">
              <w:t xml:space="preserve">target </w:t>
            </w:r>
            <w:r w:rsidRPr="00FB29D4">
              <w:t>are set out in sections 11.1.2 and 11.1.3 of attachment 11 of this preliminary decision.</w:t>
            </w:r>
          </w:p>
          <w:p w:rsidR="00FB29D4" w:rsidRDefault="00FB29D4" w:rsidP="00CC02E9">
            <w:pPr>
              <w:pStyle w:val="AERbulletlistsecondstyle"/>
            </w:pPr>
            <w:r w:rsidRPr="00FB29D4">
              <w:t>The revenue at risk for Energex will be capped at ±2.0 per cent. Within this there will be a cap of ±0.1 per cent on the telephone answering parameter for performance.</w:t>
            </w:r>
          </w:p>
          <w:p w:rsidR="004838BA" w:rsidRPr="00FB29D4" w:rsidRDefault="004838BA" w:rsidP="004838BA">
            <w:pPr>
              <w:pStyle w:val="ListContinue2"/>
            </w:pPr>
            <w:r w:rsidRPr="004838BA">
              <w:t>Note: The meaning for year “t” under the price control formula for this determination is different to that in Appendix C of STPIS. Year “t+1” in Appendix C of STPIS is equivalent to year “t” in the price control formula of this decision.</w:t>
            </w:r>
          </w:p>
          <w:p w:rsidR="009761DD" w:rsidRPr="009761DD" w:rsidRDefault="009761DD" w:rsidP="00130632">
            <w:pPr>
              <w:pStyle w:val="AERbulletlistfirststyle"/>
            </w:pPr>
            <w:r>
              <w:t xml:space="preserve">The AER has </w:t>
            </w:r>
            <w:r w:rsidRPr="009761DD">
              <w:t>determined to continue Part A of the Demand Management Innovation Allowance (DMIA) for Energex in the 2015–20 regulatory control period</w:t>
            </w:r>
            <w:r w:rsidR="00355076">
              <w:t>. DMIS is discussed in attachment 12</w:t>
            </w:r>
            <w:r w:rsidR="00687F34">
              <w:t xml:space="preserve"> of the preliminary decision</w:t>
            </w:r>
            <w:r w:rsidR="00355076">
              <w:t>.</w:t>
            </w:r>
          </w:p>
        </w:tc>
      </w:tr>
      <w:tr w:rsidR="009761DD" w:rsidTr="001E65EA">
        <w:tc>
          <w:tcPr>
            <w:tcW w:w="8693" w:type="dxa"/>
          </w:tcPr>
          <w:p w:rsidR="009761DD" w:rsidRPr="009761DD" w:rsidRDefault="009761DD" w:rsidP="009761DD">
            <w:r w:rsidRPr="00D20B4A">
              <w:t>In accordance with clause 6.12.1(10) the AER's decision is that all appropriate amounts, values and inputs are as set out in this determination including attachments.</w:t>
            </w:r>
          </w:p>
        </w:tc>
      </w:tr>
      <w:tr w:rsidR="009761DD" w:rsidRPr="007A08A0"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9761DD" w:rsidRDefault="009761DD" w:rsidP="007B3A54">
            <w:r w:rsidRPr="007A08A0">
              <w:t xml:space="preserve">In accordance with clause 6.12.1(11) the AER's decision on the form of control mechanisms </w:t>
            </w:r>
            <w:r w:rsidRPr="009761DD">
              <w:t xml:space="preserve">(including the X factor) for standard control services is a revenue cap. The revenue cap for Energex for any given regulatory year is the </w:t>
            </w:r>
            <w:r w:rsidR="00DC3CC8">
              <w:t xml:space="preserve">total annual </w:t>
            </w:r>
            <w:r w:rsidR="003F1F4A">
              <w:t>revenue</w:t>
            </w:r>
            <w:r w:rsidR="00DE1EA5">
              <w:t xml:space="preserve"> </w:t>
            </w:r>
            <w:r w:rsidRPr="009761DD">
              <w:t xml:space="preserve">calculated using the formula in </w:t>
            </w:r>
            <w:r w:rsidRPr="00D203D2">
              <w:rPr>
                <w:rStyle w:val="AERbodytextChar"/>
                <w:rFonts w:eastAsia="Calibri"/>
              </w:rPr>
              <w:t>section 14.</w:t>
            </w:r>
            <w:r w:rsidR="00B4790E">
              <w:rPr>
                <w:rStyle w:val="AERbodytextChar"/>
                <w:rFonts w:eastAsia="Calibri"/>
              </w:rPr>
              <w:t>5</w:t>
            </w:r>
            <w:r w:rsidRPr="00D203D2">
              <w:rPr>
                <w:rStyle w:val="AERbodytextChar"/>
                <w:rFonts w:eastAsia="Calibri"/>
              </w:rPr>
              <w:t>.3</w:t>
            </w:r>
            <w:r w:rsidRPr="009761DD">
              <w:t xml:space="preserve"> plus any adjustment required to move the DUoS under/over account to zero. This is discussed at attachment 14</w:t>
            </w:r>
            <w:r w:rsidR="00687F34">
              <w:t xml:space="preserve"> in the preliminary decision</w:t>
            </w:r>
            <w:r w:rsidRPr="009761DD">
              <w:t>.</w:t>
            </w:r>
          </w:p>
        </w:tc>
      </w:tr>
      <w:tr w:rsidR="009761DD" w:rsidRPr="007A08A0" w:rsidTr="001E65EA">
        <w:tc>
          <w:tcPr>
            <w:tcW w:w="8693" w:type="dxa"/>
          </w:tcPr>
          <w:p w:rsidR="009761DD" w:rsidRPr="009761DD" w:rsidRDefault="009761DD" w:rsidP="009761DD">
            <w:r w:rsidRPr="007A08A0">
              <w:t>In accordance with clause 6.12.1(12) the AER's decision on the</w:t>
            </w:r>
            <w:r w:rsidRPr="009761DD">
              <w:t xml:space="preserve"> form of the control mechanism for alternative control services is to apply price caps. This is discussed in attachment 1</w:t>
            </w:r>
            <w:r w:rsidR="00DC3CC8">
              <w:t>6</w:t>
            </w:r>
            <w:r w:rsidR="00687F34">
              <w:t xml:space="preserve"> in the preliminary decision</w:t>
            </w:r>
            <w:r w:rsidRPr="009761DD">
              <w:t>.</w:t>
            </w:r>
          </w:p>
        </w:tc>
      </w:tr>
      <w:tr w:rsidR="009761DD" w:rsidRPr="007A08A0"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9761DD" w:rsidRDefault="009761DD" w:rsidP="009761DD">
            <w:r w:rsidRPr="007A08A0">
              <w:t>In accordance with clause 6.12.1(13)</w:t>
            </w:r>
            <w:r w:rsidRPr="009761DD">
              <w:t>, to demonstrate compliance with its distribution determination, the AER's decision is Energex must maintain a DUoS unders and overs account. It must provide information on this account to us in its annual pricing proposal.</w:t>
            </w:r>
            <w:r w:rsidR="00DC3CC8">
              <w:t xml:space="preserve"> This is discussed in attachment 14</w:t>
            </w:r>
            <w:r w:rsidR="00687F34">
              <w:t xml:space="preserve"> in the preliminary decision</w:t>
            </w:r>
            <w:r w:rsidR="00DC3CC8">
              <w:t>.</w:t>
            </w:r>
          </w:p>
        </w:tc>
      </w:tr>
      <w:tr w:rsidR="009761DD" w:rsidTr="001E65EA">
        <w:tc>
          <w:tcPr>
            <w:tcW w:w="8693" w:type="dxa"/>
          </w:tcPr>
          <w:p w:rsidR="009761DD" w:rsidRPr="00A904D8" w:rsidRDefault="009761DD" w:rsidP="00A904D8">
            <w:r w:rsidRPr="0078506D">
              <w:t xml:space="preserve">In accordance with clause 6.12.1(14) the AER's decision on the additional pass through events that are to apply is to not to accept the nominated pass through events as </w:t>
            </w:r>
            <w:r w:rsidR="00A904D8">
              <w:t xml:space="preserve">proposed </w:t>
            </w:r>
            <w:r w:rsidRPr="009761DD">
              <w:t xml:space="preserve">by Energex. </w:t>
            </w:r>
            <w:r w:rsidRPr="00A904D8">
              <w:t xml:space="preserve">The AER </w:t>
            </w:r>
            <w:r w:rsidR="00A904D8" w:rsidRPr="00A904D8">
              <w:t xml:space="preserve">also </w:t>
            </w:r>
            <w:r w:rsidRPr="00A904D8">
              <w:t>substitutes its own definitions for the following events:</w:t>
            </w:r>
          </w:p>
          <w:p w:rsidR="009761DD" w:rsidRPr="00A904D8" w:rsidRDefault="009761DD" w:rsidP="00A904D8">
            <w:pPr>
              <w:pStyle w:val="AERbulletlistfirststyle"/>
            </w:pPr>
            <w:r w:rsidRPr="00A904D8">
              <w:t>insurance cap event</w:t>
            </w:r>
          </w:p>
          <w:p w:rsidR="00A904D8" w:rsidRPr="00A904D8" w:rsidRDefault="00A904D8" w:rsidP="00A904D8">
            <w:pPr>
              <w:pStyle w:val="AERbulletlistfirststyle"/>
            </w:pPr>
            <w:r w:rsidRPr="00A904D8">
              <w:t xml:space="preserve">insurer credit risk event </w:t>
            </w:r>
          </w:p>
          <w:p w:rsidR="009761DD" w:rsidRPr="00A904D8" w:rsidRDefault="009761DD" w:rsidP="00A904D8">
            <w:pPr>
              <w:pStyle w:val="AERbulletlistfirststyle"/>
            </w:pPr>
            <w:r w:rsidRPr="00A904D8">
              <w:t>terrorism event</w:t>
            </w:r>
          </w:p>
          <w:p w:rsidR="009761DD" w:rsidRPr="009761DD" w:rsidRDefault="009761DD" w:rsidP="00A904D8">
            <w:pPr>
              <w:pStyle w:val="AERbulletlistfirststyle"/>
            </w:pPr>
            <w:r w:rsidRPr="00A904D8">
              <w:t>natural disaster event.</w:t>
            </w:r>
          </w:p>
        </w:tc>
      </w:tr>
      <w:tr w:rsidR="009761DD" w:rsidRPr="007A08A0"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9761DD" w:rsidRDefault="009761DD" w:rsidP="009761DD">
            <w:r w:rsidRPr="007A08A0">
              <w:t>In accordance with clause 6.12.1(15) the AER's decision</w:t>
            </w:r>
            <w:r w:rsidRPr="009761DD">
              <w:t xml:space="preserve"> is to approve Energex's proposed negotiating framework. The negotiating framework that is to apply to Energex is set out at attachment 17 of the preliminary decision. </w:t>
            </w:r>
          </w:p>
        </w:tc>
      </w:tr>
      <w:tr w:rsidR="009761DD" w:rsidRPr="007A08A0" w:rsidTr="001E65EA">
        <w:tc>
          <w:tcPr>
            <w:tcW w:w="8693" w:type="dxa"/>
          </w:tcPr>
          <w:p w:rsidR="009761DD" w:rsidRPr="009761DD" w:rsidRDefault="009761DD" w:rsidP="009761DD">
            <w:r w:rsidRPr="007A08A0">
              <w:t xml:space="preserve">In accordance with clause 6.12.1(16) the AER's decision </w:t>
            </w:r>
            <w:r w:rsidRPr="009761DD">
              <w:t>is to apply the negotiated distribution services criteria published in November 2014 to Energex. This is set out is at attachment 17of the preliminary decision.</w:t>
            </w:r>
          </w:p>
        </w:tc>
      </w:tr>
      <w:tr w:rsidR="009761DD" w:rsidRPr="007A08A0"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9761DD" w:rsidRDefault="009761DD" w:rsidP="00DC3CC8">
            <w:r w:rsidRPr="00995832">
              <w:t xml:space="preserve">In accordance with clause 6.12.1(17) the </w:t>
            </w:r>
            <w:r w:rsidRPr="009761DD">
              <w:t xml:space="preserve">AER's decision on the procedures for assigning retail customers to tariff classes </w:t>
            </w:r>
            <w:r w:rsidR="00DC3CC8">
              <w:t xml:space="preserve">for Energex </w:t>
            </w:r>
            <w:r w:rsidRPr="009761DD">
              <w:t xml:space="preserve">is set out at attachment 14 of the preliminary decision. </w:t>
            </w:r>
          </w:p>
        </w:tc>
      </w:tr>
      <w:tr w:rsidR="009761DD" w:rsidRPr="007A08A0" w:rsidTr="001E65EA">
        <w:tc>
          <w:tcPr>
            <w:tcW w:w="8693" w:type="dxa"/>
          </w:tcPr>
          <w:p w:rsidR="009761DD" w:rsidRPr="009761DD" w:rsidRDefault="009761DD" w:rsidP="009761DD">
            <w:r w:rsidRPr="00995832">
              <w:t xml:space="preserve">In accordance with clause 6.12.1(18) the AER's decision on regulatory depreciation is that the forecast depreciation approach is to be used to establish the RAB at the commencement of </w:t>
            </w:r>
            <w:r w:rsidRPr="009761DD">
              <w:t xml:space="preserve">Energex's regulatory control period (1 July 2020). This is discussed in attachment 2 of the preliminary decision. </w:t>
            </w:r>
          </w:p>
        </w:tc>
      </w:tr>
      <w:tr w:rsidR="009761DD" w:rsidRPr="007A08A0"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9761DD" w:rsidRDefault="009761DD" w:rsidP="00E97837">
            <w:r w:rsidRPr="00995832">
              <w:t xml:space="preserve">In accordance with clause 6.12.1(19) the AER's decision on how </w:t>
            </w:r>
            <w:r w:rsidRPr="009761DD">
              <w:t>Energex is to report to the AER on its recovery of designated pricing proposal charges is to set this out in its annual pricing proposal. Th</w:t>
            </w:r>
            <w:r w:rsidR="00E97837">
              <w:t xml:space="preserve">e method to account for the under and over </w:t>
            </w:r>
            <w:r w:rsidR="00E97837" w:rsidRPr="009761DD">
              <w:t xml:space="preserve">recovery of designated pricing proposal charges </w:t>
            </w:r>
            <w:r w:rsidRPr="009761DD">
              <w:t>is discussed in attachment 14 of the preliminary decision.</w:t>
            </w:r>
          </w:p>
        </w:tc>
      </w:tr>
      <w:tr w:rsidR="009761DD" w:rsidRPr="007A08A0" w:rsidTr="001E65EA">
        <w:tc>
          <w:tcPr>
            <w:tcW w:w="8693" w:type="dxa"/>
          </w:tcPr>
          <w:p w:rsidR="009761DD" w:rsidRPr="009761DD" w:rsidRDefault="009761DD" w:rsidP="00E97837">
            <w:r w:rsidRPr="00995832">
              <w:t>In accordance with clause 6.12.1(20) the AER's decision is</w:t>
            </w:r>
            <w:r w:rsidRPr="00E97837">
              <w:t xml:space="preserve"> </w:t>
            </w:r>
            <w:r w:rsidRPr="00CC02E9">
              <w:t>we require Energex to maintain a jurisdictional scheme unders and overs account.</w:t>
            </w:r>
            <w:r w:rsidRPr="009761DD">
              <w:t xml:space="preserve"> It must provide information on this account to us in its annual pricing proposal as set out in attachment 14 of the preliminary decision.</w:t>
            </w:r>
          </w:p>
        </w:tc>
      </w:tr>
      <w:tr w:rsidR="009761DD" w:rsidTr="001E65EA">
        <w:trPr>
          <w:cnfStyle w:val="000000010000" w:firstRow="0" w:lastRow="0" w:firstColumn="0" w:lastColumn="0" w:oddVBand="0" w:evenVBand="0" w:oddHBand="0" w:evenHBand="1" w:firstRowFirstColumn="0" w:firstRowLastColumn="0" w:lastRowFirstColumn="0" w:lastRowLastColumn="0"/>
        </w:trPr>
        <w:tc>
          <w:tcPr>
            <w:tcW w:w="8693" w:type="dxa"/>
          </w:tcPr>
          <w:p w:rsidR="009761DD" w:rsidRPr="009761DD" w:rsidRDefault="009761DD" w:rsidP="009761DD">
            <w:r>
              <w:t xml:space="preserve">In accordance with clause 6.12.1(21) the </w:t>
            </w:r>
            <w:r w:rsidRPr="009761DD">
              <w:t>AER approves the connection policy as proposed by Energex in its regulatory proposal. This is set out in attachment 18 of the preliminary decision</w:t>
            </w:r>
            <w:r w:rsidR="0062178F">
              <w:t>.</w:t>
            </w:r>
          </w:p>
        </w:tc>
      </w:tr>
    </w:tbl>
    <w:p w:rsidR="009761DD" w:rsidRDefault="009761DD" w:rsidP="009761DD">
      <w:pPr>
        <w:pStyle w:val="UnnumberedHeading"/>
        <w:numPr>
          <w:ilvl w:val="0"/>
          <w:numId w:val="24"/>
        </w:numPr>
      </w:pPr>
      <w:bookmarkStart w:id="88" w:name="_Toc417973165"/>
      <w:r>
        <w:t>B</w:t>
      </w:r>
      <w:r w:rsidRPr="00B6585E">
        <w:t xml:space="preserve">  List of submissions</w:t>
      </w:r>
      <w:bookmarkEnd w:id="88"/>
      <w:r w:rsidRPr="00B6585E">
        <w:t xml:space="preserve"> </w:t>
      </w:r>
    </w:p>
    <w:p w:rsidR="009761DD" w:rsidRDefault="009761DD" w:rsidP="009761DD">
      <w:pPr>
        <w:numPr>
          <w:ilvl w:val="0"/>
          <w:numId w:val="25"/>
        </w:numPr>
      </w:pPr>
      <w:r>
        <w:t>We received</w:t>
      </w:r>
      <w:r w:rsidR="00D969B4">
        <w:t xml:space="preserve"> 39</w:t>
      </w:r>
      <w:r>
        <w:t xml:space="preserve"> submissions in response to Energex's regulatory proposal as listed below:</w:t>
      </w:r>
    </w:p>
    <w:tbl>
      <w:tblPr>
        <w:tblStyle w:val="AERtable-text0"/>
        <w:tblW w:w="0" w:type="auto"/>
        <w:tblLook w:val="04A0" w:firstRow="1" w:lastRow="0" w:firstColumn="1" w:lastColumn="0" w:noHBand="0" w:noVBand="1"/>
      </w:tblPr>
      <w:tblGrid>
        <w:gridCol w:w="534"/>
        <w:gridCol w:w="4819"/>
        <w:gridCol w:w="1559"/>
        <w:gridCol w:w="1781"/>
      </w:tblGrid>
      <w:tr w:rsidR="001E65EA" w:rsidTr="005D44B3">
        <w:trPr>
          <w:cnfStyle w:val="100000000000" w:firstRow="1" w:lastRow="0" w:firstColumn="0" w:lastColumn="0" w:oddVBand="0" w:evenVBand="0" w:oddHBand="0" w:evenHBand="0" w:firstRowFirstColumn="0" w:firstRowLastColumn="0" w:lastRowFirstColumn="0" w:lastRowLastColumn="0"/>
          <w:tblHeader/>
        </w:trPr>
        <w:tc>
          <w:tcPr>
            <w:tcW w:w="534" w:type="dxa"/>
          </w:tcPr>
          <w:p w:rsidR="001E65EA" w:rsidRDefault="001E65EA" w:rsidP="001E65EA"/>
        </w:tc>
        <w:tc>
          <w:tcPr>
            <w:tcW w:w="4819" w:type="dxa"/>
          </w:tcPr>
          <w:p w:rsidR="001E65EA" w:rsidRDefault="001E65EA" w:rsidP="001E65EA">
            <w:r>
              <w:t>Submission from</w:t>
            </w:r>
          </w:p>
        </w:tc>
        <w:tc>
          <w:tcPr>
            <w:tcW w:w="1559" w:type="dxa"/>
          </w:tcPr>
          <w:p w:rsidR="001E65EA" w:rsidRDefault="001E65EA" w:rsidP="001E65EA">
            <w:r>
              <w:t>Date received</w:t>
            </w:r>
          </w:p>
        </w:tc>
        <w:tc>
          <w:tcPr>
            <w:tcW w:w="1781" w:type="dxa"/>
          </w:tcPr>
          <w:p w:rsidR="001E65EA" w:rsidRDefault="001E65EA" w:rsidP="001E65EA">
            <w:r>
              <w:t>Submission on</w:t>
            </w:r>
          </w:p>
        </w:tc>
      </w:tr>
      <w:tr w:rsidR="001E65EA" w:rsidTr="004E75A8">
        <w:tc>
          <w:tcPr>
            <w:tcW w:w="534" w:type="dxa"/>
          </w:tcPr>
          <w:p w:rsidR="001E65EA" w:rsidRPr="001E65EA" w:rsidRDefault="001E65EA" w:rsidP="001E65EA">
            <w:r>
              <w:t>1</w:t>
            </w:r>
          </w:p>
        </w:tc>
        <w:tc>
          <w:tcPr>
            <w:tcW w:w="4819" w:type="dxa"/>
            <w:vAlign w:val="top"/>
          </w:tcPr>
          <w:p w:rsidR="001E65EA" w:rsidRPr="001E65EA" w:rsidRDefault="001E65EA" w:rsidP="005D44B3">
            <w:r w:rsidRPr="001E65EA">
              <w:t xml:space="preserve">Radio Rentals/RT Edwards </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4E75A8" w:rsidP="001E65EA">
            <w:r>
              <w:t>2</w:t>
            </w:r>
          </w:p>
        </w:tc>
        <w:tc>
          <w:tcPr>
            <w:tcW w:w="4819" w:type="dxa"/>
            <w:vAlign w:val="top"/>
          </w:tcPr>
          <w:p w:rsidR="001E65EA" w:rsidRPr="001E65EA" w:rsidRDefault="001E65EA" w:rsidP="001E65EA">
            <w:r w:rsidRPr="001E65EA">
              <w:t>Thew &amp; McCann Group (TMAC)</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c>
          <w:tcPr>
            <w:tcW w:w="534" w:type="dxa"/>
          </w:tcPr>
          <w:p w:rsidR="001E65EA" w:rsidRDefault="004E75A8" w:rsidP="001E65EA">
            <w:r>
              <w:t>3</w:t>
            </w:r>
          </w:p>
        </w:tc>
        <w:tc>
          <w:tcPr>
            <w:tcW w:w="4819" w:type="dxa"/>
            <w:vAlign w:val="top"/>
          </w:tcPr>
          <w:p w:rsidR="001E65EA" w:rsidRPr="001E65EA" w:rsidRDefault="001E65EA" w:rsidP="001E65EA">
            <w:r w:rsidRPr="001E65EA">
              <w:t>Dreamworld</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4E75A8" w:rsidP="001E65EA">
            <w:r>
              <w:t>4</w:t>
            </w:r>
          </w:p>
        </w:tc>
        <w:tc>
          <w:tcPr>
            <w:tcW w:w="4819" w:type="dxa"/>
            <w:vAlign w:val="top"/>
          </w:tcPr>
          <w:p w:rsidR="001E65EA" w:rsidRPr="001E65EA" w:rsidRDefault="001E65EA" w:rsidP="001E65EA">
            <w:r w:rsidRPr="001E65EA">
              <w:t>Queensland Consumer</w:t>
            </w:r>
            <w:r w:rsidR="00371DEF">
              <w:t>s</w:t>
            </w:r>
            <w:r w:rsidRPr="001E65EA">
              <w:t xml:space="preserve"> Association</w:t>
            </w:r>
          </w:p>
        </w:tc>
        <w:tc>
          <w:tcPr>
            <w:tcW w:w="1559" w:type="dxa"/>
          </w:tcPr>
          <w:p w:rsidR="001E65EA" w:rsidRDefault="005D44B3" w:rsidP="001E65EA">
            <w:r>
              <w:t>3</w:t>
            </w:r>
            <w:r w:rsidRPr="005D44B3">
              <w:t>0/01/2015</w:t>
            </w:r>
          </w:p>
        </w:tc>
        <w:tc>
          <w:tcPr>
            <w:tcW w:w="1781" w:type="dxa"/>
          </w:tcPr>
          <w:p w:rsidR="001E65EA" w:rsidRDefault="00D969B4" w:rsidP="001E65EA">
            <w:r>
              <w:t>Qld distributors</w:t>
            </w:r>
          </w:p>
        </w:tc>
      </w:tr>
      <w:tr w:rsidR="001E65EA" w:rsidTr="004E75A8">
        <w:tc>
          <w:tcPr>
            <w:tcW w:w="534" w:type="dxa"/>
          </w:tcPr>
          <w:p w:rsidR="001E65EA" w:rsidRDefault="004E75A8" w:rsidP="001E65EA">
            <w:r>
              <w:t>5</w:t>
            </w:r>
          </w:p>
        </w:tc>
        <w:tc>
          <w:tcPr>
            <w:tcW w:w="4819" w:type="dxa"/>
            <w:vAlign w:val="top"/>
          </w:tcPr>
          <w:p w:rsidR="001E65EA" w:rsidRPr="001E65EA" w:rsidRDefault="001E65EA" w:rsidP="001E65EA">
            <w:r w:rsidRPr="001E65EA">
              <w:t>Daikin Australia P/L</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4E75A8" w:rsidP="001E65EA">
            <w:r>
              <w:t>6</w:t>
            </w:r>
          </w:p>
        </w:tc>
        <w:tc>
          <w:tcPr>
            <w:tcW w:w="4819" w:type="dxa"/>
            <w:vAlign w:val="top"/>
          </w:tcPr>
          <w:p w:rsidR="001E65EA" w:rsidRPr="001E65EA" w:rsidRDefault="001E65EA" w:rsidP="001E65EA">
            <w:r w:rsidRPr="001E65EA">
              <w:t>Darling Downs Cotton Growers</w:t>
            </w:r>
          </w:p>
        </w:tc>
        <w:tc>
          <w:tcPr>
            <w:tcW w:w="1559" w:type="dxa"/>
          </w:tcPr>
          <w:p w:rsidR="001E65EA" w:rsidRDefault="005D44B3" w:rsidP="001E65EA">
            <w:r>
              <w:t>3</w:t>
            </w:r>
            <w:r w:rsidRPr="005D44B3">
              <w:t>0/01/2015</w:t>
            </w:r>
          </w:p>
        </w:tc>
        <w:tc>
          <w:tcPr>
            <w:tcW w:w="1781" w:type="dxa"/>
          </w:tcPr>
          <w:p w:rsidR="001E65EA" w:rsidRDefault="004E75A8" w:rsidP="001E65EA">
            <w:r>
              <w:t>Qld distributors</w:t>
            </w:r>
          </w:p>
        </w:tc>
      </w:tr>
      <w:tr w:rsidR="001E65EA" w:rsidTr="004E75A8">
        <w:tc>
          <w:tcPr>
            <w:tcW w:w="534" w:type="dxa"/>
          </w:tcPr>
          <w:p w:rsidR="001E65EA" w:rsidRDefault="004E75A8" w:rsidP="001E65EA">
            <w:r>
              <w:t>7</w:t>
            </w:r>
          </w:p>
        </w:tc>
        <w:tc>
          <w:tcPr>
            <w:tcW w:w="4819" w:type="dxa"/>
            <w:vAlign w:val="top"/>
          </w:tcPr>
          <w:p w:rsidR="001E65EA" w:rsidRPr="001E65EA" w:rsidRDefault="001E65EA" w:rsidP="001E65EA">
            <w:r w:rsidRPr="001E65EA">
              <w:t>Swimming Pool &amp; Spa Association of Queensland (SPASA)</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4E75A8" w:rsidP="001E65EA">
            <w:r>
              <w:t>8</w:t>
            </w:r>
          </w:p>
        </w:tc>
        <w:tc>
          <w:tcPr>
            <w:tcW w:w="4819" w:type="dxa"/>
            <w:vAlign w:val="top"/>
          </w:tcPr>
          <w:p w:rsidR="001E65EA" w:rsidRPr="001E65EA" w:rsidRDefault="001E65EA" w:rsidP="001E65EA">
            <w:r w:rsidRPr="001E65EA">
              <w:t>George Wilkenfeld and Associates</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c>
          <w:tcPr>
            <w:tcW w:w="534" w:type="dxa"/>
          </w:tcPr>
          <w:p w:rsidR="001E65EA" w:rsidRDefault="004E75A8" w:rsidP="001E65EA">
            <w:r>
              <w:t>9</w:t>
            </w:r>
          </w:p>
        </w:tc>
        <w:tc>
          <w:tcPr>
            <w:tcW w:w="4819" w:type="dxa"/>
            <w:vAlign w:val="top"/>
          </w:tcPr>
          <w:p w:rsidR="001E65EA" w:rsidRPr="001E65EA" w:rsidRDefault="001E65EA" w:rsidP="001E65EA">
            <w:r w:rsidRPr="001E65EA">
              <w:t>Fujitsu General (Aust) Pty Ltd</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4E75A8" w:rsidP="001E65EA">
            <w:r>
              <w:t>10</w:t>
            </w:r>
          </w:p>
        </w:tc>
        <w:tc>
          <w:tcPr>
            <w:tcW w:w="4819" w:type="dxa"/>
            <w:vAlign w:val="top"/>
          </w:tcPr>
          <w:p w:rsidR="001E65EA" w:rsidRPr="001E65EA" w:rsidRDefault="001E65EA" w:rsidP="001E65EA">
            <w:r w:rsidRPr="001E65EA">
              <w:t>Energy Retailers Association of Australia (ERAA)</w:t>
            </w:r>
          </w:p>
        </w:tc>
        <w:tc>
          <w:tcPr>
            <w:tcW w:w="1559" w:type="dxa"/>
          </w:tcPr>
          <w:p w:rsidR="001E65EA" w:rsidRDefault="005D44B3" w:rsidP="001E65EA">
            <w:r>
              <w:t>3</w:t>
            </w:r>
            <w:r w:rsidRPr="005D44B3">
              <w:t>0/01/2015</w:t>
            </w:r>
          </w:p>
        </w:tc>
        <w:tc>
          <w:tcPr>
            <w:tcW w:w="1781" w:type="dxa"/>
          </w:tcPr>
          <w:p w:rsidR="001E65EA" w:rsidRDefault="00D969B4" w:rsidP="001E65EA">
            <w:r>
              <w:t>Qld distributors</w:t>
            </w:r>
          </w:p>
        </w:tc>
      </w:tr>
      <w:tr w:rsidR="001E65EA" w:rsidTr="004E75A8">
        <w:tc>
          <w:tcPr>
            <w:tcW w:w="534" w:type="dxa"/>
          </w:tcPr>
          <w:p w:rsidR="001E65EA" w:rsidRDefault="004E75A8" w:rsidP="001E65EA">
            <w:r>
              <w:t>11</w:t>
            </w:r>
          </w:p>
        </w:tc>
        <w:tc>
          <w:tcPr>
            <w:tcW w:w="4819" w:type="dxa"/>
            <w:vAlign w:val="top"/>
          </w:tcPr>
          <w:p w:rsidR="001E65EA" w:rsidRPr="001E65EA" w:rsidRDefault="001E65EA" w:rsidP="001E65EA">
            <w:r w:rsidRPr="001E65EA">
              <w:t>Sekisui House Services (Qld) Pty Ltd</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4E75A8" w:rsidP="001E65EA">
            <w:r>
              <w:t>12</w:t>
            </w:r>
          </w:p>
        </w:tc>
        <w:tc>
          <w:tcPr>
            <w:tcW w:w="4819" w:type="dxa"/>
            <w:vAlign w:val="top"/>
          </w:tcPr>
          <w:p w:rsidR="001E65EA" w:rsidRPr="001E65EA" w:rsidRDefault="001E65EA" w:rsidP="001E65EA">
            <w:r w:rsidRPr="001E65EA">
              <w:t>CitySmart Pty Ltd (Brisbane City Council Sustainability Agency)</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c>
          <w:tcPr>
            <w:tcW w:w="534" w:type="dxa"/>
          </w:tcPr>
          <w:p w:rsidR="001E65EA" w:rsidRDefault="004E75A8" w:rsidP="001E65EA">
            <w:r>
              <w:t>13</w:t>
            </w:r>
          </w:p>
        </w:tc>
        <w:tc>
          <w:tcPr>
            <w:tcW w:w="4819" w:type="dxa"/>
            <w:vAlign w:val="top"/>
          </w:tcPr>
          <w:p w:rsidR="001E65EA" w:rsidRPr="001E65EA" w:rsidRDefault="001E65EA" w:rsidP="001E65EA">
            <w:r w:rsidRPr="001E65EA">
              <w:t>Local Government Association of Queensland</w:t>
            </w:r>
          </w:p>
        </w:tc>
        <w:tc>
          <w:tcPr>
            <w:tcW w:w="1559" w:type="dxa"/>
          </w:tcPr>
          <w:p w:rsidR="001E65EA" w:rsidRDefault="005D44B3" w:rsidP="001E65EA">
            <w:r>
              <w:t>3</w:t>
            </w:r>
            <w:r w:rsidRPr="005D44B3">
              <w:t>0/01/2015</w:t>
            </w:r>
          </w:p>
        </w:tc>
        <w:tc>
          <w:tcPr>
            <w:tcW w:w="1781" w:type="dxa"/>
          </w:tcPr>
          <w:p w:rsidR="001E65EA" w:rsidRDefault="00D969B4" w:rsidP="001E65EA">
            <w:r>
              <w:t>Qld distributors</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4E75A8" w:rsidP="001E65EA">
            <w:r>
              <w:t>14</w:t>
            </w:r>
          </w:p>
        </w:tc>
        <w:tc>
          <w:tcPr>
            <w:tcW w:w="4819" w:type="dxa"/>
            <w:vAlign w:val="top"/>
          </w:tcPr>
          <w:p w:rsidR="001E65EA" w:rsidRPr="001E65EA" w:rsidRDefault="001E65EA" w:rsidP="001E65EA">
            <w:r w:rsidRPr="001E65EA">
              <w:t>Cotton Australia</w:t>
            </w:r>
          </w:p>
        </w:tc>
        <w:tc>
          <w:tcPr>
            <w:tcW w:w="1559" w:type="dxa"/>
          </w:tcPr>
          <w:p w:rsidR="001E65EA" w:rsidRDefault="005D44B3" w:rsidP="001E65EA">
            <w:r>
              <w:t>3</w:t>
            </w:r>
            <w:r w:rsidRPr="005D44B3">
              <w:t>0/01/2015</w:t>
            </w:r>
          </w:p>
        </w:tc>
        <w:tc>
          <w:tcPr>
            <w:tcW w:w="1781" w:type="dxa"/>
          </w:tcPr>
          <w:p w:rsidR="001E65EA" w:rsidRDefault="004E75A8" w:rsidP="001E65EA">
            <w:r>
              <w:t>Qld distributors</w:t>
            </w:r>
          </w:p>
        </w:tc>
      </w:tr>
      <w:tr w:rsidR="001E65EA" w:rsidTr="004E75A8">
        <w:tc>
          <w:tcPr>
            <w:tcW w:w="534" w:type="dxa"/>
          </w:tcPr>
          <w:p w:rsidR="001E65EA" w:rsidRDefault="004E75A8" w:rsidP="001E65EA">
            <w:r>
              <w:t>15</w:t>
            </w:r>
          </w:p>
        </w:tc>
        <w:tc>
          <w:tcPr>
            <w:tcW w:w="4819" w:type="dxa"/>
            <w:vAlign w:val="top"/>
          </w:tcPr>
          <w:p w:rsidR="001E65EA" w:rsidRPr="001E65EA" w:rsidRDefault="001E65EA" w:rsidP="001E65EA">
            <w:r w:rsidRPr="001E65EA">
              <w:t>Cally Wilson (individual)</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16</w:t>
            </w:r>
          </w:p>
        </w:tc>
        <w:tc>
          <w:tcPr>
            <w:tcW w:w="4819" w:type="dxa"/>
            <w:vAlign w:val="top"/>
          </w:tcPr>
          <w:p w:rsidR="001E65EA" w:rsidRPr="001E65EA" w:rsidRDefault="001E65EA" w:rsidP="001E65EA">
            <w:r w:rsidRPr="001E65EA">
              <w:t>Landis+Gyr</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c>
          <w:tcPr>
            <w:tcW w:w="534" w:type="dxa"/>
          </w:tcPr>
          <w:p w:rsidR="001E65EA" w:rsidRDefault="00D969B4" w:rsidP="001E65EA">
            <w:r>
              <w:t>17</w:t>
            </w:r>
          </w:p>
        </w:tc>
        <w:tc>
          <w:tcPr>
            <w:tcW w:w="4819" w:type="dxa"/>
            <w:vAlign w:val="top"/>
          </w:tcPr>
          <w:p w:rsidR="001E65EA" w:rsidRPr="001E65EA" w:rsidRDefault="001E65EA" w:rsidP="001E65EA">
            <w:r w:rsidRPr="001E65EA">
              <w:t>Vector Limited</w:t>
            </w:r>
          </w:p>
        </w:tc>
        <w:tc>
          <w:tcPr>
            <w:tcW w:w="1559" w:type="dxa"/>
          </w:tcPr>
          <w:p w:rsidR="001E65EA" w:rsidRDefault="005D44B3" w:rsidP="001E65EA">
            <w:r>
              <w:t>3</w:t>
            </w:r>
            <w:r w:rsidRPr="005D44B3">
              <w:t>0/01/2015</w:t>
            </w:r>
          </w:p>
        </w:tc>
        <w:tc>
          <w:tcPr>
            <w:tcW w:w="1781" w:type="dxa"/>
          </w:tcPr>
          <w:p w:rsidR="001E65EA" w:rsidRDefault="00D969B4" w:rsidP="001E65EA">
            <w:r>
              <w:t>Qld and SA distributors</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18</w:t>
            </w:r>
          </w:p>
        </w:tc>
        <w:tc>
          <w:tcPr>
            <w:tcW w:w="4819" w:type="dxa"/>
            <w:vAlign w:val="top"/>
          </w:tcPr>
          <w:p w:rsidR="001E65EA" w:rsidRPr="001E65EA" w:rsidRDefault="001E65EA" w:rsidP="001E65EA">
            <w:r w:rsidRPr="001E65EA">
              <w:t>Canegrowers</w:t>
            </w:r>
          </w:p>
        </w:tc>
        <w:tc>
          <w:tcPr>
            <w:tcW w:w="1559" w:type="dxa"/>
          </w:tcPr>
          <w:p w:rsidR="001E65EA" w:rsidRDefault="005D44B3" w:rsidP="001E65EA">
            <w:r>
              <w:t>3</w:t>
            </w:r>
            <w:r w:rsidRPr="005D44B3">
              <w:t>0/01/2015</w:t>
            </w:r>
          </w:p>
        </w:tc>
        <w:tc>
          <w:tcPr>
            <w:tcW w:w="1781" w:type="dxa"/>
          </w:tcPr>
          <w:p w:rsidR="001E65EA" w:rsidRDefault="004E75A8" w:rsidP="001E65EA">
            <w:r>
              <w:t>Qld distributors</w:t>
            </w:r>
          </w:p>
        </w:tc>
      </w:tr>
      <w:tr w:rsidR="001E65EA" w:rsidTr="004E75A8">
        <w:tc>
          <w:tcPr>
            <w:tcW w:w="534" w:type="dxa"/>
          </w:tcPr>
          <w:p w:rsidR="001E65EA" w:rsidRDefault="00D969B4" w:rsidP="001E65EA">
            <w:r>
              <w:t>19</w:t>
            </w:r>
          </w:p>
        </w:tc>
        <w:tc>
          <w:tcPr>
            <w:tcW w:w="4819" w:type="dxa"/>
            <w:vAlign w:val="top"/>
          </w:tcPr>
          <w:p w:rsidR="001E65EA" w:rsidRPr="001E65EA" w:rsidRDefault="001E65EA" w:rsidP="005434DE">
            <w:r w:rsidRPr="001E65EA">
              <w:t>Simply Energy</w:t>
            </w:r>
            <w:r w:rsidR="005434DE">
              <w:t xml:space="preserve"> (Confidential submission)</w:t>
            </w:r>
          </w:p>
        </w:tc>
        <w:tc>
          <w:tcPr>
            <w:tcW w:w="1559" w:type="dxa"/>
          </w:tcPr>
          <w:p w:rsidR="001E65EA" w:rsidRDefault="004E75A8" w:rsidP="001E65EA">
            <w:r>
              <w:t>30/01/2015</w:t>
            </w:r>
          </w:p>
        </w:tc>
        <w:tc>
          <w:tcPr>
            <w:tcW w:w="1781" w:type="dxa"/>
          </w:tcPr>
          <w:p w:rsidR="001E65EA" w:rsidRDefault="00D969B4" w:rsidP="001E65EA">
            <w:r>
              <w:t>Energex</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20</w:t>
            </w:r>
          </w:p>
        </w:tc>
        <w:tc>
          <w:tcPr>
            <w:tcW w:w="4819" w:type="dxa"/>
            <w:vAlign w:val="top"/>
          </w:tcPr>
          <w:p w:rsidR="001E65EA" w:rsidRPr="001E65EA" w:rsidRDefault="001E65EA" w:rsidP="001E65EA">
            <w:r w:rsidRPr="001E65EA">
              <w:t>Central Highlands Cotton Growers &amp; Irrigators Inc.</w:t>
            </w:r>
          </w:p>
        </w:tc>
        <w:tc>
          <w:tcPr>
            <w:tcW w:w="1559" w:type="dxa"/>
          </w:tcPr>
          <w:p w:rsidR="001E65EA" w:rsidRDefault="005D44B3" w:rsidP="001E65EA">
            <w:r>
              <w:t>3</w:t>
            </w:r>
            <w:r w:rsidRPr="005D44B3">
              <w:t>0/01/2015</w:t>
            </w:r>
          </w:p>
        </w:tc>
        <w:tc>
          <w:tcPr>
            <w:tcW w:w="1781" w:type="dxa"/>
          </w:tcPr>
          <w:p w:rsidR="001E65EA" w:rsidRDefault="004E75A8" w:rsidP="001E65EA">
            <w:r>
              <w:t>Qld distributors</w:t>
            </w:r>
          </w:p>
        </w:tc>
      </w:tr>
      <w:tr w:rsidR="001E65EA" w:rsidTr="004E75A8">
        <w:tc>
          <w:tcPr>
            <w:tcW w:w="534" w:type="dxa"/>
          </w:tcPr>
          <w:p w:rsidR="001E65EA" w:rsidRDefault="00D969B4" w:rsidP="001E65EA">
            <w:r>
              <w:t>21</w:t>
            </w:r>
          </w:p>
        </w:tc>
        <w:tc>
          <w:tcPr>
            <w:tcW w:w="4819" w:type="dxa"/>
            <w:vAlign w:val="top"/>
          </w:tcPr>
          <w:p w:rsidR="001E65EA" w:rsidRPr="001E65EA" w:rsidRDefault="001E65EA" w:rsidP="001E65EA">
            <w:r w:rsidRPr="001E65EA">
              <w:t>Electrical Trades Union (ETU)</w:t>
            </w:r>
          </w:p>
        </w:tc>
        <w:tc>
          <w:tcPr>
            <w:tcW w:w="1559" w:type="dxa"/>
          </w:tcPr>
          <w:p w:rsidR="001E65EA" w:rsidRDefault="005D44B3" w:rsidP="001E65EA">
            <w:r>
              <w:t>3</w:t>
            </w:r>
            <w:r w:rsidRPr="005D44B3">
              <w:t>0/01/2015</w:t>
            </w:r>
          </w:p>
        </w:tc>
        <w:tc>
          <w:tcPr>
            <w:tcW w:w="1781" w:type="dxa"/>
          </w:tcPr>
          <w:p w:rsidR="001E65EA" w:rsidRDefault="004E75A8" w:rsidP="001E65EA">
            <w:r>
              <w:t>Qld distributors</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22</w:t>
            </w:r>
          </w:p>
        </w:tc>
        <w:tc>
          <w:tcPr>
            <w:tcW w:w="4819" w:type="dxa"/>
            <w:vAlign w:val="top"/>
          </w:tcPr>
          <w:p w:rsidR="001E65EA" w:rsidRPr="001E65EA" w:rsidRDefault="001E65EA" w:rsidP="005434DE">
            <w:r w:rsidRPr="001E65EA">
              <w:t xml:space="preserve">Energy Users Association of Australia (EUAA) </w:t>
            </w:r>
          </w:p>
        </w:tc>
        <w:tc>
          <w:tcPr>
            <w:tcW w:w="1559" w:type="dxa"/>
          </w:tcPr>
          <w:p w:rsidR="001E65EA" w:rsidRDefault="005D44B3" w:rsidP="001E65EA">
            <w:r>
              <w:t>3</w:t>
            </w:r>
            <w:r w:rsidRPr="005D44B3">
              <w:t>0/01/2015</w:t>
            </w:r>
          </w:p>
        </w:tc>
        <w:tc>
          <w:tcPr>
            <w:tcW w:w="1781" w:type="dxa"/>
          </w:tcPr>
          <w:p w:rsidR="001E65EA" w:rsidRDefault="00D969B4" w:rsidP="001E65EA">
            <w:r>
              <w:t>Energex</w:t>
            </w:r>
          </w:p>
        </w:tc>
      </w:tr>
      <w:tr w:rsidR="001E65EA" w:rsidTr="004E75A8">
        <w:tc>
          <w:tcPr>
            <w:tcW w:w="534" w:type="dxa"/>
          </w:tcPr>
          <w:p w:rsidR="001E65EA" w:rsidRDefault="00D969B4" w:rsidP="001E65EA">
            <w:r>
              <w:t>23</w:t>
            </w:r>
          </w:p>
        </w:tc>
        <w:tc>
          <w:tcPr>
            <w:tcW w:w="4819" w:type="dxa"/>
            <w:vAlign w:val="top"/>
          </w:tcPr>
          <w:p w:rsidR="001E65EA" w:rsidRPr="001E65EA" w:rsidRDefault="001E65EA" w:rsidP="001E65EA">
            <w:r w:rsidRPr="001E65EA">
              <w:t>Australian PV Institute</w:t>
            </w:r>
          </w:p>
        </w:tc>
        <w:tc>
          <w:tcPr>
            <w:tcW w:w="1559" w:type="dxa"/>
          </w:tcPr>
          <w:p w:rsidR="001E65EA" w:rsidRDefault="005D44B3" w:rsidP="001E65EA">
            <w:r>
              <w:t>3</w:t>
            </w:r>
            <w:r w:rsidRPr="005D44B3">
              <w:t>0/01/2015</w:t>
            </w:r>
          </w:p>
        </w:tc>
        <w:tc>
          <w:tcPr>
            <w:tcW w:w="1781" w:type="dxa"/>
          </w:tcPr>
          <w:p w:rsidR="001E65EA" w:rsidRDefault="004E75A8" w:rsidP="001E65EA">
            <w:r>
              <w:t>Qld distributors</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24</w:t>
            </w:r>
          </w:p>
        </w:tc>
        <w:tc>
          <w:tcPr>
            <w:tcW w:w="4819" w:type="dxa"/>
            <w:vAlign w:val="top"/>
          </w:tcPr>
          <w:p w:rsidR="001E65EA" w:rsidRPr="001E65EA" w:rsidRDefault="001E65EA" w:rsidP="001E65EA">
            <w:r w:rsidRPr="001E65EA">
              <w:t>AGL</w:t>
            </w:r>
          </w:p>
        </w:tc>
        <w:tc>
          <w:tcPr>
            <w:tcW w:w="1559" w:type="dxa"/>
          </w:tcPr>
          <w:p w:rsidR="001E65EA" w:rsidRDefault="005D44B3" w:rsidP="001E65EA">
            <w:r>
              <w:t>30/01/2015</w:t>
            </w:r>
          </w:p>
        </w:tc>
        <w:tc>
          <w:tcPr>
            <w:tcW w:w="1781" w:type="dxa"/>
          </w:tcPr>
          <w:p w:rsidR="001E65EA" w:rsidRDefault="004E75A8" w:rsidP="001E65EA">
            <w:r>
              <w:t>Energex</w:t>
            </w:r>
          </w:p>
        </w:tc>
      </w:tr>
      <w:tr w:rsidR="001E65EA" w:rsidTr="004E75A8">
        <w:tc>
          <w:tcPr>
            <w:tcW w:w="534" w:type="dxa"/>
          </w:tcPr>
          <w:p w:rsidR="001E65EA" w:rsidRDefault="00D969B4" w:rsidP="001E65EA">
            <w:r>
              <w:t>25</w:t>
            </w:r>
          </w:p>
        </w:tc>
        <w:tc>
          <w:tcPr>
            <w:tcW w:w="4819" w:type="dxa"/>
            <w:vAlign w:val="top"/>
          </w:tcPr>
          <w:p w:rsidR="001E65EA" w:rsidRPr="001E65EA" w:rsidRDefault="001E65EA" w:rsidP="001E65EA">
            <w:r w:rsidRPr="001E65EA">
              <w:t>Sunshine Coast Council</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1E65EA"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26</w:t>
            </w:r>
          </w:p>
        </w:tc>
        <w:tc>
          <w:tcPr>
            <w:tcW w:w="4819" w:type="dxa"/>
            <w:vAlign w:val="top"/>
          </w:tcPr>
          <w:p w:rsidR="001E65EA" w:rsidRPr="001E65EA" w:rsidRDefault="001E65EA" w:rsidP="001E65EA">
            <w:r w:rsidRPr="001E65EA">
              <w:t>Canegrowers Isis</w:t>
            </w:r>
          </w:p>
        </w:tc>
        <w:tc>
          <w:tcPr>
            <w:tcW w:w="1559" w:type="dxa"/>
          </w:tcPr>
          <w:p w:rsidR="001E65EA" w:rsidRDefault="005D44B3" w:rsidP="001E65EA">
            <w:r>
              <w:t>3</w:t>
            </w:r>
            <w:r w:rsidRPr="005D44B3">
              <w:t>0/01/2015</w:t>
            </w:r>
          </w:p>
        </w:tc>
        <w:tc>
          <w:tcPr>
            <w:tcW w:w="1781" w:type="dxa"/>
          </w:tcPr>
          <w:p w:rsidR="001E65EA" w:rsidRDefault="004E75A8" w:rsidP="001E65EA">
            <w:r>
              <w:t>Qld distributors</w:t>
            </w:r>
          </w:p>
        </w:tc>
      </w:tr>
      <w:tr w:rsidR="001E65EA" w:rsidTr="004E75A8">
        <w:tc>
          <w:tcPr>
            <w:tcW w:w="534" w:type="dxa"/>
          </w:tcPr>
          <w:p w:rsidR="001E65EA" w:rsidRDefault="00D969B4" w:rsidP="001E65EA">
            <w:r>
              <w:t>27</w:t>
            </w:r>
          </w:p>
        </w:tc>
        <w:tc>
          <w:tcPr>
            <w:tcW w:w="4819" w:type="dxa"/>
            <w:vAlign w:val="top"/>
          </w:tcPr>
          <w:p w:rsidR="001E65EA" w:rsidRPr="001E65EA" w:rsidRDefault="001E65EA" w:rsidP="001E65EA">
            <w:r w:rsidRPr="001E65EA">
              <w:t xml:space="preserve">Origin </w:t>
            </w:r>
          </w:p>
        </w:tc>
        <w:tc>
          <w:tcPr>
            <w:tcW w:w="1559" w:type="dxa"/>
          </w:tcPr>
          <w:p w:rsidR="001E65EA" w:rsidRDefault="005D44B3" w:rsidP="001E65EA">
            <w:r>
              <w:t>3</w:t>
            </w:r>
            <w:r w:rsidRPr="005D44B3">
              <w:t>0/01/2015</w:t>
            </w:r>
          </w:p>
        </w:tc>
        <w:tc>
          <w:tcPr>
            <w:tcW w:w="1781" w:type="dxa"/>
          </w:tcPr>
          <w:p w:rsidR="001E65EA" w:rsidRDefault="00D969B4" w:rsidP="001E65EA">
            <w:r>
              <w:t>Qld distributors</w:t>
            </w:r>
          </w:p>
        </w:tc>
      </w:tr>
      <w:tr w:rsidR="004E75A8"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28</w:t>
            </w:r>
          </w:p>
        </w:tc>
        <w:tc>
          <w:tcPr>
            <w:tcW w:w="4819" w:type="dxa"/>
            <w:vAlign w:val="top"/>
          </w:tcPr>
          <w:p w:rsidR="001E65EA" w:rsidRPr="001E65EA" w:rsidRDefault="001E65EA" w:rsidP="001E65EA">
            <w:r w:rsidRPr="001E65EA">
              <w:t>Energex</w:t>
            </w:r>
            <w:r w:rsidR="00D969B4">
              <w:t xml:space="preserve"> response to </w:t>
            </w:r>
            <w:r w:rsidR="00D969B4" w:rsidRPr="00D969B4">
              <w:t>AER issues paper</w:t>
            </w:r>
          </w:p>
        </w:tc>
        <w:tc>
          <w:tcPr>
            <w:tcW w:w="1559" w:type="dxa"/>
          </w:tcPr>
          <w:p w:rsidR="001E65EA" w:rsidRDefault="005D44B3" w:rsidP="001E65EA">
            <w:r>
              <w:t>3</w:t>
            </w:r>
            <w:r w:rsidRPr="005D44B3">
              <w:t>0/01/2015</w:t>
            </w:r>
          </w:p>
        </w:tc>
        <w:tc>
          <w:tcPr>
            <w:tcW w:w="1781" w:type="dxa"/>
          </w:tcPr>
          <w:p w:rsidR="001E65EA" w:rsidRDefault="004E75A8" w:rsidP="001E65EA">
            <w:r>
              <w:t>Energex</w:t>
            </w:r>
          </w:p>
        </w:tc>
      </w:tr>
      <w:tr w:rsidR="004E75A8" w:rsidTr="004E75A8">
        <w:tc>
          <w:tcPr>
            <w:tcW w:w="534" w:type="dxa"/>
          </w:tcPr>
          <w:p w:rsidR="001E65EA" w:rsidRDefault="00D969B4" w:rsidP="001E65EA">
            <w:r>
              <w:t>29</w:t>
            </w:r>
          </w:p>
        </w:tc>
        <w:tc>
          <w:tcPr>
            <w:tcW w:w="4819" w:type="dxa"/>
            <w:vAlign w:val="top"/>
          </w:tcPr>
          <w:p w:rsidR="001E65EA" w:rsidRPr="001E65EA" w:rsidRDefault="001E65EA" w:rsidP="001E65EA">
            <w:r w:rsidRPr="001E65EA">
              <w:t>Regional Development Australia Far North Queensland &amp; Torres Strait Inc.</w:t>
            </w:r>
          </w:p>
        </w:tc>
        <w:tc>
          <w:tcPr>
            <w:tcW w:w="1559" w:type="dxa"/>
          </w:tcPr>
          <w:p w:rsidR="001E65EA" w:rsidRDefault="005D44B3" w:rsidP="001E65EA">
            <w:r>
              <w:t>3</w:t>
            </w:r>
            <w:r w:rsidRPr="005D44B3">
              <w:t>0/01/2015</w:t>
            </w:r>
          </w:p>
        </w:tc>
        <w:tc>
          <w:tcPr>
            <w:tcW w:w="1781" w:type="dxa"/>
          </w:tcPr>
          <w:p w:rsidR="001E65EA" w:rsidRDefault="00D969B4" w:rsidP="001E65EA">
            <w:r>
              <w:t>Qld distributors</w:t>
            </w:r>
          </w:p>
        </w:tc>
      </w:tr>
      <w:tr w:rsidR="004E75A8"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30</w:t>
            </w:r>
          </w:p>
        </w:tc>
        <w:tc>
          <w:tcPr>
            <w:tcW w:w="4819" w:type="dxa"/>
            <w:vAlign w:val="top"/>
          </w:tcPr>
          <w:p w:rsidR="001E65EA" w:rsidRPr="001E65EA" w:rsidRDefault="001E65EA" w:rsidP="001E65EA">
            <w:r w:rsidRPr="001E65EA">
              <w:t>Queensland Council of Social Service (QCOSS)</w:t>
            </w:r>
          </w:p>
        </w:tc>
        <w:tc>
          <w:tcPr>
            <w:tcW w:w="1559" w:type="dxa"/>
          </w:tcPr>
          <w:p w:rsidR="001E65EA" w:rsidRDefault="005D44B3" w:rsidP="001E65EA">
            <w:r>
              <w:t>3</w:t>
            </w:r>
            <w:r w:rsidRPr="005D44B3">
              <w:t>0/01/2015</w:t>
            </w:r>
          </w:p>
        </w:tc>
        <w:tc>
          <w:tcPr>
            <w:tcW w:w="1781" w:type="dxa"/>
          </w:tcPr>
          <w:p w:rsidR="001E65EA" w:rsidRDefault="00D969B4" w:rsidP="001E65EA">
            <w:r>
              <w:t>Qld distributors</w:t>
            </w:r>
          </w:p>
        </w:tc>
      </w:tr>
      <w:tr w:rsidR="004E75A8" w:rsidTr="004E75A8">
        <w:tc>
          <w:tcPr>
            <w:tcW w:w="534" w:type="dxa"/>
          </w:tcPr>
          <w:p w:rsidR="001E65EA" w:rsidRDefault="00D969B4" w:rsidP="001E65EA">
            <w:r>
              <w:t>31</w:t>
            </w:r>
          </w:p>
        </w:tc>
        <w:tc>
          <w:tcPr>
            <w:tcW w:w="4819" w:type="dxa"/>
            <w:vAlign w:val="top"/>
          </w:tcPr>
          <w:p w:rsidR="001E65EA" w:rsidRPr="001E65EA" w:rsidRDefault="004E75A8" w:rsidP="001E65EA">
            <w:r>
              <w:t>Consumer Challenge Panel Sub Panel 2</w:t>
            </w:r>
          </w:p>
        </w:tc>
        <w:tc>
          <w:tcPr>
            <w:tcW w:w="1559" w:type="dxa"/>
          </w:tcPr>
          <w:p w:rsidR="001E65EA" w:rsidRDefault="005D44B3" w:rsidP="001E65EA">
            <w:r>
              <w:t>30/01/2015</w:t>
            </w:r>
          </w:p>
        </w:tc>
        <w:tc>
          <w:tcPr>
            <w:tcW w:w="1781" w:type="dxa"/>
          </w:tcPr>
          <w:p w:rsidR="001E65EA" w:rsidRDefault="00D969B4" w:rsidP="001E65EA">
            <w:r>
              <w:t>Qld distributors</w:t>
            </w:r>
          </w:p>
        </w:tc>
      </w:tr>
      <w:tr w:rsidR="004E75A8"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32</w:t>
            </w:r>
          </w:p>
        </w:tc>
        <w:tc>
          <w:tcPr>
            <w:tcW w:w="4819" w:type="dxa"/>
            <w:vAlign w:val="top"/>
          </w:tcPr>
          <w:p w:rsidR="001E65EA" w:rsidRPr="001E65EA" w:rsidRDefault="001E65EA" w:rsidP="001E65EA">
            <w:r w:rsidRPr="001E65EA">
              <w:t>Total Environment Centre</w:t>
            </w:r>
          </w:p>
        </w:tc>
        <w:tc>
          <w:tcPr>
            <w:tcW w:w="1559" w:type="dxa"/>
          </w:tcPr>
          <w:p w:rsidR="001E65EA" w:rsidRDefault="005D44B3" w:rsidP="001E65EA">
            <w:r>
              <w:t>3</w:t>
            </w:r>
            <w:r w:rsidRPr="005D44B3">
              <w:t>0/01/2015</w:t>
            </w:r>
          </w:p>
        </w:tc>
        <w:tc>
          <w:tcPr>
            <w:tcW w:w="1781" w:type="dxa"/>
          </w:tcPr>
          <w:p w:rsidR="001E65EA" w:rsidRDefault="00D969B4" w:rsidP="001E65EA">
            <w:r>
              <w:t>Qld distributors</w:t>
            </w:r>
          </w:p>
        </w:tc>
      </w:tr>
      <w:tr w:rsidR="004E75A8" w:rsidTr="004E75A8">
        <w:tc>
          <w:tcPr>
            <w:tcW w:w="534" w:type="dxa"/>
          </w:tcPr>
          <w:p w:rsidR="001E65EA" w:rsidRDefault="00D969B4" w:rsidP="001E65EA">
            <w:r>
              <w:t>33</w:t>
            </w:r>
          </w:p>
        </w:tc>
        <w:tc>
          <w:tcPr>
            <w:tcW w:w="4819" w:type="dxa"/>
            <w:vAlign w:val="top"/>
          </w:tcPr>
          <w:p w:rsidR="001E65EA" w:rsidRPr="001E65EA" w:rsidRDefault="001E65EA" w:rsidP="001E65EA">
            <w:r w:rsidRPr="001E65EA">
              <w:t>Australians in Retirement</w:t>
            </w:r>
          </w:p>
        </w:tc>
        <w:tc>
          <w:tcPr>
            <w:tcW w:w="1559" w:type="dxa"/>
          </w:tcPr>
          <w:p w:rsidR="001E65EA" w:rsidRDefault="005D44B3" w:rsidP="001E65EA">
            <w:r>
              <w:t>3</w:t>
            </w:r>
            <w:r w:rsidRPr="005D44B3">
              <w:t>0/01/2015</w:t>
            </w:r>
          </w:p>
        </w:tc>
        <w:tc>
          <w:tcPr>
            <w:tcW w:w="1781" w:type="dxa"/>
          </w:tcPr>
          <w:p w:rsidR="001E65EA" w:rsidRDefault="004E75A8" w:rsidP="001E65EA">
            <w:r>
              <w:t>Qld distributors</w:t>
            </w:r>
          </w:p>
        </w:tc>
      </w:tr>
      <w:tr w:rsidR="004E75A8"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1E65EA" w:rsidRDefault="00D969B4" w:rsidP="001E65EA">
            <w:r>
              <w:t>34</w:t>
            </w:r>
          </w:p>
        </w:tc>
        <w:tc>
          <w:tcPr>
            <w:tcW w:w="4819" w:type="dxa"/>
            <w:vAlign w:val="top"/>
          </w:tcPr>
          <w:p w:rsidR="004E75A8" w:rsidRPr="001E65EA" w:rsidRDefault="001E65EA" w:rsidP="004E75A8">
            <w:r w:rsidRPr="001E65EA">
              <w:t xml:space="preserve">Chamber of Commerce &amp; Industry Queensland (CCIQ) </w:t>
            </w:r>
          </w:p>
        </w:tc>
        <w:tc>
          <w:tcPr>
            <w:tcW w:w="1559" w:type="dxa"/>
          </w:tcPr>
          <w:p w:rsidR="001E65EA" w:rsidRDefault="005D44B3" w:rsidP="001E65EA">
            <w:r>
              <w:t>3</w:t>
            </w:r>
            <w:r w:rsidRPr="005D44B3">
              <w:t>0/01/2015</w:t>
            </w:r>
          </w:p>
        </w:tc>
        <w:tc>
          <w:tcPr>
            <w:tcW w:w="1781" w:type="dxa"/>
          </w:tcPr>
          <w:p w:rsidR="001E65EA" w:rsidRDefault="005D44B3" w:rsidP="001E65EA">
            <w:r>
              <w:t>Energex</w:t>
            </w:r>
          </w:p>
        </w:tc>
      </w:tr>
      <w:tr w:rsidR="004E75A8" w:rsidTr="004E75A8">
        <w:tc>
          <w:tcPr>
            <w:tcW w:w="534" w:type="dxa"/>
          </w:tcPr>
          <w:p w:rsidR="001E65EA" w:rsidRDefault="00D969B4" w:rsidP="001E65EA">
            <w:r>
              <w:t>35</w:t>
            </w:r>
          </w:p>
        </w:tc>
        <w:tc>
          <w:tcPr>
            <w:tcW w:w="4819" w:type="dxa"/>
            <w:vAlign w:val="top"/>
          </w:tcPr>
          <w:p w:rsidR="001E65EA" w:rsidRPr="001E65EA" w:rsidRDefault="001E65EA" w:rsidP="005D44B3">
            <w:r w:rsidRPr="001E65EA">
              <w:t xml:space="preserve">COTA Qld </w:t>
            </w:r>
          </w:p>
        </w:tc>
        <w:tc>
          <w:tcPr>
            <w:tcW w:w="1559" w:type="dxa"/>
          </w:tcPr>
          <w:p w:rsidR="001E65EA" w:rsidRDefault="005D44B3" w:rsidP="001E65EA">
            <w:r>
              <w:t>3</w:t>
            </w:r>
            <w:r w:rsidRPr="005D44B3">
              <w:t>0/01/2015</w:t>
            </w:r>
          </w:p>
        </w:tc>
        <w:tc>
          <w:tcPr>
            <w:tcW w:w="1781" w:type="dxa"/>
          </w:tcPr>
          <w:p w:rsidR="001E65EA" w:rsidRDefault="005D44B3" w:rsidP="001E65EA">
            <w:r>
              <w:t>Energex</w:t>
            </w:r>
          </w:p>
        </w:tc>
      </w:tr>
      <w:tr w:rsidR="004E75A8"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4E75A8" w:rsidRDefault="00D969B4" w:rsidP="004E75A8">
            <w:r>
              <w:t>36</w:t>
            </w:r>
          </w:p>
        </w:tc>
        <w:tc>
          <w:tcPr>
            <w:tcW w:w="4819" w:type="dxa"/>
            <w:vAlign w:val="top"/>
          </w:tcPr>
          <w:p w:rsidR="004E75A8" w:rsidRPr="004E75A8" w:rsidRDefault="004E75A8" w:rsidP="004E75A8">
            <w:r w:rsidRPr="001E65EA">
              <w:t>Queensland Farmers Federation</w:t>
            </w:r>
          </w:p>
        </w:tc>
        <w:tc>
          <w:tcPr>
            <w:tcW w:w="1559" w:type="dxa"/>
          </w:tcPr>
          <w:p w:rsidR="004E75A8" w:rsidRPr="004E75A8" w:rsidRDefault="004E75A8" w:rsidP="004E75A8">
            <w:r>
              <w:t>05/02/2015</w:t>
            </w:r>
          </w:p>
        </w:tc>
        <w:tc>
          <w:tcPr>
            <w:tcW w:w="1781" w:type="dxa"/>
          </w:tcPr>
          <w:p w:rsidR="004E75A8" w:rsidRDefault="00D969B4" w:rsidP="004E75A8">
            <w:r>
              <w:t>Qld distributors</w:t>
            </w:r>
          </w:p>
        </w:tc>
      </w:tr>
      <w:tr w:rsidR="004E75A8" w:rsidTr="004E75A8">
        <w:tc>
          <w:tcPr>
            <w:tcW w:w="534" w:type="dxa"/>
          </w:tcPr>
          <w:p w:rsidR="004E75A8" w:rsidRDefault="00D969B4" w:rsidP="004E75A8">
            <w:r>
              <w:t>37</w:t>
            </w:r>
          </w:p>
        </w:tc>
        <w:tc>
          <w:tcPr>
            <w:tcW w:w="4819" w:type="dxa"/>
            <w:vAlign w:val="top"/>
          </w:tcPr>
          <w:p w:rsidR="004E75A8" w:rsidRPr="004E75A8" w:rsidRDefault="004E75A8" w:rsidP="004E75A8">
            <w:r w:rsidRPr="001E65EA">
              <w:t>The Good Guys</w:t>
            </w:r>
          </w:p>
        </w:tc>
        <w:tc>
          <w:tcPr>
            <w:tcW w:w="1559" w:type="dxa"/>
          </w:tcPr>
          <w:p w:rsidR="004E75A8" w:rsidRPr="004E75A8" w:rsidRDefault="004E75A8" w:rsidP="004E75A8">
            <w:r>
              <w:t>05/02/2015</w:t>
            </w:r>
          </w:p>
        </w:tc>
        <w:tc>
          <w:tcPr>
            <w:tcW w:w="1781" w:type="dxa"/>
          </w:tcPr>
          <w:p w:rsidR="004E75A8" w:rsidRDefault="00D969B4" w:rsidP="004E75A8">
            <w:r>
              <w:t>Energex</w:t>
            </w:r>
          </w:p>
        </w:tc>
      </w:tr>
      <w:tr w:rsidR="005D44B3" w:rsidTr="004E75A8">
        <w:trPr>
          <w:cnfStyle w:val="000000010000" w:firstRow="0" w:lastRow="0" w:firstColumn="0" w:lastColumn="0" w:oddVBand="0" w:evenVBand="0" w:oddHBand="0" w:evenHBand="1" w:firstRowFirstColumn="0" w:firstRowLastColumn="0" w:lastRowFirstColumn="0" w:lastRowLastColumn="0"/>
        </w:trPr>
        <w:tc>
          <w:tcPr>
            <w:tcW w:w="534" w:type="dxa"/>
          </w:tcPr>
          <w:p w:rsidR="005D44B3" w:rsidRDefault="00D969B4" w:rsidP="001E65EA">
            <w:r>
              <w:t>38</w:t>
            </w:r>
          </w:p>
        </w:tc>
        <w:tc>
          <w:tcPr>
            <w:tcW w:w="4819" w:type="dxa"/>
            <w:vAlign w:val="top"/>
          </w:tcPr>
          <w:p w:rsidR="005D44B3" w:rsidRPr="001E65EA" w:rsidRDefault="005D44B3" w:rsidP="005D44B3">
            <w:r>
              <w:t xml:space="preserve">Energex Supplementary Response to </w:t>
            </w:r>
            <w:r w:rsidR="00D969B4">
              <w:t xml:space="preserve">AER </w:t>
            </w:r>
            <w:r>
              <w:t>issues paper</w:t>
            </w:r>
          </w:p>
        </w:tc>
        <w:tc>
          <w:tcPr>
            <w:tcW w:w="1559" w:type="dxa"/>
          </w:tcPr>
          <w:p w:rsidR="005D44B3" w:rsidRDefault="005D44B3" w:rsidP="001E65EA">
            <w:r>
              <w:t>18/02/2015</w:t>
            </w:r>
          </w:p>
        </w:tc>
        <w:tc>
          <w:tcPr>
            <w:tcW w:w="1781" w:type="dxa"/>
          </w:tcPr>
          <w:p w:rsidR="005D44B3" w:rsidRDefault="004E75A8" w:rsidP="001E65EA">
            <w:r>
              <w:t>Energex</w:t>
            </w:r>
          </w:p>
        </w:tc>
      </w:tr>
      <w:tr w:rsidR="005D44B3" w:rsidTr="004E75A8">
        <w:tc>
          <w:tcPr>
            <w:tcW w:w="534" w:type="dxa"/>
          </w:tcPr>
          <w:p w:rsidR="005D44B3" w:rsidRDefault="00D969B4" w:rsidP="001E65EA">
            <w:r>
              <w:t>39</w:t>
            </w:r>
          </w:p>
        </w:tc>
        <w:tc>
          <w:tcPr>
            <w:tcW w:w="4819" w:type="dxa"/>
            <w:vAlign w:val="top"/>
          </w:tcPr>
          <w:p w:rsidR="005D44B3" w:rsidRDefault="005D44B3" w:rsidP="005D44B3">
            <w:r>
              <w:t>MS Queensland</w:t>
            </w:r>
          </w:p>
        </w:tc>
        <w:tc>
          <w:tcPr>
            <w:tcW w:w="1559" w:type="dxa"/>
          </w:tcPr>
          <w:p w:rsidR="005D44B3" w:rsidRDefault="005D44B3" w:rsidP="001E65EA">
            <w:r>
              <w:t>06/03/2015</w:t>
            </w:r>
          </w:p>
        </w:tc>
        <w:tc>
          <w:tcPr>
            <w:tcW w:w="1781" w:type="dxa"/>
          </w:tcPr>
          <w:p w:rsidR="005D44B3" w:rsidRDefault="00D969B4" w:rsidP="001E65EA">
            <w:r>
              <w:t>Energex</w:t>
            </w:r>
          </w:p>
        </w:tc>
      </w:tr>
    </w:tbl>
    <w:p w:rsidR="001E65EA" w:rsidRDefault="001E65EA" w:rsidP="001E65EA"/>
    <w:p w:rsidR="009761DD" w:rsidRDefault="009761DD" w:rsidP="009761DD"/>
    <w:sectPr w:rsidR="009761DD"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FB" w:rsidRPr="00290C63" w:rsidRDefault="00E145FB" w:rsidP="00290C63">
      <w:r>
        <w:separator/>
      </w:r>
    </w:p>
    <w:p w:rsidR="00E145FB" w:rsidRDefault="00E145FB"/>
  </w:endnote>
  <w:endnote w:type="continuationSeparator" w:id="0">
    <w:p w:rsidR="00E145FB" w:rsidRPr="00290C63" w:rsidRDefault="00E145FB" w:rsidP="00290C63">
      <w:r>
        <w:continuationSeparator/>
      </w:r>
    </w:p>
    <w:p w:rsidR="00E145FB" w:rsidRDefault="00E1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5FB" w:rsidRPr="00290C63" w:rsidRDefault="00E145F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145FB" w:rsidRDefault="00E145FB"/>
  <w:p w:rsidR="00E145FB" w:rsidRDefault="00E145FB"/>
  <w:p w:rsidR="00E145FB" w:rsidRDefault="00E145FB"/>
  <w:p w:rsidR="00E145FB" w:rsidRDefault="00E145FB"/>
  <w:p w:rsidR="00E145FB" w:rsidRDefault="00E145FB"/>
  <w:p w:rsidR="00E145FB" w:rsidRDefault="00E145FB"/>
  <w:p w:rsidR="00E145FB" w:rsidRDefault="00E145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800499"/>
      <w:docPartObj>
        <w:docPartGallery w:val="Page Numbers (Bottom of Page)"/>
        <w:docPartUnique/>
      </w:docPartObj>
    </w:sdtPr>
    <w:sdtEndPr>
      <w:rPr>
        <w:noProof/>
      </w:rPr>
    </w:sdtEndPr>
    <w:sdtContent>
      <w:p w:rsidR="00E145FB" w:rsidRDefault="00E145FB">
        <w:pPr>
          <w:pStyle w:val="Footer"/>
        </w:pPr>
        <w:r>
          <w:fldChar w:fldCharType="begin"/>
        </w:r>
        <w:r>
          <w:instrText xml:space="preserve"> PAGE   \* MERGEFORMAT </w:instrText>
        </w:r>
        <w:r>
          <w:fldChar w:fldCharType="separate"/>
        </w:r>
        <w:r w:rsidR="00C4341A">
          <w:rPr>
            <w:noProof/>
          </w:rPr>
          <w:t>0</w:t>
        </w:r>
        <w:r>
          <w:rPr>
            <w:noProof/>
          </w:rPr>
          <w:fldChar w:fldCharType="end"/>
        </w:r>
        <w:r>
          <w:rPr>
            <w:noProof/>
          </w:rPr>
          <w:t xml:space="preserve">      </w:t>
        </w:r>
        <w:r>
          <w:t xml:space="preserve">          </w:t>
        </w:r>
        <w:r>
          <w:tab/>
          <w:t xml:space="preserve">                        </w:t>
        </w:r>
        <w:r>
          <w:rPr>
            <w:noProof/>
          </w:rPr>
          <w:t xml:space="preserve">  </w:t>
        </w:r>
        <w:r>
          <w:t>Overview</w:t>
        </w:r>
        <w:r>
          <w:rPr>
            <w:rFonts w:cs="Gautami"/>
            <w:noProof/>
          </w:rPr>
          <w:t xml:space="preserve"> | </w:t>
        </w:r>
        <w:r>
          <w:t>Energex</w:t>
        </w:r>
        <w:r>
          <w:rPr>
            <w:rFonts w:cs="Gautami"/>
            <w:noProof/>
          </w:rPr>
          <w:t xml:space="preserve"> </w:t>
        </w:r>
        <w:r>
          <w:t>preliminary decision</w:t>
        </w:r>
        <w:r>
          <w:rPr>
            <w:rFonts w:cs="Gautami"/>
            <w:noProof/>
          </w:rPr>
          <w:t xml:space="preserve"> 2015–20</w:t>
        </w:r>
      </w:p>
    </w:sdtContent>
  </w:sdt>
  <w:p w:rsidR="00E145FB" w:rsidRDefault="00E145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5FB" w:rsidRPr="00290C63" w:rsidRDefault="00E145F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145FB" w:rsidRDefault="00E145FB">
    <w:pPr>
      <w:pStyle w:val="Footer"/>
    </w:pPr>
  </w:p>
  <w:p w:rsidR="00E145FB" w:rsidRDefault="00E145FB"/>
  <w:p w:rsidR="00E145FB" w:rsidRDefault="00E145FB"/>
  <w:p w:rsidR="00E145FB" w:rsidRDefault="00E145FB"/>
  <w:p w:rsidR="00E145FB" w:rsidRDefault="00E145FB"/>
  <w:p w:rsidR="00E145FB" w:rsidRDefault="00E145FB"/>
  <w:p w:rsidR="00E145FB" w:rsidRDefault="00E145FB"/>
  <w:p w:rsidR="00E145FB" w:rsidRDefault="00E145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FB" w:rsidRPr="00290C63" w:rsidRDefault="00E145FB" w:rsidP="00290C63">
      <w:r>
        <w:separator/>
      </w:r>
    </w:p>
    <w:p w:rsidR="00E145FB" w:rsidRDefault="00E145FB"/>
  </w:footnote>
  <w:footnote w:type="continuationSeparator" w:id="0">
    <w:p w:rsidR="00E145FB" w:rsidRPr="00290C63" w:rsidRDefault="00E145FB" w:rsidP="00290C63">
      <w:r>
        <w:continuationSeparator/>
      </w:r>
    </w:p>
    <w:p w:rsidR="00E145FB" w:rsidRDefault="00E145FB"/>
  </w:footnote>
  <w:footnote w:id="1">
    <w:p w:rsidR="00E145FB" w:rsidRDefault="00E145FB">
      <w:pPr>
        <w:pStyle w:val="FootnoteText"/>
      </w:pPr>
      <w:r>
        <w:rPr>
          <w:rStyle w:val="FootnoteReference"/>
        </w:rPr>
        <w:footnoteRef/>
      </w:r>
      <w:r>
        <w:t xml:space="preserve"> </w:t>
      </w:r>
      <w:r>
        <w:tab/>
        <w:t>NEL, s. 7.</w:t>
      </w:r>
    </w:p>
  </w:footnote>
  <w:footnote w:id="2">
    <w:p w:rsidR="00E145FB" w:rsidRDefault="00E145FB" w:rsidP="009761DD">
      <w:pPr>
        <w:pStyle w:val="FootnoteText"/>
      </w:pPr>
      <w:r>
        <w:rPr>
          <w:rStyle w:val="FootnoteReference"/>
        </w:rPr>
        <w:footnoteRef/>
      </w:r>
      <w:r>
        <w:t xml:space="preserve"> </w:t>
      </w:r>
      <w:r>
        <w:tab/>
        <w:t>NER, cl. 6.8.2.</w:t>
      </w:r>
    </w:p>
  </w:footnote>
  <w:footnote w:id="3">
    <w:p w:rsidR="00E145FB" w:rsidRDefault="00E145FB" w:rsidP="009761DD">
      <w:pPr>
        <w:pStyle w:val="FootnoteText"/>
      </w:pPr>
      <w:r>
        <w:rPr>
          <w:rStyle w:val="FootnoteReference"/>
        </w:rPr>
        <w:footnoteRef/>
      </w:r>
      <w:r>
        <w:t xml:space="preserve"> </w:t>
      </w:r>
      <w:r>
        <w:tab/>
        <w:t>NER, cll. 6.3.1 and 6.8.2.</w:t>
      </w:r>
    </w:p>
  </w:footnote>
  <w:footnote w:id="4">
    <w:p w:rsidR="00E145FB" w:rsidRDefault="00E145FB" w:rsidP="00E232CE">
      <w:pPr>
        <w:pStyle w:val="FootnoteText"/>
      </w:pPr>
      <w:r>
        <w:rPr>
          <w:rStyle w:val="FootnoteReference"/>
        </w:rPr>
        <w:footnoteRef/>
      </w:r>
      <w:r>
        <w:t xml:space="preserve"> </w:t>
      </w:r>
      <w:r>
        <w:tab/>
        <w:t xml:space="preserve">Hansard, </w:t>
      </w:r>
      <w:r w:rsidRPr="00C07FA6">
        <w:rPr>
          <w:rStyle w:val="AERtextitalic"/>
        </w:rPr>
        <w:t>SA House of Assembly</w:t>
      </w:r>
      <w:r>
        <w:t>, 9 February 2005, p. 1452.</w:t>
      </w:r>
    </w:p>
  </w:footnote>
  <w:footnote w:id="5">
    <w:p w:rsidR="00E145FB" w:rsidRDefault="00E145FB">
      <w:pPr>
        <w:pStyle w:val="FootnoteText"/>
      </w:pPr>
      <w:r>
        <w:rPr>
          <w:rStyle w:val="FootnoteReference"/>
        </w:rPr>
        <w:footnoteRef/>
      </w:r>
      <w:r>
        <w:t xml:space="preserve"> </w:t>
      </w:r>
      <w:r>
        <w:tab/>
      </w:r>
      <w:r w:rsidRPr="000F5B95">
        <w:t xml:space="preserve">This </w:t>
      </w:r>
      <w:r>
        <w:t>amount</w:t>
      </w:r>
      <w:r w:rsidRPr="000F5B95">
        <w:t xml:space="preserve"> </w:t>
      </w:r>
      <w:r>
        <w:t>ex</w:t>
      </w:r>
      <w:r w:rsidRPr="000F5B95">
        <w:t xml:space="preserve">cludes </w:t>
      </w:r>
      <w:r>
        <w:t xml:space="preserve">other additional factors that will be recovered as part of DUoS but not within the building block revenue, such as </w:t>
      </w:r>
      <w:r w:rsidRPr="000F5B95">
        <w:t xml:space="preserve">the Solar Bonus Scheme feed-in tariff. </w:t>
      </w:r>
      <w:r>
        <w:t>The</w:t>
      </w:r>
      <w:r w:rsidRPr="000F5B95">
        <w:t xml:space="preserve"> total </w:t>
      </w:r>
      <w:r>
        <w:t xml:space="preserve">expected </w:t>
      </w:r>
      <w:r w:rsidRPr="000F5B95">
        <w:t>revenue</w:t>
      </w:r>
      <w:r>
        <w:t xml:space="preserve"> including the additionals is $8132.0</w:t>
      </w:r>
      <w:r w:rsidRPr="000F5B95">
        <w:t xml:space="preserve"> </w:t>
      </w:r>
      <w:r>
        <w:t>m</w:t>
      </w:r>
      <w:r w:rsidRPr="000F5B95">
        <w:t>illion.</w:t>
      </w:r>
    </w:p>
  </w:footnote>
  <w:footnote w:id="6">
    <w:p w:rsidR="00E145FB" w:rsidRDefault="00E145FB" w:rsidP="0019142D">
      <w:pPr>
        <w:pStyle w:val="FootnoteText"/>
      </w:pPr>
      <w:r>
        <w:rPr>
          <w:rStyle w:val="FootnoteReference"/>
        </w:rPr>
        <w:footnoteRef/>
      </w:r>
      <w:r>
        <w:t xml:space="preserve"> </w:t>
      </w:r>
      <w:r>
        <w:tab/>
      </w:r>
      <w:r w:rsidRPr="000F5B95">
        <w:t xml:space="preserve">This </w:t>
      </w:r>
      <w:r>
        <w:t>amount</w:t>
      </w:r>
      <w:r w:rsidRPr="000F5B95">
        <w:t xml:space="preserve"> </w:t>
      </w:r>
      <w:r>
        <w:t xml:space="preserve">has been adjusted to remove some annual revenue adjustments. See attachment 1 for details. </w:t>
      </w:r>
      <w:r w:rsidRPr="00767B13">
        <w:t>The total expected revenue</w:t>
      </w:r>
      <w:r>
        <w:t xml:space="preserve"> (adjusted proposal) including the additionals</w:t>
      </w:r>
      <w:r w:rsidRPr="00767B13">
        <w:t xml:space="preserve"> is </w:t>
      </w:r>
      <w:r>
        <w:t>of $9876.9</w:t>
      </w:r>
      <w:r w:rsidRPr="000F5B95">
        <w:t xml:space="preserve"> </w:t>
      </w:r>
      <w:r>
        <w:t>m</w:t>
      </w:r>
      <w:r w:rsidRPr="000F5B95">
        <w:t>illion.</w:t>
      </w:r>
    </w:p>
  </w:footnote>
  <w:footnote w:id="7">
    <w:p w:rsidR="00E145FB" w:rsidRDefault="00E145FB" w:rsidP="004F66C0">
      <w:pPr>
        <w:pStyle w:val="FootnoteText"/>
      </w:pPr>
      <w:r>
        <w:rPr>
          <w:rStyle w:val="FootnoteReference"/>
        </w:rPr>
        <w:footnoteRef/>
      </w:r>
      <w:r>
        <w:t xml:space="preserve"> </w:t>
      </w:r>
      <w:r>
        <w:tab/>
        <w:t xml:space="preserve">Customers who applied for the Queensland Solar Bonus Scheme FiT before 10 July 2012 are currently </w:t>
      </w:r>
      <w:r w:rsidRPr="00B738B6">
        <w:t>receiving 44 cents and will continue to receive that rate provided ongoing eligibility requirements are met</w:t>
      </w:r>
      <w:r>
        <w:t xml:space="preserve">. </w:t>
      </w:r>
      <w:r w:rsidRPr="000E14A1">
        <w:t xml:space="preserve">Under the </w:t>
      </w:r>
      <w:r w:rsidRPr="000E14A1">
        <w:rPr>
          <w:rStyle w:val="Emphasis"/>
        </w:rPr>
        <w:t>Electricity Act 1994</w:t>
      </w:r>
      <w:r w:rsidRPr="000E14A1">
        <w:t>, the 44 cent rate is due to expire on 1 July 2028, for those who maintain their eligibility.</w:t>
      </w:r>
      <w:r>
        <w:t xml:space="preserve"> </w:t>
      </w:r>
      <w:r w:rsidRPr="00B738B6">
        <w:t xml:space="preserve">The 44 cent </w:t>
      </w:r>
      <w:r>
        <w:t>FiT</w:t>
      </w:r>
      <w:r w:rsidRPr="00B738B6">
        <w:t xml:space="preserve"> is closed to new customers.</w:t>
      </w:r>
      <w:r>
        <w:t xml:space="preserve"> New customers </w:t>
      </w:r>
      <w:r w:rsidRPr="00A7499C">
        <w:t>must approach their electricity retailer to obtain a market feed-in tariff rate.</w:t>
      </w:r>
      <w:r>
        <w:t xml:space="preserve"> </w:t>
      </w:r>
      <w:r w:rsidRPr="00C30ACC">
        <w:t>We note that the SBS and arrangements to recover FiT related costs are subject to change by the Qld</w:t>
      </w:r>
      <w:r>
        <w:t xml:space="preserve"> </w:t>
      </w:r>
      <w:r w:rsidRPr="00C30ACC">
        <w:t>Government.</w:t>
      </w:r>
    </w:p>
    <w:p w:rsidR="00E145FB" w:rsidRDefault="00E145FB" w:rsidP="004F66C0"/>
    <w:p w:rsidR="00E145FB" w:rsidRDefault="00E145FB" w:rsidP="004F66C0">
      <w:pPr>
        <w:pStyle w:val="FootnoteText"/>
      </w:pPr>
    </w:p>
  </w:footnote>
  <w:footnote w:id="8">
    <w:p w:rsidR="00E145FB" w:rsidRDefault="00E145FB" w:rsidP="004F6B34">
      <w:pPr>
        <w:pStyle w:val="FootnoteText"/>
      </w:pPr>
      <w:r>
        <w:rPr>
          <w:rStyle w:val="FootnoteReference"/>
        </w:rPr>
        <w:footnoteRef/>
      </w:r>
      <w:r>
        <w:t xml:space="preserve"> </w:t>
      </w:r>
      <w:r>
        <w:tab/>
        <w:t>How these key cost drivers impact total revenue is further explained in section 2 of this Overview.</w:t>
      </w:r>
    </w:p>
  </w:footnote>
  <w:footnote w:id="9">
    <w:p w:rsidR="00E145FB" w:rsidRDefault="00E145FB">
      <w:pPr>
        <w:pStyle w:val="FootnoteText"/>
      </w:pPr>
      <w:r>
        <w:rPr>
          <w:rStyle w:val="FootnoteReference"/>
        </w:rPr>
        <w:footnoteRef/>
      </w:r>
      <w:r>
        <w:t xml:space="preserve"> </w:t>
      </w:r>
      <w:r>
        <w:tab/>
        <w:t xml:space="preserve">DEWS, </w:t>
      </w:r>
      <w:r w:rsidRPr="00BE0E73">
        <w:rPr>
          <w:rStyle w:val="AERtextitalic"/>
        </w:rPr>
        <w:t>Changes to electricity network reliability standards</w:t>
      </w:r>
      <w:r>
        <w:t xml:space="preserve">; Refer to </w:t>
      </w:r>
      <w:r w:rsidRPr="00BE0E73">
        <w:t>https://www.dews.qld.gov.au/policies-initiatives/electricity-sector-reform/supply/electricity-network-reliability-standards</w:t>
      </w:r>
      <w:r>
        <w:t>.</w:t>
      </w:r>
    </w:p>
  </w:footnote>
  <w:footnote w:id="10">
    <w:p w:rsidR="00E145FB" w:rsidRDefault="00E145FB" w:rsidP="000B49AC">
      <w:pPr>
        <w:pStyle w:val="FootnoteText"/>
      </w:pPr>
      <w:r>
        <w:rPr>
          <w:rStyle w:val="FootnoteReference"/>
        </w:rPr>
        <w:footnoteRef/>
      </w:r>
      <w:r>
        <w:t xml:space="preserve"> </w:t>
      </w:r>
      <w:r>
        <w:tab/>
        <w:t>NER, cl. 6.5.2(b).</w:t>
      </w:r>
    </w:p>
  </w:footnote>
  <w:footnote w:id="11">
    <w:p w:rsidR="00E145FB" w:rsidRDefault="00E145FB">
      <w:pPr>
        <w:pStyle w:val="FootnoteText"/>
      </w:pPr>
      <w:r>
        <w:rPr>
          <w:rStyle w:val="FootnoteReference"/>
        </w:rPr>
        <w:footnoteRef/>
      </w:r>
      <w:r>
        <w:t xml:space="preserve"> </w:t>
      </w:r>
      <w:r>
        <w:tab/>
      </w:r>
      <w:r w:rsidRPr="009D1563">
        <w:t xml:space="preserve">The rate of return that </w:t>
      </w:r>
      <w:r>
        <w:t>Energex</w:t>
      </w:r>
      <w:r w:rsidRPr="009D1563">
        <w:t xml:space="preserve"> included in its proposal is an indicative value. Its proposal includes provision for the AER to adjust this value based on updated information that was not available when </w:t>
      </w:r>
      <w:r>
        <w:t>Energex</w:t>
      </w:r>
      <w:r w:rsidRPr="009D1563">
        <w:t xml:space="preserve"> submitted its </w:t>
      </w:r>
      <w:r w:rsidR="00DC043E">
        <w:t>p</w:t>
      </w:r>
      <w:r w:rsidRPr="009D1563">
        <w:t>roposal.</w:t>
      </w:r>
    </w:p>
  </w:footnote>
  <w:footnote w:id="12">
    <w:p w:rsidR="00E145FB" w:rsidRDefault="00E145FB" w:rsidP="00FF1D25">
      <w:pPr>
        <w:pStyle w:val="FootnoteText"/>
      </w:pPr>
      <w:r>
        <w:rPr>
          <w:rStyle w:val="FootnoteReference"/>
        </w:rPr>
        <w:footnoteRef/>
      </w:r>
      <w:r>
        <w:t xml:space="preserve"> </w:t>
      </w:r>
      <w:r>
        <w:tab/>
        <w:t>AER</w:t>
      </w:r>
      <w:r w:rsidRPr="002C6D16">
        <w:rPr>
          <w:rStyle w:val="AERtextitalic"/>
        </w:rPr>
        <w:t>, Rate of Return Guideline</w:t>
      </w:r>
      <w:r>
        <w:t xml:space="preserve">, December 2013: </w:t>
      </w:r>
      <w:hyperlink r:id="rId1" w:history="1">
        <w:r w:rsidRPr="006926DD">
          <w:rPr>
            <w:rStyle w:val="Hyperlink"/>
            <w:sz w:val="16"/>
          </w:rPr>
          <w:t>http://www.aer.gov.au/node/18859</w:t>
        </w:r>
      </w:hyperlink>
      <w:r>
        <w:t xml:space="preserve"> </w:t>
      </w:r>
    </w:p>
  </w:footnote>
  <w:footnote w:id="13">
    <w:p w:rsidR="00E145FB" w:rsidRDefault="00E145FB" w:rsidP="000B49AC">
      <w:pPr>
        <w:pStyle w:val="FootnoteText"/>
      </w:pPr>
      <w:r>
        <w:rPr>
          <w:rStyle w:val="FootnoteReference"/>
        </w:rPr>
        <w:footnoteRef/>
      </w:r>
      <w:r>
        <w:t xml:space="preserve"> </w:t>
      </w:r>
      <w:r>
        <w:tab/>
        <w:t xml:space="preserve">For example, TasNetworks, </w:t>
      </w:r>
      <w:r w:rsidRPr="00291C14">
        <w:rPr>
          <w:rStyle w:val="AERtextitalic"/>
        </w:rPr>
        <w:t>Regulatory Proposal</w:t>
      </w:r>
      <w:r>
        <w:t>, June 2014.</w:t>
      </w:r>
    </w:p>
  </w:footnote>
  <w:footnote w:id="14">
    <w:p w:rsidR="00E145FB" w:rsidRDefault="00E145FB" w:rsidP="00497F95">
      <w:pPr>
        <w:pStyle w:val="FootnoteText"/>
      </w:pPr>
      <w:r>
        <w:rPr>
          <w:rStyle w:val="FootnoteReference"/>
        </w:rPr>
        <w:footnoteRef/>
      </w:r>
      <w:r>
        <w:t xml:space="preserve"> </w:t>
      </w:r>
      <w:r>
        <w:tab/>
        <w:t>NEL, s. 16(1)(d).</w:t>
      </w:r>
    </w:p>
  </w:footnote>
  <w:footnote w:id="15">
    <w:p w:rsidR="00E145FB" w:rsidRDefault="00E145FB">
      <w:pPr>
        <w:pStyle w:val="FootnoteText"/>
      </w:pPr>
      <w:r>
        <w:rPr>
          <w:rStyle w:val="FootnoteReference"/>
        </w:rPr>
        <w:footnoteRef/>
      </w:r>
      <w:r>
        <w:t xml:space="preserve"> </w:t>
      </w:r>
      <w:r>
        <w:tab/>
        <w:t>www.aer.gov.au/Better-regulation.</w:t>
      </w:r>
    </w:p>
  </w:footnote>
  <w:footnote w:id="16">
    <w:p w:rsidR="00E145FB" w:rsidRDefault="00E145FB">
      <w:pPr>
        <w:pStyle w:val="FootnoteText"/>
      </w:pPr>
      <w:r>
        <w:rPr>
          <w:rStyle w:val="FootnoteReference"/>
        </w:rPr>
        <w:footnoteRef/>
      </w:r>
      <w:r>
        <w:t xml:space="preserve"> </w:t>
      </w:r>
      <w:r>
        <w:tab/>
        <w:t>Because Energex has a balance on its unders/overs account at the end of the 2010–15 regulatory control period, this will also be included as a building block. This is not shown in the illustration as typically a service provider should be aiming for a zero balance.</w:t>
      </w:r>
    </w:p>
  </w:footnote>
  <w:footnote w:id="17">
    <w:p w:rsidR="00E145FB" w:rsidRDefault="00E145FB" w:rsidP="00292E79">
      <w:pPr>
        <w:pStyle w:val="FootnoteText"/>
      </w:pPr>
      <w:r>
        <w:rPr>
          <w:rStyle w:val="FootnoteReference"/>
        </w:rPr>
        <w:footnoteRef/>
      </w:r>
      <w:r>
        <w:t xml:space="preserve"> </w:t>
      </w:r>
      <w:r>
        <w:tab/>
        <w:t>NER, cll. 6.5.1 and S6.2.</w:t>
      </w:r>
    </w:p>
  </w:footnote>
  <w:footnote w:id="18">
    <w:p w:rsidR="00E145FB" w:rsidRDefault="00E145FB" w:rsidP="00F566BD">
      <w:pPr>
        <w:pStyle w:val="FootnoteText"/>
      </w:pPr>
      <w:r>
        <w:rPr>
          <w:rStyle w:val="FootnoteReference"/>
        </w:rPr>
        <w:footnoteRef/>
      </w:r>
      <w:r>
        <w:t xml:space="preserve"> </w:t>
      </w:r>
      <w:r>
        <w:tab/>
        <w:t>The unregulated assets were a form of shared assets allowed under the Queensland transitional rules. They were included in the RAB during the 2010 distribution determination and an offsetting revenue adjustment applied for the expected use of these assets for unregulated services. This approach will end going forward with the unregulated proportion of the assets to be removed from the opening RAB in this distribution determination.</w:t>
      </w:r>
    </w:p>
  </w:footnote>
  <w:footnote w:id="19">
    <w:p w:rsidR="00E145FB" w:rsidRDefault="00E145FB" w:rsidP="00F86A91">
      <w:pPr>
        <w:pStyle w:val="FootnoteText"/>
      </w:pPr>
      <w:r>
        <w:rPr>
          <w:rStyle w:val="FootnoteReference"/>
        </w:rPr>
        <w:footnoteRef/>
      </w:r>
      <w:r>
        <w:t xml:space="preserve"> </w:t>
      </w:r>
      <w:r>
        <w:tab/>
        <w:t>NER, cl. 6.5.2(a).</w:t>
      </w:r>
    </w:p>
  </w:footnote>
  <w:footnote w:id="20">
    <w:p w:rsidR="00E145FB" w:rsidRDefault="00E145FB">
      <w:pPr>
        <w:pStyle w:val="FootnoteText"/>
      </w:pPr>
      <w:r>
        <w:rPr>
          <w:rStyle w:val="FootnoteReference"/>
        </w:rPr>
        <w:footnoteRef/>
      </w:r>
      <w:r>
        <w:t xml:space="preserve"> </w:t>
      </w:r>
      <w:r>
        <w:tab/>
        <w:t>NER, cl. 6.5.2(b).</w:t>
      </w:r>
    </w:p>
  </w:footnote>
  <w:footnote w:id="21">
    <w:p w:rsidR="00E145FB" w:rsidRDefault="00E145FB" w:rsidP="00112BF8">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22">
    <w:p w:rsidR="00E145FB" w:rsidRDefault="00E145FB">
      <w:pPr>
        <w:pStyle w:val="FootnoteText"/>
      </w:pPr>
      <w:r>
        <w:rPr>
          <w:rStyle w:val="FootnoteReference"/>
        </w:rPr>
        <w:footnoteRef/>
      </w:r>
      <w:r>
        <w:t xml:space="preserve"> </w:t>
      </w:r>
      <w:r>
        <w:tab/>
      </w:r>
      <w:r w:rsidRPr="009D1563">
        <w:t xml:space="preserve">The rate of return that </w:t>
      </w:r>
      <w:r>
        <w:t>Energex</w:t>
      </w:r>
      <w:r w:rsidRPr="009D1563">
        <w:t xml:space="preserve"> included in its proposal is an indicative value. Its proposal includes provision for the AER to adjust this value based on updated information that was not available when </w:t>
      </w:r>
      <w:r>
        <w:t>Energex</w:t>
      </w:r>
      <w:r w:rsidRPr="009D1563">
        <w:t xml:space="preserve"> submitted its proposal.</w:t>
      </w:r>
    </w:p>
  </w:footnote>
  <w:footnote w:id="23">
    <w:p w:rsidR="00E145FB" w:rsidRDefault="00E145FB">
      <w:pPr>
        <w:pStyle w:val="FootnoteText"/>
      </w:pPr>
      <w:r>
        <w:rPr>
          <w:rStyle w:val="FootnoteReference"/>
        </w:rPr>
        <w:footnoteRef/>
      </w:r>
      <w:r>
        <w:t xml:space="preserve"> </w:t>
      </w:r>
      <w:r>
        <w:tab/>
        <w:t>NER, cl. 6.5.2(i)(2).</w:t>
      </w:r>
    </w:p>
  </w:footnote>
  <w:footnote w:id="24">
    <w:p w:rsidR="00E145FB" w:rsidRDefault="00E145FB">
      <w:pPr>
        <w:pStyle w:val="FootnoteText"/>
      </w:pPr>
      <w:r>
        <w:rPr>
          <w:rStyle w:val="FootnoteReference"/>
        </w:rPr>
        <w:footnoteRef/>
      </w:r>
      <w:r>
        <w:t xml:space="preserve"> </w:t>
      </w:r>
      <w:r>
        <w:tab/>
        <w:t>NER, cl. 6.5.2(b).</w:t>
      </w:r>
    </w:p>
  </w:footnote>
  <w:footnote w:id="25">
    <w:p w:rsidR="00E145FB" w:rsidRDefault="00E145FB" w:rsidP="00FF1D25">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26">
    <w:p w:rsidR="00E145FB" w:rsidRDefault="00E145FB" w:rsidP="00FF1D25">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27">
    <w:p w:rsidR="00E145FB" w:rsidRDefault="00E145FB" w:rsidP="00FF1D25">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28">
    <w:p w:rsidR="00E145FB" w:rsidRDefault="00E145FB" w:rsidP="00075F48">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2015</w:t>
      </w:r>
      <w:r>
        <w:rPr>
          <w:rFonts w:cs="Arial"/>
        </w:rPr>
        <w:t>−</w:t>
      </w:r>
      <w:r>
        <w:t>20 regulatory control period.</w:t>
      </w:r>
    </w:p>
  </w:footnote>
  <w:footnote w:id="29">
    <w:p w:rsidR="00E145FB" w:rsidRDefault="00E145FB" w:rsidP="00075F48">
      <w:pPr>
        <w:pStyle w:val="FootnoteText"/>
      </w:pPr>
      <w:r>
        <w:rPr>
          <w:rStyle w:val="FootnoteReference"/>
        </w:rPr>
        <w:footnoteRef/>
      </w:r>
      <w:r>
        <w:t xml:space="preserve"> </w:t>
      </w:r>
      <w:r>
        <w:tab/>
        <w:t xml:space="preserve">In broad terms, this means that over the longer term the return on debt for any year will represent the average return on debt over the previous ten years. </w:t>
      </w:r>
    </w:p>
  </w:footnote>
  <w:footnote w:id="30">
    <w:p w:rsidR="00E145FB" w:rsidRDefault="00E145FB" w:rsidP="00CC5DB6">
      <w:pPr>
        <w:pStyle w:val="FootnoteText"/>
      </w:pPr>
      <w:r w:rsidRPr="0043616E">
        <w:rPr>
          <w:rStyle w:val="AERsuperscript"/>
        </w:rPr>
        <w:footnoteRef/>
      </w:r>
      <w:r w:rsidRPr="0043616E">
        <w:rPr>
          <w:rStyle w:val="AERsuperscript"/>
        </w:rPr>
        <w:t xml:space="preserve"> </w:t>
      </w:r>
      <w:r>
        <w:tab/>
      </w:r>
      <w:r w:rsidRPr="0043616E">
        <w:rPr>
          <w:rStyle w:val="AERtextsize8"/>
        </w:rPr>
        <w:t xml:space="preserve">Energex, </w:t>
      </w:r>
      <w:r w:rsidRPr="00CC5DB6">
        <w:rPr>
          <w:rStyle w:val="AERtextitalic"/>
        </w:rPr>
        <w:t>Regulatory proposa</w:t>
      </w:r>
      <w:r>
        <w:rPr>
          <w:rStyle w:val="AERtextitalic"/>
        </w:rPr>
        <w:t>l,</w:t>
      </w:r>
      <w:r w:rsidRPr="0043616E">
        <w:rPr>
          <w:rStyle w:val="AERtextsize8"/>
        </w:rPr>
        <w:t xml:space="preserve"> October 2014, p. 153 states that 'While Energex has applied the AER’s preferred foundation model to estimate the return on equity, being the Sharpe-Lintner Capital Asset Pricing Model (the Sharpe-Lintner CAPM), the parameter values have been estimated having regard to the strength and weaknesses of all relevant evidence, rather than arbitrarily assigning different pieces of evidence different roles, as the AER has done in its Guideline. </w:t>
      </w:r>
    </w:p>
  </w:footnote>
  <w:footnote w:id="31">
    <w:p w:rsidR="00E145FB" w:rsidRDefault="00E145FB">
      <w:pPr>
        <w:pStyle w:val="FootnoteText"/>
      </w:pPr>
      <w:r>
        <w:rPr>
          <w:rStyle w:val="FootnoteReference"/>
        </w:rPr>
        <w:footnoteRef/>
      </w:r>
      <w:r>
        <w:t xml:space="preserve"> </w:t>
      </w:r>
      <w:r>
        <w:tab/>
        <w:t>NER, cl. 6.5.2(e)(1).</w:t>
      </w:r>
    </w:p>
  </w:footnote>
  <w:footnote w:id="32">
    <w:p w:rsidR="00E145FB" w:rsidRDefault="00E145FB" w:rsidP="00075F48">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33">
    <w:p w:rsidR="00E145FB" w:rsidRDefault="00E145FB" w:rsidP="00075F48">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34">
    <w:p w:rsidR="00E145FB" w:rsidRDefault="00E145FB" w:rsidP="00EA2027">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35">
    <w:p w:rsidR="00E145FB" w:rsidRDefault="00E145FB" w:rsidP="00EA2027">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w:t>
      </w:r>
    </w:p>
  </w:footnote>
  <w:footnote w:id="36">
    <w:p w:rsidR="00E145FB" w:rsidRDefault="00E145FB" w:rsidP="00EA2027">
      <w:pPr>
        <w:pStyle w:val="FootnoteText"/>
      </w:pPr>
      <w:r>
        <w:rPr>
          <w:rStyle w:val="FootnoteReference"/>
        </w:rPr>
        <w:footnoteRef/>
      </w:r>
      <w:r>
        <w:t xml:space="preserve"> </w:t>
      </w:r>
      <w:r>
        <w:tab/>
        <w:t xml:space="preserve">Energy Users Association of Australia,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Submission to ActewAGL’s regulatory proposal for 2014–19</w:t>
      </w:r>
      <w:r w:rsidRPr="00E5005D">
        <w:t>, August 2014, p. 4.</w:t>
      </w:r>
    </w:p>
  </w:footnote>
  <w:footnote w:id="37">
    <w:p w:rsidR="00E145FB" w:rsidRDefault="00E145FB" w:rsidP="006A2559">
      <w:pPr>
        <w:pStyle w:val="FootnoteText"/>
      </w:pPr>
      <w:r>
        <w:rPr>
          <w:rStyle w:val="FootnoteReference"/>
        </w:rPr>
        <w:footnoteRef/>
      </w:r>
      <w:r>
        <w:t xml:space="preserve"> </w:t>
      </w:r>
      <w:r>
        <w:tab/>
      </w:r>
      <w:r w:rsidRPr="00890E69">
        <w:rPr>
          <w:rStyle w:val="AERtextitalic"/>
        </w:rPr>
        <w:t>Income Tax Assessment Act 1997</w:t>
      </w:r>
      <w:r>
        <w:t>, parts 3–6.</w:t>
      </w:r>
    </w:p>
  </w:footnote>
  <w:footnote w:id="38">
    <w:p w:rsidR="00E145FB" w:rsidRDefault="00E145FB" w:rsidP="006A2559">
      <w:pPr>
        <w:pStyle w:val="FootnoteText"/>
      </w:pPr>
      <w:r>
        <w:rPr>
          <w:rStyle w:val="FootnoteReference"/>
        </w:rPr>
        <w:footnoteRef/>
      </w:r>
      <w:r>
        <w:t xml:space="preserve"> </w:t>
      </w:r>
      <w:r>
        <w:tab/>
        <w:t>NER, cll. 6.4.3(a)(4), 6.4.3(b)(4), 6.5.3.</w:t>
      </w:r>
    </w:p>
  </w:footnote>
  <w:footnote w:id="39">
    <w:p w:rsidR="00E145FB" w:rsidRDefault="00E145FB">
      <w:pPr>
        <w:pStyle w:val="FootnoteText"/>
      </w:pPr>
      <w:r>
        <w:rPr>
          <w:rStyle w:val="FootnoteReference"/>
        </w:rPr>
        <w:footnoteRef/>
      </w:r>
      <w:r>
        <w:t xml:space="preserve"> </w:t>
      </w:r>
      <w:r>
        <w:tab/>
        <w:t>NER, cl. 6.12.1(8).</w:t>
      </w:r>
    </w:p>
  </w:footnote>
  <w:footnote w:id="40">
    <w:p w:rsidR="00E145FB" w:rsidRDefault="00E145FB" w:rsidP="00112BF8">
      <w:pPr>
        <w:pStyle w:val="FootnoteText"/>
      </w:pPr>
      <w:r>
        <w:rPr>
          <w:rStyle w:val="FootnoteReference"/>
        </w:rPr>
        <w:footnoteRef/>
      </w:r>
      <w:r>
        <w:t xml:space="preserve"> </w:t>
      </w:r>
      <w:r>
        <w:tab/>
        <w:t>NER, cl. 6.5.5(b).</w:t>
      </w:r>
    </w:p>
  </w:footnote>
  <w:footnote w:id="41">
    <w:p w:rsidR="00E145FB" w:rsidRDefault="00E145FB" w:rsidP="008F1982">
      <w:pPr>
        <w:pStyle w:val="FootnoteText"/>
      </w:pPr>
      <w:r>
        <w:rPr>
          <w:rStyle w:val="FootnoteReference"/>
        </w:rPr>
        <w:footnoteRef/>
      </w:r>
      <w:r>
        <w:t xml:space="preserve"> </w:t>
      </w:r>
      <w:r>
        <w:tab/>
        <w:t>NER, cl. 6.5.5(b)(1).</w:t>
      </w:r>
    </w:p>
  </w:footnote>
  <w:footnote w:id="42">
    <w:p w:rsidR="00E145FB" w:rsidRDefault="00E145FB" w:rsidP="008F1982">
      <w:pPr>
        <w:pStyle w:val="FootnoteText"/>
      </w:pPr>
      <w:r>
        <w:rPr>
          <w:rStyle w:val="FootnoteReference"/>
        </w:rPr>
        <w:footnoteRef/>
      </w:r>
      <w:r>
        <w:t xml:space="preserve"> </w:t>
      </w:r>
      <w:r>
        <w:tab/>
        <w:t>NER, cl. 6.5.5(a)(1).</w:t>
      </w:r>
    </w:p>
  </w:footnote>
  <w:footnote w:id="43">
    <w:p w:rsidR="00E145FB" w:rsidRDefault="00E145FB" w:rsidP="00D906B3">
      <w:pPr>
        <w:pStyle w:val="FootnoteText"/>
      </w:pPr>
      <w:r>
        <w:rPr>
          <w:rStyle w:val="FootnoteReference"/>
        </w:rPr>
        <w:footnoteRef/>
      </w:r>
      <w:r>
        <w:t xml:space="preserve"> </w:t>
      </w:r>
      <w:r>
        <w:tab/>
      </w:r>
      <w:r w:rsidRPr="0046015E">
        <w:t>NER, cl</w:t>
      </w:r>
      <w:r>
        <w:t>.</w:t>
      </w:r>
      <w:r w:rsidRPr="0046015E">
        <w:t xml:space="preserve"> 6.4.3(a)(4).</w:t>
      </w:r>
    </w:p>
  </w:footnote>
  <w:footnote w:id="44">
    <w:p w:rsidR="00E145FB" w:rsidRDefault="00E145FB">
      <w:pPr>
        <w:pStyle w:val="FootnoteText"/>
      </w:pPr>
      <w:r>
        <w:rPr>
          <w:rStyle w:val="FootnoteReference"/>
        </w:rPr>
        <w:footnoteRef/>
      </w:r>
      <w:r>
        <w:t xml:space="preserve"> </w:t>
      </w:r>
      <w:r>
        <w:tab/>
        <w:t xml:space="preserve">AER, </w:t>
      </w:r>
      <w:r w:rsidRPr="00687F34">
        <w:rPr>
          <w:rStyle w:val="AERtextitalic"/>
        </w:rPr>
        <w:t>Final F&amp;A for Energex and Ergon Energy</w:t>
      </w:r>
      <w:r>
        <w:t xml:space="preserve">, April 2014. </w:t>
      </w:r>
    </w:p>
  </w:footnote>
  <w:footnote w:id="45">
    <w:p w:rsidR="00E145FB" w:rsidRDefault="00E145FB" w:rsidP="00EA2027">
      <w:pPr>
        <w:pStyle w:val="FootnoteText"/>
      </w:pPr>
      <w:r>
        <w:rPr>
          <w:rStyle w:val="FootnoteReference"/>
        </w:rPr>
        <w:footnoteRef/>
      </w:r>
      <w:r>
        <w:t xml:space="preserve"> </w:t>
      </w:r>
      <w:r>
        <w:tab/>
      </w:r>
      <w:r w:rsidRPr="00D00F1A">
        <w:t>AEMC,</w:t>
      </w:r>
      <w:r>
        <w:t xml:space="preserve"> </w:t>
      </w:r>
      <w:r w:rsidRPr="00A638CE">
        <w:rPr>
          <w:rStyle w:val="AERtextitalic"/>
        </w:rPr>
        <w:t xml:space="preserve">Draft Rule </w:t>
      </w:r>
      <w:r>
        <w:rPr>
          <w:rStyle w:val="AERtextitalic"/>
        </w:rPr>
        <w:t xml:space="preserve">Determination: </w:t>
      </w:r>
      <w:r w:rsidRPr="00A638CE">
        <w:rPr>
          <w:rStyle w:val="AERtextitalic"/>
        </w:rPr>
        <w:t>National Electricity Amendment (Expanding competition in metering and related services) Rule 2015</w:t>
      </w:r>
      <w:r>
        <w:t>, 26 March 2015.</w:t>
      </w:r>
    </w:p>
  </w:footnote>
  <w:footnote w:id="46">
    <w:p w:rsidR="00E145FB" w:rsidRDefault="00E145FB">
      <w:pPr>
        <w:pStyle w:val="FootnoteText"/>
      </w:pPr>
      <w:r>
        <w:rPr>
          <w:rStyle w:val="FootnoteReference"/>
        </w:rPr>
        <w:footnoteRef/>
      </w:r>
      <w:r>
        <w:t xml:space="preserve"> </w:t>
      </w:r>
      <w:r>
        <w:tab/>
        <w:t xml:space="preserve">These concepts are explained more fully in the explanatory statement to the EBSS, AER, </w:t>
      </w:r>
      <w:r w:rsidRPr="00F73B92">
        <w:rPr>
          <w:rStyle w:val="AERtextitalic"/>
        </w:rPr>
        <w:t>Efficiency benefit sharing scheme for electricity network service providers - explanatory statement</w:t>
      </w:r>
      <w:r>
        <w:t xml:space="preserve">, November 2013. </w:t>
      </w:r>
    </w:p>
  </w:footnote>
  <w:footnote w:id="47">
    <w:p w:rsidR="00E145FB" w:rsidRDefault="00E145FB" w:rsidP="00A638CE">
      <w:pPr>
        <w:pStyle w:val="FootnoteText"/>
      </w:pPr>
      <w:r>
        <w:rPr>
          <w:rStyle w:val="FootnoteReference"/>
        </w:rPr>
        <w:footnoteRef/>
      </w:r>
      <w:r>
        <w:t xml:space="preserve"> </w:t>
      </w:r>
      <w:r>
        <w:tab/>
      </w:r>
      <w:r w:rsidRPr="008A7B7A">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footnote>
  <w:footnote w:id="48">
    <w:p w:rsidR="00E145FB" w:rsidRDefault="00E145FB" w:rsidP="00464DE5">
      <w:pPr>
        <w:pStyle w:val="FootnoteText"/>
      </w:pPr>
      <w:r>
        <w:rPr>
          <w:rStyle w:val="FootnoteReference"/>
        </w:rPr>
        <w:footnoteRef/>
      </w:r>
      <w:r>
        <w:t xml:space="preserve"> </w:t>
      </w:r>
      <w:r>
        <w:tab/>
        <w:t xml:space="preserve">Energex, </w:t>
      </w:r>
      <w:r w:rsidRPr="00ED2DF0">
        <w:rPr>
          <w:rStyle w:val="AERtextitalic"/>
        </w:rPr>
        <w:t>Regulatory Proposal</w:t>
      </w:r>
      <w:r>
        <w:rPr>
          <w:rStyle w:val="AERtextitalic"/>
        </w:rPr>
        <w:t xml:space="preserve">, </w:t>
      </w:r>
      <w:r>
        <w:t>October 2014, p. 192.</w:t>
      </w:r>
    </w:p>
  </w:footnote>
  <w:footnote w:id="49">
    <w:p w:rsidR="00E145FB" w:rsidRDefault="00E145FB" w:rsidP="006E5A4D">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(AER, </w:t>
      </w:r>
      <w:r w:rsidRPr="004254AB">
        <w:rPr>
          <w:rStyle w:val="AERtextitalic"/>
        </w:rPr>
        <w:t>Electricity distribution STPIS</w:t>
      </w:r>
      <w:r w:rsidRPr="004254AB">
        <w:t>, Nov 2009</w:t>
      </w:r>
    </w:p>
  </w:footnote>
  <w:footnote w:id="50">
    <w:p w:rsidR="00E145FB" w:rsidRDefault="00E145FB" w:rsidP="00201F77">
      <w:pPr>
        <w:pStyle w:val="FootnoteText"/>
      </w:pPr>
      <w:r>
        <w:rPr>
          <w:rStyle w:val="FootnoteReference"/>
        </w:rPr>
        <w:footnoteRef/>
      </w:r>
      <w:r>
        <w:t xml:space="preserve"> </w:t>
      </w:r>
      <w:r>
        <w:tab/>
        <w:t>NEL, s. 7.</w:t>
      </w:r>
    </w:p>
  </w:footnote>
  <w:footnote w:id="51">
    <w:p w:rsidR="00E145FB" w:rsidRDefault="00E145FB" w:rsidP="00201F77">
      <w:pPr>
        <w:pStyle w:val="FootnoteText"/>
      </w:pPr>
      <w:r>
        <w:rPr>
          <w:rStyle w:val="FootnoteReference"/>
        </w:rPr>
        <w:footnoteRef/>
      </w:r>
      <w:r>
        <w:t xml:space="preserve"> </w:t>
      </w:r>
      <w:r>
        <w:tab/>
        <w:t>NEL, s. 7A.</w:t>
      </w:r>
    </w:p>
  </w:footnote>
  <w:footnote w:id="52">
    <w:p w:rsidR="00E145FB" w:rsidRDefault="00E145FB" w:rsidP="00201F77">
      <w:pPr>
        <w:pStyle w:val="FootnoteText"/>
      </w:pPr>
      <w:r>
        <w:rPr>
          <w:rStyle w:val="FootnoteReference"/>
        </w:rPr>
        <w:footnoteRef/>
      </w:r>
      <w:r>
        <w:t xml:space="preserve"> </w:t>
      </w:r>
      <w:r>
        <w:tab/>
        <w:t>NEL, s. 16(2).</w:t>
      </w:r>
    </w:p>
  </w:footnote>
  <w:footnote w:id="53">
    <w:p w:rsidR="00E145FB" w:rsidRDefault="00E145FB" w:rsidP="00201F77">
      <w:pPr>
        <w:pStyle w:val="FootnoteText"/>
      </w:pPr>
      <w:r>
        <w:rPr>
          <w:rStyle w:val="FootnoteReference"/>
        </w:rPr>
        <w:footnoteRef/>
      </w:r>
      <w:r>
        <w:t xml:space="preserve"> </w:t>
      </w:r>
      <w:r>
        <w:tab/>
        <w:t>Hansard, SA House of Assembly, 27 September 2007 p. 965; Hansard, SA House of Assembly, 26 September 2013 p. 7173.</w:t>
      </w:r>
    </w:p>
  </w:footnote>
  <w:footnote w:id="54">
    <w:p w:rsidR="00E145FB" w:rsidRDefault="00E145FB" w:rsidP="00201F77">
      <w:pPr>
        <w:pStyle w:val="FootnoteText"/>
      </w:pPr>
      <w:r>
        <w:rPr>
          <w:rStyle w:val="FootnoteReference"/>
        </w:rPr>
        <w:footnoteRef/>
      </w:r>
      <w:r>
        <w:t xml:space="preserve"> </w:t>
      </w:r>
      <w:r>
        <w:tab/>
        <w:t>NEL, s. 88.</w:t>
      </w:r>
    </w:p>
    <w:p w:rsidR="00E145FB" w:rsidRDefault="00E145FB" w:rsidP="00201F77">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55">
    <w:p w:rsidR="00E145FB" w:rsidRDefault="00E145FB" w:rsidP="00201F77">
      <w:pPr>
        <w:pStyle w:val="FootnoteText"/>
      </w:pPr>
      <w:r>
        <w:rPr>
          <w:rStyle w:val="FootnoteReference"/>
        </w:rPr>
        <w:footnoteRef/>
      </w:r>
      <w:r>
        <w:t xml:space="preserve"> </w:t>
      </w: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 xml:space="preserve">p. 33-34;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xml:space="preserve">p. 35-6.   </w:t>
      </w:r>
    </w:p>
  </w:footnote>
  <w:footnote w:id="56">
    <w:p w:rsidR="00E145FB" w:rsidRDefault="00E145FB" w:rsidP="00201F77">
      <w:pPr>
        <w:pStyle w:val="FootnoteText"/>
      </w:pPr>
      <w:r>
        <w:rPr>
          <w:rStyle w:val="FootnoteReference"/>
        </w:rPr>
        <w:footnoteRef/>
      </w:r>
      <w:r>
        <w:t xml:space="preserve"> </w:t>
      </w:r>
      <w:r>
        <w:tab/>
        <w:t>Hansard, SA House of Assembly, 9 February 2005, pp. 1451</w:t>
      </w:r>
      <w:r>
        <w:rPr>
          <w:rFonts w:cs="Gautami"/>
        </w:rPr>
        <w:t>–</w:t>
      </w:r>
      <w:r>
        <w:t>1460.</w:t>
      </w:r>
    </w:p>
    <w:p w:rsidR="00E145FB" w:rsidRDefault="00E145FB" w:rsidP="00201F77">
      <w:pPr>
        <w:pStyle w:val="FootnoteText"/>
      </w:pPr>
      <w:r>
        <w:tab/>
        <w:t>Hansard, SA House of Assembly, 27 September 2007, pp. 963</w:t>
      </w:r>
      <w:r>
        <w:rPr>
          <w:rFonts w:cs="Gautami"/>
        </w:rPr>
        <w:t>–</w:t>
      </w:r>
      <w:r>
        <w:t xml:space="preserve">972. </w:t>
      </w:r>
    </w:p>
    <w:p w:rsidR="00E145FB" w:rsidRDefault="00E145FB" w:rsidP="00201F77">
      <w:pPr>
        <w:pStyle w:val="FootnoteText"/>
      </w:pPr>
      <w:r>
        <w:tab/>
        <w:t>Hansard, SA House of Assembly, 26 September 2013, pp. 7171</w:t>
      </w:r>
      <w:r>
        <w:rPr>
          <w:rFonts w:cs="Gautami"/>
        </w:rPr>
        <w:t>–</w:t>
      </w:r>
      <w:r>
        <w:t>7176.</w:t>
      </w:r>
    </w:p>
  </w:footnote>
  <w:footnote w:id="57">
    <w:p w:rsidR="00E145FB" w:rsidRDefault="00E145FB" w:rsidP="00201F77">
      <w:pPr>
        <w:pStyle w:val="FootnoteText"/>
      </w:pPr>
      <w:r>
        <w:rPr>
          <w:rStyle w:val="FootnoteReference"/>
        </w:rPr>
        <w:footnoteRef/>
      </w:r>
      <w:r>
        <w:tab/>
        <w:t>Hansard, SA House of Assembly, 26 September 2013, p. 7173.</w:t>
      </w:r>
    </w:p>
  </w:footnote>
  <w:footnote w:id="58">
    <w:p w:rsidR="00E145FB" w:rsidRDefault="00E145FB" w:rsidP="00201F77">
      <w:pPr>
        <w:pStyle w:val="FootnoteText"/>
      </w:pPr>
      <w:r>
        <w:rPr>
          <w:rStyle w:val="FootnoteReference"/>
        </w:rPr>
        <w:footnoteRef/>
      </w:r>
      <w:r>
        <w:t xml:space="preserve"> </w:t>
      </w:r>
      <w:r>
        <w:tab/>
        <w:t>Hansard, SA House of Assembly, 9 February 2005, p. 1452.</w:t>
      </w:r>
    </w:p>
  </w:footnote>
  <w:footnote w:id="59">
    <w:p w:rsidR="00E145FB" w:rsidRPr="001114AA" w:rsidRDefault="00E145FB" w:rsidP="00201F77">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E145FB" w:rsidRDefault="00E145FB" w:rsidP="00201F77">
      <w:pPr>
        <w:pStyle w:val="FootnoteText"/>
      </w:pPr>
      <w:r>
        <w:tab/>
        <w:t>Energy Ministers also accept this view – see Hansard, SA House of Assembly, 26 September 2013 p. 7172.</w:t>
      </w:r>
    </w:p>
    <w:p w:rsidR="00E145FB" w:rsidRDefault="00E145FB" w:rsidP="00201F77">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60">
    <w:p w:rsidR="00E145FB" w:rsidRDefault="00E145FB" w:rsidP="00201F77">
      <w:pPr>
        <w:pStyle w:val="FootnoteText"/>
      </w:pPr>
      <w:r>
        <w:rPr>
          <w:rStyle w:val="FootnoteReference"/>
        </w:rPr>
        <w:footnoteRef/>
      </w:r>
      <w:r>
        <w:t xml:space="preserve"> </w:t>
      </w:r>
      <w:r>
        <w:tab/>
        <w:t>NEL, s. 7A(7).</w:t>
      </w:r>
    </w:p>
  </w:footnote>
  <w:footnote w:id="61">
    <w:p w:rsidR="00E145FB" w:rsidRDefault="00E145FB" w:rsidP="00201F77">
      <w:pPr>
        <w:pStyle w:val="FootnoteText"/>
      </w:pPr>
      <w:r>
        <w:rPr>
          <w:rStyle w:val="FootnoteReference"/>
        </w:rPr>
        <w:footnoteRef/>
      </w:r>
      <w:r>
        <w:t xml:space="preserve"> </w:t>
      </w:r>
      <w:r>
        <w:tab/>
        <w:t>NEL, s. 7A(6).</w:t>
      </w:r>
    </w:p>
  </w:footnote>
  <w:footnote w:id="62">
    <w:p w:rsidR="00E145FB" w:rsidRDefault="00E145FB" w:rsidP="00201F77">
      <w:pPr>
        <w:pStyle w:val="FootnoteText"/>
      </w:pPr>
      <w:r>
        <w:rPr>
          <w:rStyle w:val="FootnoteReference"/>
        </w:rPr>
        <w:footnoteRef/>
      </w:r>
      <w:r>
        <w:t xml:space="preserve"> </w:t>
      </w:r>
      <w:r>
        <w:tab/>
        <w:t xml:space="preserve">NEL, ss. 16(1)(d) and 71P(2a)(c). AEMC, </w:t>
      </w:r>
      <w:r>
        <w:rPr>
          <w:rStyle w:val="AERtextitalic"/>
        </w:rPr>
        <w:t>Rule Determination National Electricity Amendment (Economic Regulation of Network Service Providers) Rule 2012, National Gas Amendment (Price and Revenue Regulation of Gas Services) Rule 2012,</w:t>
      </w:r>
      <w:r>
        <w:t xml:space="preserve"> pp. i, iii, iv, vi, vii, 8, 24 32, 36, 38, 45, 49, 67, 68, 90, 96 106, 112 and 113.</w:t>
      </w:r>
    </w:p>
    <w:p w:rsidR="00E145FB" w:rsidRDefault="00E145FB" w:rsidP="00201F77">
      <w:pPr>
        <w:pStyle w:val="FootnoteText"/>
      </w:pPr>
      <w:r>
        <w:tab/>
        <w:t>Hansard, SA House of Assembly, 26 September 2013 p. 7172.</w:t>
      </w:r>
    </w:p>
  </w:footnote>
  <w:footnote w:id="63">
    <w:p w:rsidR="00E145FB" w:rsidRDefault="00E145FB" w:rsidP="00201F77">
      <w:pPr>
        <w:pStyle w:val="FootnoteText"/>
      </w:pPr>
      <w:r>
        <w:rPr>
          <w:rStyle w:val="FootnoteReference"/>
        </w:rPr>
        <w:footnoteRef/>
      </w:r>
      <w:r>
        <w:t xml:space="preserve"> </w:t>
      </w:r>
      <w:r>
        <w:tab/>
        <w:t>For example, NER, cl. 6.5.2(b) and (c), 6.5.6(a) and 6.5.7(a).</w:t>
      </w:r>
    </w:p>
    <w:p w:rsidR="00E145FB" w:rsidRDefault="00E145FB" w:rsidP="00201F77">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64">
    <w:p w:rsidR="00E145FB" w:rsidRDefault="00E145FB" w:rsidP="00201F77">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65">
    <w:p w:rsidR="00E145FB" w:rsidRDefault="00E145FB" w:rsidP="00201F77">
      <w:pPr>
        <w:pStyle w:val="FootnoteText"/>
      </w:pPr>
      <w:r>
        <w:rPr>
          <w:rStyle w:val="FootnoteReference"/>
        </w:rPr>
        <w:footnoteRef/>
      </w:r>
      <w:r>
        <w:t xml:space="preserve"> </w:t>
      </w:r>
      <w:r>
        <w:tab/>
        <w:t>Hansard, SA House of Assembly, 26 September 2013 p. 7171.</w:t>
      </w:r>
    </w:p>
  </w:footnote>
  <w:footnote w:id="66">
    <w:p w:rsidR="00E145FB" w:rsidRDefault="00E145FB" w:rsidP="00201F77">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E145FB" w:rsidRDefault="00E145FB" w:rsidP="00201F77">
      <w:pPr>
        <w:pStyle w:val="FootnoteText"/>
      </w:pPr>
      <w:r>
        <w:tab/>
        <w:t>Hansard, SA House of Assembly, 26 September 2013, pp. 7171 and 7173; See also NEL, ss. 2, 16 and 71A which focus the AER’s decision making and merits review at the overall decision, rather than its constituent components.</w:t>
      </w:r>
    </w:p>
    <w:p w:rsidR="00E145FB" w:rsidRDefault="00E145FB" w:rsidP="00201F77">
      <w:pPr>
        <w:pStyle w:val="FootnoteText"/>
      </w:pPr>
      <w:r>
        <w:tab/>
        <w:t xml:space="preserve">SCER, </w:t>
      </w:r>
      <w:hyperlink r:id="rId2"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67">
    <w:p w:rsidR="00E145FB" w:rsidRDefault="00E145FB" w:rsidP="00201F77">
      <w:pPr>
        <w:pStyle w:val="FootnoteText"/>
      </w:pPr>
      <w:r>
        <w:rPr>
          <w:rStyle w:val="FootnoteReference"/>
        </w:rPr>
        <w:footnoteRef/>
      </w:r>
      <w:r>
        <w:t xml:space="preserve"> </w:t>
      </w:r>
      <w:r>
        <w:tab/>
        <w:t>NEL, s. 16(c).</w:t>
      </w:r>
    </w:p>
  </w:footnote>
  <w:footnote w:id="68">
    <w:p w:rsidR="00E145FB" w:rsidRDefault="00E145FB" w:rsidP="00201F77">
      <w:pPr>
        <w:pStyle w:val="FootnoteText"/>
      </w:pPr>
      <w:r>
        <w:rPr>
          <w:rStyle w:val="FootnoteReference"/>
        </w:rPr>
        <w:footnoteRef/>
      </w:r>
      <w:r>
        <w:t xml:space="preserve"> </w:t>
      </w:r>
      <w:r>
        <w:tab/>
        <w:t>NEL, s. 16(1)(d).</w:t>
      </w:r>
    </w:p>
  </w:footnote>
  <w:footnote w:id="69">
    <w:p w:rsidR="00E145FB" w:rsidRDefault="00E145FB">
      <w:pPr>
        <w:pStyle w:val="FootnoteText"/>
      </w:pPr>
      <w:r>
        <w:rPr>
          <w:rStyle w:val="FootnoteReference"/>
        </w:rPr>
        <w:footnoteRef/>
      </w:r>
      <w:r>
        <w:t xml:space="preserve"> </w:t>
      </w:r>
      <w:r>
        <w:tab/>
        <w:t>NER, cl. 6.11.2(2)(c).</w:t>
      </w:r>
    </w:p>
  </w:footnote>
  <w:footnote w:id="70">
    <w:p w:rsidR="00E145FB" w:rsidRDefault="00E145FB" w:rsidP="00201F77">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w:t>
      </w:r>
      <w:r>
        <w:t>,</w:t>
      </w:r>
      <w:r w:rsidRPr="00356A31">
        <w:t xml:space="preserve"> p. 6</w:t>
      </w:r>
      <w:r>
        <w:t>.</w:t>
      </w:r>
    </w:p>
  </w:footnote>
  <w:footnote w:id="71">
    <w:p w:rsidR="00E145FB" w:rsidRDefault="00E145FB" w:rsidP="00650825">
      <w:pPr>
        <w:pStyle w:val="FootnoteText"/>
      </w:pPr>
      <w:r>
        <w:rPr>
          <w:rStyle w:val="FootnoteReference"/>
        </w:rPr>
        <w:footnoteRef/>
      </w:r>
      <w:r>
        <w:t xml:space="preserve"> </w:t>
      </w:r>
      <w:r>
        <w:tab/>
        <w:t>NEL, s. 16(1)(b).</w:t>
      </w:r>
    </w:p>
  </w:footnote>
  <w:footnote w:id="72">
    <w:p w:rsidR="00E145FB" w:rsidRDefault="00E145FB" w:rsidP="00650825">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73">
    <w:p w:rsidR="00E145FB" w:rsidRDefault="00E145FB" w:rsidP="00650825">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74">
    <w:p w:rsidR="00E145FB" w:rsidRDefault="00E145FB">
      <w:pPr>
        <w:pStyle w:val="FootnoteText"/>
      </w:pPr>
      <w:r>
        <w:rPr>
          <w:rStyle w:val="FootnoteReference"/>
        </w:rPr>
        <w:footnoteRef/>
      </w:r>
      <w:r>
        <w:t xml:space="preserve"> </w:t>
      </w:r>
      <w:r>
        <w:tab/>
        <w:t>www.aer.gov.au/Better-regulation-reform-program</w:t>
      </w:r>
    </w:p>
  </w:footnote>
  <w:footnote w:id="75">
    <w:p w:rsidR="00E145FB" w:rsidRDefault="00E145FB">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76">
    <w:p w:rsidR="00E145FB" w:rsidRDefault="00E145FB">
      <w:pPr>
        <w:pStyle w:val="FootnoteText"/>
      </w:pPr>
      <w:r>
        <w:rPr>
          <w:rStyle w:val="FootnoteReference"/>
        </w:rPr>
        <w:footnoteRef/>
      </w:r>
      <w:r>
        <w:t xml:space="preserve"> </w:t>
      </w:r>
      <w:r>
        <w:tab/>
        <w:t>NER, cl. 11.60.4.</w:t>
      </w:r>
    </w:p>
  </w:footnote>
  <w:footnote w:id="77">
    <w:p w:rsidR="00E145FB" w:rsidRDefault="00E145FB">
      <w:pPr>
        <w:pStyle w:val="FootnoteText"/>
      </w:pPr>
      <w:r>
        <w:rPr>
          <w:rStyle w:val="FootnoteReference"/>
        </w:rPr>
        <w:footnoteRef/>
      </w:r>
      <w:r>
        <w:t xml:space="preserve"> </w:t>
      </w:r>
      <w:r>
        <w:tab/>
        <w:t>NER, cll. 6.11.2 and 11.60.4(a).</w:t>
      </w:r>
    </w:p>
  </w:footnote>
  <w:footnote w:id="78">
    <w:p w:rsidR="00E145FB" w:rsidRDefault="00E145FB">
      <w:pPr>
        <w:pStyle w:val="FootnoteText"/>
      </w:pPr>
      <w:r>
        <w:rPr>
          <w:rStyle w:val="FootnoteReference"/>
        </w:rPr>
        <w:footnoteRef/>
      </w:r>
      <w:r>
        <w:t xml:space="preserve"> </w:t>
      </w:r>
      <w:r>
        <w:tab/>
        <w:t>NER, cl. 11.60.4(b).</w:t>
      </w:r>
    </w:p>
  </w:footnote>
  <w:footnote w:id="79">
    <w:p w:rsidR="00E145FB" w:rsidRDefault="00E145FB">
      <w:pPr>
        <w:pStyle w:val="FootnoteText"/>
      </w:pPr>
      <w:r>
        <w:rPr>
          <w:rStyle w:val="FootnoteReference"/>
        </w:rPr>
        <w:footnoteRef/>
      </w:r>
      <w:r>
        <w:t xml:space="preserve"> </w:t>
      </w:r>
      <w:r>
        <w:tab/>
        <w:t>NER, cl. 11.60.4(c).</w:t>
      </w:r>
    </w:p>
  </w:footnote>
  <w:footnote w:id="80">
    <w:p w:rsidR="00E145FB" w:rsidRDefault="00E145FB" w:rsidP="009761DD">
      <w:pPr>
        <w:pStyle w:val="FootnoteText"/>
      </w:pPr>
      <w:r>
        <w:rPr>
          <w:rStyle w:val="FootnoteReference"/>
        </w:rPr>
        <w:footnoteRef/>
      </w:r>
      <w:r>
        <w:t xml:space="preserve"> </w:t>
      </w:r>
      <w:r>
        <w:tab/>
        <w:t>NER, cl. 6.12.1.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4262" w:hanging="576"/>
      </w:pPr>
    </w:lvl>
    <w:lvl w:ilvl="2">
      <w:start w:val="1"/>
      <w:numFmt w:val="decimal"/>
      <w:pStyle w:val="Heading3"/>
      <w:lvlText w:val="%1.%2.%3"/>
      <w:lvlJc w:val="left"/>
      <w:pPr>
        <w:ind w:left="720" w:hanging="720"/>
      </w:pPr>
    </w:lvl>
    <w:lvl w:ilvl="3">
      <w:start w:val="1"/>
      <w:numFmt w:val="decimal"/>
      <w:pStyle w:val="Heading4"/>
      <w:lvlText w:val="%1.%2.%3.%4"/>
      <w:lvlJc w:val="left"/>
      <w:pPr>
        <w:ind w:left="313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60D81340"/>
    <w:multiLevelType w:val="multilevel"/>
    <w:tmpl w:val="950A1C52"/>
    <w:numStyleLink w:val="AERHeadings"/>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1C5121"/>
    <w:multiLevelType w:val="multilevel"/>
    <w:tmpl w:val="950A1C52"/>
    <w:numStyleLink w:val="AERHeadings"/>
  </w:abstractNum>
  <w:abstractNum w:abstractNumId="35">
    <w:nsid w:val="79D70DEA"/>
    <w:multiLevelType w:val="multilevel"/>
    <w:tmpl w:val="39D4CB02"/>
    <w:lvl w:ilvl="0">
      <w:start w:val="1"/>
      <w:numFmt w:val="none"/>
      <w:lvlText w:val="%1"/>
      <w:lvlJc w:val="left"/>
      <w:pPr>
        <w:tabs>
          <w:tab w:val="num" w:pos="0"/>
        </w:tabs>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Restart w:val="1"/>
      <w:lvlText w:val="(%5)"/>
      <w:lvlJc w:val="left"/>
      <w:pPr>
        <w:tabs>
          <w:tab w:val="num" w:pos="454"/>
        </w:tabs>
        <w:ind w:left="454" w:hanging="454"/>
      </w:pPr>
    </w:lvl>
    <w:lvl w:ilvl="5">
      <w:start w:val="1"/>
      <w:numFmt w:val="lowerLetter"/>
      <w:lvlText w:val="(%6)"/>
      <w:lvlJc w:val="left"/>
      <w:pPr>
        <w:tabs>
          <w:tab w:val="num" w:pos="811"/>
        </w:tabs>
        <w:ind w:left="811" w:hanging="357"/>
      </w:pPr>
    </w:lvl>
    <w:lvl w:ilvl="6">
      <w:start w:val="1"/>
      <w:numFmt w:val="lowerRoman"/>
      <w:lvlText w:val="(%7)"/>
      <w:lvlJc w:val="left"/>
      <w:pPr>
        <w:tabs>
          <w:tab w:val="num" w:pos="1446"/>
        </w:tabs>
        <w:ind w:left="1446" w:hanging="635"/>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3"/>
  </w:num>
  <w:num w:numId="16">
    <w:abstractNumId w:val="23"/>
  </w:num>
  <w:num w:numId="17">
    <w:abstractNumId w:val="9"/>
  </w:num>
  <w:num w:numId="18">
    <w:abstractNumId w:val="17"/>
  </w:num>
  <w:num w:numId="19">
    <w:abstractNumId w:val="24"/>
  </w:num>
  <w:num w:numId="20">
    <w:abstractNumId w:val="32"/>
  </w:num>
  <w:num w:numId="21">
    <w:abstractNumId w:val="14"/>
  </w:num>
  <w:num w:numId="22">
    <w:abstractNumId w:val="27"/>
  </w:num>
  <w:num w:numId="23">
    <w:abstractNumId w:val="25"/>
  </w:num>
  <w:num w:numId="24">
    <w:abstractNumId w:val="19"/>
  </w:num>
  <w:num w:numId="25">
    <w:abstractNumId w:val="26"/>
  </w:num>
  <w:num w:numId="26">
    <w:abstractNumId w:val="28"/>
  </w:num>
  <w:num w:numId="27">
    <w:abstractNumId w:val="20"/>
  </w:num>
  <w:num w:numId="28">
    <w:abstractNumId w:val="18"/>
  </w:num>
  <w:num w:numId="29">
    <w:abstractNumId w:val="16"/>
  </w:num>
  <w:num w:numId="30">
    <w:abstractNumId w:val="33"/>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34"/>
  </w:num>
  <w:num w:numId="38">
    <w:abstractNumId w:val="29"/>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chDY78weUsfEWzStjrwwyVLJnStOsAbh/VkdbrfilM=" w:saltValue="0+3RQpGRSTp8jdki7V3Etg==" w:algorithmName="SHA-256"/>
  <w:defaultTabStop w:val="340"/>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640\AER15 177  NEW - SAPN - prelim decision - Overview.DOCX"/>
  </w:docVars>
  <w:rsids>
    <w:rsidRoot w:val="00961A4A"/>
    <w:rsid w:val="000018D1"/>
    <w:rsid w:val="000051BC"/>
    <w:rsid w:val="00006B6D"/>
    <w:rsid w:val="00012781"/>
    <w:rsid w:val="00014240"/>
    <w:rsid w:val="000201AB"/>
    <w:rsid w:val="00021202"/>
    <w:rsid w:val="0002517F"/>
    <w:rsid w:val="00030A6E"/>
    <w:rsid w:val="00030CF1"/>
    <w:rsid w:val="0003578C"/>
    <w:rsid w:val="00035C0B"/>
    <w:rsid w:val="00040537"/>
    <w:rsid w:val="000412C3"/>
    <w:rsid w:val="00043E5B"/>
    <w:rsid w:val="0004462F"/>
    <w:rsid w:val="00047514"/>
    <w:rsid w:val="00054EE5"/>
    <w:rsid w:val="00055080"/>
    <w:rsid w:val="00057FC6"/>
    <w:rsid w:val="00063247"/>
    <w:rsid w:val="00070F9F"/>
    <w:rsid w:val="0007137B"/>
    <w:rsid w:val="00075F48"/>
    <w:rsid w:val="00081FB6"/>
    <w:rsid w:val="00083C24"/>
    <w:rsid w:val="00084AD3"/>
    <w:rsid w:val="00085663"/>
    <w:rsid w:val="00085EBF"/>
    <w:rsid w:val="00093C1F"/>
    <w:rsid w:val="00097F4C"/>
    <w:rsid w:val="000A06BC"/>
    <w:rsid w:val="000A3020"/>
    <w:rsid w:val="000A6C7B"/>
    <w:rsid w:val="000B049A"/>
    <w:rsid w:val="000B49AC"/>
    <w:rsid w:val="000B78BF"/>
    <w:rsid w:val="000C668B"/>
    <w:rsid w:val="000C6C4B"/>
    <w:rsid w:val="000C786A"/>
    <w:rsid w:val="000C7D19"/>
    <w:rsid w:val="000D122C"/>
    <w:rsid w:val="000D257F"/>
    <w:rsid w:val="000D3DFE"/>
    <w:rsid w:val="000D667E"/>
    <w:rsid w:val="000E1819"/>
    <w:rsid w:val="000E4821"/>
    <w:rsid w:val="000E675B"/>
    <w:rsid w:val="000E6C72"/>
    <w:rsid w:val="000E71C4"/>
    <w:rsid w:val="000F04A8"/>
    <w:rsid w:val="000F4042"/>
    <w:rsid w:val="000F5B95"/>
    <w:rsid w:val="00105CD8"/>
    <w:rsid w:val="00112BF8"/>
    <w:rsid w:val="00112D17"/>
    <w:rsid w:val="00113E76"/>
    <w:rsid w:val="00115D44"/>
    <w:rsid w:val="00116EB2"/>
    <w:rsid w:val="00117925"/>
    <w:rsid w:val="00124609"/>
    <w:rsid w:val="00126A4C"/>
    <w:rsid w:val="00130632"/>
    <w:rsid w:val="001364D6"/>
    <w:rsid w:val="00136EC9"/>
    <w:rsid w:val="00137A33"/>
    <w:rsid w:val="0014471B"/>
    <w:rsid w:val="0014573B"/>
    <w:rsid w:val="00151620"/>
    <w:rsid w:val="00152A06"/>
    <w:rsid w:val="00152A16"/>
    <w:rsid w:val="00154127"/>
    <w:rsid w:val="00155B30"/>
    <w:rsid w:val="00155F61"/>
    <w:rsid w:val="001573E4"/>
    <w:rsid w:val="00160756"/>
    <w:rsid w:val="0017232E"/>
    <w:rsid w:val="00174102"/>
    <w:rsid w:val="00174D8E"/>
    <w:rsid w:val="00180157"/>
    <w:rsid w:val="00182B02"/>
    <w:rsid w:val="00185CB9"/>
    <w:rsid w:val="00186632"/>
    <w:rsid w:val="00186F77"/>
    <w:rsid w:val="0019142D"/>
    <w:rsid w:val="001926A4"/>
    <w:rsid w:val="00192AD5"/>
    <w:rsid w:val="00194984"/>
    <w:rsid w:val="001A2CE1"/>
    <w:rsid w:val="001A5A80"/>
    <w:rsid w:val="001A6379"/>
    <w:rsid w:val="001B45A0"/>
    <w:rsid w:val="001C2560"/>
    <w:rsid w:val="001D055E"/>
    <w:rsid w:val="001D0D81"/>
    <w:rsid w:val="001E65EA"/>
    <w:rsid w:val="001F3ED8"/>
    <w:rsid w:val="001F492E"/>
    <w:rsid w:val="001F6DA3"/>
    <w:rsid w:val="0020091D"/>
    <w:rsid w:val="002010BC"/>
    <w:rsid w:val="00201DAD"/>
    <w:rsid w:val="00201F77"/>
    <w:rsid w:val="00202514"/>
    <w:rsid w:val="00202E03"/>
    <w:rsid w:val="002034C3"/>
    <w:rsid w:val="0020492C"/>
    <w:rsid w:val="002053FB"/>
    <w:rsid w:val="002056BD"/>
    <w:rsid w:val="00212034"/>
    <w:rsid w:val="00214944"/>
    <w:rsid w:val="00215265"/>
    <w:rsid w:val="00221724"/>
    <w:rsid w:val="00222367"/>
    <w:rsid w:val="00224DB9"/>
    <w:rsid w:val="00230630"/>
    <w:rsid w:val="00233775"/>
    <w:rsid w:val="0023463A"/>
    <w:rsid w:val="0024313A"/>
    <w:rsid w:val="00246470"/>
    <w:rsid w:val="00251745"/>
    <w:rsid w:val="00255A8A"/>
    <w:rsid w:val="00256C7D"/>
    <w:rsid w:val="0025769C"/>
    <w:rsid w:val="0026327F"/>
    <w:rsid w:val="00263AC0"/>
    <w:rsid w:val="00264264"/>
    <w:rsid w:val="00265447"/>
    <w:rsid w:val="00266224"/>
    <w:rsid w:val="0026772D"/>
    <w:rsid w:val="00270BDF"/>
    <w:rsid w:val="00273F94"/>
    <w:rsid w:val="00275FED"/>
    <w:rsid w:val="00277707"/>
    <w:rsid w:val="00280505"/>
    <w:rsid w:val="00286874"/>
    <w:rsid w:val="00290C63"/>
    <w:rsid w:val="00291625"/>
    <w:rsid w:val="00291C14"/>
    <w:rsid w:val="00292E79"/>
    <w:rsid w:val="00293DD1"/>
    <w:rsid w:val="00295EA7"/>
    <w:rsid w:val="00296B65"/>
    <w:rsid w:val="00297DD0"/>
    <w:rsid w:val="002A0806"/>
    <w:rsid w:val="002A2382"/>
    <w:rsid w:val="002A76E6"/>
    <w:rsid w:val="002A7DEF"/>
    <w:rsid w:val="002B0BC3"/>
    <w:rsid w:val="002B1A95"/>
    <w:rsid w:val="002B27CA"/>
    <w:rsid w:val="002B45BD"/>
    <w:rsid w:val="002C12D8"/>
    <w:rsid w:val="002C6D16"/>
    <w:rsid w:val="002C74C3"/>
    <w:rsid w:val="002E7B22"/>
    <w:rsid w:val="002F3024"/>
    <w:rsid w:val="002F6952"/>
    <w:rsid w:val="002F7986"/>
    <w:rsid w:val="0030183E"/>
    <w:rsid w:val="00301B40"/>
    <w:rsid w:val="003029EE"/>
    <w:rsid w:val="00305CC8"/>
    <w:rsid w:val="00307F6D"/>
    <w:rsid w:val="00311762"/>
    <w:rsid w:val="003166C0"/>
    <w:rsid w:val="003177A2"/>
    <w:rsid w:val="00322007"/>
    <w:rsid w:val="003271B5"/>
    <w:rsid w:val="00327A1E"/>
    <w:rsid w:val="00330587"/>
    <w:rsid w:val="00331264"/>
    <w:rsid w:val="00334C8D"/>
    <w:rsid w:val="003353D6"/>
    <w:rsid w:val="00335A42"/>
    <w:rsid w:val="00343122"/>
    <w:rsid w:val="00343A18"/>
    <w:rsid w:val="003478C2"/>
    <w:rsid w:val="003518B3"/>
    <w:rsid w:val="003549C7"/>
    <w:rsid w:val="003549E1"/>
    <w:rsid w:val="00355076"/>
    <w:rsid w:val="0036083B"/>
    <w:rsid w:val="003636EE"/>
    <w:rsid w:val="00370058"/>
    <w:rsid w:val="00371DEF"/>
    <w:rsid w:val="00376832"/>
    <w:rsid w:val="003846F1"/>
    <w:rsid w:val="00387580"/>
    <w:rsid w:val="003A0AFB"/>
    <w:rsid w:val="003A0E03"/>
    <w:rsid w:val="003A2766"/>
    <w:rsid w:val="003A40E9"/>
    <w:rsid w:val="003B31C2"/>
    <w:rsid w:val="003B484F"/>
    <w:rsid w:val="003C574C"/>
    <w:rsid w:val="003D134B"/>
    <w:rsid w:val="003D4915"/>
    <w:rsid w:val="003E0F17"/>
    <w:rsid w:val="003E3873"/>
    <w:rsid w:val="003E5E70"/>
    <w:rsid w:val="003F0BCB"/>
    <w:rsid w:val="003F174D"/>
    <w:rsid w:val="003F1F4A"/>
    <w:rsid w:val="003F4666"/>
    <w:rsid w:val="00402568"/>
    <w:rsid w:val="00410D57"/>
    <w:rsid w:val="004206D2"/>
    <w:rsid w:val="00421F4A"/>
    <w:rsid w:val="00422016"/>
    <w:rsid w:val="00430AE8"/>
    <w:rsid w:val="00434C1D"/>
    <w:rsid w:val="0043616E"/>
    <w:rsid w:val="00441888"/>
    <w:rsid w:val="00442D75"/>
    <w:rsid w:val="00455BD7"/>
    <w:rsid w:val="0045777E"/>
    <w:rsid w:val="00464DE5"/>
    <w:rsid w:val="004739C0"/>
    <w:rsid w:val="00480B4B"/>
    <w:rsid w:val="00483883"/>
    <w:rsid w:val="004838BA"/>
    <w:rsid w:val="00484482"/>
    <w:rsid w:val="00485DC4"/>
    <w:rsid w:val="0049148C"/>
    <w:rsid w:val="0049346B"/>
    <w:rsid w:val="004940A1"/>
    <w:rsid w:val="00495155"/>
    <w:rsid w:val="00497480"/>
    <w:rsid w:val="00497F95"/>
    <w:rsid w:val="004A01A6"/>
    <w:rsid w:val="004A21E1"/>
    <w:rsid w:val="004A3E31"/>
    <w:rsid w:val="004A3E59"/>
    <w:rsid w:val="004A43D1"/>
    <w:rsid w:val="004A44C5"/>
    <w:rsid w:val="004A4D49"/>
    <w:rsid w:val="004A4FA9"/>
    <w:rsid w:val="004B1187"/>
    <w:rsid w:val="004B4412"/>
    <w:rsid w:val="004C088B"/>
    <w:rsid w:val="004C348C"/>
    <w:rsid w:val="004D2343"/>
    <w:rsid w:val="004D28B4"/>
    <w:rsid w:val="004D4160"/>
    <w:rsid w:val="004D55BA"/>
    <w:rsid w:val="004D65F6"/>
    <w:rsid w:val="004E207F"/>
    <w:rsid w:val="004E22EC"/>
    <w:rsid w:val="004E4912"/>
    <w:rsid w:val="004E4F12"/>
    <w:rsid w:val="004E7168"/>
    <w:rsid w:val="004E75A8"/>
    <w:rsid w:val="004F0601"/>
    <w:rsid w:val="004F37A8"/>
    <w:rsid w:val="004F50F6"/>
    <w:rsid w:val="004F5B62"/>
    <w:rsid w:val="004F66C0"/>
    <w:rsid w:val="004F6B34"/>
    <w:rsid w:val="004F77EF"/>
    <w:rsid w:val="004F78A3"/>
    <w:rsid w:val="004F7E7D"/>
    <w:rsid w:val="005023EA"/>
    <w:rsid w:val="00503E74"/>
    <w:rsid w:val="0051364F"/>
    <w:rsid w:val="00521204"/>
    <w:rsid w:val="00522723"/>
    <w:rsid w:val="00523FE1"/>
    <w:rsid w:val="00525367"/>
    <w:rsid w:val="00526442"/>
    <w:rsid w:val="0052789A"/>
    <w:rsid w:val="00527B44"/>
    <w:rsid w:val="00527E2D"/>
    <w:rsid w:val="00530128"/>
    <w:rsid w:val="00532467"/>
    <w:rsid w:val="00533FB7"/>
    <w:rsid w:val="00537405"/>
    <w:rsid w:val="00537E8B"/>
    <w:rsid w:val="005434DE"/>
    <w:rsid w:val="00552CEC"/>
    <w:rsid w:val="00553AC4"/>
    <w:rsid w:val="00553D45"/>
    <w:rsid w:val="00554360"/>
    <w:rsid w:val="00557821"/>
    <w:rsid w:val="00563FF9"/>
    <w:rsid w:val="0056451C"/>
    <w:rsid w:val="00564A4D"/>
    <w:rsid w:val="00567BA5"/>
    <w:rsid w:val="0057058F"/>
    <w:rsid w:val="00571B35"/>
    <w:rsid w:val="00571D57"/>
    <w:rsid w:val="00577A09"/>
    <w:rsid w:val="005828D2"/>
    <w:rsid w:val="005829C2"/>
    <w:rsid w:val="00584D8F"/>
    <w:rsid w:val="00584E68"/>
    <w:rsid w:val="0058687D"/>
    <w:rsid w:val="00587506"/>
    <w:rsid w:val="00592DF6"/>
    <w:rsid w:val="00592E02"/>
    <w:rsid w:val="00596985"/>
    <w:rsid w:val="005A2DF9"/>
    <w:rsid w:val="005A404D"/>
    <w:rsid w:val="005A6432"/>
    <w:rsid w:val="005B1E3C"/>
    <w:rsid w:val="005C26CC"/>
    <w:rsid w:val="005C389D"/>
    <w:rsid w:val="005C44BA"/>
    <w:rsid w:val="005D3EF8"/>
    <w:rsid w:val="005D44B3"/>
    <w:rsid w:val="005D7BA2"/>
    <w:rsid w:val="005E0DE6"/>
    <w:rsid w:val="005E12E1"/>
    <w:rsid w:val="005E15A1"/>
    <w:rsid w:val="005E36C2"/>
    <w:rsid w:val="005E6437"/>
    <w:rsid w:val="005E6D4D"/>
    <w:rsid w:val="005F6C07"/>
    <w:rsid w:val="00602539"/>
    <w:rsid w:val="00615C6B"/>
    <w:rsid w:val="0062119B"/>
    <w:rsid w:val="0062178F"/>
    <w:rsid w:val="00621DCE"/>
    <w:rsid w:val="00621E44"/>
    <w:rsid w:val="00623BB0"/>
    <w:rsid w:val="00625169"/>
    <w:rsid w:val="006268E3"/>
    <w:rsid w:val="00630BB1"/>
    <w:rsid w:val="00632D6D"/>
    <w:rsid w:val="00642C3E"/>
    <w:rsid w:val="006507D9"/>
    <w:rsid w:val="00650825"/>
    <w:rsid w:val="00655A96"/>
    <w:rsid w:val="0065639C"/>
    <w:rsid w:val="006563DF"/>
    <w:rsid w:val="00656E18"/>
    <w:rsid w:val="0066104A"/>
    <w:rsid w:val="00663DAD"/>
    <w:rsid w:val="00670E6B"/>
    <w:rsid w:val="00671269"/>
    <w:rsid w:val="0067159E"/>
    <w:rsid w:val="0067447D"/>
    <w:rsid w:val="00675E20"/>
    <w:rsid w:val="00676679"/>
    <w:rsid w:val="00683192"/>
    <w:rsid w:val="00683C89"/>
    <w:rsid w:val="00683CA1"/>
    <w:rsid w:val="00687F34"/>
    <w:rsid w:val="00694591"/>
    <w:rsid w:val="00695995"/>
    <w:rsid w:val="00696DB0"/>
    <w:rsid w:val="006A135A"/>
    <w:rsid w:val="006A2559"/>
    <w:rsid w:val="006A52CE"/>
    <w:rsid w:val="006A7ABB"/>
    <w:rsid w:val="006B2395"/>
    <w:rsid w:val="006B4CF9"/>
    <w:rsid w:val="006B4DEF"/>
    <w:rsid w:val="006B521B"/>
    <w:rsid w:val="006B6D5C"/>
    <w:rsid w:val="006B7AC8"/>
    <w:rsid w:val="006D550F"/>
    <w:rsid w:val="006E01A2"/>
    <w:rsid w:val="006E0F7B"/>
    <w:rsid w:val="006E43DB"/>
    <w:rsid w:val="006E5A4D"/>
    <w:rsid w:val="006F49FB"/>
    <w:rsid w:val="006F559A"/>
    <w:rsid w:val="00700D98"/>
    <w:rsid w:val="00701CAB"/>
    <w:rsid w:val="007070F0"/>
    <w:rsid w:val="00707563"/>
    <w:rsid w:val="00711B99"/>
    <w:rsid w:val="00717EFB"/>
    <w:rsid w:val="0072348C"/>
    <w:rsid w:val="00724778"/>
    <w:rsid w:val="00724A37"/>
    <w:rsid w:val="007303C3"/>
    <w:rsid w:val="00736F78"/>
    <w:rsid w:val="00737799"/>
    <w:rsid w:val="007429BE"/>
    <w:rsid w:val="00743223"/>
    <w:rsid w:val="00744175"/>
    <w:rsid w:val="00746E01"/>
    <w:rsid w:val="007560AB"/>
    <w:rsid w:val="0075793A"/>
    <w:rsid w:val="00757BDF"/>
    <w:rsid w:val="00760CB5"/>
    <w:rsid w:val="00763E5D"/>
    <w:rsid w:val="00765770"/>
    <w:rsid w:val="00765773"/>
    <w:rsid w:val="00765FEE"/>
    <w:rsid w:val="00766D86"/>
    <w:rsid w:val="007673C7"/>
    <w:rsid w:val="007675AE"/>
    <w:rsid w:val="00767740"/>
    <w:rsid w:val="00767B13"/>
    <w:rsid w:val="00776F49"/>
    <w:rsid w:val="00777595"/>
    <w:rsid w:val="00777EE6"/>
    <w:rsid w:val="00782EEA"/>
    <w:rsid w:val="00785438"/>
    <w:rsid w:val="00785863"/>
    <w:rsid w:val="00790C92"/>
    <w:rsid w:val="0079150E"/>
    <w:rsid w:val="00791C96"/>
    <w:rsid w:val="007A18FD"/>
    <w:rsid w:val="007A408F"/>
    <w:rsid w:val="007A57C1"/>
    <w:rsid w:val="007A64F2"/>
    <w:rsid w:val="007B2C72"/>
    <w:rsid w:val="007B2E13"/>
    <w:rsid w:val="007B3A54"/>
    <w:rsid w:val="007B54CE"/>
    <w:rsid w:val="007C0C0D"/>
    <w:rsid w:val="007C1C53"/>
    <w:rsid w:val="007C5EBB"/>
    <w:rsid w:val="007C6BE8"/>
    <w:rsid w:val="007C74BB"/>
    <w:rsid w:val="007D1506"/>
    <w:rsid w:val="007E002D"/>
    <w:rsid w:val="007E0756"/>
    <w:rsid w:val="007E4904"/>
    <w:rsid w:val="007E4CB5"/>
    <w:rsid w:val="007E623F"/>
    <w:rsid w:val="007E7FD8"/>
    <w:rsid w:val="007F066B"/>
    <w:rsid w:val="007F3EA4"/>
    <w:rsid w:val="007F476E"/>
    <w:rsid w:val="008033C4"/>
    <w:rsid w:val="00805FB3"/>
    <w:rsid w:val="00806C88"/>
    <w:rsid w:val="0081005F"/>
    <w:rsid w:val="0081034E"/>
    <w:rsid w:val="0082311A"/>
    <w:rsid w:val="00830A66"/>
    <w:rsid w:val="00830DE2"/>
    <w:rsid w:val="008310EE"/>
    <w:rsid w:val="008323F9"/>
    <w:rsid w:val="008340EB"/>
    <w:rsid w:val="008344F6"/>
    <w:rsid w:val="0083510F"/>
    <w:rsid w:val="00851209"/>
    <w:rsid w:val="00854231"/>
    <w:rsid w:val="008628A8"/>
    <w:rsid w:val="0086573C"/>
    <w:rsid w:val="00880096"/>
    <w:rsid w:val="00882B95"/>
    <w:rsid w:val="008837AC"/>
    <w:rsid w:val="00884C67"/>
    <w:rsid w:val="00885180"/>
    <w:rsid w:val="00891DF8"/>
    <w:rsid w:val="00892912"/>
    <w:rsid w:val="00893040"/>
    <w:rsid w:val="008957B5"/>
    <w:rsid w:val="00895CE0"/>
    <w:rsid w:val="008A587D"/>
    <w:rsid w:val="008B35CD"/>
    <w:rsid w:val="008B5FCC"/>
    <w:rsid w:val="008C330F"/>
    <w:rsid w:val="008C3676"/>
    <w:rsid w:val="008C3C95"/>
    <w:rsid w:val="008C45BE"/>
    <w:rsid w:val="008C5486"/>
    <w:rsid w:val="008D1661"/>
    <w:rsid w:val="008E09DC"/>
    <w:rsid w:val="008E7031"/>
    <w:rsid w:val="008E77DE"/>
    <w:rsid w:val="008F075D"/>
    <w:rsid w:val="008F07A3"/>
    <w:rsid w:val="008F1982"/>
    <w:rsid w:val="008F3574"/>
    <w:rsid w:val="00900E1B"/>
    <w:rsid w:val="00902CE5"/>
    <w:rsid w:val="0090672D"/>
    <w:rsid w:val="009233EE"/>
    <w:rsid w:val="0092775B"/>
    <w:rsid w:val="009330F9"/>
    <w:rsid w:val="00933E00"/>
    <w:rsid w:val="009400D3"/>
    <w:rsid w:val="009460AA"/>
    <w:rsid w:val="00951978"/>
    <w:rsid w:val="00952285"/>
    <w:rsid w:val="00961A4A"/>
    <w:rsid w:val="0096433A"/>
    <w:rsid w:val="009652BA"/>
    <w:rsid w:val="009661DE"/>
    <w:rsid w:val="0097492C"/>
    <w:rsid w:val="009749B8"/>
    <w:rsid w:val="009761DD"/>
    <w:rsid w:val="00983C25"/>
    <w:rsid w:val="009856B7"/>
    <w:rsid w:val="00985C86"/>
    <w:rsid w:val="009970C9"/>
    <w:rsid w:val="009A26A2"/>
    <w:rsid w:val="009A5FC3"/>
    <w:rsid w:val="009B0EDD"/>
    <w:rsid w:val="009B135B"/>
    <w:rsid w:val="009B5008"/>
    <w:rsid w:val="009B74B0"/>
    <w:rsid w:val="009C07C2"/>
    <w:rsid w:val="009C0E07"/>
    <w:rsid w:val="009C59A9"/>
    <w:rsid w:val="009D060D"/>
    <w:rsid w:val="009D1304"/>
    <w:rsid w:val="009D29BC"/>
    <w:rsid w:val="009D3504"/>
    <w:rsid w:val="009D652D"/>
    <w:rsid w:val="009D6B46"/>
    <w:rsid w:val="009E11D9"/>
    <w:rsid w:val="009F00D2"/>
    <w:rsid w:val="009F4940"/>
    <w:rsid w:val="009F5BA1"/>
    <w:rsid w:val="009F5C1D"/>
    <w:rsid w:val="00A01941"/>
    <w:rsid w:val="00A02A88"/>
    <w:rsid w:val="00A0562E"/>
    <w:rsid w:val="00A05DF7"/>
    <w:rsid w:val="00A0726D"/>
    <w:rsid w:val="00A112B9"/>
    <w:rsid w:val="00A1204C"/>
    <w:rsid w:val="00A14FB0"/>
    <w:rsid w:val="00A2318E"/>
    <w:rsid w:val="00A24ACB"/>
    <w:rsid w:val="00A26F36"/>
    <w:rsid w:val="00A32FBB"/>
    <w:rsid w:val="00A428EE"/>
    <w:rsid w:val="00A42C94"/>
    <w:rsid w:val="00A44270"/>
    <w:rsid w:val="00A4466A"/>
    <w:rsid w:val="00A4478A"/>
    <w:rsid w:val="00A44852"/>
    <w:rsid w:val="00A50919"/>
    <w:rsid w:val="00A5494D"/>
    <w:rsid w:val="00A549C8"/>
    <w:rsid w:val="00A57D04"/>
    <w:rsid w:val="00A60A26"/>
    <w:rsid w:val="00A61598"/>
    <w:rsid w:val="00A6175D"/>
    <w:rsid w:val="00A638CE"/>
    <w:rsid w:val="00A703FE"/>
    <w:rsid w:val="00A7120D"/>
    <w:rsid w:val="00A718A6"/>
    <w:rsid w:val="00A7380A"/>
    <w:rsid w:val="00A82B1D"/>
    <w:rsid w:val="00A834D1"/>
    <w:rsid w:val="00A84A99"/>
    <w:rsid w:val="00A84F46"/>
    <w:rsid w:val="00A84FB8"/>
    <w:rsid w:val="00A852AA"/>
    <w:rsid w:val="00A871F4"/>
    <w:rsid w:val="00A904D8"/>
    <w:rsid w:val="00AA0CA5"/>
    <w:rsid w:val="00AA7B08"/>
    <w:rsid w:val="00AB561F"/>
    <w:rsid w:val="00AB5A36"/>
    <w:rsid w:val="00AB68E8"/>
    <w:rsid w:val="00AC1B2C"/>
    <w:rsid w:val="00AC3264"/>
    <w:rsid w:val="00AC667E"/>
    <w:rsid w:val="00AD00E5"/>
    <w:rsid w:val="00AD5B12"/>
    <w:rsid w:val="00AE1875"/>
    <w:rsid w:val="00AE1BF1"/>
    <w:rsid w:val="00AE249B"/>
    <w:rsid w:val="00AE666E"/>
    <w:rsid w:val="00AE735C"/>
    <w:rsid w:val="00AF046B"/>
    <w:rsid w:val="00AF0DD2"/>
    <w:rsid w:val="00AF63D6"/>
    <w:rsid w:val="00AF7513"/>
    <w:rsid w:val="00AF762B"/>
    <w:rsid w:val="00B00D02"/>
    <w:rsid w:val="00B1183E"/>
    <w:rsid w:val="00B13048"/>
    <w:rsid w:val="00B14255"/>
    <w:rsid w:val="00B1644A"/>
    <w:rsid w:val="00B1716D"/>
    <w:rsid w:val="00B17A1D"/>
    <w:rsid w:val="00B207A0"/>
    <w:rsid w:val="00B21852"/>
    <w:rsid w:val="00B27595"/>
    <w:rsid w:val="00B276EF"/>
    <w:rsid w:val="00B30218"/>
    <w:rsid w:val="00B32F62"/>
    <w:rsid w:val="00B33869"/>
    <w:rsid w:val="00B4033D"/>
    <w:rsid w:val="00B405AC"/>
    <w:rsid w:val="00B43C5F"/>
    <w:rsid w:val="00B44946"/>
    <w:rsid w:val="00B452D8"/>
    <w:rsid w:val="00B4790E"/>
    <w:rsid w:val="00B514DD"/>
    <w:rsid w:val="00B52AF0"/>
    <w:rsid w:val="00B53798"/>
    <w:rsid w:val="00B561BD"/>
    <w:rsid w:val="00B56E03"/>
    <w:rsid w:val="00B6037E"/>
    <w:rsid w:val="00B701E6"/>
    <w:rsid w:val="00B72136"/>
    <w:rsid w:val="00B8080B"/>
    <w:rsid w:val="00B82780"/>
    <w:rsid w:val="00B87BA5"/>
    <w:rsid w:val="00B87C39"/>
    <w:rsid w:val="00BA4665"/>
    <w:rsid w:val="00BA5AB7"/>
    <w:rsid w:val="00BA68F3"/>
    <w:rsid w:val="00BB2FB2"/>
    <w:rsid w:val="00BB317C"/>
    <w:rsid w:val="00BB3304"/>
    <w:rsid w:val="00BB7CD2"/>
    <w:rsid w:val="00BC07C3"/>
    <w:rsid w:val="00BD3446"/>
    <w:rsid w:val="00BE0E73"/>
    <w:rsid w:val="00BE1F1B"/>
    <w:rsid w:val="00BE47B5"/>
    <w:rsid w:val="00BF0231"/>
    <w:rsid w:val="00BF419C"/>
    <w:rsid w:val="00BF7A91"/>
    <w:rsid w:val="00C00A11"/>
    <w:rsid w:val="00C016B9"/>
    <w:rsid w:val="00C05551"/>
    <w:rsid w:val="00C07FA6"/>
    <w:rsid w:val="00C16F28"/>
    <w:rsid w:val="00C179B7"/>
    <w:rsid w:val="00C22030"/>
    <w:rsid w:val="00C24EBE"/>
    <w:rsid w:val="00C25536"/>
    <w:rsid w:val="00C25592"/>
    <w:rsid w:val="00C25FA6"/>
    <w:rsid w:val="00C31090"/>
    <w:rsid w:val="00C32AD2"/>
    <w:rsid w:val="00C37435"/>
    <w:rsid w:val="00C4309E"/>
    <w:rsid w:val="00C43224"/>
    <w:rsid w:val="00C4341A"/>
    <w:rsid w:val="00C43E71"/>
    <w:rsid w:val="00C46EBD"/>
    <w:rsid w:val="00C511A0"/>
    <w:rsid w:val="00C538A9"/>
    <w:rsid w:val="00C53B5A"/>
    <w:rsid w:val="00C54F5A"/>
    <w:rsid w:val="00C551F2"/>
    <w:rsid w:val="00C569B4"/>
    <w:rsid w:val="00C67A92"/>
    <w:rsid w:val="00C74434"/>
    <w:rsid w:val="00C8222B"/>
    <w:rsid w:val="00C83285"/>
    <w:rsid w:val="00C86679"/>
    <w:rsid w:val="00C9360F"/>
    <w:rsid w:val="00C960AF"/>
    <w:rsid w:val="00CA1D52"/>
    <w:rsid w:val="00CA3411"/>
    <w:rsid w:val="00CA489E"/>
    <w:rsid w:val="00CB0279"/>
    <w:rsid w:val="00CB666B"/>
    <w:rsid w:val="00CB723D"/>
    <w:rsid w:val="00CB72B2"/>
    <w:rsid w:val="00CB7F2E"/>
    <w:rsid w:val="00CC02E9"/>
    <w:rsid w:val="00CC5DB6"/>
    <w:rsid w:val="00CC7F1D"/>
    <w:rsid w:val="00CD4C19"/>
    <w:rsid w:val="00CD4C1B"/>
    <w:rsid w:val="00CE0819"/>
    <w:rsid w:val="00CE0869"/>
    <w:rsid w:val="00CF1635"/>
    <w:rsid w:val="00CF5010"/>
    <w:rsid w:val="00D006AE"/>
    <w:rsid w:val="00D014AE"/>
    <w:rsid w:val="00D01CF0"/>
    <w:rsid w:val="00D0442A"/>
    <w:rsid w:val="00D114C1"/>
    <w:rsid w:val="00D114FC"/>
    <w:rsid w:val="00D14A09"/>
    <w:rsid w:val="00D203D2"/>
    <w:rsid w:val="00D27B2A"/>
    <w:rsid w:val="00D33E7C"/>
    <w:rsid w:val="00D358B7"/>
    <w:rsid w:val="00D416FE"/>
    <w:rsid w:val="00D53784"/>
    <w:rsid w:val="00D54AC1"/>
    <w:rsid w:val="00D5634F"/>
    <w:rsid w:val="00D60A9B"/>
    <w:rsid w:val="00D61388"/>
    <w:rsid w:val="00D61A54"/>
    <w:rsid w:val="00D64DEA"/>
    <w:rsid w:val="00D7168E"/>
    <w:rsid w:val="00D71E57"/>
    <w:rsid w:val="00D768A9"/>
    <w:rsid w:val="00D77C73"/>
    <w:rsid w:val="00D80893"/>
    <w:rsid w:val="00D8099B"/>
    <w:rsid w:val="00D80AD6"/>
    <w:rsid w:val="00D84854"/>
    <w:rsid w:val="00D906B3"/>
    <w:rsid w:val="00D915DD"/>
    <w:rsid w:val="00D921D3"/>
    <w:rsid w:val="00D92CF1"/>
    <w:rsid w:val="00D92D38"/>
    <w:rsid w:val="00D941D2"/>
    <w:rsid w:val="00D950F5"/>
    <w:rsid w:val="00D969B4"/>
    <w:rsid w:val="00D979E8"/>
    <w:rsid w:val="00DA1C52"/>
    <w:rsid w:val="00DA473E"/>
    <w:rsid w:val="00DA4752"/>
    <w:rsid w:val="00DA61F3"/>
    <w:rsid w:val="00DB0F93"/>
    <w:rsid w:val="00DB1A67"/>
    <w:rsid w:val="00DB23EF"/>
    <w:rsid w:val="00DB41A7"/>
    <w:rsid w:val="00DB5074"/>
    <w:rsid w:val="00DC043E"/>
    <w:rsid w:val="00DC3CC8"/>
    <w:rsid w:val="00DC4EE8"/>
    <w:rsid w:val="00DC7981"/>
    <w:rsid w:val="00DD0BA1"/>
    <w:rsid w:val="00DD50D2"/>
    <w:rsid w:val="00DE0799"/>
    <w:rsid w:val="00DE1093"/>
    <w:rsid w:val="00DE1EA5"/>
    <w:rsid w:val="00DE3B43"/>
    <w:rsid w:val="00DE4EFA"/>
    <w:rsid w:val="00DE5520"/>
    <w:rsid w:val="00DE563D"/>
    <w:rsid w:val="00DE57B0"/>
    <w:rsid w:val="00DE5EE5"/>
    <w:rsid w:val="00DF5D0A"/>
    <w:rsid w:val="00DF7CCA"/>
    <w:rsid w:val="00E030B5"/>
    <w:rsid w:val="00E031AA"/>
    <w:rsid w:val="00E04818"/>
    <w:rsid w:val="00E06442"/>
    <w:rsid w:val="00E105E6"/>
    <w:rsid w:val="00E145FB"/>
    <w:rsid w:val="00E20B76"/>
    <w:rsid w:val="00E232CE"/>
    <w:rsid w:val="00E23993"/>
    <w:rsid w:val="00E252E8"/>
    <w:rsid w:val="00E25B8C"/>
    <w:rsid w:val="00E32658"/>
    <w:rsid w:val="00E35A69"/>
    <w:rsid w:val="00E36607"/>
    <w:rsid w:val="00E419A2"/>
    <w:rsid w:val="00E426A2"/>
    <w:rsid w:val="00E427CE"/>
    <w:rsid w:val="00E47542"/>
    <w:rsid w:val="00E53FB8"/>
    <w:rsid w:val="00E54A59"/>
    <w:rsid w:val="00E65C85"/>
    <w:rsid w:val="00E66199"/>
    <w:rsid w:val="00E75311"/>
    <w:rsid w:val="00E755EC"/>
    <w:rsid w:val="00E7624D"/>
    <w:rsid w:val="00E810C8"/>
    <w:rsid w:val="00E840BD"/>
    <w:rsid w:val="00E8768B"/>
    <w:rsid w:val="00E91BD7"/>
    <w:rsid w:val="00E934D3"/>
    <w:rsid w:val="00E94FB6"/>
    <w:rsid w:val="00E964CE"/>
    <w:rsid w:val="00E96C7D"/>
    <w:rsid w:val="00E97837"/>
    <w:rsid w:val="00EA030E"/>
    <w:rsid w:val="00EA2027"/>
    <w:rsid w:val="00EA3D42"/>
    <w:rsid w:val="00EA44F0"/>
    <w:rsid w:val="00EA6B1B"/>
    <w:rsid w:val="00EA77BF"/>
    <w:rsid w:val="00EB1E0F"/>
    <w:rsid w:val="00EB297A"/>
    <w:rsid w:val="00EB41C0"/>
    <w:rsid w:val="00EC451C"/>
    <w:rsid w:val="00EC606B"/>
    <w:rsid w:val="00ED7323"/>
    <w:rsid w:val="00EE28F3"/>
    <w:rsid w:val="00EE50C7"/>
    <w:rsid w:val="00EF223E"/>
    <w:rsid w:val="00EF5110"/>
    <w:rsid w:val="00EF7A35"/>
    <w:rsid w:val="00F0054B"/>
    <w:rsid w:val="00F030C3"/>
    <w:rsid w:val="00F07C30"/>
    <w:rsid w:val="00F10411"/>
    <w:rsid w:val="00F1167F"/>
    <w:rsid w:val="00F12EA2"/>
    <w:rsid w:val="00F15882"/>
    <w:rsid w:val="00F162DF"/>
    <w:rsid w:val="00F171E0"/>
    <w:rsid w:val="00F179ED"/>
    <w:rsid w:val="00F20BD3"/>
    <w:rsid w:val="00F21296"/>
    <w:rsid w:val="00F21A3A"/>
    <w:rsid w:val="00F225E3"/>
    <w:rsid w:val="00F2786E"/>
    <w:rsid w:val="00F27E69"/>
    <w:rsid w:val="00F3122D"/>
    <w:rsid w:val="00F373A5"/>
    <w:rsid w:val="00F42262"/>
    <w:rsid w:val="00F42A9B"/>
    <w:rsid w:val="00F47559"/>
    <w:rsid w:val="00F47DD3"/>
    <w:rsid w:val="00F54B82"/>
    <w:rsid w:val="00F566BD"/>
    <w:rsid w:val="00F644B3"/>
    <w:rsid w:val="00F64C7B"/>
    <w:rsid w:val="00F676DD"/>
    <w:rsid w:val="00F7104C"/>
    <w:rsid w:val="00F73B92"/>
    <w:rsid w:val="00F74B90"/>
    <w:rsid w:val="00F75251"/>
    <w:rsid w:val="00F75A26"/>
    <w:rsid w:val="00F76706"/>
    <w:rsid w:val="00F77C2C"/>
    <w:rsid w:val="00F837F4"/>
    <w:rsid w:val="00F83FAD"/>
    <w:rsid w:val="00F86A91"/>
    <w:rsid w:val="00F952A0"/>
    <w:rsid w:val="00FA3C7F"/>
    <w:rsid w:val="00FA68B9"/>
    <w:rsid w:val="00FA6D21"/>
    <w:rsid w:val="00FA751C"/>
    <w:rsid w:val="00FB29D4"/>
    <w:rsid w:val="00FB69D7"/>
    <w:rsid w:val="00FB6B2D"/>
    <w:rsid w:val="00FB70B5"/>
    <w:rsid w:val="00FB74E2"/>
    <w:rsid w:val="00FC10C4"/>
    <w:rsid w:val="00FC6F26"/>
    <w:rsid w:val="00FD07A4"/>
    <w:rsid w:val="00FD284E"/>
    <w:rsid w:val="00FD5614"/>
    <w:rsid w:val="00FE0BE1"/>
    <w:rsid w:val="00FE169C"/>
    <w:rsid w:val="00FE17C4"/>
    <w:rsid w:val="00FE1DE9"/>
    <w:rsid w:val="00FE36AF"/>
    <w:rsid w:val="00FE39C2"/>
    <w:rsid w:val="00FE3C32"/>
    <w:rsid w:val="00FE64AE"/>
    <w:rsid w:val="00FF1D25"/>
    <w:rsid w:val="00FF3688"/>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C574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C574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7040059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37409902">
      <w:bodyDiv w:val="1"/>
      <w:marLeft w:val="0"/>
      <w:marRight w:val="0"/>
      <w:marTop w:val="0"/>
      <w:marBottom w:val="0"/>
      <w:divBdr>
        <w:top w:val="none" w:sz="0" w:space="0" w:color="auto"/>
        <w:left w:val="none" w:sz="0" w:space="0" w:color="auto"/>
        <w:bottom w:val="none" w:sz="0" w:space="0" w:color="auto"/>
        <w:right w:val="none" w:sz="0" w:space="0" w:color="auto"/>
      </w:divBdr>
    </w:div>
    <w:div w:id="18515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cer.gov.au/files/2013/09/LMR-Decision-RIS-June-2013.pdf" TargetMode="External"/><Relationship Id="rId1" Type="http://schemas.openxmlformats.org/officeDocument/2006/relationships/hyperlink" Target="http://www.aer.gov.au/node/18859"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8CEE6D0C</Template>
  <TotalTime>0</TotalTime>
  <Pages>53</Pages>
  <Words>14446</Words>
  <Characters>82346</Characters>
  <Application>Microsoft Office Word</Application>
  <DocSecurity>0</DocSecurity>
  <Lines>686</Lines>
  <Paragraphs>193</Paragraphs>
  <ScaleCrop>false</ScaleCrop>
  <Company/>
  <LinksUpToDate>false</LinksUpToDate>
  <CharactersWithSpaces>96599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2015-04-28T03:04:00Z</dcterms:created>
  <dcterms:modified xsi:type="dcterms:W3CDTF">2015-04-28T03:04:00Z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8355433</vt:lpwstr>
  </property>
</Properties>
</file>