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E1EA6A7" wp14:editId="48EC1BE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772E60" w:rsidP="008F07A3">
          <w:pPr>
            <w:pStyle w:val="ReportSubtitle"/>
          </w:pPr>
          <w:r>
            <w:t>Attachment 1</w:t>
          </w:r>
          <w:r w:rsidR="00DA4752">
            <w:t xml:space="preserve"> </w:t>
          </w:r>
          <w:r w:rsidR="00DA4752">
            <w:rPr>
              <w:rFonts w:cs="Arial"/>
            </w:rPr>
            <w:t>−</w:t>
          </w:r>
          <w:r w:rsidR="00DA4752">
            <w:t xml:space="preserve"> </w:t>
          </w:r>
          <w:r>
            <w:t>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Pr="00070979" w:rsidRDefault="00070979" w:rsidP="00070979">
      <w:pPr>
        <w:pStyle w:val="AERbodytextcentre"/>
        <w:ind w:left="0" w:firstLine="0"/>
        <w:jc w:val="left"/>
        <w:rPr>
          <w:rStyle w:val="AERbody"/>
        </w:rPr>
      </w:pPr>
      <w:bookmarkStart w:id="1" w:name="_Toc404354899"/>
      <w:bookmarkStart w:id="2" w:name="_Toc404353070"/>
      <w:bookmarkStart w:id="3" w:name="_Toc404684201"/>
      <w:bookmarkStart w:id="4" w:name="_Toc404700923"/>
      <w:r w:rsidRPr="00070979">
        <w:rPr>
          <w:rStyle w:val="AERbody"/>
        </w:rPr>
        <w:t>AER reference:</w:t>
      </w:r>
      <w:r w:rsidRPr="00070979">
        <w:rPr>
          <w:rStyle w:val="AERbody"/>
        </w:rPr>
        <w:tab/>
        <w:t>50835</w:t>
      </w:r>
    </w:p>
    <w:p w:rsidR="008F07A3" w:rsidRDefault="00DA61F3" w:rsidP="008F07A3">
      <w:pPr>
        <w:pStyle w:val="UnnumberedHeading"/>
        <w:numPr>
          <w:ilvl w:val="0"/>
          <w:numId w:val="24"/>
        </w:numPr>
      </w:pPr>
      <w:bookmarkStart w:id="5" w:name="_Toc417565182"/>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64714B">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496A7C" w:rsidRPr="00496A7C" w:rsidRDefault="008F07A3" w:rsidP="00496A7C">
      <w:pPr>
        <w:numPr>
          <w:ilvl w:val="0"/>
          <w:numId w:val="25"/>
        </w:numPr>
      </w:pPr>
      <w:r>
        <w:t xml:space="preserve">Attachment 18 – Connection </w:t>
      </w:r>
      <w:r w:rsidR="00496A7C" w:rsidRPr="00496A7C">
        <w:t>policy</w:t>
      </w:r>
    </w:p>
    <w:p w:rsidR="008F07A3" w:rsidRPr="008B6C33" w:rsidRDefault="008F07A3" w:rsidP="008F07A3">
      <w:pPr>
        <w:numPr>
          <w:ilvl w:val="0"/>
          <w:numId w:val="25"/>
        </w:numPr>
      </w:pP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65183"/>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070979"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565182" w:history="1">
            <w:r w:rsidR="00070979" w:rsidRPr="009A4F1A">
              <w:rPr>
                <w:rStyle w:val="Hyperlink"/>
              </w:rPr>
              <w:t>Note</w:t>
            </w:r>
            <w:r w:rsidR="00070979">
              <w:rPr>
                <w:webHidden/>
              </w:rPr>
              <w:tab/>
            </w:r>
            <w:r w:rsidR="0064714B">
              <w:rPr>
                <w:webHidden/>
              </w:rPr>
              <w:t>1-</w:t>
            </w:r>
            <w:r w:rsidR="00070979">
              <w:rPr>
                <w:webHidden/>
              </w:rPr>
              <w:fldChar w:fldCharType="begin"/>
            </w:r>
            <w:r w:rsidR="00070979">
              <w:rPr>
                <w:webHidden/>
              </w:rPr>
              <w:instrText xml:space="preserve"> PAGEREF _Toc417565182 \h </w:instrText>
            </w:r>
            <w:r w:rsidR="00070979">
              <w:rPr>
                <w:webHidden/>
              </w:rPr>
            </w:r>
            <w:r w:rsidR="00070979">
              <w:rPr>
                <w:webHidden/>
              </w:rPr>
              <w:fldChar w:fldCharType="separate"/>
            </w:r>
            <w:r w:rsidR="003309F5">
              <w:rPr>
                <w:webHidden/>
              </w:rPr>
              <w:t>2</w:t>
            </w:r>
            <w:r w:rsidR="00070979">
              <w:rPr>
                <w:webHidden/>
              </w:rPr>
              <w:fldChar w:fldCharType="end"/>
            </w:r>
          </w:hyperlink>
        </w:p>
        <w:p w:rsidR="00070979" w:rsidRDefault="00F55BC8">
          <w:pPr>
            <w:pStyle w:val="TOC1"/>
            <w:rPr>
              <w:rFonts w:asciiTheme="minorHAnsi" w:eastAsiaTheme="minorEastAsia" w:hAnsiTheme="minorHAnsi"/>
              <w:b w:val="0"/>
              <w:color w:val="auto"/>
              <w:sz w:val="22"/>
              <w:lang w:val="en-AU" w:eastAsia="en-AU"/>
            </w:rPr>
          </w:pPr>
          <w:hyperlink w:anchor="_Toc417565183" w:history="1">
            <w:r w:rsidR="00070979" w:rsidRPr="009A4F1A">
              <w:rPr>
                <w:rStyle w:val="Hyperlink"/>
              </w:rPr>
              <w:t>Contents</w:t>
            </w:r>
            <w:r w:rsidR="00070979">
              <w:rPr>
                <w:webHidden/>
              </w:rPr>
              <w:tab/>
            </w:r>
            <w:r w:rsidR="0064714B">
              <w:rPr>
                <w:webHidden/>
              </w:rPr>
              <w:t>1-</w:t>
            </w:r>
            <w:r w:rsidR="00070979">
              <w:rPr>
                <w:webHidden/>
              </w:rPr>
              <w:fldChar w:fldCharType="begin"/>
            </w:r>
            <w:r w:rsidR="00070979">
              <w:rPr>
                <w:webHidden/>
              </w:rPr>
              <w:instrText xml:space="preserve"> PAGEREF _Toc417565183 \h </w:instrText>
            </w:r>
            <w:r w:rsidR="00070979">
              <w:rPr>
                <w:webHidden/>
              </w:rPr>
            </w:r>
            <w:r w:rsidR="00070979">
              <w:rPr>
                <w:webHidden/>
              </w:rPr>
              <w:fldChar w:fldCharType="separate"/>
            </w:r>
            <w:r w:rsidR="003309F5">
              <w:rPr>
                <w:webHidden/>
              </w:rPr>
              <w:t>3</w:t>
            </w:r>
            <w:r w:rsidR="00070979">
              <w:rPr>
                <w:webHidden/>
              </w:rPr>
              <w:fldChar w:fldCharType="end"/>
            </w:r>
          </w:hyperlink>
        </w:p>
        <w:p w:rsidR="00070979" w:rsidRDefault="00F55BC8">
          <w:pPr>
            <w:pStyle w:val="TOC1"/>
            <w:rPr>
              <w:rFonts w:asciiTheme="minorHAnsi" w:eastAsiaTheme="minorEastAsia" w:hAnsiTheme="minorHAnsi"/>
              <w:b w:val="0"/>
              <w:color w:val="auto"/>
              <w:sz w:val="22"/>
              <w:lang w:val="en-AU" w:eastAsia="en-AU"/>
            </w:rPr>
          </w:pPr>
          <w:hyperlink w:anchor="_Toc417565184" w:history="1">
            <w:r w:rsidR="00070979" w:rsidRPr="009A4F1A">
              <w:rPr>
                <w:rStyle w:val="Hyperlink"/>
              </w:rPr>
              <w:t>Shortened forms</w:t>
            </w:r>
            <w:r w:rsidR="00070979">
              <w:rPr>
                <w:webHidden/>
              </w:rPr>
              <w:tab/>
            </w:r>
            <w:r w:rsidR="0064714B">
              <w:rPr>
                <w:webHidden/>
              </w:rPr>
              <w:t>1-</w:t>
            </w:r>
            <w:r w:rsidR="00070979">
              <w:rPr>
                <w:webHidden/>
              </w:rPr>
              <w:fldChar w:fldCharType="begin"/>
            </w:r>
            <w:r w:rsidR="00070979">
              <w:rPr>
                <w:webHidden/>
              </w:rPr>
              <w:instrText xml:space="preserve"> PAGEREF _Toc417565184 \h </w:instrText>
            </w:r>
            <w:r w:rsidR="00070979">
              <w:rPr>
                <w:webHidden/>
              </w:rPr>
            </w:r>
            <w:r w:rsidR="00070979">
              <w:rPr>
                <w:webHidden/>
              </w:rPr>
              <w:fldChar w:fldCharType="separate"/>
            </w:r>
            <w:r w:rsidR="003309F5">
              <w:rPr>
                <w:webHidden/>
              </w:rPr>
              <w:t>4</w:t>
            </w:r>
            <w:r w:rsidR="00070979">
              <w:rPr>
                <w:webHidden/>
              </w:rPr>
              <w:fldChar w:fldCharType="end"/>
            </w:r>
          </w:hyperlink>
        </w:p>
        <w:p w:rsidR="00070979" w:rsidRDefault="00F55BC8">
          <w:pPr>
            <w:pStyle w:val="TOC1"/>
            <w:rPr>
              <w:rFonts w:asciiTheme="minorHAnsi" w:eastAsiaTheme="minorEastAsia" w:hAnsiTheme="minorHAnsi"/>
              <w:b w:val="0"/>
              <w:color w:val="auto"/>
              <w:sz w:val="22"/>
              <w:lang w:val="en-AU" w:eastAsia="en-AU"/>
            </w:rPr>
          </w:pPr>
          <w:hyperlink w:anchor="_Toc417565185" w:history="1">
            <w:r w:rsidR="00070979" w:rsidRPr="009A4F1A">
              <w:rPr>
                <w:rStyle w:val="Hyperlink"/>
              </w:rPr>
              <w:t>1</w:t>
            </w:r>
            <w:r w:rsidR="00070979">
              <w:rPr>
                <w:rFonts w:asciiTheme="minorHAnsi" w:eastAsiaTheme="minorEastAsia" w:hAnsiTheme="minorHAnsi"/>
                <w:b w:val="0"/>
                <w:color w:val="auto"/>
                <w:sz w:val="22"/>
                <w:lang w:val="en-AU" w:eastAsia="en-AU"/>
              </w:rPr>
              <w:tab/>
            </w:r>
            <w:r w:rsidR="00070979" w:rsidRPr="009A4F1A">
              <w:rPr>
                <w:rStyle w:val="Hyperlink"/>
              </w:rPr>
              <w:t>Annual revenue requirement</w:t>
            </w:r>
            <w:r w:rsidR="00070979">
              <w:rPr>
                <w:webHidden/>
              </w:rPr>
              <w:tab/>
            </w:r>
            <w:r w:rsidR="0064714B">
              <w:rPr>
                <w:webHidden/>
              </w:rPr>
              <w:t>1-</w:t>
            </w:r>
            <w:r w:rsidR="00070979">
              <w:rPr>
                <w:webHidden/>
              </w:rPr>
              <w:fldChar w:fldCharType="begin"/>
            </w:r>
            <w:r w:rsidR="00070979">
              <w:rPr>
                <w:webHidden/>
              </w:rPr>
              <w:instrText xml:space="preserve"> PAGEREF _Toc417565185 \h </w:instrText>
            </w:r>
            <w:r w:rsidR="00070979">
              <w:rPr>
                <w:webHidden/>
              </w:rPr>
            </w:r>
            <w:r w:rsidR="00070979">
              <w:rPr>
                <w:webHidden/>
              </w:rPr>
              <w:fldChar w:fldCharType="separate"/>
            </w:r>
            <w:r w:rsidR="003309F5">
              <w:rPr>
                <w:webHidden/>
              </w:rPr>
              <w:t>6</w:t>
            </w:r>
            <w:r w:rsidR="00070979">
              <w:rPr>
                <w:webHidden/>
              </w:rPr>
              <w:fldChar w:fldCharType="end"/>
            </w:r>
          </w:hyperlink>
        </w:p>
        <w:p w:rsidR="00070979" w:rsidRDefault="00F55BC8">
          <w:pPr>
            <w:pStyle w:val="TOC2"/>
            <w:rPr>
              <w:rFonts w:asciiTheme="minorHAnsi" w:eastAsiaTheme="minorEastAsia" w:hAnsiTheme="minorHAnsi"/>
              <w:b w:val="0"/>
              <w:color w:val="auto"/>
              <w:sz w:val="22"/>
              <w:lang w:eastAsia="en-AU"/>
            </w:rPr>
          </w:pPr>
          <w:hyperlink w:anchor="_Toc417565186" w:history="1">
            <w:r w:rsidR="00070979" w:rsidRPr="009A4F1A">
              <w:rPr>
                <w:rStyle w:val="Hyperlink"/>
              </w:rPr>
              <w:t>1.1</w:t>
            </w:r>
            <w:r w:rsidR="00070979">
              <w:rPr>
                <w:rFonts w:asciiTheme="minorHAnsi" w:eastAsiaTheme="minorEastAsia" w:hAnsiTheme="minorHAnsi"/>
                <w:b w:val="0"/>
                <w:color w:val="auto"/>
                <w:sz w:val="22"/>
                <w:lang w:eastAsia="en-AU"/>
              </w:rPr>
              <w:tab/>
            </w:r>
            <w:r w:rsidR="00070979" w:rsidRPr="009A4F1A">
              <w:rPr>
                <w:rStyle w:val="Hyperlink"/>
              </w:rPr>
              <w:t>Preliminary decision</w:t>
            </w:r>
            <w:r w:rsidR="00070979">
              <w:rPr>
                <w:webHidden/>
              </w:rPr>
              <w:tab/>
            </w:r>
            <w:r w:rsidR="0064714B">
              <w:rPr>
                <w:webHidden/>
              </w:rPr>
              <w:t>1-</w:t>
            </w:r>
            <w:r w:rsidR="00070979">
              <w:rPr>
                <w:webHidden/>
              </w:rPr>
              <w:fldChar w:fldCharType="begin"/>
            </w:r>
            <w:r w:rsidR="00070979">
              <w:rPr>
                <w:webHidden/>
              </w:rPr>
              <w:instrText xml:space="preserve"> PAGEREF _Toc417565186 \h </w:instrText>
            </w:r>
            <w:r w:rsidR="00070979">
              <w:rPr>
                <w:webHidden/>
              </w:rPr>
            </w:r>
            <w:r w:rsidR="00070979">
              <w:rPr>
                <w:webHidden/>
              </w:rPr>
              <w:fldChar w:fldCharType="separate"/>
            </w:r>
            <w:r w:rsidR="003309F5">
              <w:rPr>
                <w:webHidden/>
              </w:rPr>
              <w:t>6</w:t>
            </w:r>
            <w:r w:rsidR="00070979">
              <w:rPr>
                <w:webHidden/>
              </w:rPr>
              <w:fldChar w:fldCharType="end"/>
            </w:r>
          </w:hyperlink>
        </w:p>
        <w:p w:rsidR="00070979" w:rsidRDefault="00F55BC8">
          <w:pPr>
            <w:pStyle w:val="TOC2"/>
            <w:rPr>
              <w:rFonts w:asciiTheme="minorHAnsi" w:eastAsiaTheme="minorEastAsia" w:hAnsiTheme="minorHAnsi"/>
              <w:b w:val="0"/>
              <w:color w:val="auto"/>
              <w:sz w:val="22"/>
              <w:lang w:eastAsia="en-AU"/>
            </w:rPr>
          </w:pPr>
          <w:hyperlink w:anchor="_Toc417565187" w:history="1">
            <w:r w:rsidR="00070979" w:rsidRPr="009A4F1A">
              <w:rPr>
                <w:rStyle w:val="Hyperlink"/>
              </w:rPr>
              <w:t>1.2</w:t>
            </w:r>
            <w:r w:rsidR="00070979">
              <w:rPr>
                <w:rFonts w:asciiTheme="minorHAnsi" w:eastAsiaTheme="minorEastAsia" w:hAnsiTheme="minorHAnsi"/>
                <w:b w:val="0"/>
                <w:color w:val="auto"/>
                <w:sz w:val="22"/>
                <w:lang w:eastAsia="en-AU"/>
              </w:rPr>
              <w:tab/>
            </w:r>
            <w:r w:rsidR="00070979" w:rsidRPr="009A4F1A">
              <w:rPr>
                <w:rStyle w:val="Hyperlink"/>
              </w:rPr>
              <w:t>Ergon Energy's proposal</w:t>
            </w:r>
            <w:r w:rsidR="00070979">
              <w:rPr>
                <w:webHidden/>
              </w:rPr>
              <w:tab/>
            </w:r>
            <w:r w:rsidR="0064714B">
              <w:rPr>
                <w:webHidden/>
              </w:rPr>
              <w:t>1-</w:t>
            </w:r>
            <w:r w:rsidR="00070979">
              <w:rPr>
                <w:webHidden/>
              </w:rPr>
              <w:fldChar w:fldCharType="begin"/>
            </w:r>
            <w:r w:rsidR="00070979">
              <w:rPr>
                <w:webHidden/>
              </w:rPr>
              <w:instrText xml:space="preserve"> PAGEREF _Toc417565187 \h </w:instrText>
            </w:r>
            <w:r w:rsidR="00070979">
              <w:rPr>
                <w:webHidden/>
              </w:rPr>
            </w:r>
            <w:r w:rsidR="00070979">
              <w:rPr>
                <w:webHidden/>
              </w:rPr>
              <w:fldChar w:fldCharType="separate"/>
            </w:r>
            <w:r w:rsidR="003309F5">
              <w:rPr>
                <w:webHidden/>
              </w:rPr>
              <w:t>8</w:t>
            </w:r>
            <w:r w:rsidR="00070979">
              <w:rPr>
                <w:webHidden/>
              </w:rPr>
              <w:fldChar w:fldCharType="end"/>
            </w:r>
          </w:hyperlink>
        </w:p>
        <w:p w:rsidR="00070979" w:rsidRDefault="00F55BC8">
          <w:pPr>
            <w:pStyle w:val="TOC2"/>
            <w:rPr>
              <w:rFonts w:asciiTheme="minorHAnsi" w:eastAsiaTheme="minorEastAsia" w:hAnsiTheme="minorHAnsi"/>
              <w:b w:val="0"/>
              <w:color w:val="auto"/>
              <w:sz w:val="22"/>
              <w:lang w:eastAsia="en-AU"/>
            </w:rPr>
          </w:pPr>
          <w:hyperlink w:anchor="_Toc417565188" w:history="1">
            <w:r w:rsidR="00070979" w:rsidRPr="009A4F1A">
              <w:rPr>
                <w:rStyle w:val="Hyperlink"/>
              </w:rPr>
              <w:t>1.3</w:t>
            </w:r>
            <w:r w:rsidR="00070979">
              <w:rPr>
                <w:rFonts w:asciiTheme="minorHAnsi" w:eastAsiaTheme="minorEastAsia" w:hAnsiTheme="minorHAnsi"/>
                <w:b w:val="0"/>
                <w:color w:val="auto"/>
                <w:sz w:val="22"/>
                <w:lang w:eastAsia="en-AU"/>
              </w:rPr>
              <w:tab/>
            </w:r>
            <w:r w:rsidR="00070979" w:rsidRPr="009A4F1A">
              <w:rPr>
                <w:rStyle w:val="Hyperlink"/>
              </w:rPr>
              <w:t>AER’s assessment approach</w:t>
            </w:r>
            <w:r w:rsidR="00070979">
              <w:rPr>
                <w:webHidden/>
              </w:rPr>
              <w:tab/>
            </w:r>
            <w:r w:rsidR="0064714B">
              <w:rPr>
                <w:webHidden/>
              </w:rPr>
              <w:t>1-</w:t>
            </w:r>
            <w:r w:rsidR="00070979">
              <w:rPr>
                <w:webHidden/>
              </w:rPr>
              <w:fldChar w:fldCharType="begin"/>
            </w:r>
            <w:r w:rsidR="00070979">
              <w:rPr>
                <w:webHidden/>
              </w:rPr>
              <w:instrText xml:space="preserve"> PAGEREF _Toc417565188 \h </w:instrText>
            </w:r>
            <w:r w:rsidR="00070979">
              <w:rPr>
                <w:webHidden/>
              </w:rPr>
            </w:r>
            <w:r w:rsidR="00070979">
              <w:rPr>
                <w:webHidden/>
              </w:rPr>
              <w:fldChar w:fldCharType="separate"/>
            </w:r>
            <w:r w:rsidR="003309F5">
              <w:rPr>
                <w:webHidden/>
              </w:rPr>
              <w:t>9</w:t>
            </w:r>
            <w:r w:rsidR="00070979">
              <w:rPr>
                <w:webHidden/>
              </w:rPr>
              <w:fldChar w:fldCharType="end"/>
            </w:r>
          </w:hyperlink>
        </w:p>
        <w:p w:rsidR="00070979" w:rsidRDefault="00F55BC8">
          <w:pPr>
            <w:pStyle w:val="TOC3"/>
            <w:rPr>
              <w:rFonts w:asciiTheme="minorHAnsi" w:eastAsiaTheme="minorEastAsia" w:hAnsiTheme="minorHAnsi"/>
              <w:lang w:eastAsia="en-AU"/>
            </w:rPr>
          </w:pPr>
          <w:hyperlink w:anchor="_Toc417565189" w:history="1">
            <w:r w:rsidR="00070979" w:rsidRPr="009A4F1A">
              <w:rPr>
                <w:rStyle w:val="Hyperlink"/>
              </w:rPr>
              <w:t>1.3.1</w:t>
            </w:r>
            <w:r w:rsidR="00070979">
              <w:rPr>
                <w:rFonts w:asciiTheme="minorHAnsi" w:eastAsiaTheme="minorEastAsia" w:hAnsiTheme="minorHAnsi"/>
                <w:lang w:eastAsia="en-AU"/>
              </w:rPr>
              <w:tab/>
            </w:r>
            <w:r w:rsidR="00070979" w:rsidRPr="009A4F1A">
              <w:rPr>
                <w:rStyle w:val="Hyperlink"/>
              </w:rPr>
              <w:t>The building block costs</w:t>
            </w:r>
            <w:r w:rsidR="00070979">
              <w:rPr>
                <w:webHidden/>
              </w:rPr>
              <w:tab/>
            </w:r>
            <w:r w:rsidR="0064714B">
              <w:rPr>
                <w:webHidden/>
              </w:rPr>
              <w:t>1-</w:t>
            </w:r>
            <w:r w:rsidR="00070979">
              <w:rPr>
                <w:webHidden/>
              </w:rPr>
              <w:fldChar w:fldCharType="begin"/>
            </w:r>
            <w:r w:rsidR="00070979">
              <w:rPr>
                <w:webHidden/>
              </w:rPr>
              <w:instrText xml:space="preserve"> PAGEREF _Toc417565189 \h </w:instrText>
            </w:r>
            <w:r w:rsidR="00070979">
              <w:rPr>
                <w:webHidden/>
              </w:rPr>
            </w:r>
            <w:r w:rsidR="00070979">
              <w:rPr>
                <w:webHidden/>
              </w:rPr>
              <w:fldChar w:fldCharType="separate"/>
            </w:r>
            <w:r w:rsidR="003309F5">
              <w:rPr>
                <w:webHidden/>
              </w:rPr>
              <w:t>11</w:t>
            </w:r>
            <w:r w:rsidR="00070979">
              <w:rPr>
                <w:webHidden/>
              </w:rPr>
              <w:fldChar w:fldCharType="end"/>
            </w:r>
          </w:hyperlink>
        </w:p>
        <w:p w:rsidR="00070979" w:rsidRDefault="00F55BC8">
          <w:pPr>
            <w:pStyle w:val="TOC2"/>
            <w:rPr>
              <w:rFonts w:asciiTheme="minorHAnsi" w:eastAsiaTheme="minorEastAsia" w:hAnsiTheme="minorHAnsi"/>
              <w:b w:val="0"/>
              <w:color w:val="auto"/>
              <w:sz w:val="22"/>
              <w:lang w:eastAsia="en-AU"/>
            </w:rPr>
          </w:pPr>
          <w:hyperlink w:anchor="_Toc417565190" w:history="1">
            <w:r w:rsidR="00070979" w:rsidRPr="009A4F1A">
              <w:rPr>
                <w:rStyle w:val="Hyperlink"/>
              </w:rPr>
              <w:t>1.4</w:t>
            </w:r>
            <w:r w:rsidR="00070979">
              <w:rPr>
                <w:rFonts w:asciiTheme="minorHAnsi" w:eastAsiaTheme="minorEastAsia" w:hAnsiTheme="minorHAnsi"/>
                <w:b w:val="0"/>
                <w:color w:val="auto"/>
                <w:sz w:val="22"/>
                <w:lang w:eastAsia="en-AU"/>
              </w:rPr>
              <w:tab/>
            </w:r>
            <w:r w:rsidR="00070979" w:rsidRPr="009A4F1A">
              <w:rPr>
                <w:rStyle w:val="Hyperlink"/>
              </w:rPr>
              <w:t>Reasons for preliminary decision</w:t>
            </w:r>
            <w:r w:rsidR="00070979">
              <w:rPr>
                <w:webHidden/>
              </w:rPr>
              <w:tab/>
            </w:r>
            <w:r w:rsidR="0064714B">
              <w:rPr>
                <w:webHidden/>
              </w:rPr>
              <w:t>1-</w:t>
            </w:r>
            <w:r w:rsidR="00070979">
              <w:rPr>
                <w:webHidden/>
              </w:rPr>
              <w:fldChar w:fldCharType="begin"/>
            </w:r>
            <w:r w:rsidR="00070979">
              <w:rPr>
                <w:webHidden/>
              </w:rPr>
              <w:instrText xml:space="preserve"> PAGEREF _Toc417565190 \h </w:instrText>
            </w:r>
            <w:r w:rsidR="00070979">
              <w:rPr>
                <w:webHidden/>
              </w:rPr>
            </w:r>
            <w:r w:rsidR="00070979">
              <w:rPr>
                <w:webHidden/>
              </w:rPr>
              <w:fldChar w:fldCharType="separate"/>
            </w:r>
            <w:r w:rsidR="003309F5">
              <w:rPr>
                <w:webHidden/>
              </w:rPr>
              <w:t>11</w:t>
            </w:r>
            <w:r w:rsidR="00070979">
              <w:rPr>
                <w:webHidden/>
              </w:rPr>
              <w:fldChar w:fldCharType="end"/>
            </w:r>
          </w:hyperlink>
        </w:p>
        <w:p w:rsidR="00070979" w:rsidRDefault="00F55BC8">
          <w:pPr>
            <w:pStyle w:val="TOC3"/>
            <w:rPr>
              <w:rFonts w:asciiTheme="minorHAnsi" w:eastAsiaTheme="minorEastAsia" w:hAnsiTheme="minorHAnsi"/>
              <w:lang w:eastAsia="en-AU"/>
            </w:rPr>
          </w:pPr>
          <w:hyperlink w:anchor="_Toc417565191" w:history="1">
            <w:r w:rsidR="00070979" w:rsidRPr="009A4F1A">
              <w:rPr>
                <w:rStyle w:val="Hyperlink"/>
              </w:rPr>
              <w:t>1.4.1</w:t>
            </w:r>
            <w:r w:rsidR="00070979">
              <w:rPr>
                <w:rFonts w:asciiTheme="minorHAnsi" w:eastAsiaTheme="minorEastAsia" w:hAnsiTheme="minorHAnsi"/>
                <w:lang w:eastAsia="en-AU"/>
              </w:rPr>
              <w:tab/>
            </w:r>
            <w:r w:rsidR="00070979" w:rsidRPr="009A4F1A">
              <w:rPr>
                <w:rStyle w:val="Hyperlink"/>
              </w:rPr>
              <w:t>Revenue smoothing</w:t>
            </w:r>
            <w:r w:rsidR="00070979">
              <w:rPr>
                <w:webHidden/>
              </w:rPr>
              <w:tab/>
            </w:r>
            <w:r w:rsidR="0064714B">
              <w:rPr>
                <w:webHidden/>
              </w:rPr>
              <w:t>1-</w:t>
            </w:r>
            <w:r w:rsidR="00070979">
              <w:rPr>
                <w:webHidden/>
              </w:rPr>
              <w:fldChar w:fldCharType="begin"/>
            </w:r>
            <w:r w:rsidR="00070979">
              <w:rPr>
                <w:webHidden/>
              </w:rPr>
              <w:instrText xml:space="preserve"> PAGEREF _Toc417565191 \h </w:instrText>
            </w:r>
            <w:r w:rsidR="00070979">
              <w:rPr>
                <w:webHidden/>
              </w:rPr>
            </w:r>
            <w:r w:rsidR="00070979">
              <w:rPr>
                <w:webHidden/>
              </w:rPr>
              <w:fldChar w:fldCharType="separate"/>
            </w:r>
            <w:r w:rsidR="003309F5">
              <w:rPr>
                <w:webHidden/>
              </w:rPr>
              <w:t>12</w:t>
            </w:r>
            <w:r w:rsidR="00070979">
              <w:rPr>
                <w:webHidden/>
              </w:rPr>
              <w:fldChar w:fldCharType="end"/>
            </w:r>
          </w:hyperlink>
        </w:p>
        <w:p w:rsidR="00070979" w:rsidRDefault="00F55BC8">
          <w:pPr>
            <w:pStyle w:val="TOC3"/>
            <w:rPr>
              <w:rFonts w:asciiTheme="minorHAnsi" w:eastAsiaTheme="minorEastAsia" w:hAnsiTheme="minorHAnsi"/>
              <w:lang w:eastAsia="en-AU"/>
            </w:rPr>
          </w:pPr>
          <w:hyperlink w:anchor="_Toc417565192" w:history="1">
            <w:r w:rsidR="00070979" w:rsidRPr="009A4F1A">
              <w:rPr>
                <w:rStyle w:val="Hyperlink"/>
              </w:rPr>
              <w:t>1.4.2</w:t>
            </w:r>
            <w:r w:rsidR="00070979">
              <w:rPr>
                <w:rFonts w:asciiTheme="minorHAnsi" w:eastAsiaTheme="minorEastAsia" w:hAnsiTheme="minorHAnsi"/>
                <w:lang w:eastAsia="en-AU"/>
              </w:rPr>
              <w:tab/>
            </w:r>
            <w:r w:rsidR="00070979" w:rsidRPr="009A4F1A">
              <w:rPr>
                <w:rStyle w:val="Hyperlink"/>
              </w:rPr>
              <w:t>Revenue increments or decrements</w:t>
            </w:r>
            <w:r w:rsidR="00070979">
              <w:rPr>
                <w:webHidden/>
              </w:rPr>
              <w:tab/>
            </w:r>
            <w:r w:rsidR="0064714B">
              <w:rPr>
                <w:webHidden/>
              </w:rPr>
              <w:t>1-</w:t>
            </w:r>
            <w:r w:rsidR="00070979">
              <w:rPr>
                <w:webHidden/>
              </w:rPr>
              <w:fldChar w:fldCharType="begin"/>
            </w:r>
            <w:r w:rsidR="00070979">
              <w:rPr>
                <w:webHidden/>
              </w:rPr>
              <w:instrText xml:space="preserve"> PAGEREF _Toc417565192 \h </w:instrText>
            </w:r>
            <w:r w:rsidR="00070979">
              <w:rPr>
                <w:webHidden/>
              </w:rPr>
            </w:r>
            <w:r w:rsidR="00070979">
              <w:rPr>
                <w:webHidden/>
              </w:rPr>
              <w:fldChar w:fldCharType="separate"/>
            </w:r>
            <w:r w:rsidR="003309F5">
              <w:rPr>
                <w:webHidden/>
              </w:rPr>
              <w:t>14</w:t>
            </w:r>
            <w:r w:rsidR="00070979">
              <w:rPr>
                <w:webHidden/>
              </w:rPr>
              <w:fldChar w:fldCharType="end"/>
            </w:r>
          </w:hyperlink>
        </w:p>
        <w:p w:rsidR="00070979" w:rsidRDefault="00F55BC8">
          <w:pPr>
            <w:pStyle w:val="TOC3"/>
            <w:rPr>
              <w:rFonts w:asciiTheme="minorHAnsi" w:eastAsiaTheme="minorEastAsia" w:hAnsiTheme="minorHAnsi"/>
              <w:lang w:eastAsia="en-AU"/>
            </w:rPr>
          </w:pPr>
          <w:hyperlink w:anchor="_Toc417565193" w:history="1">
            <w:r w:rsidR="00070979" w:rsidRPr="009A4F1A">
              <w:rPr>
                <w:rStyle w:val="Hyperlink"/>
              </w:rPr>
              <w:t>1.4.3</w:t>
            </w:r>
            <w:r w:rsidR="00070979">
              <w:rPr>
                <w:rFonts w:asciiTheme="minorHAnsi" w:eastAsiaTheme="minorEastAsia" w:hAnsiTheme="minorHAnsi"/>
                <w:lang w:eastAsia="en-AU"/>
              </w:rPr>
              <w:tab/>
            </w:r>
            <w:r w:rsidR="00070979" w:rsidRPr="009A4F1A">
              <w:rPr>
                <w:rStyle w:val="Hyperlink"/>
              </w:rPr>
              <w:t>Shared assets</w:t>
            </w:r>
            <w:r w:rsidR="00070979">
              <w:rPr>
                <w:webHidden/>
              </w:rPr>
              <w:tab/>
            </w:r>
            <w:r w:rsidR="0064714B">
              <w:rPr>
                <w:webHidden/>
              </w:rPr>
              <w:t>1-</w:t>
            </w:r>
            <w:r w:rsidR="00070979">
              <w:rPr>
                <w:webHidden/>
              </w:rPr>
              <w:fldChar w:fldCharType="begin"/>
            </w:r>
            <w:r w:rsidR="00070979">
              <w:rPr>
                <w:webHidden/>
              </w:rPr>
              <w:instrText xml:space="preserve"> PAGEREF _Toc417565193 \h </w:instrText>
            </w:r>
            <w:r w:rsidR="00070979">
              <w:rPr>
                <w:webHidden/>
              </w:rPr>
            </w:r>
            <w:r w:rsidR="00070979">
              <w:rPr>
                <w:webHidden/>
              </w:rPr>
              <w:fldChar w:fldCharType="separate"/>
            </w:r>
            <w:r w:rsidR="003309F5">
              <w:rPr>
                <w:webHidden/>
              </w:rPr>
              <w:t>16</w:t>
            </w:r>
            <w:r w:rsidR="00070979">
              <w:rPr>
                <w:webHidden/>
              </w:rPr>
              <w:fldChar w:fldCharType="end"/>
            </w:r>
          </w:hyperlink>
        </w:p>
        <w:p w:rsidR="00070979" w:rsidRDefault="00F55BC8">
          <w:pPr>
            <w:pStyle w:val="TOC3"/>
            <w:rPr>
              <w:rFonts w:asciiTheme="minorHAnsi" w:eastAsiaTheme="minorEastAsia" w:hAnsiTheme="minorHAnsi"/>
              <w:lang w:eastAsia="en-AU"/>
            </w:rPr>
          </w:pPr>
          <w:hyperlink w:anchor="_Toc417565194" w:history="1">
            <w:r w:rsidR="00070979" w:rsidRPr="009A4F1A">
              <w:rPr>
                <w:rStyle w:val="Hyperlink"/>
              </w:rPr>
              <w:t>1.4.4</w:t>
            </w:r>
            <w:r w:rsidR="00070979">
              <w:rPr>
                <w:rFonts w:asciiTheme="minorHAnsi" w:eastAsiaTheme="minorEastAsia" w:hAnsiTheme="minorHAnsi"/>
                <w:lang w:eastAsia="en-AU"/>
              </w:rPr>
              <w:tab/>
            </w:r>
            <w:r w:rsidR="00070979" w:rsidRPr="009A4F1A">
              <w:rPr>
                <w:rStyle w:val="Hyperlink"/>
              </w:rPr>
              <w:t>Indicative average distribution price impact</w:t>
            </w:r>
            <w:r w:rsidR="00070979">
              <w:rPr>
                <w:webHidden/>
              </w:rPr>
              <w:tab/>
            </w:r>
            <w:r w:rsidR="0064714B">
              <w:rPr>
                <w:webHidden/>
              </w:rPr>
              <w:t>1-</w:t>
            </w:r>
            <w:r w:rsidR="00070979">
              <w:rPr>
                <w:webHidden/>
              </w:rPr>
              <w:fldChar w:fldCharType="begin"/>
            </w:r>
            <w:r w:rsidR="00070979">
              <w:rPr>
                <w:webHidden/>
              </w:rPr>
              <w:instrText xml:space="preserve"> PAGEREF _Toc417565194 \h </w:instrText>
            </w:r>
            <w:r w:rsidR="00070979">
              <w:rPr>
                <w:webHidden/>
              </w:rPr>
            </w:r>
            <w:r w:rsidR="00070979">
              <w:rPr>
                <w:webHidden/>
              </w:rPr>
              <w:fldChar w:fldCharType="separate"/>
            </w:r>
            <w:r w:rsidR="003309F5">
              <w:rPr>
                <w:webHidden/>
              </w:rPr>
              <w:t>18</w:t>
            </w:r>
            <w:r w:rsidR="00070979">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565184"/>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2B4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3C45C7"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64714B"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3C45C7">
              <w:t>G</w:t>
            </w:r>
            <w:r w:rsidR="00DE563D">
              <w:t>uideline for electricity distribution</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3C45C7">
              <w:t xml:space="preserve">and </w:t>
            </w:r>
            <w:r>
              <w:t>pricing principles</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2B4C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2B4CF4">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496A7C" w:rsidRDefault="00772E60" w:rsidP="00496A7C">
      <w:pPr>
        <w:pStyle w:val="Heading1"/>
      </w:pPr>
      <w:bookmarkStart w:id="10" w:name="_Toc417565185"/>
      <w:r w:rsidRPr="00496A7C">
        <w:lastRenderedPageBreak/>
        <w:t>Annual revenue requirement</w:t>
      </w:r>
      <w:bookmarkEnd w:id="10"/>
    </w:p>
    <w:p w:rsidR="00DE563D" w:rsidRDefault="002B52F6" w:rsidP="00DE563D">
      <w:r>
        <w:t xml:space="preserve">The </w:t>
      </w:r>
      <w:r w:rsidRPr="0094506C">
        <w:t>annual revenue requirement (ARR) is the sum of the various building block costs for each year of th</w:t>
      </w:r>
      <w:r w:rsidR="003A41F3">
        <w:t>e regulatory control</w:t>
      </w:r>
      <w:r w:rsidRPr="0094506C">
        <w:t xml:space="preserve"> period before smoothing. The ARRs are smoothed across the period to reduce fluctuations between years and to determine expected revenues for each year. The expected revenues are the amounts that </w:t>
      </w:r>
      <w:r w:rsidR="00685B24">
        <w:t>Ergon Energy</w:t>
      </w:r>
      <w:r w:rsidRPr="0094506C">
        <w:t xml:space="preserve"> will target for annual pricing purposes</w:t>
      </w:r>
      <w:r w:rsidR="003A41F3" w:rsidRPr="003A41F3">
        <w:t xml:space="preserve"> </w:t>
      </w:r>
      <w:r w:rsidR="003A41F3">
        <w:t xml:space="preserve">and </w:t>
      </w:r>
      <w:r w:rsidR="003A41F3" w:rsidRPr="00F95B9F">
        <w:t xml:space="preserve">recover from </w:t>
      </w:r>
      <w:r w:rsidR="003A41F3">
        <w:t xml:space="preserve">customers for </w:t>
      </w:r>
      <w:r w:rsidR="003A41F3" w:rsidRPr="00F95B9F">
        <w:t>the provision of standard control services for each year of the regulatory control period</w:t>
      </w:r>
      <w:r w:rsidRPr="0094506C">
        <w:t xml:space="preserve">. This attachment sets out our </w:t>
      </w:r>
      <w:r w:rsidR="00DC62C5">
        <w:t>preliminary</w:t>
      </w:r>
      <w:r w:rsidRPr="0094506C">
        <w:t xml:space="preserve"> decision on </w:t>
      </w:r>
      <w:r w:rsidR="00685B24">
        <w:t>Ergon Energy's</w:t>
      </w:r>
      <w:r w:rsidRPr="0094506C">
        <w:t xml:space="preserve"> ARRs and expected revenues for the 201</w:t>
      </w:r>
      <w:r>
        <w:t>5–</w:t>
      </w:r>
      <w:r w:rsidR="00685B24">
        <w:t>20</w:t>
      </w:r>
      <w:r w:rsidRPr="0094506C">
        <w:t xml:space="preserve"> </w:t>
      </w:r>
      <w:r>
        <w:t xml:space="preserve">regulatory control </w:t>
      </w:r>
      <w:r w:rsidRPr="0094506C">
        <w:t>period.</w:t>
      </w:r>
    </w:p>
    <w:p w:rsidR="00DE563D" w:rsidRPr="00496A7C" w:rsidRDefault="00DE563D" w:rsidP="00496A7C">
      <w:pPr>
        <w:pStyle w:val="Heading2"/>
      </w:pPr>
      <w:bookmarkStart w:id="11" w:name="_Toc403144136"/>
      <w:bookmarkStart w:id="12" w:name="_Toc417565186"/>
      <w:r w:rsidRPr="00496A7C">
        <w:t>Preliminary decision</w:t>
      </w:r>
      <w:bookmarkEnd w:id="11"/>
      <w:bookmarkEnd w:id="12"/>
    </w:p>
    <w:p w:rsidR="002B52F6" w:rsidRPr="002B52F6" w:rsidRDefault="002B52F6" w:rsidP="003A41F3">
      <w:pPr>
        <w:numPr>
          <w:ilvl w:val="0"/>
          <w:numId w:val="25"/>
        </w:numPr>
      </w:pPr>
      <w:r>
        <w:t xml:space="preserve">We </w:t>
      </w:r>
      <w:r w:rsidRPr="0094506C">
        <w:t xml:space="preserve">do not accept </w:t>
      </w:r>
      <w:r w:rsidR="0055177F">
        <w:t>Ergon Energy's</w:t>
      </w:r>
      <w:r w:rsidR="0055177F" w:rsidRPr="0094506C">
        <w:t xml:space="preserve"> </w:t>
      </w:r>
      <w:r w:rsidRPr="0094506C">
        <w:t>proposed total revenue requirement</w:t>
      </w:r>
      <w:r>
        <w:t>s</w:t>
      </w:r>
      <w:r w:rsidR="0033309D">
        <w:t xml:space="preserve"> </w:t>
      </w:r>
      <w:r w:rsidRPr="0094506C">
        <w:t>of $</w:t>
      </w:r>
      <w:r w:rsidR="00033E05">
        <w:t>8228.</w:t>
      </w:r>
      <w:r w:rsidR="00D90C1F">
        <w:t>6</w:t>
      </w:r>
      <w:r w:rsidR="003B67F7">
        <w:t> </w:t>
      </w:r>
      <w:r w:rsidRPr="0094506C">
        <w:t>million over the 201</w:t>
      </w:r>
      <w:r w:rsidR="0055177F">
        <w:t>5</w:t>
      </w:r>
      <w:r w:rsidRPr="0094506C">
        <w:t>–</w:t>
      </w:r>
      <w:r w:rsidR="0055177F">
        <w:t>20</w:t>
      </w:r>
      <w:r w:rsidRPr="0094506C">
        <w:t xml:space="preserve"> </w:t>
      </w:r>
      <w:r w:rsidR="003B67F7">
        <w:t xml:space="preserve">regulatory control </w:t>
      </w:r>
      <w:r w:rsidRPr="0094506C">
        <w:t xml:space="preserve">period. </w:t>
      </w:r>
      <w:r w:rsidR="003A41F3">
        <w:t>This is because we have not accepted the building block costs in Ergon Energy's proposal.</w:t>
      </w:r>
      <w:r w:rsidRPr="0094506C">
        <w:t xml:space="preserve"> We determine a total revenue requirement</w:t>
      </w:r>
      <w:r w:rsidR="0033309D">
        <w:t xml:space="preserve"> (excluding additionals)</w:t>
      </w:r>
      <w:r w:rsidRPr="0094506C">
        <w:t xml:space="preserve"> </w:t>
      </w:r>
      <w:r w:rsidR="003B67F7">
        <w:t xml:space="preserve">of </w:t>
      </w:r>
      <w:r w:rsidR="003B67F7" w:rsidRPr="0094506C">
        <w:t>$</w:t>
      </w:r>
      <w:r w:rsidR="00033E05">
        <w:t>6012.6</w:t>
      </w:r>
      <w:r w:rsidR="003B67F7" w:rsidRPr="002B52F6">
        <w:t xml:space="preserve"> million ($ nominal) for </w:t>
      </w:r>
      <w:r w:rsidR="003B67F7">
        <w:t>Ergon Energy</w:t>
      </w:r>
      <w:r w:rsidR="003B67F7" w:rsidRPr="0094506C">
        <w:t xml:space="preserve"> </w:t>
      </w:r>
      <w:r w:rsidRPr="0094506C">
        <w:t xml:space="preserve">for </w:t>
      </w:r>
      <w:r>
        <w:t>the 201</w:t>
      </w:r>
      <w:r w:rsidR="00685B24">
        <w:t>5–20</w:t>
      </w:r>
      <w:r>
        <w:t xml:space="preserve"> </w:t>
      </w:r>
      <w:r w:rsidR="003B67F7">
        <w:t xml:space="preserve">regulatory control </w:t>
      </w:r>
      <w:r>
        <w:t xml:space="preserve">period, reflecting our </w:t>
      </w:r>
      <w:r w:rsidR="00DC62C5">
        <w:t>preliminary</w:t>
      </w:r>
      <w:r>
        <w:t xml:space="preserve"> decision on the various building block costs</w:t>
      </w:r>
      <w:r w:rsidRPr="002B52F6">
        <w:t>. This is a reduction of $</w:t>
      </w:r>
      <w:r w:rsidR="00033E05">
        <w:t>2216.1</w:t>
      </w:r>
      <w:r w:rsidRPr="002B52F6">
        <w:t xml:space="preserve"> million ($ nominal) or </w:t>
      </w:r>
      <w:r w:rsidR="00033E05">
        <w:t>2</w:t>
      </w:r>
      <w:r w:rsidR="00D90C1F">
        <w:t>6.9</w:t>
      </w:r>
      <w:r w:rsidRPr="002B52F6">
        <w:t xml:space="preserve"> per cent to </w:t>
      </w:r>
      <w:r w:rsidR="0055177F">
        <w:t>Ergon Energy's</w:t>
      </w:r>
      <w:r w:rsidR="0055177F" w:rsidRPr="002B52F6">
        <w:t xml:space="preserve"> </w:t>
      </w:r>
      <w:r w:rsidRPr="002B52F6">
        <w:t>proposal.</w:t>
      </w:r>
    </w:p>
    <w:p w:rsidR="002B52F6" w:rsidRDefault="002B52F6" w:rsidP="002B52F6">
      <w:pPr>
        <w:numPr>
          <w:ilvl w:val="0"/>
          <w:numId w:val="25"/>
        </w:numPr>
      </w:pPr>
      <w:r w:rsidRPr="00AC0E54">
        <w:t xml:space="preserve">As a result of our smoothing of the ARRs, our </w:t>
      </w:r>
      <w:r w:rsidR="00DC62C5">
        <w:t>preliminary</w:t>
      </w:r>
      <w:r w:rsidRPr="00AC0E54">
        <w:t xml:space="preserve"> decision </w:t>
      </w:r>
      <w:r>
        <w:t>on the annual expected revenue and X factor</w:t>
      </w:r>
      <w:r w:rsidR="003D7FC8">
        <w:t xml:space="preserve"> </w:t>
      </w:r>
      <w:r>
        <w:t>for each regulatory year of the 2015–</w:t>
      </w:r>
      <w:r w:rsidR="003B67F7">
        <w:t>20</w:t>
      </w:r>
      <w:r>
        <w:t xml:space="preserve"> regulatory control period is set out in </w:t>
      </w:r>
      <w:r w:rsidR="006B2BD9">
        <w:fldChar w:fldCharType="begin"/>
      </w:r>
      <w:r w:rsidR="006B2BD9">
        <w:instrText xml:space="preserve"> REF _Ref417484575 \h </w:instrText>
      </w:r>
      <w:r w:rsidR="006B2BD9">
        <w:fldChar w:fldCharType="separate"/>
      </w:r>
      <w:r w:rsidR="002B4CF4">
        <w:t xml:space="preserve">Table </w:t>
      </w:r>
      <w:r w:rsidR="002B4CF4">
        <w:rPr>
          <w:noProof/>
        </w:rPr>
        <w:t>1</w:t>
      </w:r>
      <w:r w:rsidR="002B4CF4">
        <w:t>.</w:t>
      </w:r>
      <w:r w:rsidR="002B4CF4">
        <w:rPr>
          <w:noProof/>
        </w:rPr>
        <w:t>1</w:t>
      </w:r>
      <w:r w:rsidR="006B2BD9">
        <w:fldChar w:fldCharType="end"/>
      </w:r>
      <w:r>
        <w:t xml:space="preserve">. Our </w:t>
      </w:r>
      <w:r w:rsidR="00DC62C5">
        <w:t>preliminary</w:t>
      </w:r>
      <w:r>
        <w:t xml:space="preserve"> decision </w:t>
      </w:r>
      <w:r w:rsidRPr="00AC0E54">
        <w:t>is to approve total expected revenues (</w:t>
      </w:r>
      <w:r w:rsidR="00033E05">
        <w:t>excluding additionals</w:t>
      </w:r>
      <w:r w:rsidRPr="00AC0E54">
        <w:t>) of $</w:t>
      </w:r>
      <w:r w:rsidR="00033E05">
        <w:t>6021.5</w:t>
      </w:r>
      <w:r w:rsidRPr="00AC0E54">
        <w:t xml:space="preserve"> million ($ nominal) for the 201</w:t>
      </w:r>
      <w:r>
        <w:t>5</w:t>
      </w:r>
      <w:r w:rsidRPr="00AC0E54">
        <w:t>–</w:t>
      </w:r>
      <w:r w:rsidR="00685B24">
        <w:t>20</w:t>
      </w:r>
      <w:r w:rsidRPr="00AC0E54">
        <w:t xml:space="preserve"> </w:t>
      </w:r>
      <w:r>
        <w:t xml:space="preserve">regulatory control </w:t>
      </w:r>
      <w:r w:rsidRPr="00AC0E54">
        <w:t>period.</w:t>
      </w:r>
    </w:p>
    <w:p w:rsidR="00EF29B4" w:rsidRDefault="006B2BD9" w:rsidP="00EF29B4">
      <w:pPr>
        <w:numPr>
          <w:ilvl w:val="0"/>
          <w:numId w:val="25"/>
        </w:numPr>
      </w:pPr>
      <w:r>
        <w:fldChar w:fldCharType="begin"/>
      </w:r>
      <w:r>
        <w:instrText xml:space="preserve"> REF _Ref417484585 \h </w:instrText>
      </w:r>
      <w:r>
        <w:fldChar w:fldCharType="separate"/>
      </w:r>
      <w:r w:rsidR="002B4CF4">
        <w:t xml:space="preserve">Figure </w:t>
      </w:r>
      <w:r w:rsidR="002B4CF4">
        <w:rPr>
          <w:noProof/>
        </w:rPr>
        <w:t>1</w:t>
      </w:r>
      <w:r w:rsidR="002B4CF4">
        <w:t>.</w:t>
      </w:r>
      <w:r w:rsidR="002B4CF4">
        <w:rPr>
          <w:noProof/>
        </w:rPr>
        <w:t>1</w:t>
      </w:r>
      <w:r>
        <w:fldChar w:fldCharType="end"/>
      </w:r>
      <w:r w:rsidR="002B52F6">
        <w:t xml:space="preserve"> </w:t>
      </w:r>
      <w:r w:rsidR="002B52F6" w:rsidRPr="0094506C">
        <w:t>show</w:t>
      </w:r>
      <w:r w:rsidR="002B52F6">
        <w:t>s</w:t>
      </w:r>
      <w:r w:rsidR="002B52F6" w:rsidRPr="0094506C">
        <w:t xml:space="preserve"> the difference between </w:t>
      </w:r>
      <w:r w:rsidR="00685B24">
        <w:t>Ergon</w:t>
      </w:r>
      <w:r w:rsidR="00D7577E">
        <w:t xml:space="preserve"> Energy</w:t>
      </w:r>
      <w:r w:rsidR="00685B24">
        <w:t>'s</w:t>
      </w:r>
      <w:r w:rsidR="002B52F6" w:rsidRPr="0094506C">
        <w:t xml:space="preserve"> proposal and our </w:t>
      </w:r>
      <w:r w:rsidR="00DC62C5">
        <w:t>preliminary</w:t>
      </w:r>
      <w:r w:rsidR="003B67F7">
        <w:t xml:space="preserve"> decision</w:t>
      </w:r>
      <w:r w:rsidR="002B52F6" w:rsidRPr="0094506C">
        <w:t>.</w:t>
      </w:r>
      <w:r w:rsidR="00EF29B4" w:rsidRPr="00EF29B4">
        <w:t xml:space="preserve"> </w:t>
      </w:r>
    </w:p>
    <w:p w:rsidR="00EF29B4" w:rsidRDefault="00EF29B4" w:rsidP="00EF29B4">
      <w:pPr>
        <w:numPr>
          <w:ilvl w:val="0"/>
          <w:numId w:val="25"/>
        </w:numPr>
      </w:pPr>
      <w:r>
        <w:fldChar w:fldCharType="begin"/>
      </w:r>
      <w:r>
        <w:instrText xml:space="preserve"> REF _Ref417484575 \h </w:instrText>
      </w:r>
      <w:r>
        <w:fldChar w:fldCharType="separate"/>
      </w:r>
      <w:r>
        <w:t xml:space="preserve">Table </w:t>
      </w:r>
      <w:r w:rsidRPr="00EF29B4">
        <w:t>1</w:t>
      </w:r>
      <w:r>
        <w:t>.</w:t>
      </w:r>
      <w:r w:rsidRPr="00EF29B4">
        <w:t>1</w:t>
      </w:r>
      <w:r>
        <w:fldChar w:fldCharType="end"/>
      </w:r>
      <w:r>
        <w:t xml:space="preserve"> shows our preliminary decision on the building block costs, the ARR, annual expected revenue and X factor for each year of the 2015–20 regulatory control period.</w:t>
      </w:r>
    </w:p>
    <w:p w:rsidR="002B52F6" w:rsidRDefault="002B52F6" w:rsidP="002B52F6">
      <w:pPr>
        <w:numPr>
          <w:ilvl w:val="0"/>
          <w:numId w:val="25"/>
        </w:numPr>
      </w:pPr>
    </w:p>
    <w:p w:rsidR="002B52F6" w:rsidRDefault="002B52F6" w:rsidP="00A84E4A">
      <w:pPr>
        <w:pStyle w:val="Caption"/>
      </w:pPr>
      <w:bookmarkStart w:id="13" w:name="_Ref417484585"/>
      <w:r>
        <w:lastRenderedPageBreak/>
        <w:t xml:space="preserve">Figure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Figure \* ARABIC \s 1 </w:instrText>
      </w:r>
      <w:r w:rsidR="00F55BC8">
        <w:fldChar w:fldCharType="separate"/>
      </w:r>
      <w:r w:rsidR="002B4CF4">
        <w:rPr>
          <w:noProof/>
        </w:rPr>
        <w:t>1</w:t>
      </w:r>
      <w:r w:rsidR="00F55BC8">
        <w:rPr>
          <w:noProof/>
        </w:rPr>
        <w:fldChar w:fldCharType="end"/>
      </w:r>
      <w:bookmarkEnd w:id="13"/>
      <w:r>
        <w:tab/>
      </w:r>
      <w:r w:rsidRPr="002B52F6">
        <w:t xml:space="preserve">AER's </w:t>
      </w:r>
      <w:r w:rsidR="00DC62C5">
        <w:t>preliminary</w:t>
      </w:r>
      <w:r w:rsidRPr="002B52F6">
        <w:t xml:space="preserve"> decision </w:t>
      </w:r>
      <w:r w:rsidR="003B67F7">
        <w:t>o</w:t>
      </w:r>
      <w:r w:rsidRPr="002B52F6">
        <w:t xml:space="preserve">n </w:t>
      </w:r>
      <w:r w:rsidR="003B67F7">
        <w:t>Ergon Energy</w:t>
      </w:r>
      <w:r w:rsidRPr="002B52F6">
        <w:t>'s revenues for the 201</w:t>
      </w:r>
      <w:r w:rsidR="003B67F7">
        <w:t>5</w:t>
      </w:r>
      <w:r w:rsidRPr="002B52F6">
        <w:t>–</w:t>
      </w:r>
      <w:r w:rsidR="003B67F7">
        <w:t>20</w:t>
      </w:r>
      <w:r w:rsidRPr="002B52F6">
        <w:t xml:space="preserve"> </w:t>
      </w:r>
      <w:r w:rsidR="003B67F7">
        <w:t xml:space="preserve">regulatory control </w:t>
      </w:r>
      <w:r w:rsidRPr="002B52F6">
        <w:t>period ($million, nominal)</w:t>
      </w:r>
    </w:p>
    <w:p w:rsidR="006B2BD9" w:rsidRDefault="006B2BD9" w:rsidP="006B2BD9">
      <w:r w:rsidRPr="006B2BD9">
        <w:rPr>
          <w:noProof/>
          <w:lang w:eastAsia="en-AU"/>
        </w:rPr>
        <w:drawing>
          <wp:inline distT="0" distB="0" distL="0" distR="0" wp14:anchorId="04099C6F" wp14:editId="7FC2F356">
            <wp:extent cx="5382895" cy="322783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6B2BD9" w:rsidRDefault="006B2BD9" w:rsidP="006B2BD9">
      <w:pPr>
        <w:pStyle w:val="AERtablesource"/>
        <w:numPr>
          <w:ilvl w:val="0"/>
          <w:numId w:val="25"/>
        </w:numPr>
      </w:pPr>
      <w:r>
        <w:t>Source:</w:t>
      </w:r>
      <w:r>
        <w:tab/>
        <w:t xml:space="preserve">Ergon Energy, </w:t>
      </w:r>
      <w:r w:rsidRPr="00845B6F">
        <w:rPr>
          <w:rStyle w:val="AERtextitalic"/>
        </w:rPr>
        <w:t>Regulatory Proposal</w:t>
      </w:r>
      <w:r>
        <w:t>, October 2014</w:t>
      </w:r>
      <w:r w:rsidRPr="00845B6F">
        <w:t>,</w:t>
      </w:r>
      <w:r>
        <w:t xml:space="preserve"> pp. 27–28; AER analysis.</w:t>
      </w:r>
    </w:p>
    <w:p w:rsidR="00A75D48" w:rsidRDefault="00A75D48" w:rsidP="00A75D48">
      <w:pPr>
        <w:pStyle w:val="Caption"/>
      </w:pPr>
      <w:bookmarkStart w:id="14" w:name="_Ref417484575"/>
      <w:r>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fldSimple w:instr=" SEQ Table \* ARABIC \s 1 ">
        <w:r w:rsidR="002B4CF4">
          <w:rPr>
            <w:noProof/>
          </w:rPr>
          <w:t>1</w:t>
        </w:r>
      </w:fldSimple>
      <w:bookmarkEnd w:id="14"/>
      <w:r>
        <w:tab/>
        <w:t xml:space="preserve">AER's </w:t>
      </w:r>
      <w:r w:rsidR="00DC62C5">
        <w:t>preliminary</w:t>
      </w:r>
      <w:r>
        <w:t xml:space="preserve"> decision on </w:t>
      </w:r>
      <w:r w:rsidR="003B67F7">
        <w:t>Ergon Energy</w:t>
      </w:r>
      <w:r>
        <w:t>'s revenues for 201</w:t>
      </w:r>
      <w:r w:rsidR="003B67F7">
        <w:t>5</w:t>
      </w:r>
      <w:r>
        <w:t>–</w:t>
      </w:r>
      <w:r w:rsidR="003B67F7">
        <w:t>20</w:t>
      </w:r>
      <w:r>
        <w:t xml:space="preserve"> </w:t>
      </w:r>
      <w:r w:rsidR="003B67F7">
        <w:t xml:space="preserve">regulatory control </w:t>
      </w:r>
      <w:r>
        <w:t>period ($million, nominal)</w:t>
      </w:r>
    </w:p>
    <w:tbl>
      <w:tblPr>
        <w:tblStyle w:val="AERtable-numbers"/>
        <w:tblW w:w="8755" w:type="dxa"/>
        <w:tblLayout w:type="fixed"/>
        <w:tblLook w:val="04A0" w:firstRow="1" w:lastRow="0" w:firstColumn="1" w:lastColumn="0" w:noHBand="0" w:noVBand="1"/>
      </w:tblPr>
      <w:tblGrid>
        <w:gridCol w:w="2518"/>
        <w:gridCol w:w="1039"/>
        <w:gridCol w:w="1040"/>
        <w:gridCol w:w="1039"/>
        <w:gridCol w:w="1040"/>
        <w:gridCol w:w="1039"/>
        <w:gridCol w:w="1040"/>
      </w:tblGrid>
      <w:tr w:rsidR="00A75D48" w:rsidRPr="00A75D48" w:rsidTr="00D06388">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75D48" w:rsidRPr="00A75D48" w:rsidRDefault="00A75D48" w:rsidP="00A75D48">
            <w:r w:rsidRPr="00A75D48">
              <w:t> </w:t>
            </w:r>
          </w:p>
        </w:tc>
        <w:tc>
          <w:tcPr>
            <w:tcW w:w="1039" w:type="dxa"/>
            <w:noWrap/>
            <w:hideMark/>
          </w:tcPr>
          <w:p w:rsidR="00A75D48" w:rsidRPr="00A75D48" w:rsidRDefault="00A75D48" w:rsidP="00795740">
            <w:pPr>
              <w:cnfStyle w:val="100000000000" w:firstRow="1" w:lastRow="0" w:firstColumn="0" w:lastColumn="0" w:oddVBand="0" w:evenVBand="0" w:oddHBand="0" w:evenHBand="0" w:firstRowFirstColumn="0" w:firstRowLastColumn="0" w:lastRowFirstColumn="0" w:lastRowLastColumn="0"/>
            </w:pPr>
            <w:r w:rsidRPr="00A75D48">
              <w:t>201</w:t>
            </w:r>
            <w:r w:rsidR="00795740">
              <w:t>5</w:t>
            </w:r>
            <w:r w:rsidRPr="00A75D48">
              <w:t>–1</w:t>
            </w:r>
            <w:r w:rsidR="00795740">
              <w:t>6</w:t>
            </w:r>
          </w:p>
        </w:tc>
        <w:tc>
          <w:tcPr>
            <w:tcW w:w="1040" w:type="dxa"/>
            <w:noWrap/>
            <w:hideMark/>
          </w:tcPr>
          <w:p w:rsidR="00A75D48" w:rsidRPr="00A75D48" w:rsidRDefault="00A75D48" w:rsidP="00795740">
            <w:pPr>
              <w:cnfStyle w:val="100000000000" w:firstRow="1" w:lastRow="0" w:firstColumn="0" w:lastColumn="0" w:oddVBand="0" w:evenVBand="0" w:oddHBand="0" w:evenHBand="0" w:firstRowFirstColumn="0" w:firstRowLastColumn="0" w:lastRowFirstColumn="0" w:lastRowLastColumn="0"/>
            </w:pPr>
            <w:r w:rsidRPr="00A75D48">
              <w:t>201</w:t>
            </w:r>
            <w:r w:rsidR="00795740">
              <w:t>6</w:t>
            </w:r>
            <w:r w:rsidRPr="00A75D48">
              <w:t>–1</w:t>
            </w:r>
            <w:r w:rsidR="00795740">
              <w:t>7</w:t>
            </w:r>
          </w:p>
        </w:tc>
        <w:tc>
          <w:tcPr>
            <w:tcW w:w="1039" w:type="dxa"/>
          </w:tcPr>
          <w:p w:rsidR="00A75D48" w:rsidRPr="00A75D48" w:rsidRDefault="00A75D48" w:rsidP="00795740">
            <w:pPr>
              <w:cnfStyle w:val="100000000000" w:firstRow="1" w:lastRow="0" w:firstColumn="0" w:lastColumn="0" w:oddVBand="0" w:evenVBand="0" w:oddHBand="0" w:evenHBand="0" w:firstRowFirstColumn="0" w:firstRowLastColumn="0" w:lastRowFirstColumn="0" w:lastRowLastColumn="0"/>
            </w:pPr>
            <w:r w:rsidRPr="00A75D48">
              <w:t>201</w:t>
            </w:r>
            <w:r w:rsidR="00795740">
              <w:t>7</w:t>
            </w:r>
            <w:r w:rsidRPr="00A75D48">
              <w:t>–1</w:t>
            </w:r>
            <w:r w:rsidR="00795740">
              <w:t>8</w:t>
            </w:r>
          </w:p>
        </w:tc>
        <w:tc>
          <w:tcPr>
            <w:tcW w:w="1040" w:type="dxa"/>
          </w:tcPr>
          <w:p w:rsidR="00A75D48" w:rsidRPr="00A75D48" w:rsidRDefault="00A75D48" w:rsidP="00795740">
            <w:pPr>
              <w:cnfStyle w:val="100000000000" w:firstRow="1" w:lastRow="0" w:firstColumn="0" w:lastColumn="0" w:oddVBand="0" w:evenVBand="0" w:oddHBand="0" w:evenHBand="0" w:firstRowFirstColumn="0" w:firstRowLastColumn="0" w:lastRowFirstColumn="0" w:lastRowLastColumn="0"/>
            </w:pPr>
            <w:r w:rsidRPr="00A75D48">
              <w:t>201</w:t>
            </w:r>
            <w:r w:rsidR="00795740">
              <w:t>8</w:t>
            </w:r>
            <w:r w:rsidRPr="00A75D48">
              <w:t>–1</w:t>
            </w:r>
            <w:r w:rsidR="00795740">
              <w:t>9</w:t>
            </w:r>
          </w:p>
        </w:tc>
        <w:tc>
          <w:tcPr>
            <w:tcW w:w="1039" w:type="dxa"/>
          </w:tcPr>
          <w:p w:rsidR="00A75D48" w:rsidRPr="00A75D48" w:rsidRDefault="00A75D48" w:rsidP="00795740">
            <w:pPr>
              <w:cnfStyle w:val="100000000000" w:firstRow="1" w:lastRow="0" w:firstColumn="0" w:lastColumn="0" w:oddVBand="0" w:evenVBand="0" w:oddHBand="0" w:evenHBand="0" w:firstRowFirstColumn="0" w:firstRowLastColumn="0" w:lastRowFirstColumn="0" w:lastRowLastColumn="0"/>
            </w:pPr>
            <w:r w:rsidRPr="00A75D48">
              <w:t>201</w:t>
            </w:r>
            <w:r w:rsidR="00795740">
              <w:t>9</w:t>
            </w:r>
            <w:r w:rsidRPr="00A75D48">
              <w:t>–</w:t>
            </w:r>
            <w:r w:rsidR="00795740">
              <w:t>20</w:t>
            </w:r>
          </w:p>
        </w:tc>
        <w:tc>
          <w:tcPr>
            <w:tcW w:w="1040" w:type="dxa"/>
          </w:tcPr>
          <w:p w:rsidR="00A75D48" w:rsidRPr="00A75D48" w:rsidRDefault="00A75D48" w:rsidP="00A75D48">
            <w:pPr>
              <w:cnfStyle w:val="100000000000" w:firstRow="1" w:lastRow="0" w:firstColumn="0" w:lastColumn="0" w:oddVBand="0" w:evenVBand="0" w:oddHBand="0" w:evenHBand="0" w:firstRowFirstColumn="0" w:firstRowLastColumn="0" w:lastRowFirstColumn="0" w:lastRowLastColumn="0"/>
            </w:pPr>
            <w:r w:rsidRPr="00A75D48">
              <w:t>Total</w:t>
            </w:r>
          </w:p>
        </w:tc>
      </w:tr>
      <w:tr w:rsidR="00D90C1F" w:rsidRPr="00A75D48" w:rsidTr="00D06388">
        <w:trPr>
          <w:trHeight w:val="190"/>
        </w:trPr>
        <w:tc>
          <w:tcPr>
            <w:cnfStyle w:val="001000000000" w:firstRow="0" w:lastRow="0" w:firstColumn="1" w:lastColumn="0" w:oddVBand="0" w:evenVBand="0" w:oddHBand="0" w:evenHBand="0" w:firstRowFirstColumn="0" w:firstRowLastColumn="0" w:lastRowFirstColumn="0" w:lastRowLastColumn="0"/>
            <w:tcW w:w="2518" w:type="dxa"/>
            <w:noWrap/>
            <w:hideMark/>
          </w:tcPr>
          <w:p w:rsidR="00D90C1F" w:rsidRPr="00D90C1F" w:rsidRDefault="00D90C1F" w:rsidP="00D90C1F">
            <w:r w:rsidRPr="00D90C1F">
              <w:t>Return on capital</w:t>
            </w:r>
          </w:p>
        </w:tc>
        <w:tc>
          <w:tcPr>
            <w:tcW w:w="1039"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590.8</w:t>
            </w:r>
          </w:p>
        </w:tc>
        <w:tc>
          <w:tcPr>
            <w:tcW w:w="1040"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617.0</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640.4</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658.9</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674.6</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3181.7</w:t>
            </w:r>
          </w:p>
        </w:tc>
      </w:tr>
      <w:tr w:rsidR="00D90C1F" w:rsidRPr="00A75D48" w:rsidTr="00D0638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90C1F" w:rsidRPr="00D90C1F" w:rsidRDefault="00D90C1F" w:rsidP="00D90C1F">
            <w:r w:rsidRPr="00D90C1F">
              <w:t>Regulatory depreciation</w:t>
            </w:r>
          </w:p>
        </w:tc>
        <w:tc>
          <w:tcPr>
            <w:tcW w:w="1039"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106.7</w:t>
            </w:r>
          </w:p>
        </w:tc>
        <w:tc>
          <w:tcPr>
            <w:tcW w:w="1040"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121.2</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137.3</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147.2</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142.3</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654.6</w:t>
            </w:r>
          </w:p>
        </w:tc>
      </w:tr>
      <w:tr w:rsidR="00D90C1F" w:rsidRPr="00A75D48" w:rsidTr="00D06388">
        <w:trPr>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90C1F" w:rsidRPr="00D90C1F" w:rsidRDefault="00D90C1F" w:rsidP="00D90C1F">
            <w:r w:rsidRPr="00D90C1F">
              <w:t>Operating expenditure</w:t>
            </w:r>
          </w:p>
        </w:tc>
        <w:tc>
          <w:tcPr>
            <w:tcW w:w="1039"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327.5</w:t>
            </w:r>
          </w:p>
        </w:tc>
        <w:tc>
          <w:tcPr>
            <w:tcW w:w="1040"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342.1</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356.4</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372.9</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389.0</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1787.9</w:t>
            </w:r>
          </w:p>
        </w:tc>
      </w:tr>
      <w:tr w:rsidR="00D90C1F" w:rsidRPr="00A75D48" w:rsidTr="00D0638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90C1F" w:rsidRPr="00D90C1F" w:rsidRDefault="00D90C1F" w:rsidP="00D90C1F">
            <w:r w:rsidRPr="00D90C1F">
              <w:t>Revenue adjustments</w:t>
            </w:r>
            <w:r w:rsidRPr="00D90C1F">
              <w:rPr>
                <w:rStyle w:val="AERsuperscript"/>
              </w:rPr>
              <w:t>a</w:t>
            </w:r>
          </w:p>
        </w:tc>
        <w:tc>
          <w:tcPr>
            <w:tcW w:w="1039"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91.9</w:t>
            </w:r>
          </w:p>
        </w:tc>
        <w:tc>
          <w:tcPr>
            <w:tcW w:w="1040"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49.1</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66.9</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t>–</w:t>
            </w:r>
            <w:r w:rsidRPr="00D90C1F">
              <w:t>21.4</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t>–</w:t>
            </w:r>
            <w:r w:rsidRPr="00D90C1F">
              <w:t>2.3</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184.2</w:t>
            </w:r>
          </w:p>
        </w:tc>
      </w:tr>
      <w:tr w:rsidR="00D90C1F" w:rsidRPr="00A75D48" w:rsidTr="00D06388">
        <w:trPr>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90C1F" w:rsidRPr="00D90C1F" w:rsidRDefault="00D90C1F" w:rsidP="00D90C1F">
            <w:r w:rsidRPr="00D90C1F">
              <w:t>Net tax allowance</w:t>
            </w:r>
          </w:p>
        </w:tc>
        <w:tc>
          <w:tcPr>
            <w:tcW w:w="1039"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36.3</w:t>
            </w:r>
          </w:p>
        </w:tc>
        <w:tc>
          <w:tcPr>
            <w:tcW w:w="1040"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38.8</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41.2</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44.8</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43.1</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204.2</w:t>
            </w:r>
          </w:p>
        </w:tc>
      </w:tr>
      <w:tr w:rsidR="00D90C1F" w:rsidRPr="00A75D48" w:rsidTr="00D0638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18" w:type="dxa"/>
            <w:noWrap/>
            <w:hideMark/>
          </w:tcPr>
          <w:p w:rsidR="00D90C1F" w:rsidRPr="00D90C1F" w:rsidRDefault="00D90C1F" w:rsidP="00D90C1F">
            <w:r w:rsidRPr="00D90C1F">
              <w:t>Annual revenue requirement (unsmoothed)</w:t>
            </w:r>
          </w:p>
        </w:tc>
        <w:tc>
          <w:tcPr>
            <w:tcW w:w="1039"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1153.1</w:t>
            </w:r>
          </w:p>
        </w:tc>
        <w:tc>
          <w:tcPr>
            <w:tcW w:w="1040"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1168.2</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1242.3</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1202.3</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1246.7</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6012.6</w:t>
            </w:r>
          </w:p>
        </w:tc>
      </w:tr>
      <w:tr w:rsidR="00D90C1F" w:rsidRPr="00D90C1F" w:rsidTr="00D06388">
        <w:trPr>
          <w:trHeight w:val="190"/>
        </w:trPr>
        <w:tc>
          <w:tcPr>
            <w:cnfStyle w:val="001000000000" w:firstRow="0" w:lastRow="0" w:firstColumn="1" w:lastColumn="0" w:oddVBand="0" w:evenVBand="0" w:oddHBand="0" w:evenHBand="0" w:firstRowFirstColumn="0" w:firstRowLastColumn="0" w:lastRowFirstColumn="0" w:lastRowLastColumn="0"/>
            <w:tcW w:w="2518" w:type="dxa"/>
            <w:noWrap/>
            <w:hideMark/>
          </w:tcPr>
          <w:p w:rsidR="00D90C1F" w:rsidRPr="00D90C1F" w:rsidRDefault="00D90C1F" w:rsidP="00045230">
            <w:pPr>
              <w:rPr>
                <w:rStyle w:val="Strong"/>
              </w:rPr>
            </w:pPr>
            <w:r w:rsidRPr="00D90C1F">
              <w:rPr>
                <w:rStyle w:val="Strong"/>
              </w:rPr>
              <w:t>Annual expected revenue (exc. additionals)</w:t>
            </w:r>
          </w:p>
        </w:tc>
        <w:tc>
          <w:tcPr>
            <w:tcW w:w="1039"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rPr>
                <w:rStyle w:val="Strong"/>
              </w:rPr>
            </w:pPr>
            <w:r w:rsidRPr="00D90C1F">
              <w:rPr>
                <w:rStyle w:val="Strong"/>
              </w:rPr>
              <w:t>1137.7</w:t>
            </w:r>
          </w:p>
        </w:tc>
        <w:tc>
          <w:tcPr>
            <w:tcW w:w="1040" w:type="dxa"/>
            <w:noWrap/>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rPr>
                <w:rStyle w:val="Strong"/>
              </w:rPr>
            </w:pPr>
            <w:r w:rsidRPr="00D90C1F">
              <w:rPr>
                <w:rStyle w:val="Strong"/>
              </w:rPr>
              <w:t>1096.7</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rPr>
                <w:rStyle w:val="Strong"/>
              </w:rPr>
            </w:pPr>
            <w:r w:rsidRPr="00D90C1F">
              <w:rPr>
                <w:rStyle w:val="Strong"/>
              </w:rPr>
              <w:t>1282.1</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rPr>
                <w:rStyle w:val="Strong"/>
              </w:rPr>
            </w:pPr>
            <w:r w:rsidRPr="00D90C1F">
              <w:rPr>
                <w:rStyle w:val="Strong"/>
              </w:rPr>
              <w:t>1262.2</w:t>
            </w:r>
          </w:p>
        </w:tc>
        <w:tc>
          <w:tcPr>
            <w:tcW w:w="1039"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rPr>
                <w:rStyle w:val="Strong"/>
              </w:rPr>
            </w:pPr>
            <w:r w:rsidRPr="00D90C1F">
              <w:rPr>
                <w:rStyle w:val="Strong"/>
              </w:rPr>
              <w:t>1242.7</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rPr>
                <w:rStyle w:val="Strong"/>
              </w:rPr>
            </w:pPr>
            <w:r w:rsidRPr="00D90C1F">
              <w:rPr>
                <w:rStyle w:val="Strong"/>
              </w:rPr>
              <w:t>6021.5</w:t>
            </w:r>
          </w:p>
        </w:tc>
      </w:tr>
      <w:tr w:rsidR="00D90C1F" w:rsidRPr="00A75D48" w:rsidTr="00D0638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18" w:type="dxa"/>
            <w:noWrap/>
            <w:hideMark/>
          </w:tcPr>
          <w:p w:rsidR="00D90C1F" w:rsidRPr="00D90C1F" w:rsidRDefault="00D90C1F" w:rsidP="002B4CF4">
            <w:r w:rsidRPr="00D90C1F">
              <w:t>X factor</w:t>
            </w:r>
            <w:r w:rsidR="002B4CF4">
              <w:rPr>
                <w:rStyle w:val="AERsuperscript"/>
              </w:rPr>
              <w:t>b</w:t>
            </w:r>
          </w:p>
        </w:tc>
        <w:tc>
          <w:tcPr>
            <w:tcW w:w="1039"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36.63%</w:t>
            </w:r>
          </w:p>
        </w:tc>
        <w:tc>
          <w:tcPr>
            <w:tcW w:w="1040" w:type="dxa"/>
            <w:noWrap/>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6.00%</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t>–</w:t>
            </w:r>
            <w:r w:rsidRPr="00D90C1F">
              <w:t>14.00%</w:t>
            </w:r>
          </w:p>
        </w:tc>
        <w:tc>
          <w:tcPr>
            <w:tcW w:w="1040"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4.00%</w:t>
            </w:r>
          </w:p>
        </w:tc>
        <w:tc>
          <w:tcPr>
            <w:tcW w:w="1039" w:type="dxa"/>
          </w:tcPr>
          <w:p w:rsidR="00D90C1F" w:rsidRPr="00D90C1F" w:rsidRDefault="00D90C1F" w:rsidP="00D90C1F">
            <w:pPr>
              <w:cnfStyle w:val="000000010000" w:firstRow="0" w:lastRow="0" w:firstColumn="0" w:lastColumn="0" w:oddVBand="0" w:evenVBand="0" w:oddHBand="0" w:evenHBand="1" w:firstRowFirstColumn="0" w:firstRowLastColumn="0" w:lastRowFirstColumn="0" w:lastRowLastColumn="0"/>
            </w:pPr>
            <w:r w:rsidRPr="00D90C1F">
              <w:t>4.00%</w:t>
            </w:r>
          </w:p>
        </w:tc>
        <w:tc>
          <w:tcPr>
            <w:tcW w:w="1040" w:type="dxa"/>
          </w:tcPr>
          <w:p w:rsidR="00D90C1F" w:rsidRPr="00D90C1F" w:rsidRDefault="00D90C1F">
            <w:pPr>
              <w:cnfStyle w:val="000000010000" w:firstRow="0" w:lastRow="0" w:firstColumn="0" w:lastColumn="0" w:oddVBand="0" w:evenVBand="0" w:oddHBand="0" w:evenHBand="1" w:firstRowFirstColumn="0" w:firstRowLastColumn="0" w:lastRowFirstColumn="0" w:lastRowLastColumn="0"/>
            </w:pPr>
            <w:r w:rsidRPr="00D90C1F">
              <w:t>n/a</w:t>
            </w:r>
          </w:p>
        </w:tc>
      </w:tr>
      <w:tr w:rsidR="00D06388" w:rsidRPr="00A75D48" w:rsidTr="00D7577E">
        <w:trPr>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06388" w:rsidRPr="00D06388" w:rsidRDefault="00D06388" w:rsidP="00D06388">
            <w:r w:rsidRPr="00D06388">
              <w:t>Additional amounts in DUoS</w:t>
            </w:r>
            <w:r w:rsidRPr="00D06388">
              <w:rPr>
                <w:rStyle w:val="AERsuperscript"/>
              </w:rPr>
              <w:t>c</w:t>
            </w:r>
          </w:p>
        </w:tc>
        <w:tc>
          <w:tcPr>
            <w:tcW w:w="1039" w:type="dxa"/>
            <w:noWrap/>
            <w:vAlign w:val="bottom"/>
          </w:tcPr>
          <w:p w:rsidR="00D06388" w:rsidRPr="00D06388" w:rsidRDefault="00D06388" w:rsidP="00D06388">
            <w:pPr>
              <w:cnfStyle w:val="000000000000" w:firstRow="0" w:lastRow="0" w:firstColumn="0" w:lastColumn="0" w:oddVBand="0" w:evenVBand="0" w:oddHBand="0" w:evenHBand="0" w:firstRowFirstColumn="0" w:firstRowLastColumn="0" w:lastRowFirstColumn="0" w:lastRowLastColumn="0"/>
            </w:pPr>
            <w:r w:rsidRPr="00D06388">
              <w:t>424.3</w:t>
            </w:r>
          </w:p>
        </w:tc>
        <w:tc>
          <w:tcPr>
            <w:tcW w:w="1040" w:type="dxa"/>
            <w:noWrap/>
            <w:vAlign w:val="bottom"/>
          </w:tcPr>
          <w:p w:rsidR="00D06388" w:rsidRPr="00D06388" w:rsidRDefault="00D06388" w:rsidP="00D06388">
            <w:pPr>
              <w:cnfStyle w:val="000000000000" w:firstRow="0" w:lastRow="0" w:firstColumn="0" w:lastColumn="0" w:oddVBand="0" w:evenVBand="0" w:oddHBand="0" w:evenHBand="0" w:firstRowFirstColumn="0" w:firstRowLastColumn="0" w:lastRowFirstColumn="0" w:lastRowLastColumn="0"/>
            </w:pPr>
            <w:r w:rsidRPr="00D06388">
              <w:t>331.7</w:t>
            </w:r>
          </w:p>
        </w:tc>
        <w:tc>
          <w:tcPr>
            <w:tcW w:w="1039" w:type="dxa"/>
            <w:vAlign w:val="bottom"/>
          </w:tcPr>
          <w:p w:rsidR="00D06388" w:rsidRPr="00D06388" w:rsidRDefault="00D06388" w:rsidP="00D06388">
            <w:pPr>
              <w:cnfStyle w:val="000000000000" w:firstRow="0" w:lastRow="0" w:firstColumn="0" w:lastColumn="0" w:oddVBand="0" w:evenVBand="0" w:oddHBand="0" w:evenHBand="0" w:firstRowFirstColumn="0" w:firstRowLastColumn="0" w:lastRowFirstColumn="0" w:lastRowLastColumn="0"/>
            </w:pPr>
            <w:r w:rsidRPr="00D06388">
              <w:t>104.9</w:t>
            </w:r>
          </w:p>
        </w:tc>
        <w:tc>
          <w:tcPr>
            <w:tcW w:w="1040" w:type="dxa"/>
            <w:vAlign w:val="bottom"/>
          </w:tcPr>
          <w:p w:rsidR="00D06388" w:rsidRPr="00D06388" w:rsidRDefault="00D06388" w:rsidP="00D06388">
            <w:pPr>
              <w:cnfStyle w:val="000000000000" w:firstRow="0" w:lastRow="0" w:firstColumn="0" w:lastColumn="0" w:oddVBand="0" w:evenVBand="0" w:oddHBand="0" w:evenHBand="0" w:firstRowFirstColumn="0" w:firstRowLastColumn="0" w:lastRowFirstColumn="0" w:lastRowLastColumn="0"/>
            </w:pPr>
            <w:r w:rsidRPr="00D06388">
              <w:t>102.1</w:t>
            </w:r>
          </w:p>
        </w:tc>
        <w:tc>
          <w:tcPr>
            <w:tcW w:w="1039" w:type="dxa"/>
            <w:vAlign w:val="bottom"/>
          </w:tcPr>
          <w:p w:rsidR="00D06388" w:rsidRPr="00D06388" w:rsidRDefault="00D06388" w:rsidP="00D06388">
            <w:pPr>
              <w:cnfStyle w:val="000000000000" w:firstRow="0" w:lastRow="0" w:firstColumn="0" w:lastColumn="0" w:oddVBand="0" w:evenVBand="0" w:oddHBand="0" w:evenHBand="0" w:firstRowFirstColumn="0" w:firstRowLastColumn="0" w:lastRowFirstColumn="0" w:lastRowLastColumn="0"/>
            </w:pPr>
            <w:r w:rsidRPr="00D06388">
              <w:t>99.2</w:t>
            </w:r>
          </w:p>
        </w:tc>
        <w:tc>
          <w:tcPr>
            <w:tcW w:w="1040" w:type="dxa"/>
          </w:tcPr>
          <w:p w:rsidR="00D06388" w:rsidRPr="00D06388" w:rsidRDefault="00D06388" w:rsidP="00D06388">
            <w:pPr>
              <w:cnfStyle w:val="000000000000" w:firstRow="0" w:lastRow="0" w:firstColumn="0" w:lastColumn="0" w:oddVBand="0" w:evenVBand="0" w:oddHBand="0" w:evenHBand="0" w:firstRowFirstColumn="0" w:firstRowLastColumn="0" w:lastRowFirstColumn="0" w:lastRowLastColumn="0"/>
            </w:pPr>
            <w:r>
              <w:t>1062.2</w:t>
            </w:r>
          </w:p>
        </w:tc>
      </w:tr>
      <w:tr w:rsidR="00D06388" w:rsidRPr="00D90C1F" w:rsidTr="00D0638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06388" w:rsidRPr="00D06388" w:rsidRDefault="00D06388" w:rsidP="00D06388">
            <w:pPr>
              <w:rPr>
                <w:rStyle w:val="Strong"/>
              </w:rPr>
            </w:pPr>
            <w:r w:rsidRPr="00D06388">
              <w:rPr>
                <w:rStyle w:val="Strong"/>
              </w:rPr>
              <w:t xml:space="preserve">Annual expected revenue </w:t>
            </w:r>
            <w:r w:rsidRPr="00D06388">
              <w:rPr>
                <w:rStyle w:val="Strong"/>
              </w:rPr>
              <w:br/>
              <w:t>(smoothed – inc. additionals)</w:t>
            </w:r>
          </w:p>
        </w:tc>
        <w:tc>
          <w:tcPr>
            <w:tcW w:w="1039" w:type="dxa"/>
            <w:noWrap/>
          </w:tcPr>
          <w:p w:rsidR="00D06388" w:rsidRPr="00D06388" w:rsidRDefault="00D06388" w:rsidP="00D06388">
            <w:pPr>
              <w:cnfStyle w:val="000000010000" w:firstRow="0" w:lastRow="0" w:firstColumn="0" w:lastColumn="0" w:oddVBand="0" w:evenVBand="0" w:oddHBand="0" w:evenHBand="1" w:firstRowFirstColumn="0" w:firstRowLastColumn="0" w:lastRowFirstColumn="0" w:lastRowLastColumn="0"/>
              <w:rPr>
                <w:rStyle w:val="Strong"/>
              </w:rPr>
            </w:pPr>
            <w:r w:rsidRPr="00D06388">
              <w:rPr>
                <w:rStyle w:val="Strong"/>
              </w:rPr>
              <w:t>1562.0</w:t>
            </w:r>
          </w:p>
        </w:tc>
        <w:tc>
          <w:tcPr>
            <w:tcW w:w="1040" w:type="dxa"/>
            <w:noWrap/>
          </w:tcPr>
          <w:p w:rsidR="00D06388" w:rsidRPr="00D06388" w:rsidRDefault="00D06388" w:rsidP="00D06388">
            <w:pPr>
              <w:cnfStyle w:val="000000010000" w:firstRow="0" w:lastRow="0" w:firstColumn="0" w:lastColumn="0" w:oddVBand="0" w:evenVBand="0" w:oddHBand="0" w:evenHBand="1" w:firstRowFirstColumn="0" w:firstRowLastColumn="0" w:lastRowFirstColumn="0" w:lastRowLastColumn="0"/>
              <w:rPr>
                <w:rStyle w:val="Strong"/>
              </w:rPr>
            </w:pPr>
            <w:r w:rsidRPr="00D06388">
              <w:rPr>
                <w:rStyle w:val="Strong"/>
              </w:rPr>
              <w:t>1428.4</w:t>
            </w:r>
          </w:p>
        </w:tc>
        <w:tc>
          <w:tcPr>
            <w:tcW w:w="1039" w:type="dxa"/>
          </w:tcPr>
          <w:p w:rsidR="00D06388" w:rsidRPr="00D06388" w:rsidRDefault="00D06388" w:rsidP="00D06388">
            <w:pPr>
              <w:cnfStyle w:val="000000010000" w:firstRow="0" w:lastRow="0" w:firstColumn="0" w:lastColumn="0" w:oddVBand="0" w:evenVBand="0" w:oddHBand="0" w:evenHBand="1" w:firstRowFirstColumn="0" w:firstRowLastColumn="0" w:lastRowFirstColumn="0" w:lastRowLastColumn="0"/>
              <w:rPr>
                <w:rStyle w:val="Strong"/>
              </w:rPr>
            </w:pPr>
            <w:r w:rsidRPr="00D06388">
              <w:rPr>
                <w:rStyle w:val="Strong"/>
              </w:rPr>
              <w:t>1387.0</w:t>
            </w:r>
          </w:p>
        </w:tc>
        <w:tc>
          <w:tcPr>
            <w:tcW w:w="1040" w:type="dxa"/>
          </w:tcPr>
          <w:p w:rsidR="00D06388" w:rsidRPr="00D06388" w:rsidRDefault="00D06388" w:rsidP="00D06388">
            <w:pPr>
              <w:cnfStyle w:val="000000010000" w:firstRow="0" w:lastRow="0" w:firstColumn="0" w:lastColumn="0" w:oddVBand="0" w:evenVBand="0" w:oddHBand="0" w:evenHBand="1" w:firstRowFirstColumn="0" w:firstRowLastColumn="0" w:lastRowFirstColumn="0" w:lastRowLastColumn="0"/>
              <w:rPr>
                <w:rStyle w:val="Strong"/>
              </w:rPr>
            </w:pPr>
            <w:r w:rsidRPr="00D06388">
              <w:rPr>
                <w:rStyle w:val="Strong"/>
              </w:rPr>
              <w:t>1364.3</w:t>
            </w:r>
          </w:p>
        </w:tc>
        <w:tc>
          <w:tcPr>
            <w:tcW w:w="1039" w:type="dxa"/>
          </w:tcPr>
          <w:p w:rsidR="00D06388" w:rsidRPr="00D06388" w:rsidRDefault="00D06388" w:rsidP="00D06388">
            <w:pPr>
              <w:cnfStyle w:val="000000010000" w:firstRow="0" w:lastRow="0" w:firstColumn="0" w:lastColumn="0" w:oddVBand="0" w:evenVBand="0" w:oddHBand="0" w:evenHBand="1" w:firstRowFirstColumn="0" w:firstRowLastColumn="0" w:lastRowFirstColumn="0" w:lastRowLastColumn="0"/>
              <w:rPr>
                <w:rStyle w:val="Strong"/>
              </w:rPr>
            </w:pPr>
            <w:r w:rsidRPr="00D06388">
              <w:rPr>
                <w:rStyle w:val="Strong"/>
              </w:rPr>
              <w:t>1341.9</w:t>
            </w:r>
          </w:p>
        </w:tc>
        <w:tc>
          <w:tcPr>
            <w:tcW w:w="1040" w:type="dxa"/>
          </w:tcPr>
          <w:p w:rsidR="00D06388" w:rsidRPr="00D06388" w:rsidRDefault="00D06388" w:rsidP="00D06388">
            <w:pPr>
              <w:cnfStyle w:val="000000010000" w:firstRow="0" w:lastRow="0" w:firstColumn="0" w:lastColumn="0" w:oddVBand="0" w:evenVBand="0" w:oddHBand="0" w:evenHBand="1" w:firstRowFirstColumn="0" w:firstRowLastColumn="0" w:lastRowFirstColumn="0" w:lastRowLastColumn="0"/>
              <w:rPr>
                <w:rStyle w:val="Strong"/>
              </w:rPr>
            </w:pPr>
            <w:r w:rsidRPr="00D06388">
              <w:rPr>
                <w:rStyle w:val="Strong"/>
              </w:rPr>
              <w:t>7083.7</w:t>
            </w:r>
          </w:p>
        </w:tc>
      </w:tr>
      <w:tr w:rsidR="00D90C1F" w:rsidRPr="00A75D48" w:rsidTr="00D06388">
        <w:trPr>
          <w:trHeight w:val="190"/>
        </w:trPr>
        <w:tc>
          <w:tcPr>
            <w:cnfStyle w:val="001000000000" w:firstRow="0" w:lastRow="0" w:firstColumn="1" w:lastColumn="0" w:oddVBand="0" w:evenVBand="0" w:oddHBand="0" w:evenHBand="0" w:firstRowFirstColumn="0" w:firstRowLastColumn="0" w:lastRowFirstColumn="0" w:lastRowLastColumn="0"/>
            <w:tcW w:w="2518" w:type="dxa"/>
            <w:noWrap/>
          </w:tcPr>
          <w:p w:rsidR="00D90C1F" w:rsidRPr="00D90C1F" w:rsidRDefault="00D90C1F" w:rsidP="00D90C1F">
            <w:r w:rsidRPr="00D90C1F">
              <w:t>Annual change in revenue – inc. additionals</w:t>
            </w:r>
          </w:p>
        </w:tc>
        <w:tc>
          <w:tcPr>
            <w:tcW w:w="1039" w:type="dxa"/>
            <w:noWrap/>
          </w:tcPr>
          <w:p w:rsidR="00D90C1F" w:rsidRPr="00D90C1F" w:rsidRDefault="002B4CF4" w:rsidP="002B4CF4">
            <w:pPr>
              <w:cnfStyle w:val="000000000000" w:firstRow="0" w:lastRow="0" w:firstColumn="0" w:lastColumn="0" w:oddVBand="0" w:evenVBand="0" w:oddHBand="0" w:evenHBand="0" w:firstRowFirstColumn="0" w:firstRowLastColumn="0" w:lastRowFirstColumn="0" w:lastRowLastColumn="0"/>
            </w:pPr>
            <w:r>
              <w:t>–10.8</w:t>
            </w:r>
            <w:r w:rsidR="00D90C1F" w:rsidRPr="00D90C1F">
              <w:t>%</w:t>
            </w:r>
          </w:p>
        </w:tc>
        <w:tc>
          <w:tcPr>
            <w:tcW w:w="1040" w:type="dxa"/>
            <w:noWrap/>
          </w:tcPr>
          <w:p w:rsidR="00D90C1F" w:rsidRPr="00D90C1F" w:rsidRDefault="00D90C1F" w:rsidP="002B4CF4">
            <w:pPr>
              <w:cnfStyle w:val="000000000000" w:firstRow="0" w:lastRow="0" w:firstColumn="0" w:lastColumn="0" w:oddVBand="0" w:evenVBand="0" w:oddHBand="0" w:evenHBand="0" w:firstRowFirstColumn="0" w:firstRowLastColumn="0" w:lastRowFirstColumn="0" w:lastRowLastColumn="0"/>
            </w:pPr>
            <w:r w:rsidRPr="00D90C1F">
              <w:t>–8.</w:t>
            </w:r>
            <w:r w:rsidR="002B4CF4">
              <w:t>6</w:t>
            </w:r>
            <w:r w:rsidRPr="00D90C1F">
              <w:t>%</w:t>
            </w:r>
          </w:p>
        </w:tc>
        <w:tc>
          <w:tcPr>
            <w:tcW w:w="1039" w:type="dxa"/>
          </w:tcPr>
          <w:p w:rsidR="00D90C1F" w:rsidRPr="00D90C1F" w:rsidRDefault="00D90C1F" w:rsidP="002B4CF4">
            <w:pPr>
              <w:cnfStyle w:val="000000000000" w:firstRow="0" w:lastRow="0" w:firstColumn="0" w:lastColumn="0" w:oddVBand="0" w:evenVBand="0" w:oddHBand="0" w:evenHBand="0" w:firstRowFirstColumn="0" w:firstRowLastColumn="0" w:lastRowFirstColumn="0" w:lastRowLastColumn="0"/>
            </w:pPr>
            <w:r w:rsidRPr="00D90C1F">
              <w:t>–2.9%</w:t>
            </w:r>
          </w:p>
        </w:tc>
        <w:tc>
          <w:tcPr>
            <w:tcW w:w="1040" w:type="dxa"/>
          </w:tcPr>
          <w:p w:rsidR="00D90C1F" w:rsidRPr="00D90C1F" w:rsidRDefault="00D90C1F" w:rsidP="002B4CF4">
            <w:pPr>
              <w:cnfStyle w:val="000000000000" w:firstRow="0" w:lastRow="0" w:firstColumn="0" w:lastColumn="0" w:oddVBand="0" w:evenVBand="0" w:oddHBand="0" w:evenHBand="0" w:firstRowFirstColumn="0" w:firstRowLastColumn="0" w:lastRowFirstColumn="0" w:lastRowLastColumn="0"/>
            </w:pPr>
            <w:r w:rsidRPr="00D90C1F">
              <w:t>–1.6%</w:t>
            </w:r>
          </w:p>
        </w:tc>
        <w:tc>
          <w:tcPr>
            <w:tcW w:w="1039" w:type="dxa"/>
          </w:tcPr>
          <w:p w:rsidR="00D90C1F" w:rsidRPr="00D90C1F" w:rsidRDefault="00D90C1F" w:rsidP="002B4CF4">
            <w:pPr>
              <w:cnfStyle w:val="000000000000" w:firstRow="0" w:lastRow="0" w:firstColumn="0" w:lastColumn="0" w:oddVBand="0" w:evenVBand="0" w:oddHBand="0" w:evenHBand="0" w:firstRowFirstColumn="0" w:firstRowLastColumn="0" w:lastRowFirstColumn="0" w:lastRowLastColumn="0"/>
            </w:pPr>
            <w:r w:rsidRPr="00D90C1F">
              <w:t>–1.6%</w:t>
            </w:r>
          </w:p>
        </w:tc>
        <w:tc>
          <w:tcPr>
            <w:tcW w:w="1040" w:type="dxa"/>
          </w:tcPr>
          <w:p w:rsidR="00D90C1F" w:rsidRPr="00D90C1F" w:rsidRDefault="00D90C1F" w:rsidP="00D90C1F">
            <w:pPr>
              <w:cnfStyle w:val="000000000000" w:firstRow="0" w:lastRow="0" w:firstColumn="0" w:lastColumn="0" w:oddVBand="0" w:evenVBand="0" w:oddHBand="0" w:evenHBand="0" w:firstRowFirstColumn="0" w:firstRowLastColumn="0" w:lastRowFirstColumn="0" w:lastRowLastColumn="0"/>
            </w:pPr>
            <w:r w:rsidRPr="00D90C1F">
              <w:t>n/a</w:t>
            </w:r>
          </w:p>
        </w:tc>
      </w:tr>
    </w:tbl>
    <w:p w:rsidR="00A75D48" w:rsidRPr="00A75D48" w:rsidRDefault="00A75D48" w:rsidP="00A75D48">
      <w:pPr>
        <w:pStyle w:val="AERtablesource"/>
      </w:pPr>
      <w:r w:rsidRPr="00A75D48">
        <w:t xml:space="preserve">Source: </w:t>
      </w:r>
      <w:r w:rsidRPr="00A75D48">
        <w:tab/>
        <w:t xml:space="preserve">AER analysis. </w:t>
      </w:r>
    </w:p>
    <w:p w:rsidR="00C8593B" w:rsidRDefault="00795740" w:rsidP="00B173ED">
      <w:pPr>
        <w:pStyle w:val="AERtablesource"/>
      </w:pPr>
      <w:r w:rsidRPr="00A75D48" w:rsidDel="00795740">
        <w:lastRenderedPageBreak/>
        <w:t xml:space="preserve"> </w:t>
      </w:r>
      <w:r w:rsidR="00A84E4A">
        <w:t>(</w:t>
      </w:r>
      <w:r>
        <w:t>a</w:t>
      </w:r>
      <w:r w:rsidR="00A75D48" w:rsidRPr="00A75D48">
        <w:t>)</w:t>
      </w:r>
      <w:r w:rsidR="00A75D48" w:rsidRPr="00A75D48">
        <w:tab/>
      </w:r>
      <w:r w:rsidR="00C8593B">
        <w:t>Revenue adjustments include efficiency benefit sharing scheme carry-overs, forecast DMIA and DUoS under recoveries.</w:t>
      </w:r>
    </w:p>
    <w:p w:rsidR="00BF2F5F" w:rsidRDefault="00C8593B" w:rsidP="00B173ED">
      <w:pPr>
        <w:pStyle w:val="AERtablesource"/>
      </w:pPr>
      <w:r>
        <w:t>(b)</w:t>
      </w:r>
      <w:r>
        <w:tab/>
      </w:r>
      <w:r w:rsidR="00A75D48" w:rsidRPr="00A75D48">
        <w:t>The X factor</w:t>
      </w:r>
      <w:r w:rsidR="00795740">
        <w:t>s</w:t>
      </w:r>
      <w:r w:rsidR="00A75D48" w:rsidRPr="00A75D48">
        <w:t xml:space="preserve"> </w:t>
      </w:r>
      <w:r w:rsidR="00795740">
        <w:t xml:space="preserve">from 2016–17 to 2019–20 </w:t>
      </w:r>
      <w:r w:rsidR="00A75D48" w:rsidRPr="00A75D48">
        <w:t>will be revised to reflect the annual return on debt update.</w:t>
      </w:r>
      <w:r w:rsidRPr="00A351D6">
        <w:t xml:space="preserve"> </w:t>
      </w:r>
      <w:r>
        <w:t>Under the CPI–X framework, the X factor measures the real rate of change in annual expected revenue from one year to the next. A negative X factor represents a real increase in revenue. Conversely, a positive X factor represents a real decrease in revenue.</w:t>
      </w:r>
      <w:r w:rsidR="00BF2F5F">
        <w:t xml:space="preserve"> </w:t>
      </w:r>
    </w:p>
    <w:p w:rsidR="00DE563D" w:rsidRDefault="00BF2F5F" w:rsidP="00BF2F5F">
      <w:pPr>
        <w:pStyle w:val="AERtablesource"/>
      </w:pPr>
      <w:r>
        <w:t>(c)</w:t>
      </w:r>
      <w:r>
        <w:tab/>
        <w:t>Additional amounts in DUoS include s</w:t>
      </w:r>
      <w:r w:rsidRPr="00355EBC">
        <w:t>olar bonus scheme forecasts (jurisdictional scheme</w:t>
      </w:r>
      <w:r>
        <w:t xml:space="preserve"> obligation for FiT) for 2015–20, e</w:t>
      </w:r>
      <w:r w:rsidRPr="00355EBC">
        <w:t>stimated solar bonus scheme pass throughs for 2015–16 and 2016–</w:t>
      </w:r>
      <w:r>
        <w:t>1</w:t>
      </w:r>
      <w:r w:rsidRPr="00355EBC">
        <w:t>7 relating to under-recoveries in 2013–14 and 2014–15</w:t>
      </w:r>
      <w:r>
        <w:t>,</w:t>
      </w:r>
      <w:r w:rsidRPr="00BF2F5F">
        <w:t xml:space="preserve"> </w:t>
      </w:r>
      <w:r>
        <w:t>e</w:t>
      </w:r>
      <w:r w:rsidRPr="00BF2F5F">
        <w:t>stimated DUoS under recovery for 2013–14</w:t>
      </w:r>
      <w:r>
        <w:t>, t</w:t>
      </w:r>
      <w:r w:rsidRPr="00BF2F5F">
        <w:t xml:space="preserve">ransitional capital contribution </w:t>
      </w:r>
      <w:r>
        <w:t xml:space="preserve">and shared assets </w:t>
      </w:r>
      <w:r w:rsidRPr="00BF2F5F">
        <w:t>under/over recovery from 2010–15</w:t>
      </w:r>
      <w:r>
        <w:t xml:space="preserve">, </w:t>
      </w:r>
      <w:r w:rsidRPr="00BF2F5F">
        <w:t>STPIS allowance from 2010–15</w:t>
      </w:r>
      <w:r>
        <w:t xml:space="preserve"> and </w:t>
      </w:r>
      <w:r w:rsidRPr="00BF2F5F">
        <w:t>DMIA over recovery from 2010–15</w:t>
      </w:r>
      <w:r>
        <w:t>.</w:t>
      </w:r>
    </w:p>
    <w:p w:rsidR="00DE563D" w:rsidRPr="00496A7C" w:rsidRDefault="001201F1" w:rsidP="00496A7C">
      <w:pPr>
        <w:pStyle w:val="Heading2"/>
      </w:pPr>
      <w:bookmarkStart w:id="15" w:name="_Toc403144137"/>
      <w:bookmarkStart w:id="16" w:name="_Toc417565187"/>
      <w:r w:rsidRPr="00496A7C">
        <w:t>E</w:t>
      </w:r>
      <w:r w:rsidR="00E57429" w:rsidRPr="00496A7C">
        <w:t>rgon Energy's</w:t>
      </w:r>
      <w:r w:rsidR="00DE563D" w:rsidRPr="00496A7C">
        <w:t xml:space="preserve"> proposal</w:t>
      </w:r>
      <w:bookmarkEnd w:id="15"/>
      <w:bookmarkEnd w:id="16"/>
    </w:p>
    <w:p w:rsidR="00DE563D" w:rsidRDefault="00A75D48" w:rsidP="00DE563D">
      <w:r>
        <w:t>Ergon Energy proposed total</w:t>
      </w:r>
      <w:r w:rsidR="00045230">
        <w:t xml:space="preserve"> expected</w:t>
      </w:r>
      <w:r>
        <w:t xml:space="preserve"> revenue </w:t>
      </w:r>
      <w:r w:rsidR="00033E05">
        <w:t xml:space="preserve">(excluding additionals) </w:t>
      </w:r>
      <w:r>
        <w:t>of $</w:t>
      </w:r>
      <w:r w:rsidR="005E391D">
        <w:t>8241.7</w:t>
      </w:r>
      <w:r>
        <w:t xml:space="preserve"> million ($ nominal)</w:t>
      </w:r>
      <w:r w:rsidR="00BC5D56">
        <w:t xml:space="preserve"> for the 2015–20 regulatory control period</w:t>
      </w:r>
      <w:r>
        <w:t xml:space="preserve">. </w:t>
      </w:r>
      <w:r>
        <w:fldChar w:fldCharType="begin"/>
      </w:r>
      <w:r>
        <w:instrText xml:space="preserve"> REF _Ref401571489 \h </w:instrText>
      </w:r>
      <w:r>
        <w:fldChar w:fldCharType="separate"/>
      </w:r>
      <w:r w:rsidR="002B4CF4">
        <w:t xml:space="preserve">Table </w:t>
      </w:r>
      <w:r w:rsidR="002B4CF4">
        <w:rPr>
          <w:noProof/>
        </w:rPr>
        <w:t>1</w:t>
      </w:r>
      <w:r w:rsidR="002B4CF4">
        <w:t>.</w:t>
      </w:r>
      <w:r w:rsidR="002B4CF4">
        <w:rPr>
          <w:noProof/>
        </w:rPr>
        <w:t>2</w:t>
      </w:r>
      <w:r>
        <w:fldChar w:fldCharType="end"/>
      </w:r>
      <w:r>
        <w:t xml:space="preserve"> show</w:t>
      </w:r>
      <w:r w:rsidR="005E391D">
        <w:t>s</w:t>
      </w:r>
      <w:r>
        <w:t xml:space="preserve"> </w:t>
      </w:r>
      <w:r w:rsidR="00BA40E1">
        <w:t>Ergon Energy's</w:t>
      </w:r>
      <w:r>
        <w:t xml:space="preserve"> proposed building block costs</w:t>
      </w:r>
      <w:r w:rsidR="003A41F3">
        <w:t>,</w:t>
      </w:r>
      <w:r>
        <w:t xml:space="preserve"> </w:t>
      </w:r>
      <w:r w:rsidR="003A41F3">
        <w:t>the</w:t>
      </w:r>
      <w:r>
        <w:t xml:space="preserve"> ARR</w:t>
      </w:r>
      <w:r w:rsidR="003A41F3">
        <w:t>,</w:t>
      </w:r>
      <w:r>
        <w:t xml:space="preserve"> expected revenue</w:t>
      </w:r>
      <w:r w:rsidR="003A41F3">
        <w:t xml:space="preserve"> and X factor</w:t>
      </w:r>
      <w:r>
        <w:t xml:space="preserve"> for each year of the 201</w:t>
      </w:r>
      <w:r w:rsidR="00BA40E1">
        <w:t>5–20</w:t>
      </w:r>
      <w:r>
        <w:t xml:space="preserve"> </w:t>
      </w:r>
      <w:r w:rsidR="00BC5D56">
        <w:t xml:space="preserve">regulatory control </w:t>
      </w:r>
      <w:r>
        <w:t>period.</w:t>
      </w:r>
    </w:p>
    <w:p w:rsidR="00EB10DA" w:rsidRDefault="00EB10DA" w:rsidP="00EB10DA">
      <w:pPr>
        <w:pStyle w:val="Caption"/>
      </w:pPr>
      <w:bookmarkStart w:id="17" w:name="_Ref401571489"/>
      <w:r>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Table \* ARABIC \s 1 </w:instrText>
      </w:r>
      <w:r w:rsidR="00F55BC8">
        <w:fldChar w:fldCharType="separate"/>
      </w:r>
      <w:r w:rsidR="002B4CF4">
        <w:rPr>
          <w:noProof/>
        </w:rPr>
        <w:t>2</w:t>
      </w:r>
      <w:r w:rsidR="00F55BC8">
        <w:rPr>
          <w:noProof/>
        </w:rPr>
        <w:fldChar w:fldCharType="end"/>
      </w:r>
      <w:bookmarkEnd w:id="17"/>
      <w:r>
        <w:tab/>
      </w:r>
      <w:r w:rsidR="00DD3B86">
        <w:t xml:space="preserve">Ergon Energy's </w:t>
      </w:r>
      <w:r>
        <w:t>proposed revenues for the 201</w:t>
      </w:r>
      <w:r w:rsidR="00BA40E1">
        <w:t>5–20</w:t>
      </w:r>
      <w:r>
        <w:t xml:space="preserve"> </w:t>
      </w:r>
      <w:r w:rsidR="00BC5D56">
        <w:t xml:space="preserve">regulatory control </w:t>
      </w:r>
      <w:r>
        <w:t xml:space="preserve">period ($million, nominal) </w:t>
      </w:r>
    </w:p>
    <w:tbl>
      <w:tblPr>
        <w:tblStyle w:val="AERtable-numbers"/>
        <w:tblW w:w="8755" w:type="dxa"/>
        <w:tblLayout w:type="fixed"/>
        <w:tblLook w:val="04A0" w:firstRow="1" w:lastRow="0" w:firstColumn="1" w:lastColumn="0" w:noHBand="0" w:noVBand="1"/>
      </w:tblPr>
      <w:tblGrid>
        <w:gridCol w:w="2802"/>
        <w:gridCol w:w="992"/>
        <w:gridCol w:w="992"/>
        <w:gridCol w:w="992"/>
        <w:gridCol w:w="992"/>
        <w:gridCol w:w="992"/>
        <w:gridCol w:w="993"/>
      </w:tblGrid>
      <w:tr w:rsidR="00BC5D56" w:rsidRPr="00356B64" w:rsidTr="00033E05">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02" w:type="dxa"/>
            <w:noWrap/>
            <w:hideMark/>
          </w:tcPr>
          <w:p w:rsidR="00EB10DA" w:rsidRPr="00EB10DA" w:rsidRDefault="00EB10DA" w:rsidP="00EB10DA">
            <w:r w:rsidRPr="00EB10DA">
              <w:t> </w:t>
            </w:r>
          </w:p>
        </w:tc>
        <w:tc>
          <w:tcPr>
            <w:tcW w:w="992" w:type="dxa"/>
            <w:noWrap/>
            <w:hideMark/>
          </w:tcPr>
          <w:p w:rsidR="00EB10DA" w:rsidRPr="00EB10DA" w:rsidRDefault="00EB10DA" w:rsidP="005E391D">
            <w:pPr>
              <w:cnfStyle w:val="100000000000" w:firstRow="1" w:lastRow="0" w:firstColumn="0" w:lastColumn="0" w:oddVBand="0" w:evenVBand="0" w:oddHBand="0" w:evenHBand="0" w:firstRowFirstColumn="0" w:firstRowLastColumn="0" w:lastRowFirstColumn="0" w:lastRowLastColumn="0"/>
            </w:pPr>
            <w:r w:rsidRPr="00EB10DA">
              <w:t>201</w:t>
            </w:r>
            <w:r w:rsidR="005E391D">
              <w:t>5</w:t>
            </w:r>
            <w:r w:rsidRPr="00EB10DA">
              <w:t>–1</w:t>
            </w:r>
            <w:r w:rsidR="005E391D">
              <w:t>6</w:t>
            </w:r>
          </w:p>
        </w:tc>
        <w:tc>
          <w:tcPr>
            <w:tcW w:w="992" w:type="dxa"/>
            <w:noWrap/>
            <w:hideMark/>
          </w:tcPr>
          <w:p w:rsidR="00EB10DA" w:rsidRPr="00EB10DA" w:rsidRDefault="00EB10DA" w:rsidP="005E391D">
            <w:pPr>
              <w:cnfStyle w:val="100000000000" w:firstRow="1" w:lastRow="0" w:firstColumn="0" w:lastColumn="0" w:oddVBand="0" w:evenVBand="0" w:oddHBand="0" w:evenHBand="0" w:firstRowFirstColumn="0" w:firstRowLastColumn="0" w:lastRowFirstColumn="0" w:lastRowLastColumn="0"/>
            </w:pPr>
            <w:r w:rsidRPr="00EB10DA">
              <w:t>201</w:t>
            </w:r>
            <w:r w:rsidR="005E391D">
              <w:t>6</w:t>
            </w:r>
            <w:r w:rsidRPr="00EB10DA">
              <w:t>–1</w:t>
            </w:r>
            <w:r w:rsidR="005E391D">
              <w:t>7</w:t>
            </w:r>
          </w:p>
        </w:tc>
        <w:tc>
          <w:tcPr>
            <w:tcW w:w="992" w:type="dxa"/>
          </w:tcPr>
          <w:p w:rsidR="00EB10DA" w:rsidRPr="00EB10DA" w:rsidRDefault="00EB10DA" w:rsidP="005E391D">
            <w:pPr>
              <w:cnfStyle w:val="100000000000" w:firstRow="1" w:lastRow="0" w:firstColumn="0" w:lastColumn="0" w:oddVBand="0" w:evenVBand="0" w:oddHBand="0" w:evenHBand="0" w:firstRowFirstColumn="0" w:firstRowLastColumn="0" w:lastRowFirstColumn="0" w:lastRowLastColumn="0"/>
            </w:pPr>
            <w:r w:rsidRPr="00EB10DA">
              <w:t>201</w:t>
            </w:r>
            <w:r w:rsidR="005E391D">
              <w:t>7</w:t>
            </w:r>
            <w:r w:rsidRPr="00EB10DA">
              <w:t>–1</w:t>
            </w:r>
            <w:r w:rsidR="005E391D">
              <w:t>8</w:t>
            </w:r>
          </w:p>
        </w:tc>
        <w:tc>
          <w:tcPr>
            <w:tcW w:w="992" w:type="dxa"/>
          </w:tcPr>
          <w:p w:rsidR="00EB10DA" w:rsidRPr="00EB10DA" w:rsidRDefault="00EB10DA" w:rsidP="005E391D">
            <w:pPr>
              <w:cnfStyle w:val="100000000000" w:firstRow="1" w:lastRow="0" w:firstColumn="0" w:lastColumn="0" w:oddVBand="0" w:evenVBand="0" w:oddHBand="0" w:evenHBand="0" w:firstRowFirstColumn="0" w:firstRowLastColumn="0" w:lastRowFirstColumn="0" w:lastRowLastColumn="0"/>
            </w:pPr>
            <w:r w:rsidRPr="00EB10DA">
              <w:t>201</w:t>
            </w:r>
            <w:r w:rsidR="005E391D">
              <w:t>8</w:t>
            </w:r>
            <w:r w:rsidRPr="00EB10DA">
              <w:t>–1</w:t>
            </w:r>
            <w:r w:rsidR="005E391D">
              <w:t>9</w:t>
            </w:r>
          </w:p>
        </w:tc>
        <w:tc>
          <w:tcPr>
            <w:tcW w:w="992" w:type="dxa"/>
          </w:tcPr>
          <w:p w:rsidR="00EB10DA" w:rsidRPr="00EB10DA" w:rsidRDefault="00EB10DA" w:rsidP="005E391D">
            <w:pPr>
              <w:cnfStyle w:val="100000000000" w:firstRow="1" w:lastRow="0" w:firstColumn="0" w:lastColumn="0" w:oddVBand="0" w:evenVBand="0" w:oddHBand="0" w:evenHBand="0" w:firstRowFirstColumn="0" w:firstRowLastColumn="0" w:lastRowFirstColumn="0" w:lastRowLastColumn="0"/>
            </w:pPr>
            <w:r w:rsidRPr="00EB10DA">
              <w:t>201</w:t>
            </w:r>
            <w:r w:rsidR="005E391D">
              <w:t>9</w:t>
            </w:r>
            <w:r w:rsidRPr="00EB10DA">
              <w:t>–</w:t>
            </w:r>
            <w:r w:rsidR="005E391D">
              <w:t>20</w:t>
            </w:r>
          </w:p>
        </w:tc>
        <w:tc>
          <w:tcPr>
            <w:tcW w:w="993" w:type="dxa"/>
          </w:tcPr>
          <w:p w:rsidR="00EB10DA" w:rsidRPr="00EB10DA" w:rsidRDefault="00EB10DA" w:rsidP="00EB10DA">
            <w:pPr>
              <w:cnfStyle w:val="100000000000" w:firstRow="1" w:lastRow="0" w:firstColumn="0" w:lastColumn="0" w:oddVBand="0" w:evenVBand="0" w:oddHBand="0" w:evenHBand="0" w:firstRowFirstColumn="0" w:firstRowLastColumn="0" w:lastRowFirstColumn="0" w:lastRowLastColumn="0"/>
            </w:pPr>
            <w:r w:rsidRPr="00EB10DA">
              <w:t>Total</w:t>
            </w:r>
          </w:p>
        </w:tc>
      </w:tr>
      <w:tr w:rsidR="00BC5D56" w:rsidRPr="00356B64" w:rsidTr="00033E05">
        <w:trPr>
          <w:trHeight w:val="190"/>
        </w:trPr>
        <w:tc>
          <w:tcPr>
            <w:cnfStyle w:val="001000000000" w:firstRow="0" w:lastRow="0" w:firstColumn="1" w:lastColumn="0" w:oddVBand="0" w:evenVBand="0" w:oddHBand="0" w:evenHBand="0" w:firstRowFirstColumn="0" w:firstRowLastColumn="0" w:lastRowFirstColumn="0" w:lastRowLastColumn="0"/>
            <w:tcW w:w="2802" w:type="dxa"/>
            <w:noWrap/>
            <w:hideMark/>
          </w:tcPr>
          <w:p w:rsidR="00C21C2F" w:rsidRPr="00C21C2F" w:rsidRDefault="00C21C2F" w:rsidP="00C21C2F">
            <w:r w:rsidRPr="00C21C2F">
              <w:t>Return on capital</w:t>
            </w:r>
          </w:p>
        </w:tc>
        <w:tc>
          <w:tcPr>
            <w:tcW w:w="992" w:type="dxa"/>
            <w:noWrap/>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804.9</w:t>
            </w:r>
          </w:p>
        </w:tc>
        <w:tc>
          <w:tcPr>
            <w:tcW w:w="992" w:type="dxa"/>
            <w:noWrap/>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853.8</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900.</w:t>
            </w:r>
            <w:r w:rsidR="005E391D">
              <w:t>5</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941.7</w:t>
            </w:r>
          </w:p>
        </w:tc>
        <w:tc>
          <w:tcPr>
            <w:tcW w:w="992" w:type="dxa"/>
          </w:tcPr>
          <w:p w:rsidR="00C21C2F" w:rsidRPr="00C21C2F" w:rsidRDefault="005E391D" w:rsidP="005E391D">
            <w:pPr>
              <w:cnfStyle w:val="000000000000" w:firstRow="0" w:lastRow="0" w:firstColumn="0" w:lastColumn="0" w:oddVBand="0" w:evenVBand="0" w:oddHBand="0" w:evenHBand="0" w:firstRowFirstColumn="0" w:firstRowLastColumn="0" w:lastRowFirstColumn="0" w:lastRowLastColumn="0"/>
            </w:pPr>
            <w:r>
              <w:t>986.9</w:t>
            </w:r>
          </w:p>
        </w:tc>
        <w:tc>
          <w:tcPr>
            <w:tcW w:w="993" w:type="dxa"/>
          </w:tcPr>
          <w:p w:rsidR="00C21C2F" w:rsidRPr="00C21C2F" w:rsidRDefault="005E391D" w:rsidP="005E391D">
            <w:pPr>
              <w:cnfStyle w:val="000000000000" w:firstRow="0" w:lastRow="0" w:firstColumn="0" w:lastColumn="0" w:oddVBand="0" w:evenVBand="0" w:oddHBand="0" w:evenHBand="0" w:firstRowFirstColumn="0" w:firstRowLastColumn="0" w:lastRowFirstColumn="0" w:lastRowLastColumn="0"/>
            </w:pPr>
            <w:r>
              <w:t>4487.</w:t>
            </w:r>
            <w:r w:rsidR="00D7577E">
              <w:t>8</w:t>
            </w:r>
          </w:p>
        </w:tc>
      </w:tr>
      <w:tr w:rsidR="00BC5D56" w:rsidRPr="00356B64" w:rsidTr="00033E0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C21C2F" w:rsidRPr="00C21C2F" w:rsidRDefault="00C21C2F" w:rsidP="00C21C2F">
            <w:r w:rsidRPr="00C21C2F">
              <w:t>Regulatory depreciation</w:t>
            </w:r>
          </w:p>
        </w:tc>
        <w:tc>
          <w:tcPr>
            <w:tcW w:w="992" w:type="dxa"/>
            <w:noWrap/>
          </w:tcPr>
          <w:p w:rsidR="00C21C2F" w:rsidRPr="00C21C2F" w:rsidRDefault="00C21C2F" w:rsidP="00C21C2F">
            <w:pPr>
              <w:cnfStyle w:val="000000010000" w:firstRow="0" w:lastRow="0" w:firstColumn="0" w:lastColumn="0" w:oddVBand="0" w:evenVBand="0" w:oddHBand="0" w:evenHBand="1" w:firstRowFirstColumn="0" w:firstRowLastColumn="0" w:lastRowFirstColumn="0" w:lastRowLastColumn="0"/>
            </w:pPr>
            <w:r w:rsidRPr="00C21C2F">
              <w:t>173.5</w:t>
            </w:r>
          </w:p>
        </w:tc>
        <w:tc>
          <w:tcPr>
            <w:tcW w:w="992" w:type="dxa"/>
            <w:noWrap/>
          </w:tcPr>
          <w:p w:rsidR="00C21C2F" w:rsidRPr="00C21C2F" w:rsidRDefault="00C21C2F" w:rsidP="00C21C2F">
            <w:pPr>
              <w:cnfStyle w:val="000000010000" w:firstRow="0" w:lastRow="0" w:firstColumn="0" w:lastColumn="0" w:oddVBand="0" w:evenVBand="0" w:oddHBand="0" w:evenHBand="1" w:firstRowFirstColumn="0" w:firstRowLastColumn="0" w:lastRowFirstColumn="0" w:lastRowLastColumn="0"/>
            </w:pPr>
            <w:r w:rsidRPr="00C21C2F">
              <w:t>191.7</w:t>
            </w:r>
          </w:p>
        </w:tc>
        <w:tc>
          <w:tcPr>
            <w:tcW w:w="992" w:type="dxa"/>
          </w:tcPr>
          <w:p w:rsidR="00C21C2F" w:rsidRPr="00C21C2F" w:rsidRDefault="005E391D" w:rsidP="005E391D">
            <w:pPr>
              <w:cnfStyle w:val="000000010000" w:firstRow="0" w:lastRow="0" w:firstColumn="0" w:lastColumn="0" w:oddVBand="0" w:evenVBand="0" w:oddHBand="0" w:evenHBand="1" w:firstRowFirstColumn="0" w:firstRowLastColumn="0" w:lastRowFirstColumn="0" w:lastRowLastColumn="0"/>
            </w:pPr>
            <w:r>
              <w:t>207.7</w:t>
            </w:r>
          </w:p>
        </w:tc>
        <w:tc>
          <w:tcPr>
            <w:tcW w:w="992" w:type="dxa"/>
          </w:tcPr>
          <w:p w:rsidR="00C21C2F" w:rsidRPr="00C21C2F" w:rsidRDefault="005E391D" w:rsidP="005E391D">
            <w:pPr>
              <w:cnfStyle w:val="000000010000" w:firstRow="0" w:lastRow="0" w:firstColumn="0" w:lastColumn="0" w:oddVBand="0" w:evenVBand="0" w:oddHBand="0" w:evenHBand="1" w:firstRowFirstColumn="0" w:firstRowLastColumn="0" w:lastRowFirstColumn="0" w:lastRowLastColumn="0"/>
            </w:pPr>
            <w:r>
              <w:t>160.8</w:t>
            </w:r>
          </w:p>
        </w:tc>
        <w:tc>
          <w:tcPr>
            <w:tcW w:w="992" w:type="dxa"/>
          </w:tcPr>
          <w:p w:rsidR="00C21C2F" w:rsidRPr="00C21C2F" w:rsidRDefault="00C21C2F" w:rsidP="00C21C2F">
            <w:pPr>
              <w:cnfStyle w:val="000000010000" w:firstRow="0" w:lastRow="0" w:firstColumn="0" w:lastColumn="0" w:oddVBand="0" w:evenVBand="0" w:oddHBand="0" w:evenHBand="1" w:firstRowFirstColumn="0" w:firstRowLastColumn="0" w:lastRowFirstColumn="0" w:lastRowLastColumn="0"/>
            </w:pPr>
            <w:r w:rsidRPr="00C21C2F">
              <w:t>170.</w:t>
            </w:r>
            <w:r w:rsidR="005E391D">
              <w:t>3</w:t>
            </w:r>
          </w:p>
        </w:tc>
        <w:tc>
          <w:tcPr>
            <w:tcW w:w="993" w:type="dxa"/>
          </w:tcPr>
          <w:p w:rsidR="00C21C2F" w:rsidRPr="00C21C2F" w:rsidRDefault="00C21C2F" w:rsidP="00505DE6">
            <w:pPr>
              <w:cnfStyle w:val="000000010000" w:firstRow="0" w:lastRow="0" w:firstColumn="0" w:lastColumn="0" w:oddVBand="0" w:evenVBand="0" w:oddHBand="0" w:evenHBand="1" w:firstRowFirstColumn="0" w:firstRowLastColumn="0" w:lastRowFirstColumn="0" w:lastRowLastColumn="0"/>
            </w:pPr>
            <w:r w:rsidRPr="00C21C2F">
              <w:t>90</w:t>
            </w:r>
            <w:r w:rsidR="00D7577E">
              <w:t>3.9</w:t>
            </w:r>
          </w:p>
        </w:tc>
      </w:tr>
      <w:tr w:rsidR="00BC5D56" w:rsidRPr="00356B64" w:rsidTr="00033E05">
        <w:trPr>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C21C2F" w:rsidRPr="00C21C2F" w:rsidRDefault="00C21C2F" w:rsidP="00C21C2F">
            <w:r w:rsidRPr="00C21C2F">
              <w:t>Operating expenditure</w:t>
            </w:r>
          </w:p>
        </w:tc>
        <w:tc>
          <w:tcPr>
            <w:tcW w:w="992" w:type="dxa"/>
            <w:noWrap/>
          </w:tcPr>
          <w:p w:rsidR="00C21C2F" w:rsidRPr="00C21C2F" w:rsidRDefault="005E391D" w:rsidP="00C21C2F">
            <w:pPr>
              <w:cnfStyle w:val="000000000000" w:firstRow="0" w:lastRow="0" w:firstColumn="0" w:lastColumn="0" w:oddVBand="0" w:evenVBand="0" w:oddHBand="0" w:evenHBand="0" w:firstRowFirstColumn="0" w:firstRowLastColumn="0" w:lastRowFirstColumn="0" w:lastRowLastColumn="0"/>
            </w:pPr>
            <w:r>
              <w:t>370.</w:t>
            </w:r>
            <w:r w:rsidR="00C21C2F" w:rsidRPr="00C21C2F">
              <w:t>5</w:t>
            </w:r>
          </w:p>
        </w:tc>
        <w:tc>
          <w:tcPr>
            <w:tcW w:w="992" w:type="dxa"/>
            <w:noWrap/>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387.2</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405.</w:t>
            </w:r>
            <w:r w:rsidR="005E391D">
              <w:t>7</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426.6</w:t>
            </w:r>
          </w:p>
        </w:tc>
        <w:tc>
          <w:tcPr>
            <w:tcW w:w="992" w:type="dxa"/>
          </w:tcPr>
          <w:p w:rsidR="00C21C2F" w:rsidRPr="00C21C2F" w:rsidRDefault="005E391D" w:rsidP="00C21C2F">
            <w:pPr>
              <w:cnfStyle w:val="000000000000" w:firstRow="0" w:lastRow="0" w:firstColumn="0" w:lastColumn="0" w:oddVBand="0" w:evenVBand="0" w:oddHBand="0" w:evenHBand="0" w:firstRowFirstColumn="0" w:firstRowLastColumn="0" w:lastRowFirstColumn="0" w:lastRowLastColumn="0"/>
            </w:pPr>
            <w:r>
              <w:t>444.</w:t>
            </w:r>
            <w:r w:rsidR="00C21C2F" w:rsidRPr="00C21C2F">
              <w:t>8</w:t>
            </w:r>
          </w:p>
        </w:tc>
        <w:tc>
          <w:tcPr>
            <w:tcW w:w="993" w:type="dxa"/>
          </w:tcPr>
          <w:p w:rsidR="00C21C2F" w:rsidRPr="00C21C2F" w:rsidRDefault="00C21C2F" w:rsidP="00505DE6">
            <w:pPr>
              <w:cnfStyle w:val="000000000000" w:firstRow="0" w:lastRow="0" w:firstColumn="0" w:lastColumn="0" w:oddVBand="0" w:evenVBand="0" w:oddHBand="0" w:evenHBand="0" w:firstRowFirstColumn="0" w:firstRowLastColumn="0" w:lastRowFirstColumn="0" w:lastRowLastColumn="0"/>
            </w:pPr>
            <w:r w:rsidRPr="00C21C2F">
              <w:t>2034.</w:t>
            </w:r>
            <w:r w:rsidR="005E391D">
              <w:t>7</w:t>
            </w:r>
          </w:p>
        </w:tc>
      </w:tr>
      <w:tr w:rsidR="00BC5D56" w:rsidRPr="00356B64" w:rsidTr="00033E0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C21C2F" w:rsidRPr="00C21C2F" w:rsidRDefault="004D543F" w:rsidP="004D543F">
            <w:r>
              <w:t xml:space="preserve">Efficiency benefit sharing scheme </w:t>
            </w:r>
            <w:r>
              <w:br/>
              <w:t>(c</w:t>
            </w:r>
            <w:r w:rsidR="00C21C2F" w:rsidRPr="00C21C2F">
              <w:t>arryover amounts</w:t>
            </w:r>
            <w:r>
              <w:t>)</w:t>
            </w:r>
          </w:p>
        </w:tc>
        <w:tc>
          <w:tcPr>
            <w:tcW w:w="992" w:type="dxa"/>
            <w:noWrap/>
          </w:tcPr>
          <w:p w:rsidR="00C21C2F" w:rsidRPr="00C21C2F" w:rsidRDefault="00C21C2F" w:rsidP="00C21C2F">
            <w:pPr>
              <w:cnfStyle w:val="000000010000" w:firstRow="0" w:lastRow="0" w:firstColumn="0" w:lastColumn="0" w:oddVBand="0" w:evenVBand="0" w:oddHBand="0" w:evenHBand="1" w:firstRowFirstColumn="0" w:firstRowLastColumn="0" w:lastRowFirstColumn="0" w:lastRowLastColumn="0"/>
            </w:pPr>
            <w:r w:rsidRPr="00C21C2F">
              <w:t>96.1</w:t>
            </w:r>
          </w:p>
        </w:tc>
        <w:tc>
          <w:tcPr>
            <w:tcW w:w="992" w:type="dxa"/>
            <w:noWrap/>
          </w:tcPr>
          <w:p w:rsidR="00C21C2F" w:rsidRPr="00C21C2F" w:rsidRDefault="00C21C2F" w:rsidP="00C21C2F">
            <w:pPr>
              <w:cnfStyle w:val="000000010000" w:firstRow="0" w:lastRow="0" w:firstColumn="0" w:lastColumn="0" w:oddVBand="0" w:evenVBand="0" w:oddHBand="0" w:evenHBand="1" w:firstRowFirstColumn="0" w:firstRowLastColumn="0" w:lastRowFirstColumn="0" w:lastRowLastColumn="0"/>
            </w:pPr>
            <w:r w:rsidRPr="00C21C2F">
              <w:t>55.</w:t>
            </w:r>
            <w:r w:rsidR="005E391D">
              <w:t>1</w:t>
            </w:r>
          </w:p>
        </w:tc>
        <w:tc>
          <w:tcPr>
            <w:tcW w:w="992" w:type="dxa"/>
          </w:tcPr>
          <w:p w:rsidR="00C21C2F" w:rsidRPr="00C21C2F" w:rsidRDefault="005E391D" w:rsidP="00C21C2F">
            <w:pPr>
              <w:cnfStyle w:val="000000010000" w:firstRow="0" w:lastRow="0" w:firstColumn="0" w:lastColumn="0" w:oddVBand="0" w:evenVBand="0" w:oddHBand="0" w:evenHBand="1" w:firstRowFirstColumn="0" w:firstRowLastColumn="0" w:lastRowFirstColumn="0" w:lastRowLastColumn="0"/>
            </w:pPr>
            <w:r>
              <w:t>79.</w:t>
            </w:r>
            <w:r w:rsidR="00C21C2F" w:rsidRPr="00C21C2F">
              <w:t>7</w:t>
            </w:r>
          </w:p>
        </w:tc>
        <w:tc>
          <w:tcPr>
            <w:tcW w:w="992" w:type="dxa"/>
          </w:tcPr>
          <w:p w:rsidR="00C21C2F" w:rsidRPr="00C21C2F" w:rsidRDefault="007750D6" w:rsidP="00C21C2F">
            <w:pPr>
              <w:cnfStyle w:val="000000010000" w:firstRow="0" w:lastRow="0" w:firstColumn="0" w:lastColumn="0" w:oddVBand="0" w:evenVBand="0" w:oddHBand="0" w:evenHBand="1" w:firstRowFirstColumn="0" w:firstRowLastColumn="0" w:lastRowFirstColumn="0" w:lastRowLastColumn="0"/>
            </w:pPr>
            <w:r>
              <w:t>–</w:t>
            </w:r>
            <w:r w:rsidR="00C21C2F" w:rsidRPr="00C21C2F">
              <w:t>18.4</w:t>
            </w:r>
          </w:p>
        </w:tc>
        <w:tc>
          <w:tcPr>
            <w:tcW w:w="992" w:type="dxa"/>
          </w:tcPr>
          <w:p w:rsidR="00C21C2F" w:rsidRPr="00C21C2F" w:rsidRDefault="00C21C2F" w:rsidP="00C21C2F">
            <w:pPr>
              <w:cnfStyle w:val="000000010000" w:firstRow="0" w:lastRow="0" w:firstColumn="0" w:lastColumn="0" w:oddVBand="0" w:evenVBand="0" w:oddHBand="0" w:evenHBand="1" w:firstRowFirstColumn="0" w:firstRowLastColumn="0" w:lastRowFirstColumn="0" w:lastRowLastColumn="0"/>
            </w:pPr>
            <w:r w:rsidRPr="00C21C2F">
              <w:t>0.0</w:t>
            </w:r>
          </w:p>
        </w:tc>
        <w:tc>
          <w:tcPr>
            <w:tcW w:w="993" w:type="dxa"/>
          </w:tcPr>
          <w:p w:rsidR="00C21C2F" w:rsidRPr="00C21C2F" w:rsidRDefault="00C21C2F" w:rsidP="00505DE6">
            <w:pPr>
              <w:cnfStyle w:val="000000010000" w:firstRow="0" w:lastRow="0" w:firstColumn="0" w:lastColumn="0" w:oddVBand="0" w:evenVBand="0" w:oddHBand="0" w:evenHBand="1" w:firstRowFirstColumn="0" w:firstRowLastColumn="0" w:lastRowFirstColumn="0" w:lastRowLastColumn="0"/>
            </w:pPr>
            <w:r w:rsidRPr="00C21C2F">
              <w:t>212.4</w:t>
            </w:r>
          </w:p>
        </w:tc>
      </w:tr>
      <w:tr w:rsidR="00BC5D56" w:rsidRPr="00356B64" w:rsidTr="00033E05">
        <w:trPr>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C21C2F" w:rsidRPr="00C21C2F" w:rsidRDefault="00C21C2F" w:rsidP="00C21C2F">
            <w:r w:rsidRPr="00C21C2F">
              <w:t>Net tax allowance</w:t>
            </w:r>
          </w:p>
        </w:tc>
        <w:tc>
          <w:tcPr>
            <w:tcW w:w="992" w:type="dxa"/>
            <w:noWrap/>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115.7</w:t>
            </w:r>
          </w:p>
        </w:tc>
        <w:tc>
          <w:tcPr>
            <w:tcW w:w="992" w:type="dxa"/>
            <w:noWrap/>
          </w:tcPr>
          <w:p w:rsidR="00C21C2F" w:rsidRPr="00C21C2F" w:rsidRDefault="005E391D" w:rsidP="005E391D">
            <w:pPr>
              <w:cnfStyle w:val="000000000000" w:firstRow="0" w:lastRow="0" w:firstColumn="0" w:lastColumn="0" w:oddVBand="0" w:evenVBand="0" w:oddHBand="0" w:evenHBand="0" w:firstRowFirstColumn="0" w:firstRowLastColumn="0" w:lastRowFirstColumn="0" w:lastRowLastColumn="0"/>
            </w:pPr>
            <w:r>
              <w:t>122.3</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131.5</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123.</w:t>
            </w:r>
            <w:r w:rsidR="005E391D">
              <w:t>6</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128.3</w:t>
            </w:r>
          </w:p>
        </w:tc>
        <w:tc>
          <w:tcPr>
            <w:tcW w:w="993" w:type="dxa"/>
          </w:tcPr>
          <w:p w:rsidR="00C21C2F" w:rsidRPr="00C21C2F" w:rsidRDefault="00C21C2F" w:rsidP="00505DE6">
            <w:pPr>
              <w:cnfStyle w:val="000000000000" w:firstRow="0" w:lastRow="0" w:firstColumn="0" w:lastColumn="0" w:oddVBand="0" w:evenVBand="0" w:oddHBand="0" w:evenHBand="0" w:firstRowFirstColumn="0" w:firstRowLastColumn="0" w:lastRowFirstColumn="0" w:lastRowLastColumn="0"/>
            </w:pPr>
            <w:r w:rsidRPr="00C21C2F">
              <w:t>621.4</w:t>
            </w:r>
          </w:p>
        </w:tc>
      </w:tr>
      <w:tr w:rsidR="00BC5D56" w:rsidRPr="00356B64" w:rsidTr="00033E0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5E391D" w:rsidRPr="005E391D" w:rsidRDefault="005E391D" w:rsidP="005E391D">
            <w:r w:rsidRPr="005E391D">
              <w:t>Shared assets adjustment</w:t>
            </w:r>
            <w:r w:rsidR="0006436B" w:rsidRPr="0006436B">
              <w:rPr>
                <w:rStyle w:val="AERsuperscript"/>
              </w:rPr>
              <w:t>a</w:t>
            </w:r>
          </w:p>
        </w:tc>
        <w:tc>
          <w:tcPr>
            <w:tcW w:w="992" w:type="dxa"/>
            <w:noWrap/>
          </w:tcPr>
          <w:p w:rsidR="005E391D" w:rsidRPr="005E391D" w:rsidRDefault="00BC5D56" w:rsidP="00505DE6">
            <w:pPr>
              <w:cnfStyle w:val="000000010000" w:firstRow="0" w:lastRow="0" w:firstColumn="0" w:lastColumn="0" w:oddVBand="0" w:evenVBand="0" w:oddHBand="0" w:evenHBand="1" w:firstRowFirstColumn="0" w:firstRowLastColumn="0" w:lastRowFirstColumn="0" w:lastRowLastColumn="0"/>
            </w:pPr>
            <w:r>
              <w:t>–</w:t>
            </w:r>
            <w:r w:rsidR="005E391D" w:rsidRPr="005E391D">
              <w:t>6.0</w:t>
            </w:r>
          </w:p>
        </w:tc>
        <w:tc>
          <w:tcPr>
            <w:tcW w:w="992" w:type="dxa"/>
            <w:noWrap/>
          </w:tcPr>
          <w:p w:rsidR="005E391D" w:rsidRPr="005E391D" w:rsidRDefault="00BC5D56" w:rsidP="00505DE6">
            <w:pPr>
              <w:cnfStyle w:val="000000010000" w:firstRow="0" w:lastRow="0" w:firstColumn="0" w:lastColumn="0" w:oddVBand="0" w:evenVBand="0" w:oddHBand="0" w:evenHBand="1" w:firstRowFirstColumn="0" w:firstRowLastColumn="0" w:lastRowFirstColumn="0" w:lastRowLastColumn="0"/>
            </w:pPr>
            <w:r>
              <w:t>–</w:t>
            </w:r>
            <w:r w:rsidR="005E391D" w:rsidRPr="005E391D">
              <w:t>6.</w:t>
            </w:r>
            <w:r w:rsidR="005E391D">
              <w:t>2</w:t>
            </w:r>
          </w:p>
        </w:tc>
        <w:tc>
          <w:tcPr>
            <w:tcW w:w="992" w:type="dxa"/>
          </w:tcPr>
          <w:p w:rsidR="005E391D" w:rsidRPr="005E391D" w:rsidRDefault="00BC5D56" w:rsidP="00505DE6">
            <w:pPr>
              <w:cnfStyle w:val="000000010000" w:firstRow="0" w:lastRow="0" w:firstColumn="0" w:lastColumn="0" w:oddVBand="0" w:evenVBand="0" w:oddHBand="0" w:evenHBand="1" w:firstRowFirstColumn="0" w:firstRowLastColumn="0" w:lastRowFirstColumn="0" w:lastRowLastColumn="0"/>
            </w:pPr>
            <w:r>
              <w:t>–</w:t>
            </w:r>
            <w:r w:rsidR="005E391D" w:rsidRPr="005E391D">
              <w:t>6.3</w:t>
            </w:r>
          </w:p>
        </w:tc>
        <w:tc>
          <w:tcPr>
            <w:tcW w:w="992" w:type="dxa"/>
          </w:tcPr>
          <w:p w:rsidR="005E391D" w:rsidRPr="005E391D" w:rsidRDefault="00BC5D56" w:rsidP="00505DE6">
            <w:pPr>
              <w:cnfStyle w:val="000000010000" w:firstRow="0" w:lastRow="0" w:firstColumn="0" w:lastColumn="0" w:oddVBand="0" w:evenVBand="0" w:oddHBand="0" w:evenHBand="1" w:firstRowFirstColumn="0" w:firstRowLastColumn="0" w:lastRowFirstColumn="0" w:lastRowLastColumn="0"/>
            </w:pPr>
            <w:r>
              <w:t>–</w:t>
            </w:r>
            <w:r w:rsidR="005E391D" w:rsidRPr="005E391D">
              <w:t>6.5</w:t>
            </w:r>
          </w:p>
        </w:tc>
        <w:tc>
          <w:tcPr>
            <w:tcW w:w="992" w:type="dxa"/>
          </w:tcPr>
          <w:p w:rsidR="005E391D" w:rsidRPr="005E391D" w:rsidRDefault="00BC5D56" w:rsidP="005E391D">
            <w:pPr>
              <w:cnfStyle w:val="000000010000" w:firstRow="0" w:lastRow="0" w:firstColumn="0" w:lastColumn="0" w:oddVBand="0" w:evenVBand="0" w:oddHBand="0" w:evenHBand="1" w:firstRowFirstColumn="0" w:firstRowLastColumn="0" w:lastRowFirstColumn="0" w:lastRowLastColumn="0"/>
            </w:pPr>
            <w:r>
              <w:t>–</w:t>
            </w:r>
            <w:r w:rsidR="005E391D">
              <w:t>6.7</w:t>
            </w:r>
          </w:p>
        </w:tc>
        <w:tc>
          <w:tcPr>
            <w:tcW w:w="993" w:type="dxa"/>
          </w:tcPr>
          <w:p w:rsidR="005E391D" w:rsidRPr="005E391D" w:rsidRDefault="00BC5D56" w:rsidP="005E391D">
            <w:pPr>
              <w:cnfStyle w:val="000000010000" w:firstRow="0" w:lastRow="0" w:firstColumn="0" w:lastColumn="0" w:oddVBand="0" w:evenVBand="0" w:oddHBand="0" w:evenHBand="1" w:firstRowFirstColumn="0" w:firstRowLastColumn="0" w:lastRowFirstColumn="0" w:lastRowLastColumn="0"/>
            </w:pPr>
            <w:r>
              <w:t>–</w:t>
            </w:r>
            <w:r w:rsidR="005E391D">
              <w:t>31.7</w:t>
            </w:r>
          </w:p>
        </w:tc>
      </w:tr>
      <w:tr w:rsidR="00BC5D56" w:rsidRPr="00356B64" w:rsidTr="00033E05">
        <w:trPr>
          <w:trHeight w:val="190"/>
        </w:trPr>
        <w:tc>
          <w:tcPr>
            <w:cnfStyle w:val="001000000000" w:firstRow="0" w:lastRow="0" w:firstColumn="1" w:lastColumn="0" w:oddVBand="0" w:evenVBand="0" w:oddHBand="0" w:evenHBand="0" w:firstRowFirstColumn="0" w:firstRowLastColumn="0" w:lastRowFirstColumn="0" w:lastRowLastColumn="0"/>
            <w:tcW w:w="2802" w:type="dxa"/>
            <w:noWrap/>
            <w:hideMark/>
          </w:tcPr>
          <w:p w:rsidR="00C21C2F" w:rsidRPr="00C21C2F" w:rsidRDefault="00C21C2F" w:rsidP="00C21C2F">
            <w:r w:rsidRPr="00C21C2F">
              <w:t xml:space="preserve">Annual revenue requirement </w:t>
            </w:r>
            <w:r w:rsidR="00665F92">
              <w:br/>
            </w:r>
            <w:r w:rsidRPr="00C21C2F">
              <w:t>(unsmoothed)</w:t>
            </w:r>
          </w:p>
        </w:tc>
        <w:tc>
          <w:tcPr>
            <w:tcW w:w="992" w:type="dxa"/>
            <w:noWrap/>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1554.7</w:t>
            </w:r>
          </w:p>
        </w:tc>
        <w:tc>
          <w:tcPr>
            <w:tcW w:w="992" w:type="dxa"/>
            <w:noWrap/>
          </w:tcPr>
          <w:p w:rsidR="00C21C2F" w:rsidRPr="00C21C2F" w:rsidRDefault="00C21C2F" w:rsidP="005E391D">
            <w:pPr>
              <w:cnfStyle w:val="000000000000" w:firstRow="0" w:lastRow="0" w:firstColumn="0" w:lastColumn="0" w:oddVBand="0" w:evenVBand="0" w:oddHBand="0" w:evenHBand="0" w:firstRowFirstColumn="0" w:firstRowLastColumn="0" w:lastRowFirstColumn="0" w:lastRowLastColumn="0"/>
            </w:pPr>
            <w:r w:rsidRPr="00C21C2F">
              <w:t>1603.9</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1718.6</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1627.</w:t>
            </w:r>
            <w:r w:rsidR="005E391D">
              <w:t>8</w:t>
            </w:r>
          </w:p>
        </w:tc>
        <w:tc>
          <w:tcPr>
            <w:tcW w:w="992" w:type="dxa"/>
          </w:tcPr>
          <w:p w:rsidR="00C21C2F" w:rsidRPr="00C21C2F" w:rsidRDefault="00C21C2F" w:rsidP="00C21C2F">
            <w:pPr>
              <w:cnfStyle w:val="000000000000" w:firstRow="0" w:lastRow="0" w:firstColumn="0" w:lastColumn="0" w:oddVBand="0" w:evenVBand="0" w:oddHBand="0" w:evenHBand="0" w:firstRowFirstColumn="0" w:firstRowLastColumn="0" w:lastRowFirstColumn="0" w:lastRowLastColumn="0"/>
            </w:pPr>
            <w:r w:rsidRPr="00C21C2F">
              <w:t>1723.6</w:t>
            </w:r>
          </w:p>
        </w:tc>
        <w:tc>
          <w:tcPr>
            <w:tcW w:w="993" w:type="dxa"/>
          </w:tcPr>
          <w:p w:rsidR="00C21C2F" w:rsidRPr="00C21C2F" w:rsidRDefault="00C21C2F" w:rsidP="00505DE6">
            <w:pPr>
              <w:cnfStyle w:val="000000000000" w:firstRow="0" w:lastRow="0" w:firstColumn="0" w:lastColumn="0" w:oddVBand="0" w:evenVBand="0" w:oddHBand="0" w:evenHBand="0" w:firstRowFirstColumn="0" w:firstRowLastColumn="0" w:lastRowFirstColumn="0" w:lastRowLastColumn="0"/>
            </w:pPr>
            <w:r w:rsidRPr="00C21C2F">
              <w:t>8228.</w:t>
            </w:r>
            <w:r w:rsidR="00D7577E">
              <w:t>6</w:t>
            </w:r>
          </w:p>
        </w:tc>
      </w:tr>
      <w:tr w:rsidR="00BC5D56" w:rsidRPr="000B0058" w:rsidTr="00033E0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02" w:type="dxa"/>
            <w:noWrap/>
            <w:hideMark/>
          </w:tcPr>
          <w:p w:rsidR="005E391D" w:rsidRPr="00D03746" w:rsidRDefault="005E391D" w:rsidP="00045230">
            <w:pPr>
              <w:rPr>
                <w:rStyle w:val="Strong"/>
              </w:rPr>
            </w:pPr>
            <w:r w:rsidRPr="00D03746">
              <w:rPr>
                <w:rStyle w:val="Strong"/>
              </w:rPr>
              <w:t xml:space="preserve">Annual expected revenue </w:t>
            </w:r>
            <w:r w:rsidR="00665F92">
              <w:rPr>
                <w:rStyle w:val="Strong"/>
              </w:rPr>
              <w:br/>
            </w:r>
            <w:r w:rsidRPr="00D03746">
              <w:rPr>
                <w:rStyle w:val="Strong"/>
              </w:rPr>
              <w:t>(</w:t>
            </w:r>
            <w:r w:rsidR="0001117E">
              <w:rPr>
                <w:rStyle w:val="Strong"/>
              </w:rPr>
              <w:t>exc</w:t>
            </w:r>
            <w:r w:rsidR="00665F92">
              <w:rPr>
                <w:rStyle w:val="Strong"/>
              </w:rPr>
              <w:t>.</w:t>
            </w:r>
            <w:r w:rsidR="0001117E">
              <w:rPr>
                <w:rStyle w:val="Strong"/>
              </w:rPr>
              <w:t xml:space="preserve"> </w:t>
            </w:r>
            <w:r w:rsidR="00825E89">
              <w:rPr>
                <w:rStyle w:val="Strong"/>
              </w:rPr>
              <w:t>additionals</w:t>
            </w:r>
            <w:r w:rsidRPr="00D03746">
              <w:rPr>
                <w:rStyle w:val="Strong"/>
              </w:rPr>
              <w:t>)</w:t>
            </w:r>
          </w:p>
        </w:tc>
        <w:tc>
          <w:tcPr>
            <w:tcW w:w="992" w:type="dxa"/>
            <w:noWrap/>
          </w:tcPr>
          <w:p w:rsidR="005E391D" w:rsidRPr="00D03746" w:rsidRDefault="005E391D" w:rsidP="00505DE6">
            <w:pPr>
              <w:cnfStyle w:val="000000010000" w:firstRow="0" w:lastRow="0" w:firstColumn="0" w:lastColumn="0" w:oddVBand="0" w:evenVBand="0" w:oddHBand="0" w:evenHBand="1" w:firstRowFirstColumn="0" w:firstRowLastColumn="0" w:lastRowFirstColumn="0" w:lastRowLastColumn="0"/>
              <w:rPr>
                <w:rStyle w:val="Strong"/>
              </w:rPr>
            </w:pPr>
            <w:r w:rsidRPr="00D03746">
              <w:rPr>
                <w:rStyle w:val="Strong"/>
              </w:rPr>
              <w:t>1511.1</w:t>
            </w:r>
          </w:p>
        </w:tc>
        <w:tc>
          <w:tcPr>
            <w:tcW w:w="992" w:type="dxa"/>
            <w:noWrap/>
          </w:tcPr>
          <w:p w:rsidR="005E391D" w:rsidRPr="00D03746" w:rsidRDefault="005E391D" w:rsidP="00505DE6">
            <w:pPr>
              <w:cnfStyle w:val="000000010000" w:firstRow="0" w:lastRow="0" w:firstColumn="0" w:lastColumn="0" w:oddVBand="0" w:evenVBand="0" w:oddHBand="0" w:evenHBand="1" w:firstRowFirstColumn="0" w:firstRowLastColumn="0" w:lastRowFirstColumn="0" w:lastRowLastColumn="0"/>
              <w:rPr>
                <w:rStyle w:val="Strong"/>
              </w:rPr>
            </w:pPr>
            <w:r w:rsidRPr="00D03746">
              <w:rPr>
                <w:rStyle w:val="Strong"/>
              </w:rPr>
              <w:t>1598.5</w:t>
            </w:r>
          </w:p>
        </w:tc>
        <w:tc>
          <w:tcPr>
            <w:tcW w:w="992" w:type="dxa"/>
          </w:tcPr>
          <w:p w:rsidR="005E391D" w:rsidRPr="00D03746" w:rsidRDefault="005E391D" w:rsidP="00505DE6">
            <w:pPr>
              <w:cnfStyle w:val="000000010000" w:firstRow="0" w:lastRow="0" w:firstColumn="0" w:lastColumn="0" w:oddVBand="0" w:evenVBand="0" w:oddHBand="0" w:evenHBand="1" w:firstRowFirstColumn="0" w:firstRowLastColumn="0" w:lastRowFirstColumn="0" w:lastRowLastColumn="0"/>
              <w:rPr>
                <w:rStyle w:val="Strong"/>
              </w:rPr>
            </w:pPr>
            <w:r w:rsidRPr="00D03746">
              <w:rPr>
                <w:rStyle w:val="Strong"/>
              </w:rPr>
              <w:t>1703.8</w:t>
            </w:r>
          </w:p>
        </w:tc>
        <w:tc>
          <w:tcPr>
            <w:tcW w:w="992" w:type="dxa"/>
          </w:tcPr>
          <w:p w:rsidR="005E391D" w:rsidRPr="00D03746" w:rsidRDefault="005E391D" w:rsidP="00505DE6">
            <w:pPr>
              <w:cnfStyle w:val="000000010000" w:firstRow="0" w:lastRow="0" w:firstColumn="0" w:lastColumn="0" w:oddVBand="0" w:evenVBand="0" w:oddHBand="0" w:evenHBand="1" w:firstRowFirstColumn="0" w:firstRowLastColumn="0" w:lastRowFirstColumn="0" w:lastRowLastColumn="0"/>
              <w:rPr>
                <w:rStyle w:val="Strong"/>
              </w:rPr>
            </w:pPr>
            <w:r w:rsidRPr="00D03746">
              <w:rPr>
                <w:rStyle w:val="Strong"/>
              </w:rPr>
              <w:t>1710.7</w:t>
            </w:r>
          </w:p>
        </w:tc>
        <w:tc>
          <w:tcPr>
            <w:tcW w:w="992" w:type="dxa"/>
          </w:tcPr>
          <w:p w:rsidR="005E391D" w:rsidRPr="00D03746" w:rsidRDefault="005E391D" w:rsidP="00505DE6">
            <w:pPr>
              <w:cnfStyle w:val="000000010000" w:firstRow="0" w:lastRow="0" w:firstColumn="0" w:lastColumn="0" w:oddVBand="0" w:evenVBand="0" w:oddHBand="0" w:evenHBand="1" w:firstRowFirstColumn="0" w:firstRowLastColumn="0" w:lastRowFirstColumn="0" w:lastRowLastColumn="0"/>
              <w:rPr>
                <w:rStyle w:val="Strong"/>
              </w:rPr>
            </w:pPr>
            <w:r w:rsidRPr="00D03746">
              <w:rPr>
                <w:rStyle w:val="Strong"/>
              </w:rPr>
              <w:t>1717.6</w:t>
            </w:r>
          </w:p>
        </w:tc>
        <w:tc>
          <w:tcPr>
            <w:tcW w:w="993" w:type="dxa"/>
          </w:tcPr>
          <w:p w:rsidR="005E391D" w:rsidRPr="00D03746" w:rsidRDefault="005E391D" w:rsidP="005E391D">
            <w:pPr>
              <w:cnfStyle w:val="000000010000" w:firstRow="0" w:lastRow="0" w:firstColumn="0" w:lastColumn="0" w:oddVBand="0" w:evenVBand="0" w:oddHBand="0" w:evenHBand="1" w:firstRowFirstColumn="0" w:firstRowLastColumn="0" w:lastRowFirstColumn="0" w:lastRowLastColumn="0"/>
              <w:rPr>
                <w:rStyle w:val="Strong"/>
              </w:rPr>
            </w:pPr>
            <w:r w:rsidRPr="00D03746">
              <w:rPr>
                <w:rStyle w:val="Strong"/>
              </w:rPr>
              <w:t>8241.7</w:t>
            </w:r>
          </w:p>
        </w:tc>
      </w:tr>
      <w:tr w:rsidR="00BC5D56" w:rsidRPr="00356B64" w:rsidTr="00033E05">
        <w:trPr>
          <w:trHeight w:val="190"/>
        </w:trPr>
        <w:tc>
          <w:tcPr>
            <w:cnfStyle w:val="001000000000" w:firstRow="0" w:lastRow="0" w:firstColumn="1" w:lastColumn="0" w:oddVBand="0" w:evenVBand="0" w:oddHBand="0" w:evenHBand="0" w:firstRowFirstColumn="0" w:firstRowLastColumn="0" w:lastRowFirstColumn="0" w:lastRowLastColumn="0"/>
            <w:tcW w:w="2802" w:type="dxa"/>
            <w:noWrap/>
            <w:hideMark/>
          </w:tcPr>
          <w:p w:rsidR="005E391D" w:rsidRPr="005E391D" w:rsidRDefault="005E391D" w:rsidP="005E391D">
            <w:r w:rsidRPr="005E391D">
              <w:t>X factor</w:t>
            </w:r>
          </w:p>
        </w:tc>
        <w:tc>
          <w:tcPr>
            <w:tcW w:w="992" w:type="dxa"/>
            <w:noWrap/>
          </w:tcPr>
          <w:p w:rsidR="005E391D" w:rsidRPr="005E391D" w:rsidRDefault="005E391D" w:rsidP="00505DE6">
            <w:pPr>
              <w:cnfStyle w:val="000000000000" w:firstRow="0" w:lastRow="0" w:firstColumn="0" w:lastColumn="0" w:oddVBand="0" w:evenVBand="0" w:oddHBand="0" w:evenHBand="0" w:firstRowFirstColumn="0" w:firstRowLastColumn="0" w:lastRowFirstColumn="0" w:lastRowLastColumn="0"/>
            </w:pPr>
            <w:r w:rsidRPr="005E391D">
              <w:t>15.85%</w:t>
            </w:r>
          </w:p>
        </w:tc>
        <w:tc>
          <w:tcPr>
            <w:tcW w:w="992" w:type="dxa"/>
            <w:noWrap/>
          </w:tcPr>
          <w:p w:rsidR="005E391D" w:rsidRPr="005E391D" w:rsidRDefault="00BC5D56" w:rsidP="00505DE6">
            <w:pPr>
              <w:cnfStyle w:val="000000000000" w:firstRow="0" w:lastRow="0" w:firstColumn="0" w:lastColumn="0" w:oddVBand="0" w:evenVBand="0" w:oddHBand="0" w:evenHBand="0" w:firstRowFirstColumn="0" w:firstRowLastColumn="0" w:lastRowFirstColumn="0" w:lastRowLastColumn="0"/>
            </w:pPr>
            <w:r>
              <w:t>–</w:t>
            </w:r>
            <w:r w:rsidR="005E391D" w:rsidRPr="005E391D">
              <w:t>3.13%</w:t>
            </w:r>
          </w:p>
        </w:tc>
        <w:tc>
          <w:tcPr>
            <w:tcW w:w="992" w:type="dxa"/>
          </w:tcPr>
          <w:p w:rsidR="005E391D" w:rsidRPr="005E391D" w:rsidRDefault="00BC5D56" w:rsidP="00505DE6">
            <w:pPr>
              <w:cnfStyle w:val="000000000000" w:firstRow="0" w:lastRow="0" w:firstColumn="0" w:lastColumn="0" w:oddVBand="0" w:evenVBand="0" w:oddHBand="0" w:evenHBand="0" w:firstRowFirstColumn="0" w:firstRowLastColumn="0" w:lastRowFirstColumn="0" w:lastRowLastColumn="0"/>
            </w:pPr>
            <w:r>
              <w:t>–</w:t>
            </w:r>
            <w:r w:rsidR="005E391D" w:rsidRPr="005E391D">
              <w:t>3.92%</w:t>
            </w:r>
          </w:p>
        </w:tc>
        <w:tc>
          <w:tcPr>
            <w:tcW w:w="992" w:type="dxa"/>
          </w:tcPr>
          <w:p w:rsidR="005E391D" w:rsidRPr="005E391D" w:rsidRDefault="005E391D" w:rsidP="00505DE6">
            <w:pPr>
              <w:cnfStyle w:val="000000000000" w:firstRow="0" w:lastRow="0" w:firstColumn="0" w:lastColumn="0" w:oddVBand="0" w:evenVBand="0" w:oddHBand="0" w:evenHBand="0" w:firstRowFirstColumn="0" w:firstRowLastColumn="0" w:lastRowFirstColumn="0" w:lastRowLastColumn="0"/>
            </w:pPr>
            <w:r w:rsidRPr="005E391D">
              <w:t>2.11%</w:t>
            </w:r>
          </w:p>
        </w:tc>
        <w:tc>
          <w:tcPr>
            <w:tcW w:w="992" w:type="dxa"/>
          </w:tcPr>
          <w:p w:rsidR="005E391D" w:rsidRPr="005E391D" w:rsidRDefault="005E391D" w:rsidP="00505DE6">
            <w:pPr>
              <w:cnfStyle w:val="000000000000" w:firstRow="0" w:lastRow="0" w:firstColumn="0" w:lastColumn="0" w:oddVBand="0" w:evenVBand="0" w:oddHBand="0" w:evenHBand="0" w:firstRowFirstColumn="0" w:firstRowLastColumn="0" w:lastRowFirstColumn="0" w:lastRowLastColumn="0"/>
            </w:pPr>
            <w:r w:rsidRPr="005E391D">
              <w:t>2.11%</w:t>
            </w:r>
          </w:p>
        </w:tc>
        <w:tc>
          <w:tcPr>
            <w:tcW w:w="993" w:type="dxa"/>
          </w:tcPr>
          <w:p w:rsidR="005E391D" w:rsidRPr="005E391D" w:rsidRDefault="005E391D" w:rsidP="005E391D">
            <w:pPr>
              <w:cnfStyle w:val="000000000000" w:firstRow="0" w:lastRow="0" w:firstColumn="0" w:lastColumn="0" w:oddVBand="0" w:evenVBand="0" w:oddHBand="0" w:evenHBand="0" w:firstRowFirstColumn="0" w:firstRowLastColumn="0" w:lastRowFirstColumn="0" w:lastRowLastColumn="0"/>
            </w:pPr>
            <w:r w:rsidRPr="005E391D">
              <w:t>n/a</w:t>
            </w:r>
          </w:p>
        </w:tc>
      </w:tr>
      <w:tr w:rsidR="0006436B" w:rsidRPr="00356B64" w:rsidTr="00D0374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06436B" w:rsidRPr="0006436B" w:rsidRDefault="0006436B" w:rsidP="0006436B">
            <w:r w:rsidRPr="0006436B">
              <w:t>Additional amounts in DUoS</w:t>
            </w:r>
            <w:r w:rsidRPr="0006436B">
              <w:rPr>
                <w:rStyle w:val="AERsuperscript"/>
              </w:rPr>
              <w:t>b</w:t>
            </w:r>
          </w:p>
        </w:tc>
        <w:tc>
          <w:tcPr>
            <w:tcW w:w="992" w:type="dxa"/>
            <w:noWrap/>
          </w:tcPr>
          <w:p w:rsidR="0006436B" w:rsidRPr="0006436B" w:rsidRDefault="0006436B" w:rsidP="00D03746">
            <w:pPr>
              <w:cnfStyle w:val="000000010000" w:firstRow="0" w:lastRow="0" w:firstColumn="0" w:lastColumn="0" w:oddVBand="0" w:evenVBand="0" w:oddHBand="0" w:evenHBand="1" w:firstRowFirstColumn="0" w:firstRowLastColumn="0" w:lastRowFirstColumn="0" w:lastRowLastColumn="0"/>
            </w:pPr>
            <w:r w:rsidRPr="0006436B">
              <w:t>424.3</w:t>
            </w:r>
          </w:p>
        </w:tc>
        <w:tc>
          <w:tcPr>
            <w:tcW w:w="992" w:type="dxa"/>
            <w:noWrap/>
          </w:tcPr>
          <w:p w:rsidR="0006436B" w:rsidRPr="0006436B" w:rsidRDefault="0006436B" w:rsidP="00D03746">
            <w:pPr>
              <w:cnfStyle w:val="000000010000" w:firstRow="0" w:lastRow="0" w:firstColumn="0" w:lastColumn="0" w:oddVBand="0" w:evenVBand="0" w:oddHBand="0" w:evenHBand="1" w:firstRowFirstColumn="0" w:firstRowLastColumn="0" w:lastRowFirstColumn="0" w:lastRowLastColumn="0"/>
            </w:pPr>
            <w:r w:rsidRPr="0006436B">
              <w:t>331.7</w:t>
            </w:r>
          </w:p>
        </w:tc>
        <w:tc>
          <w:tcPr>
            <w:tcW w:w="992" w:type="dxa"/>
          </w:tcPr>
          <w:p w:rsidR="0006436B" w:rsidRPr="0006436B" w:rsidRDefault="0006436B" w:rsidP="00D03746">
            <w:pPr>
              <w:cnfStyle w:val="000000010000" w:firstRow="0" w:lastRow="0" w:firstColumn="0" w:lastColumn="0" w:oddVBand="0" w:evenVBand="0" w:oddHBand="0" w:evenHBand="1" w:firstRowFirstColumn="0" w:firstRowLastColumn="0" w:lastRowFirstColumn="0" w:lastRowLastColumn="0"/>
            </w:pPr>
            <w:r w:rsidRPr="0006436B">
              <w:t>104.9</w:t>
            </w:r>
          </w:p>
        </w:tc>
        <w:tc>
          <w:tcPr>
            <w:tcW w:w="992" w:type="dxa"/>
          </w:tcPr>
          <w:p w:rsidR="0006436B" w:rsidRPr="0006436B" w:rsidRDefault="0006436B" w:rsidP="00D03746">
            <w:pPr>
              <w:cnfStyle w:val="000000010000" w:firstRow="0" w:lastRow="0" w:firstColumn="0" w:lastColumn="0" w:oddVBand="0" w:evenVBand="0" w:oddHBand="0" w:evenHBand="1" w:firstRowFirstColumn="0" w:firstRowLastColumn="0" w:lastRowFirstColumn="0" w:lastRowLastColumn="0"/>
            </w:pPr>
            <w:r w:rsidRPr="0006436B">
              <w:t>102.1</w:t>
            </w:r>
          </w:p>
        </w:tc>
        <w:tc>
          <w:tcPr>
            <w:tcW w:w="992" w:type="dxa"/>
          </w:tcPr>
          <w:p w:rsidR="0006436B" w:rsidRPr="0006436B" w:rsidRDefault="0006436B" w:rsidP="00D03746">
            <w:pPr>
              <w:cnfStyle w:val="000000010000" w:firstRow="0" w:lastRow="0" w:firstColumn="0" w:lastColumn="0" w:oddVBand="0" w:evenVBand="0" w:oddHBand="0" w:evenHBand="1" w:firstRowFirstColumn="0" w:firstRowLastColumn="0" w:lastRowFirstColumn="0" w:lastRowLastColumn="0"/>
            </w:pPr>
            <w:r w:rsidRPr="0006436B">
              <w:t>99.2</w:t>
            </w:r>
          </w:p>
        </w:tc>
        <w:tc>
          <w:tcPr>
            <w:tcW w:w="993" w:type="dxa"/>
          </w:tcPr>
          <w:p w:rsidR="0006436B" w:rsidRPr="0006436B" w:rsidRDefault="0006436B" w:rsidP="00D03746">
            <w:pPr>
              <w:cnfStyle w:val="000000010000" w:firstRow="0" w:lastRow="0" w:firstColumn="0" w:lastColumn="0" w:oddVBand="0" w:evenVBand="0" w:oddHBand="0" w:evenHBand="1" w:firstRowFirstColumn="0" w:firstRowLastColumn="0" w:lastRowFirstColumn="0" w:lastRowLastColumn="0"/>
            </w:pPr>
            <w:r w:rsidRPr="0006436B">
              <w:t>1062.2</w:t>
            </w:r>
          </w:p>
        </w:tc>
      </w:tr>
      <w:tr w:rsidR="0001117E" w:rsidRPr="007750D6" w:rsidTr="00033E05">
        <w:trPr>
          <w:trHeight w:val="190"/>
        </w:trPr>
        <w:tc>
          <w:tcPr>
            <w:cnfStyle w:val="001000000000" w:firstRow="0" w:lastRow="0" w:firstColumn="1" w:lastColumn="0" w:oddVBand="0" w:evenVBand="0" w:oddHBand="0" w:evenHBand="0" w:firstRowFirstColumn="0" w:firstRowLastColumn="0" w:lastRowFirstColumn="0" w:lastRowLastColumn="0"/>
            <w:tcW w:w="2802" w:type="dxa"/>
            <w:noWrap/>
          </w:tcPr>
          <w:p w:rsidR="0001117E" w:rsidRPr="0001117E" w:rsidRDefault="0001117E" w:rsidP="0006436B">
            <w:pPr>
              <w:rPr>
                <w:rStyle w:val="Strong"/>
              </w:rPr>
            </w:pPr>
            <w:r w:rsidRPr="007750D6">
              <w:rPr>
                <w:rStyle w:val="Strong"/>
              </w:rPr>
              <w:t xml:space="preserve">Annual expected revenue </w:t>
            </w:r>
            <w:r w:rsidRPr="0001117E">
              <w:rPr>
                <w:rStyle w:val="Strong"/>
              </w:rPr>
              <w:br/>
              <w:t xml:space="preserve">(inc. </w:t>
            </w:r>
            <w:r w:rsidR="00825E89">
              <w:rPr>
                <w:rStyle w:val="Strong"/>
              </w:rPr>
              <w:t>additionals</w:t>
            </w:r>
            <w:r w:rsidRPr="0001117E">
              <w:rPr>
                <w:rStyle w:val="Strong"/>
              </w:rPr>
              <w:t>)</w:t>
            </w:r>
          </w:p>
        </w:tc>
        <w:tc>
          <w:tcPr>
            <w:tcW w:w="992" w:type="dxa"/>
            <w:noWrap/>
          </w:tcPr>
          <w:p w:rsidR="0001117E" w:rsidRPr="007750D6" w:rsidRDefault="00033E05" w:rsidP="0001117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1935.4</w:t>
            </w:r>
          </w:p>
        </w:tc>
        <w:tc>
          <w:tcPr>
            <w:tcW w:w="992" w:type="dxa"/>
            <w:noWrap/>
          </w:tcPr>
          <w:p w:rsidR="0001117E" w:rsidRPr="007750D6" w:rsidDel="00BC5D56" w:rsidRDefault="00033E05" w:rsidP="0001117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1930.2</w:t>
            </w:r>
          </w:p>
        </w:tc>
        <w:tc>
          <w:tcPr>
            <w:tcW w:w="992" w:type="dxa"/>
          </w:tcPr>
          <w:p w:rsidR="0001117E" w:rsidRPr="007750D6" w:rsidRDefault="00033E05" w:rsidP="0001117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1808.7</w:t>
            </w:r>
          </w:p>
        </w:tc>
        <w:tc>
          <w:tcPr>
            <w:tcW w:w="992" w:type="dxa"/>
          </w:tcPr>
          <w:p w:rsidR="0001117E" w:rsidRPr="007750D6" w:rsidRDefault="00033E05" w:rsidP="0001117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1812.8</w:t>
            </w:r>
          </w:p>
        </w:tc>
        <w:tc>
          <w:tcPr>
            <w:tcW w:w="992" w:type="dxa"/>
          </w:tcPr>
          <w:p w:rsidR="0001117E" w:rsidRPr="007750D6" w:rsidRDefault="00033E05" w:rsidP="0001117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1816.8</w:t>
            </w:r>
          </w:p>
        </w:tc>
        <w:tc>
          <w:tcPr>
            <w:tcW w:w="993" w:type="dxa"/>
          </w:tcPr>
          <w:p w:rsidR="0001117E" w:rsidRPr="007750D6" w:rsidRDefault="00033E05" w:rsidP="0001117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9303.9</w:t>
            </w:r>
          </w:p>
        </w:tc>
      </w:tr>
    </w:tbl>
    <w:p w:rsidR="00DE563D" w:rsidRDefault="00BC5D56" w:rsidP="00D03746">
      <w:pPr>
        <w:pStyle w:val="AERtablesource"/>
      </w:pPr>
      <w:r>
        <w:t>Source:</w:t>
      </w:r>
      <w:r>
        <w:tab/>
        <w:t>Ergon Energy</w:t>
      </w:r>
      <w:r w:rsidR="00D03746">
        <w:t xml:space="preserve">, </w:t>
      </w:r>
      <w:r w:rsidR="006B2BD9" w:rsidRPr="00845B6F">
        <w:rPr>
          <w:rStyle w:val="AERtextitalic"/>
        </w:rPr>
        <w:t>Regulatory Proposal</w:t>
      </w:r>
      <w:r w:rsidR="006B2BD9">
        <w:t>, October 2014</w:t>
      </w:r>
      <w:r w:rsidR="006B2BD9" w:rsidRPr="00845B6F">
        <w:t>,</w:t>
      </w:r>
      <w:r w:rsidR="006B2BD9">
        <w:t xml:space="preserve"> pp. 27–28; AER analysis.</w:t>
      </w:r>
    </w:p>
    <w:p w:rsidR="0006436B" w:rsidRDefault="0006436B" w:rsidP="0006436B">
      <w:pPr>
        <w:pStyle w:val="AERtablesource"/>
      </w:pPr>
      <w:r>
        <w:t>(a)</w:t>
      </w:r>
      <w:r>
        <w:tab/>
        <w:t>Ergon Energy proposed a separate line item for its proposed shared asset adjustment. While we have approved some proportion of this adjustment, it is included in our 'revenue adjustments' line.</w:t>
      </w:r>
    </w:p>
    <w:p w:rsidR="0006436B" w:rsidRPr="0006436B" w:rsidRDefault="0006436B" w:rsidP="0006436B">
      <w:pPr>
        <w:pStyle w:val="AERtablesource"/>
      </w:pPr>
      <w:r>
        <w:t>(b)</w:t>
      </w:r>
      <w:r>
        <w:tab/>
        <w:t xml:space="preserve">These amounts have been included based on information provided in Ergon Energy's proposal. Ergon Energy did not smooth its revenue having regard to these amounts. In contrast, while the amounts are not in </w:t>
      </w:r>
      <w:r>
        <w:lastRenderedPageBreak/>
        <w:t>the underlying building block, we have had regard to their impact on total revenue while smoothing the building blocks.</w:t>
      </w:r>
    </w:p>
    <w:p w:rsidR="00DE563D" w:rsidRDefault="00DE563D" w:rsidP="00DE563D">
      <w:pPr>
        <w:pStyle w:val="Heading2"/>
      </w:pPr>
      <w:bookmarkStart w:id="18" w:name="_Toc403144138"/>
      <w:bookmarkStart w:id="19" w:name="_Ref415045138"/>
      <w:bookmarkStart w:id="20" w:name="_Toc417565188"/>
      <w:r w:rsidRPr="00496A7C">
        <w:t>AER’s assessment approach</w:t>
      </w:r>
      <w:bookmarkEnd w:id="18"/>
      <w:bookmarkEnd w:id="19"/>
      <w:bookmarkEnd w:id="20"/>
    </w:p>
    <w:p w:rsidR="00BA40E1" w:rsidRPr="00BA40E1" w:rsidRDefault="00BA40E1" w:rsidP="00BA40E1">
      <w:bookmarkStart w:id="21" w:name="_Ref403552774"/>
      <w:bookmarkStart w:id="22" w:name="_Toc404354906"/>
      <w:r w:rsidRPr="00BA40E1">
        <w:t xml:space="preserve">We are required to determine the ARR for </w:t>
      </w:r>
      <w:r>
        <w:t>Ergon Energy</w:t>
      </w:r>
      <w:r w:rsidRPr="00BA40E1">
        <w:t xml:space="preserve"> for each year of the 2015–20 regulatory control period.</w:t>
      </w:r>
      <w:r w:rsidRPr="00BA40E1">
        <w:rPr>
          <w:rStyle w:val="AERsuperscript"/>
        </w:rPr>
        <w:footnoteReference w:id="1"/>
      </w:r>
      <w:r w:rsidRPr="00BA40E1">
        <w:t xml:space="preserve"> </w:t>
      </w:r>
    </w:p>
    <w:p w:rsidR="00BA40E1" w:rsidRPr="00BA40E1" w:rsidRDefault="00BA40E1" w:rsidP="00BA40E1">
      <w:r w:rsidRPr="00BA40E1">
        <w:t>In this determination we first calculate ARRs for each year of the 2015–20 regulatory control period. To do this we consider the various costs facing the service provider and the trade-offs and interactions between these costs, service quality and across years. This reflects the AER's holistic assessment of the service provider's proposal.</w:t>
      </w:r>
    </w:p>
    <w:p w:rsidR="00BA40E1" w:rsidRPr="00BA40E1" w:rsidRDefault="00BA40E1" w:rsidP="00BA40E1">
      <w:r w:rsidRPr="00BA40E1">
        <w:t xml:space="preserve">The ARR for each year is the sum of the building block costs. These building block costs are set out in section </w:t>
      </w:r>
      <w:r w:rsidR="00B2448C">
        <w:fldChar w:fldCharType="begin"/>
      </w:r>
      <w:r w:rsidR="00B2448C">
        <w:instrText xml:space="preserve"> REF _Ref417484699 \r \h </w:instrText>
      </w:r>
      <w:r w:rsidR="00B2448C">
        <w:fldChar w:fldCharType="separate"/>
      </w:r>
      <w:r w:rsidR="002B4CF4">
        <w:t>1.3.1</w:t>
      </w:r>
      <w:r w:rsidR="00B2448C">
        <w:fldChar w:fldCharType="end"/>
      </w:r>
      <w:r w:rsidRPr="00BA40E1">
        <w:t xml:space="preserve">. The AER's post-tax revenue model (PTRM) brings together these building block costs and calculates the resulting ARRs. </w:t>
      </w:r>
    </w:p>
    <w:p w:rsidR="00BA40E1" w:rsidRDefault="00BA40E1" w:rsidP="00BA40E1">
      <w:r w:rsidRPr="00BA40E1">
        <w:t>We understand the trade-offs that occur between building block costs and test the sensitivity of these costs to their various driver elements. These trade-offs are discussed in the interrelationships section of the various attachments to this preliminary decision and are reflected in the calculations made in the PTRM developed by the AER.</w:t>
      </w:r>
      <w:r w:rsidRPr="00BA40E1">
        <w:rPr>
          <w:rStyle w:val="AERsuperscript"/>
        </w:rPr>
        <w:footnoteReference w:id="2"/>
      </w:r>
      <w:r w:rsidRPr="00BA40E1">
        <w:t xml:space="preserve"> Such understanding allows the AER to exercise judgement in determining the final inputs into the PTRM and the ARRs that result from this modelling. </w:t>
      </w:r>
    </w:p>
    <w:p w:rsidR="00F55385" w:rsidRPr="00BA40E1" w:rsidRDefault="00F55385" w:rsidP="00F55385">
      <w:r>
        <w:t>Having determined the</w:t>
      </w:r>
      <w:r w:rsidRPr="00F55385">
        <w:t xml:space="preserve"> total revenue requirement for the 201</w:t>
      </w:r>
      <w:r>
        <w:t>5</w:t>
      </w:r>
      <w:r w:rsidRPr="00F55385">
        <w:t>–</w:t>
      </w:r>
      <w:r>
        <w:t>20</w:t>
      </w:r>
      <w:r w:rsidRPr="00F55385">
        <w:t xml:space="preserve"> </w:t>
      </w:r>
      <w:r>
        <w:t xml:space="preserve">regulatory control </w:t>
      </w:r>
      <w:r w:rsidRPr="00F55385">
        <w:t>period, the ARRs for each regulatory year are smoothed across the 2015–</w:t>
      </w:r>
      <w:r>
        <w:t>20</w:t>
      </w:r>
      <w:r w:rsidRPr="00F55385">
        <w:t xml:space="preserve"> regulatory control period</w:t>
      </w:r>
      <w:r w:rsidR="0001117E">
        <w:t>. This is</w:t>
      </w:r>
      <w:r w:rsidRPr="00F55385">
        <w:t xml:space="preserve"> to reduce revenue variations between years and to come up with the expected revenue for each year. This is done through the determination of the X factors.</w:t>
      </w:r>
      <w:r w:rsidRPr="00F55385">
        <w:rPr>
          <w:rStyle w:val="FootnoteReference"/>
        </w:rPr>
        <w:footnoteReference w:id="3"/>
      </w:r>
      <w:r w:rsidRPr="00F55385">
        <w:t xml:space="preserve"> The X factor must equalise (in net present value terms) the total expected revenues to be earned by the service provider with the total revenue requirement for the 201</w:t>
      </w:r>
      <w:r>
        <w:t>5</w:t>
      </w:r>
      <w:r w:rsidRPr="00F55385">
        <w:t>–</w:t>
      </w:r>
      <w:r>
        <w:t>20 regulatory control</w:t>
      </w:r>
      <w:r w:rsidRPr="00F55385">
        <w:t xml:space="preserve"> period.</w:t>
      </w:r>
      <w:r w:rsidRPr="00F55385">
        <w:rPr>
          <w:rStyle w:val="FootnoteReference"/>
        </w:rPr>
        <w:footnoteReference w:id="4"/>
      </w:r>
      <w:r w:rsidRPr="00F55385">
        <w:t xml:space="preserve"> The X factor must usually minimise, as far as reasonably possible, the variance between the expected revenue and ARR for the last regulatory year of the period.</w:t>
      </w:r>
      <w:r w:rsidRPr="00F55385">
        <w:rPr>
          <w:rStyle w:val="FootnoteReference"/>
        </w:rPr>
        <w:footnoteReference w:id="5"/>
      </w:r>
      <w:r w:rsidRPr="00F55385">
        <w:t xml:space="preserve"> </w:t>
      </w:r>
    </w:p>
    <w:p w:rsidR="00A84E4A" w:rsidRDefault="00BA40E1" w:rsidP="00BA40E1">
      <w:pPr>
        <w:numPr>
          <w:ilvl w:val="0"/>
          <w:numId w:val="25"/>
        </w:numPr>
      </w:pPr>
      <w:r w:rsidRPr="00BA40E1">
        <w:lastRenderedPageBreak/>
        <w:t>For this preliminary decision, the expected revenue in the last year of the regulatory control period are not required to be as close as reasonably possible to the ARR for that year, due to the transitional provisions.</w:t>
      </w:r>
      <w:r w:rsidRPr="00BA40E1">
        <w:rPr>
          <w:rStyle w:val="AERsuperscript"/>
        </w:rPr>
        <w:footnoteReference w:id="6"/>
      </w:r>
      <w:r w:rsidRPr="00BA40E1">
        <w:t xml:space="preserve"> </w:t>
      </w:r>
      <w:r w:rsidR="0068013D">
        <w:t xml:space="preserve">However, where practical we have sought to maintain this principle to avoid potential revenue shocks at the next reset. We therefore consider </w:t>
      </w:r>
      <w:r w:rsidRPr="00BA40E1">
        <w:t xml:space="preserve">a divergence of </w:t>
      </w:r>
      <w:r w:rsidR="0068013D">
        <w:t>up to</w:t>
      </w:r>
      <w:r w:rsidRPr="00BA40E1">
        <w:t xml:space="preserve"> 3 per cent between the expected revenue and ARR for the last year of the regulatory control period</w:t>
      </w:r>
      <w:r w:rsidR="0068013D">
        <w:t xml:space="preserve"> is reasonable</w:t>
      </w:r>
      <w:r w:rsidRPr="00BA40E1">
        <w:t xml:space="preserve">, if this can promote smoother price changes over the regulatory control period. </w:t>
      </w:r>
    </w:p>
    <w:p w:rsidR="00BA40E1" w:rsidRDefault="00A84E4A" w:rsidP="00BA40E1">
      <w:pPr>
        <w:numPr>
          <w:ilvl w:val="0"/>
          <w:numId w:val="25"/>
        </w:numPr>
      </w:pPr>
      <w:r>
        <w:t>We will</w:t>
      </w:r>
      <w:r w:rsidR="0068013D">
        <w:t xml:space="preserve"> also factor into our smoothing of Ergon Energy's expected revenues</w:t>
      </w:r>
      <w:r>
        <w:t xml:space="preserve"> </w:t>
      </w:r>
      <w:r w:rsidR="0068013D">
        <w:t>its</w:t>
      </w:r>
      <w:r>
        <w:t xml:space="preserve"> projected </w:t>
      </w:r>
      <w:r w:rsidR="00690A9A">
        <w:t>additional revenue</w:t>
      </w:r>
      <w:r w:rsidR="00050E89">
        <w:t xml:space="preserve"> </w:t>
      </w:r>
      <w:r>
        <w:t xml:space="preserve">amounts </w:t>
      </w:r>
      <w:r w:rsidR="00050E89">
        <w:t>to be recovered</w:t>
      </w:r>
      <w:r>
        <w:t xml:space="preserve"> over the </w:t>
      </w:r>
      <w:r w:rsidR="00050E89">
        <w:t>2015–20</w:t>
      </w:r>
      <w:r>
        <w:t xml:space="preserve"> regulatory control period.</w:t>
      </w:r>
      <w:r w:rsidR="00360C03">
        <w:t xml:space="preserve"> These amounts are not a component of the building block </w:t>
      </w:r>
      <w:r w:rsidR="00050E89">
        <w:t>costs</w:t>
      </w:r>
      <w:r w:rsidR="00360C03">
        <w:t xml:space="preserve"> set in this determination. However, they are </w:t>
      </w:r>
      <w:r w:rsidR="00690A9A">
        <w:t xml:space="preserve">forecast </w:t>
      </w:r>
      <w:r w:rsidR="00360C03">
        <w:t xml:space="preserve">amounts </w:t>
      </w:r>
      <w:r w:rsidR="00050E89">
        <w:t>Ergon Energy</w:t>
      </w:r>
      <w:r w:rsidR="00360C03">
        <w:t xml:space="preserve"> is entitled to recover</w:t>
      </w:r>
      <w:r w:rsidR="00690A9A">
        <w:t>—for example,</w:t>
      </w:r>
      <w:r w:rsidR="00360C03">
        <w:t xml:space="preserve"> as part of a jurisdictional scheme</w:t>
      </w:r>
      <w:r w:rsidR="00690A9A">
        <w:t>, and various under/over recoveries of schemes and pass throughs associated with the later years of the 2010–15 regulatory control period. These amounts</w:t>
      </w:r>
      <w:r w:rsidR="00360C03">
        <w:t xml:space="preserve"> will be added to the annual revenue target during the annual pricing approval processes.</w:t>
      </w:r>
      <w:r>
        <w:t xml:space="preserve"> In </w:t>
      </w:r>
      <w:r w:rsidR="00795740">
        <w:t>addition</w:t>
      </w:r>
      <w:r>
        <w:t xml:space="preserve">, </w:t>
      </w:r>
      <w:r w:rsidR="00050E89">
        <w:t>Ergon Energy is</w:t>
      </w:r>
      <w:r>
        <w:t xml:space="preserve"> expect</w:t>
      </w:r>
      <w:r w:rsidR="00050E89">
        <w:t>ing</w:t>
      </w:r>
      <w:r>
        <w:t xml:space="preserve"> large under recoveries of the feed</w:t>
      </w:r>
      <w:r w:rsidR="002646FA">
        <w:t>-</w:t>
      </w:r>
      <w:r>
        <w:t>in tariff</w:t>
      </w:r>
      <w:r w:rsidR="002646FA">
        <w:t>s</w:t>
      </w:r>
      <w:r>
        <w:t xml:space="preserve"> in 2013–14 and 2014–15</w:t>
      </w:r>
      <w:r w:rsidR="00050E89">
        <w:t>, which are</w:t>
      </w:r>
      <w:r>
        <w:t xml:space="preserve"> to be recovered in 2015–16 and 2016–17</w:t>
      </w:r>
      <w:r w:rsidR="00050E89">
        <w:t>.</w:t>
      </w:r>
      <w:r>
        <w:t xml:space="preserve"> </w:t>
      </w:r>
      <w:r w:rsidR="00050E89">
        <w:t>W</w:t>
      </w:r>
      <w:r>
        <w:t>e will</w:t>
      </w:r>
      <w:r w:rsidR="00050E89">
        <w:t xml:space="preserve"> therefore</w:t>
      </w:r>
      <w:r>
        <w:t xml:space="preserve"> factor these forecast revenues into </w:t>
      </w:r>
      <w:r w:rsidR="00360C03">
        <w:t xml:space="preserve">our judgement of an appropriate path for smoothed revenue. This should result in smoother overall </w:t>
      </w:r>
      <w:r w:rsidR="00050E89">
        <w:t xml:space="preserve">network </w:t>
      </w:r>
      <w:r w:rsidR="00360C03">
        <w:t>prices for customers.</w:t>
      </w:r>
      <w:r w:rsidR="00E81D1C">
        <w:t xml:space="preserve"> </w:t>
      </w:r>
      <w:r w:rsidR="00691720">
        <w:fldChar w:fldCharType="begin"/>
      </w:r>
      <w:r w:rsidR="00691720">
        <w:instrText xml:space="preserve"> REF _Ref416778046 \h </w:instrText>
      </w:r>
      <w:r w:rsidR="00691720">
        <w:fldChar w:fldCharType="separate"/>
      </w:r>
      <w:r w:rsidR="002B4CF4">
        <w:t xml:space="preserve">Table </w:t>
      </w:r>
      <w:r w:rsidR="002B4CF4">
        <w:rPr>
          <w:noProof/>
        </w:rPr>
        <w:t>1</w:t>
      </w:r>
      <w:r w:rsidR="002B4CF4">
        <w:t>.</w:t>
      </w:r>
      <w:r w:rsidR="002B4CF4">
        <w:rPr>
          <w:noProof/>
        </w:rPr>
        <w:t>3</w:t>
      </w:r>
      <w:r w:rsidR="00691720">
        <w:fldChar w:fldCharType="end"/>
      </w:r>
      <w:r w:rsidR="00691720">
        <w:t xml:space="preserve"> </w:t>
      </w:r>
      <w:r w:rsidR="00E81D1C">
        <w:t xml:space="preserve">sets out the factors that are included in the building block revenue allowance, and those additional factors that we have had regard to for </w:t>
      </w:r>
      <w:r w:rsidR="00795740">
        <w:t xml:space="preserve">revenue </w:t>
      </w:r>
      <w:r w:rsidR="00E81D1C">
        <w:t>smoothing purposes.</w:t>
      </w:r>
      <w:r w:rsidR="00000C69">
        <w:rPr>
          <w:rStyle w:val="FootnoteReference"/>
        </w:rPr>
        <w:footnoteReference w:id="7"/>
      </w:r>
      <w:r w:rsidR="001321BE">
        <w:t xml:space="preserve"> </w:t>
      </w:r>
    </w:p>
    <w:p w:rsidR="00E34FAE" w:rsidRDefault="009B04A2" w:rsidP="009B04A2">
      <w:pPr>
        <w:pStyle w:val="Caption"/>
      </w:pPr>
      <w:bookmarkStart w:id="23" w:name="_Ref416778046"/>
      <w:bookmarkStart w:id="24" w:name="_Ref415130347"/>
      <w:r>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Table \* ARABIC \s 1 </w:instrText>
      </w:r>
      <w:r w:rsidR="00F55BC8">
        <w:fldChar w:fldCharType="separate"/>
      </w:r>
      <w:r w:rsidR="002B4CF4">
        <w:rPr>
          <w:noProof/>
        </w:rPr>
        <w:t>3</w:t>
      </w:r>
      <w:r w:rsidR="00F55BC8">
        <w:rPr>
          <w:noProof/>
        </w:rPr>
        <w:fldChar w:fldCharType="end"/>
      </w:r>
      <w:bookmarkEnd w:id="23"/>
      <w:bookmarkEnd w:id="24"/>
      <w:r>
        <w:tab/>
      </w:r>
      <w:r w:rsidR="0003662E">
        <w:t xml:space="preserve">Factors included </w:t>
      </w:r>
      <w:r w:rsidR="00795740">
        <w:t>in</w:t>
      </w:r>
      <w:r w:rsidR="0003662E">
        <w:t xml:space="preserve"> the revenue building blocks and additional factors to inform smoothing</w:t>
      </w:r>
    </w:p>
    <w:tbl>
      <w:tblPr>
        <w:tblStyle w:val="AERtable-text0"/>
        <w:tblW w:w="0" w:type="auto"/>
        <w:tblLook w:val="04A0" w:firstRow="1" w:lastRow="0" w:firstColumn="1" w:lastColumn="0" w:noHBand="0" w:noVBand="1"/>
      </w:tblPr>
      <w:tblGrid>
        <w:gridCol w:w="4346"/>
        <w:gridCol w:w="4347"/>
      </w:tblGrid>
      <w:tr w:rsidR="005E7C89" w:rsidTr="005E7C89">
        <w:trPr>
          <w:cnfStyle w:val="100000000000" w:firstRow="1" w:lastRow="0" w:firstColumn="0" w:lastColumn="0" w:oddVBand="0" w:evenVBand="0" w:oddHBand="0" w:evenHBand="0" w:firstRowFirstColumn="0" w:firstRowLastColumn="0" w:lastRowFirstColumn="0" w:lastRowLastColumn="0"/>
        </w:trPr>
        <w:tc>
          <w:tcPr>
            <w:tcW w:w="4346" w:type="dxa"/>
          </w:tcPr>
          <w:p w:rsidR="005E7C89" w:rsidRDefault="005E7C89" w:rsidP="00E34FAE">
            <w:r>
              <w:t xml:space="preserve">Included in </w:t>
            </w:r>
            <w:r w:rsidR="00E34FAE">
              <w:t>revenue building blocks</w:t>
            </w:r>
          </w:p>
        </w:tc>
        <w:tc>
          <w:tcPr>
            <w:tcW w:w="4347" w:type="dxa"/>
          </w:tcPr>
          <w:p w:rsidR="005E7C89" w:rsidRDefault="005E7C89" w:rsidP="008427A9">
            <w:r>
              <w:t xml:space="preserve">Included </w:t>
            </w:r>
            <w:r w:rsidR="008427A9">
              <w:t>as annual revenue adjustments</w:t>
            </w:r>
          </w:p>
        </w:tc>
      </w:tr>
      <w:tr w:rsidR="005E7C89" w:rsidTr="00EF29B4">
        <w:trPr>
          <w:trHeight w:val="581"/>
        </w:trPr>
        <w:tc>
          <w:tcPr>
            <w:tcW w:w="4346" w:type="dxa"/>
          </w:tcPr>
          <w:p w:rsidR="005E7C89" w:rsidRDefault="000B0058" w:rsidP="000B0058">
            <w:r>
              <w:t>Standard b</w:t>
            </w:r>
            <w:r w:rsidR="005E7C89">
              <w:t xml:space="preserve">uilding block </w:t>
            </w:r>
            <w:r w:rsidR="00E34FAE">
              <w:t>costs</w:t>
            </w:r>
            <w:r>
              <w:t xml:space="preserve"> (return on capital, depreciation, opex and tax)</w:t>
            </w:r>
          </w:p>
        </w:tc>
        <w:tc>
          <w:tcPr>
            <w:tcW w:w="4347" w:type="dxa"/>
          </w:tcPr>
          <w:p w:rsidR="005E7C89" w:rsidRDefault="00E34FAE" w:rsidP="000B0058">
            <w:r>
              <w:t xml:space="preserve">Solar bonus scheme forecasts </w:t>
            </w:r>
            <w:r w:rsidR="000B0058" w:rsidRPr="000B0058">
              <w:t>(jurisdictional scheme obligation for FiT)</w:t>
            </w:r>
            <w:r w:rsidR="000B0058">
              <w:t xml:space="preserve"> </w:t>
            </w:r>
            <w:r>
              <w:t>for 2015–20</w:t>
            </w:r>
          </w:p>
        </w:tc>
      </w:tr>
      <w:tr w:rsidR="005E7C89" w:rsidTr="005E7C89">
        <w:trPr>
          <w:cnfStyle w:val="000000010000" w:firstRow="0" w:lastRow="0" w:firstColumn="0" w:lastColumn="0" w:oddVBand="0" w:evenVBand="0" w:oddHBand="0" w:evenHBand="1" w:firstRowFirstColumn="0" w:firstRowLastColumn="0" w:lastRowFirstColumn="0" w:lastRowLastColumn="0"/>
        </w:trPr>
        <w:tc>
          <w:tcPr>
            <w:tcW w:w="4346" w:type="dxa"/>
          </w:tcPr>
          <w:p w:rsidR="005E7C89" w:rsidRDefault="008427A9" w:rsidP="00163770">
            <w:r>
              <w:t xml:space="preserve">Closing balance on </w:t>
            </w:r>
            <w:proofErr w:type="spellStart"/>
            <w:r w:rsidRPr="008427A9">
              <w:t>DUoS</w:t>
            </w:r>
            <w:proofErr w:type="spellEnd"/>
            <w:r w:rsidRPr="008427A9">
              <w:t xml:space="preserve"> </w:t>
            </w:r>
            <w:proofErr w:type="spellStart"/>
            <w:r w:rsidRPr="008427A9">
              <w:t>unders</w:t>
            </w:r>
            <w:proofErr w:type="spellEnd"/>
            <w:r w:rsidRPr="008427A9">
              <w:t>/overs account as at 30 June 2015.</w:t>
            </w:r>
          </w:p>
        </w:tc>
        <w:tc>
          <w:tcPr>
            <w:tcW w:w="4347" w:type="dxa"/>
          </w:tcPr>
          <w:p w:rsidR="005E7C89" w:rsidRDefault="00E34FAE" w:rsidP="005E7C89">
            <w:r>
              <w:t>Estimated solar bonus scheme pass throughs for 2015–16 and 2016–</w:t>
            </w:r>
            <w:r w:rsidR="00BF2F5F">
              <w:t>1</w:t>
            </w:r>
            <w:r>
              <w:t>7 relating to under-recoveries in 2013–14 and 2014–15</w:t>
            </w:r>
          </w:p>
        </w:tc>
      </w:tr>
      <w:tr w:rsidR="005E7C89" w:rsidTr="005E7C89">
        <w:tc>
          <w:tcPr>
            <w:tcW w:w="4346" w:type="dxa"/>
          </w:tcPr>
          <w:p w:rsidR="005E7C89" w:rsidRDefault="005E7C89" w:rsidP="00795740">
            <w:r>
              <w:t>DMIA forecast</w:t>
            </w:r>
            <w:r w:rsidR="00E34FAE">
              <w:t xml:space="preserve"> for 2015</w:t>
            </w:r>
            <w:r w:rsidR="00E34FAE">
              <w:softHyphen/>
              <w:t>–20</w:t>
            </w:r>
            <w:r w:rsidR="00795740">
              <w:t xml:space="preserve"> </w:t>
            </w:r>
          </w:p>
        </w:tc>
        <w:tc>
          <w:tcPr>
            <w:tcW w:w="4347" w:type="dxa"/>
          </w:tcPr>
          <w:p w:rsidR="005E7C89" w:rsidRDefault="00000C69" w:rsidP="00000C69">
            <w:r>
              <w:t xml:space="preserve">Estimated </w:t>
            </w:r>
            <w:r w:rsidR="006F5739">
              <w:t>DU</w:t>
            </w:r>
            <w:r>
              <w:t>o</w:t>
            </w:r>
            <w:r w:rsidR="006F5739">
              <w:t>S under recovery</w:t>
            </w:r>
            <w:r>
              <w:t xml:space="preserve"> for 2013</w:t>
            </w:r>
            <w:r w:rsidRPr="00000C69">
              <w:t>–14</w:t>
            </w:r>
          </w:p>
        </w:tc>
      </w:tr>
      <w:tr w:rsidR="005E7C89" w:rsidTr="00EF29B4">
        <w:trPr>
          <w:cnfStyle w:val="000000010000" w:firstRow="0" w:lastRow="0" w:firstColumn="0" w:lastColumn="0" w:oddVBand="0" w:evenVBand="0" w:oddHBand="0" w:evenHBand="1" w:firstRowFirstColumn="0" w:firstRowLastColumn="0" w:lastRowFirstColumn="0" w:lastRowLastColumn="0"/>
          <w:trHeight w:val="550"/>
        </w:trPr>
        <w:tc>
          <w:tcPr>
            <w:tcW w:w="4346" w:type="dxa"/>
          </w:tcPr>
          <w:p w:rsidR="005E7C89" w:rsidRDefault="00CB5166" w:rsidP="005E7C89">
            <w:r>
              <w:t>Adjustment for shared assets</w:t>
            </w:r>
          </w:p>
        </w:tc>
        <w:tc>
          <w:tcPr>
            <w:tcW w:w="4347" w:type="dxa"/>
          </w:tcPr>
          <w:p w:rsidR="005E7C89" w:rsidRDefault="006F5739" w:rsidP="00BF2F5F">
            <w:r>
              <w:t>Transitional capital contribution under</w:t>
            </w:r>
            <w:r w:rsidR="00690A9A">
              <w:t>/</w:t>
            </w:r>
            <w:r>
              <w:t>over</w:t>
            </w:r>
            <w:r w:rsidR="00690A9A">
              <w:t xml:space="preserve"> recovery</w:t>
            </w:r>
            <w:r>
              <w:t xml:space="preserve"> </w:t>
            </w:r>
            <w:r w:rsidR="00690A9A">
              <w:t xml:space="preserve">from </w:t>
            </w:r>
            <w:r>
              <w:t>2010</w:t>
            </w:r>
            <w:r>
              <w:rPr>
                <w:rFonts w:ascii="Calibri" w:hAnsi="Calibri"/>
              </w:rPr>
              <w:t>–</w:t>
            </w:r>
            <w:r>
              <w:t>15</w:t>
            </w:r>
          </w:p>
        </w:tc>
      </w:tr>
      <w:tr w:rsidR="00E34FAE" w:rsidTr="00EF29B4">
        <w:trPr>
          <w:trHeight w:val="488"/>
        </w:trPr>
        <w:tc>
          <w:tcPr>
            <w:tcW w:w="4346" w:type="dxa"/>
          </w:tcPr>
          <w:p w:rsidR="00E34FAE" w:rsidRDefault="00E34FAE" w:rsidP="005E7C89">
            <w:r>
              <w:t>EBSS payments for performance during 2010</w:t>
            </w:r>
            <w:r>
              <w:softHyphen/>
              <w:t>–15</w:t>
            </w:r>
          </w:p>
        </w:tc>
        <w:tc>
          <w:tcPr>
            <w:tcW w:w="4347" w:type="dxa"/>
          </w:tcPr>
          <w:p w:rsidR="00E34FAE" w:rsidRDefault="006F5739" w:rsidP="00000C69">
            <w:r>
              <w:t>Transitional shared assets</w:t>
            </w:r>
            <w:r w:rsidRPr="006F5739">
              <w:t xml:space="preserve"> under</w:t>
            </w:r>
            <w:r w:rsidR="00690A9A">
              <w:t>/</w:t>
            </w:r>
            <w:r w:rsidRPr="006F5739">
              <w:t xml:space="preserve">over </w:t>
            </w:r>
            <w:r w:rsidR="00690A9A">
              <w:t xml:space="preserve">recovery from </w:t>
            </w:r>
            <w:r w:rsidRPr="006F5739">
              <w:t>2010–15</w:t>
            </w:r>
          </w:p>
        </w:tc>
      </w:tr>
      <w:tr w:rsidR="00825E89" w:rsidTr="005E7C89">
        <w:trPr>
          <w:cnfStyle w:val="000000010000" w:firstRow="0" w:lastRow="0" w:firstColumn="0" w:lastColumn="0" w:oddVBand="0" w:evenVBand="0" w:oddHBand="0" w:evenHBand="1" w:firstRowFirstColumn="0" w:firstRowLastColumn="0" w:lastRowFirstColumn="0" w:lastRowLastColumn="0"/>
        </w:trPr>
        <w:tc>
          <w:tcPr>
            <w:tcW w:w="4346" w:type="dxa"/>
          </w:tcPr>
          <w:p w:rsidR="00825E89" w:rsidRDefault="00000C69" w:rsidP="005E7C89">
            <w:r>
              <w:t>–</w:t>
            </w:r>
          </w:p>
        </w:tc>
        <w:tc>
          <w:tcPr>
            <w:tcW w:w="4347" w:type="dxa"/>
          </w:tcPr>
          <w:p w:rsidR="00825E89" w:rsidRDefault="00825E89" w:rsidP="00000C69">
            <w:r>
              <w:t>STPIS allowance</w:t>
            </w:r>
            <w:r w:rsidR="00690A9A">
              <w:t xml:space="preserve"> from 2010–15</w:t>
            </w:r>
          </w:p>
        </w:tc>
      </w:tr>
      <w:tr w:rsidR="00825E89" w:rsidTr="005E7C89">
        <w:tc>
          <w:tcPr>
            <w:tcW w:w="4346" w:type="dxa"/>
          </w:tcPr>
          <w:p w:rsidR="00825E89" w:rsidRDefault="00000C69" w:rsidP="005E7C89">
            <w:r>
              <w:t>–</w:t>
            </w:r>
          </w:p>
        </w:tc>
        <w:tc>
          <w:tcPr>
            <w:tcW w:w="4347" w:type="dxa"/>
          </w:tcPr>
          <w:p w:rsidR="00825E89" w:rsidRDefault="00825E89" w:rsidP="00BF2F5F">
            <w:r>
              <w:t>DMI</w:t>
            </w:r>
            <w:r w:rsidR="00000C69">
              <w:t>A</w:t>
            </w:r>
            <w:r>
              <w:t xml:space="preserve"> </w:t>
            </w:r>
            <w:r w:rsidR="00000C69">
              <w:t>over recovery</w:t>
            </w:r>
            <w:r w:rsidR="00690A9A">
              <w:t xml:space="preserve"> from 2010–15</w:t>
            </w:r>
          </w:p>
        </w:tc>
      </w:tr>
    </w:tbl>
    <w:p w:rsidR="005E7C89" w:rsidRPr="00BA40E1" w:rsidRDefault="0003662E" w:rsidP="000B0058">
      <w:pPr>
        <w:pStyle w:val="AERtablesource"/>
      </w:pPr>
      <w:r>
        <w:t xml:space="preserve">Source: </w:t>
      </w:r>
      <w:r w:rsidR="000B0058">
        <w:tab/>
      </w:r>
      <w:r>
        <w:t>AER analysis</w:t>
      </w:r>
      <w:r w:rsidR="000B0058">
        <w:t>.</w:t>
      </w:r>
    </w:p>
    <w:p w:rsidR="00BA40E1" w:rsidRPr="00BA40E1" w:rsidRDefault="00BA40E1" w:rsidP="00BA40E1">
      <w:r w:rsidRPr="00BA40E1">
        <w:lastRenderedPageBreak/>
        <w:t>The building block costs (and the elements that drive those costs) used to determine the unsmoothed ARR are set out below.</w:t>
      </w:r>
    </w:p>
    <w:p w:rsidR="00EB10DA" w:rsidRPr="00EB10DA" w:rsidRDefault="00EB10DA" w:rsidP="00EB10DA">
      <w:pPr>
        <w:pStyle w:val="Heading3"/>
      </w:pPr>
      <w:bookmarkStart w:id="25" w:name="_Ref417484699"/>
      <w:bookmarkStart w:id="26" w:name="_Toc417565189"/>
      <w:r>
        <w:t>The building block costs</w:t>
      </w:r>
      <w:bookmarkEnd w:id="21"/>
      <w:bookmarkEnd w:id="22"/>
      <w:bookmarkEnd w:id="25"/>
      <w:bookmarkEnd w:id="26"/>
      <w:r w:rsidRPr="00EB10DA">
        <w:t xml:space="preserve"> </w:t>
      </w:r>
    </w:p>
    <w:p w:rsidR="00EB10DA" w:rsidRDefault="00EB10DA" w:rsidP="00EB10DA">
      <w:pPr>
        <w:numPr>
          <w:ilvl w:val="0"/>
          <w:numId w:val="25"/>
        </w:numPr>
      </w:pPr>
      <w:r w:rsidRPr="009372B0">
        <w:t xml:space="preserve">The efficient costs to be recovered by a service provider can be thought of as being made up of various building block costs. Our </w:t>
      </w:r>
      <w:r w:rsidR="00DC62C5">
        <w:t>preliminary</w:t>
      </w:r>
      <w:r w:rsidRPr="009372B0">
        <w:t xml:space="preserve"> decision assesses each of the building block costs and the elements that drive these costs. The building block costs are approved reflecting trade-offs and interactions between the cost elements, service quality and across years.</w:t>
      </w:r>
      <w:r>
        <w:t xml:space="preserve"> </w:t>
      </w:r>
      <w:r>
        <w:fldChar w:fldCharType="begin"/>
      </w:r>
      <w:r>
        <w:instrText xml:space="preserve"> REF _Ref401571577 \h </w:instrText>
      </w:r>
      <w:r>
        <w:fldChar w:fldCharType="separate"/>
      </w:r>
      <w:r w:rsidR="002B4CF4">
        <w:t xml:space="preserve">Table </w:t>
      </w:r>
      <w:r w:rsidR="002B4CF4">
        <w:rPr>
          <w:noProof/>
        </w:rPr>
        <w:t>1</w:t>
      </w:r>
      <w:r w:rsidR="002B4CF4">
        <w:t>.</w:t>
      </w:r>
      <w:r w:rsidR="002B4CF4">
        <w:rPr>
          <w:noProof/>
        </w:rPr>
        <w:t>4</w:t>
      </w:r>
      <w:r>
        <w:fldChar w:fldCharType="end"/>
      </w:r>
      <w:r>
        <w:t xml:space="preserve"> </w:t>
      </w:r>
      <w:r w:rsidRPr="009372B0">
        <w:t xml:space="preserve">shows the building block costs that form the ARR for each year and where discussion on the elements that drive these costs can be found within this </w:t>
      </w:r>
      <w:r w:rsidR="00DC62C5">
        <w:t>preliminary</w:t>
      </w:r>
      <w:r w:rsidRPr="009372B0">
        <w:t xml:space="preserve"> decision.</w:t>
      </w:r>
    </w:p>
    <w:p w:rsidR="00EB10DA" w:rsidRDefault="00EB10DA" w:rsidP="00EB10DA">
      <w:pPr>
        <w:pStyle w:val="Caption"/>
      </w:pPr>
      <w:bookmarkStart w:id="27" w:name="_Ref401571577"/>
      <w:r>
        <w:t xml:space="preserve">Table </w:t>
      </w:r>
      <w:r w:rsidR="00F55BC8">
        <w:fldChar w:fldCharType="begin"/>
      </w:r>
      <w:r w:rsidR="00F55BC8">
        <w:instrText xml:space="preserve"> STYLEREF 1 \</w:instrText>
      </w:r>
      <w:r w:rsidR="00F55BC8">
        <w:instrText xml:space="preserve">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Table \* ARABIC \s 1 </w:instrText>
      </w:r>
      <w:r w:rsidR="00F55BC8">
        <w:fldChar w:fldCharType="separate"/>
      </w:r>
      <w:r w:rsidR="002B4CF4">
        <w:rPr>
          <w:noProof/>
        </w:rPr>
        <w:t>4</w:t>
      </w:r>
      <w:r w:rsidR="00F55BC8">
        <w:rPr>
          <w:noProof/>
        </w:rPr>
        <w:fldChar w:fldCharType="end"/>
      </w:r>
      <w:bookmarkEnd w:id="27"/>
      <w:r>
        <w:tab/>
        <w:t>Building block costs</w:t>
      </w:r>
    </w:p>
    <w:tbl>
      <w:tblPr>
        <w:tblStyle w:val="AERtable-numbers"/>
        <w:tblW w:w="8755" w:type="dxa"/>
        <w:tblLook w:val="04A0" w:firstRow="1" w:lastRow="0" w:firstColumn="1" w:lastColumn="0" w:noHBand="0" w:noVBand="1"/>
      </w:tblPr>
      <w:tblGrid>
        <w:gridCol w:w="3959"/>
        <w:gridCol w:w="4796"/>
      </w:tblGrid>
      <w:tr w:rsidR="00EB10DA" w:rsidRPr="00356B64" w:rsidTr="00D03746">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hideMark/>
          </w:tcPr>
          <w:p w:rsidR="00EB10DA" w:rsidRPr="00FB1CA1" w:rsidRDefault="00EB10DA" w:rsidP="00FB1CA1">
            <w:r w:rsidRPr="00FB1CA1">
              <w:t> Building block costs</w:t>
            </w:r>
          </w:p>
        </w:tc>
        <w:tc>
          <w:tcPr>
            <w:tcW w:w="4796" w:type="dxa"/>
            <w:noWrap/>
            <w:hideMark/>
          </w:tcPr>
          <w:p w:rsidR="00EB10DA" w:rsidRPr="00FB1CA1" w:rsidRDefault="00EB10DA" w:rsidP="00FB1CA1">
            <w:pPr>
              <w:cnfStyle w:val="100000000000" w:firstRow="1" w:lastRow="0" w:firstColumn="0" w:lastColumn="0" w:oddVBand="0" w:evenVBand="0" w:oddHBand="0" w:evenHBand="0" w:firstRowFirstColumn="0" w:firstRowLastColumn="0" w:lastRowFirstColumn="0" w:lastRowLastColumn="0"/>
            </w:pPr>
            <w:r w:rsidRPr="00FB1CA1">
              <w:t>Attachments where elements are discussed</w:t>
            </w:r>
          </w:p>
        </w:tc>
      </w:tr>
      <w:tr w:rsidR="00EB10DA" w:rsidRPr="00E77F29" w:rsidTr="00D03746">
        <w:trPr>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EB10DA" w:rsidRPr="00FB1CA1" w:rsidRDefault="00EB10DA" w:rsidP="00FB1CA1">
            <w:r w:rsidRPr="00FB1CA1">
              <w:t>Return on capital</w:t>
            </w:r>
          </w:p>
        </w:tc>
        <w:tc>
          <w:tcPr>
            <w:tcW w:w="4796" w:type="dxa"/>
            <w:noWrap/>
            <w:hideMark/>
          </w:tcPr>
          <w:p w:rsidR="00EB10DA" w:rsidRPr="00FB1CA1" w:rsidRDefault="00EB10DA" w:rsidP="00FB1CA1">
            <w:pPr>
              <w:cnfStyle w:val="000000000000" w:firstRow="0" w:lastRow="0" w:firstColumn="0" w:lastColumn="0" w:oddVBand="0" w:evenVBand="0" w:oddHBand="0" w:evenHBand="0" w:firstRowFirstColumn="0" w:firstRowLastColumn="0" w:lastRowFirstColumn="0" w:lastRowLastColumn="0"/>
            </w:pPr>
            <w:r w:rsidRPr="00FB1CA1">
              <w:t>Regulatory asset base (attachment 2)</w:t>
            </w:r>
          </w:p>
          <w:p w:rsidR="00EB10DA" w:rsidRPr="00FB1CA1" w:rsidRDefault="00EB10DA" w:rsidP="00FB1CA1">
            <w:pPr>
              <w:cnfStyle w:val="000000000000" w:firstRow="0" w:lastRow="0" w:firstColumn="0" w:lastColumn="0" w:oddVBand="0" w:evenVBand="0" w:oddHBand="0" w:evenHBand="0" w:firstRowFirstColumn="0" w:firstRowLastColumn="0" w:lastRowFirstColumn="0" w:lastRowLastColumn="0"/>
            </w:pPr>
            <w:r w:rsidRPr="00FB1CA1">
              <w:t xml:space="preserve">Capex (attachment 6) </w:t>
            </w:r>
          </w:p>
          <w:p w:rsidR="00EB10DA" w:rsidRPr="00FB1CA1" w:rsidRDefault="00EB10DA" w:rsidP="00FB1CA1">
            <w:pPr>
              <w:cnfStyle w:val="000000000000" w:firstRow="0" w:lastRow="0" w:firstColumn="0" w:lastColumn="0" w:oddVBand="0" w:evenVBand="0" w:oddHBand="0" w:evenHBand="0" w:firstRowFirstColumn="0" w:firstRowLastColumn="0" w:lastRowFirstColumn="0" w:lastRowLastColumn="0"/>
            </w:pPr>
            <w:r w:rsidRPr="00FB1CA1">
              <w:t>Rate of return (attachment 3)</w:t>
            </w:r>
          </w:p>
        </w:tc>
      </w:tr>
      <w:tr w:rsidR="00EB10DA" w:rsidRPr="00356B64" w:rsidTr="00D03746">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EB10DA" w:rsidRPr="00FB1CA1" w:rsidRDefault="00EB10DA" w:rsidP="00FB1CA1">
            <w:r w:rsidRPr="00FB1CA1">
              <w:t>Regulatory depreciation (return of capital)</w:t>
            </w:r>
          </w:p>
        </w:tc>
        <w:tc>
          <w:tcPr>
            <w:tcW w:w="4796" w:type="dxa"/>
            <w:noWrap/>
            <w:hideMark/>
          </w:tcPr>
          <w:p w:rsidR="00EB10DA" w:rsidRPr="00FB1CA1" w:rsidRDefault="00EB10DA" w:rsidP="00FB1CA1">
            <w:pPr>
              <w:cnfStyle w:val="000000010000" w:firstRow="0" w:lastRow="0" w:firstColumn="0" w:lastColumn="0" w:oddVBand="0" w:evenVBand="0" w:oddHBand="0" w:evenHBand="1" w:firstRowFirstColumn="0" w:firstRowLastColumn="0" w:lastRowFirstColumn="0" w:lastRowLastColumn="0"/>
            </w:pPr>
            <w:r w:rsidRPr="00FB1CA1">
              <w:t>Regulatory asset base (attachment 2)</w:t>
            </w:r>
          </w:p>
          <w:p w:rsidR="00EB10DA" w:rsidRPr="00FB1CA1" w:rsidRDefault="00EB10DA" w:rsidP="00FB1CA1">
            <w:pPr>
              <w:cnfStyle w:val="000000010000" w:firstRow="0" w:lastRow="0" w:firstColumn="0" w:lastColumn="0" w:oddVBand="0" w:evenVBand="0" w:oddHBand="0" w:evenHBand="1" w:firstRowFirstColumn="0" w:firstRowLastColumn="0" w:lastRowFirstColumn="0" w:lastRowLastColumn="0"/>
            </w:pPr>
            <w:r w:rsidRPr="00FB1CA1">
              <w:t xml:space="preserve">Capex (attachment 6) </w:t>
            </w:r>
          </w:p>
          <w:p w:rsidR="00EB10DA" w:rsidRPr="00FB1CA1" w:rsidRDefault="00EB10DA" w:rsidP="00FB1CA1">
            <w:pPr>
              <w:cnfStyle w:val="000000010000" w:firstRow="0" w:lastRow="0" w:firstColumn="0" w:lastColumn="0" w:oddVBand="0" w:evenVBand="0" w:oddHBand="0" w:evenHBand="1" w:firstRowFirstColumn="0" w:firstRowLastColumn="0" w:lastRowFirstColumn="0" w:lastRowLastColumn="0"/>
            </w:pPr>
            <w:r w:rsidRPr="00FB1CA1">
              <w:t>Rate of return (attachment 3) </w:t>
            </w:r>
          </w:p>
        </w:tc>
      </w:tr>
      <w:tr w:rsidR="00EB10DA" w:rsidRPr="00356B64" w:rsidTr="00D03746">
        <w:trPr>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EB10DA" w:rsidRPr="00FB1CA1" w:rsidRDefault="00EB10DA" w:rsidP="00FB1CA1">
            <w:r w:rsidRPr="00FB1CA1">
              <w:t>Operating expenditure (opex)</w:t>
            </w:r>
          </w:p>
        </w:tc>
        <w:tc>
          <w:tcPr>
            <w:tcW w:w="4796" w:type="dxa"/>
            <w:noWrap/>
            <w:hideMark/>
          </w:tcPr>
          <w:p w:rsidR="00EB10DA" w:rsidRPr="00FB1CA1" w:rsidRDefault="00EB10DA" w:rsidP="00FB1CA1">
            <w:pPr>
              <w:cnfStyle w:val="000000000000" w:firstRow="0" w:lastRow="0" w:firstColumn="0" w:lastColumn="0" w:oddVBand="0" w:evenVBand="0" w:oddHBand="0" w:evenHBand="0" w:firstRowFirstColumn="0" w:firstRowLastColumn="0" w:lastRowFirstColumn="0" w:lastRowLastColumn="0"/>
            </w:pPr>
            <w:r w:rsidRPr="00FB1CA1">
              <w:t>Opex (attachment 7)</w:t>
            </w:r>
          </w:p>
        </w:tc>
      </w:tr>
      <w:tr w:rsidR="00EB10DA" w:rsidRPr="00356B64" w:rsidTr="00D03746">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EB10DA" w:rsidRPr="00FB1CA1" w:rsidRDefault="00EB10DA" w:rsidP="00FB1CA1">
            <w:r w:rsidRPr="00FB1CA1">
              <w:t>Efficiency benefits/penalties</w:t>
            </w:r>
          </w:p>
        </w:tc>
        <w:tc>
          <w:tcPr>
            <w:tcW w:w="4796" w:type="dxa"/>
            <w:noWrap/>
            <w:hideMark/>
          </w:tcPr>
          <w:p w:rsidR="00EB10DA" w:rsidRPr="00FB1CA1" w:rsidRDefault="00EB10DA" w:rsidP="00FB1CA1">
            <w:pPr>
              <w:cnfStyle w:val="000000010000" w:firstRow="0" w:lastRow="0" w:firstColumn="0" w:lastColumn="0" w:oddVBand="0" w:evenVBand="0" w:oddHBand="0" w:evenHBand="1" w:firstRowFirstColumn="0" w:firstRowLastColumn="0" w:lastRowFirstColumn="0" w:lastRowLastColumn="0"/>
            </w:pPr>
            <w:r w:rsidRPr="00FB1CA1">
              <w:t>Efficiency benefit sharing scheme (attachment 9) </w:t>
            </w:r>
          </w:p>
        </w:tc>
      </w:tr>
      <w:tr w:rsidR="00EB10DA" w:rsidRPr="00356B64" w:rsidTr="00D03746">
        <w:trPr>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EB10DA" w:rsidRPr="00FB1CA1" w:rsidRDefault="00EB10DA" w:rsidP="00FB1CA1">
            <w:r w:rsidRPr="00FB1CA1">
              <w:t>Estimated cost of corporate tax</w:t>
            </w:r>
          </w:p>
        </w:tc>
        <w:tc>
          <w:tcPr>
            <w:tcW w:w="4796" w:type="dxa"/>
            <w:noWrap/>
          </w:tcPr>
          <w:p w:rsidR="00EB10DA" w:rsidRPr="00FB1CA1" w:rsidRDefault="00EB10DA" w:rsidP="00FB1CA1">
            <w:pPr>
              <w:cnfStyle w:val="000000000000" w:firstRow="0" w:lastRow="0" w:firstColumn="0" w:lastColumn="0" w:oddVBand="0" w:evenVBand="0" w:oddHBand="0" w:evenHBand="0" w:firstRowFirstColumn="0" w:firstRowLastColumn="0" w:lastRowFirstColumn="0" w:lastRowLastColumn="0"/>
            </w:pPr>
            <w:r w:rsidRPr="00FB1CA1">
              <w:t xml:space="preserve">Corporate income tax  (attachment 8) </w:t>
            </w:r>
          </w:p>
          <w:p w:rsidR="00EB10DA" w:rsidRPr="00FB1CA1" w:rsidRDefault="00EB10DA" w:rsidP="00FB1CA1">
            <w:pPr>
              <w:cnfStyle w:val="000000000000" w:firstRow="0" w:lastRow="0" w:firstColumn="0" w:lastColumn="0" w:oddVBand="0" w:evenVBand="0" w:oddHBand="0" w:evenHBand="0" w:firstRowFirstColumn="0" w:firstRowLastColumn="0" w:lastRowFirstColumn="0" w:lastRowLastColumn="0"/>
            </w:pPr>
            <w:r w:rsidRPr="00FB1CA1">
              <w:t>Rate of return (attachment 4)</w:t>
            </w:r>
          </w:p>
        </w:tc>
      </w:tr>
      <w:tr w:rsidR="00F15261" w:rsidRPr="00356B64" w:rsidTr="00F1526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F15261" w:rsidRPr="00F15261" w:rsidRDefault="00F15261" w:rsidP="00F15261">
            <w:r>
              <w:t xml:space="preserve">Closing balance of </w:t>
            </w:r>
            <w:proofErr w:type="spellStart"/>
            <w:r>
              <w:t>DUoS</w:t>
            </w:r>
            <w:proofErr w:type="spellEnd"/>
            <w:r>
              <w:t xml:space="preserve"> </w:t>
            </w:r>
            <w:proofErr w:type="spellStart"/>
            <w:r w:rsidRPr="00F15261">
              <w:t>unders</w:t>
            </w:r>
            <w:proofErr w:type="spellEnd"/>
            <w:r w:rsidRPr="00F15261">
              <w:t>/overs account</w:t>
            </w:r>
          </w:p>
        </w:tc>
        <w:tc>
          <w:tcPr>
            <w:tcW w:w="4796" w:type="dxa"/>
            <w:noWrap/>
          </w:tcPr>
          <w:p w:rsidR="00F15261" w:rsidRPr="00F15261" w:rsidRDefault="00F15261" w:rsidP="00F15261">
            <w:pPr>
              <w:cnfStyle w:val="000000010000" w:firstRow="0" w:lastRow="0" w:firstColumn="0" w:lastColumn="0" w:oddVBand="0" w:evenVBand="0" w:oddHBand="0" w:evenHBand="1" w:firstRowFirstColumn="0" w:firstRowLastColumn="0" w:lastRowFirstColumn="0" w:lastRowLastColumn="0"/>
            </w:pPr>
            <w:r w:rsidRPr="00DE27DD">
              <w:t>Annual revenue requirement (attachment 1)</w:t>
            </w:r>
          </w:p>
        </w:tc>
      </w:tr>
      <w:tr w:rsidR="000B0058" w:rsidRPr="00356B64" w:rsidTr="009A2F6F">
        <w:trPr>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0B0058" w:rsidRPr="00FB1CA1" w:rsidRDefault="000B0058" w:rsidP="00FB1CA1">
            <w:r>
              <w:t>Adjustment for shared assets</w:t>
            </w:r>
          </w:p>
        </w:tc>
        <w:tc>
          <w:tcPr>
            <w:tcW w:w="4796" w:type="dxa"/>
            <w:noWrap/>
          </w:tcPr>
          <w:p w:rsidR="000B0058" w:rsidRPr="00FB1CA1" w:rsidRDefault="000B0058" w:rsidP="00FB1CA1">
            <w:pPr>
              <w:cnfStyle w:val="000000000000" w:firstRow="0" w:lastRow="0" w:firstColumn="0" w:lastColumn="0" w:oddVBand="0" w:evenVBand="0" w:oddHBand="0" w:evenHBand="0" w:firstRowFirstColumn="0" w:firstRowLastColumn="0" w:lastRowFirstColumn="0" w:lastRowLastColumn="0"/>
            </w:pPr>
            <w:r>
              <w:t>Annual revenue requirement (attachment 1)</w:t>
            </w:r>
          </w:p>
        </w:tc>
      </w:tr>
      <w:tr w:rsidR="00584860" w:rsidRPr="00356B64" w:rsidTr="009A2F6F">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59" w:type="dxa"/>
            <w:noWrap/>
          </w:tcPr>
          <w:p w:rsidR="00584860" w:rsidRDefault="00584860" w:rsidP="00FB1CA1">
            <w:r>
              <w:t>Demand management innovation allowance</w:t>
            </w:r>
          </w:p>
        </w:tc>
        <w:tc>
          <w:tcPr>
            <w:tcW w:w="4796" w:type="dxa"/>
            <w:noWrap/>
          </w:tcPr>
          <w:p w:rsidR="00584860" w:rsidRDefault="00584860" w:rsidP="00FB1CA1">
            <w:pPr>
              <w:cnfStyle w:val="000000010000" w:firstRow="0" w:lastRow="0" w:firstColumn="0" w:lastColumn="0" w:oddVBand="0" w:evenVBand="0" w:oddHBand="0" w:evenHBand="1" w:firstRowFirstColumn="0" w:firstRowLastColumn="0" w:lastRowFirstColumn="0" w:lastRowLastColumn="0"/>
            </w:pPr>
            <w:r>
              <w:t>Demand management incentive scheme (attachment 12)</w:t>
            </w:r>
          </w:p>
        </w:tc>
      </w:tr>
    </w:tbl>
    <w:p w:rsidR="00DE563D" w:rsidRPr="00496A7C" w:rsidRDefault="00DE563D" w:rsidP="00496A7C">
      <w:pPr>
        <w:pStyle w:val="Heading2"/>
      </w:pPr>
      <w:bookmarkStart w:id="28" w:name="_Toc403144140"/>
      <w:bookmarkStart w:id="29" w:name="_Toc417565190"/>
      <w:r w:rsidRPr="00496A7C">
        <w:t>Reasons for preliminary decision</w:t>
      </w:r>
      <w:bookmarkEnd w:id="28"/>
      <w:bookmarkEnd w:id="29"/>
      <w:r w:rsidRPr="00496A7C">
        <w:t xml:space="preserve"> </w:t>
      </w:r>
    </w:p>
    <w:p w:rsidR="00813E06" w:rsidRDefault="003D7FC8" w:rsidP="00813E06">
      <w:pPr>
        <w:numPr>
          <w:ilvl w:val="0"/>
          <w:numId w:val="25"/>
        </w:numPr>
      </w:pPr>
      <w:r>
        <w:t>For this preliminary decision, w</w:t>
      </w:r>
      <w:r w:rsidR="00813E06">
        <w:t xml:space="preserve">e </w:t>
      </w:r>
      <w:r w:rsidR="00813E06" w:rsidRPr="009F3302">
        <w:t>determine a total revenue requirement of $</w:t>
      </w:r>
      <w:r w:rsidR="00033E05">
        <w:t>6012.6</w:t>
      </w:r>
      <w:r w:rsidR="00813E06" w:rsidRPr="009F3302">
        <w:t xml:space="preserve"> million ($ nominal) </w:t>
      </w:r>
      <w:r w:rsidR="00B173ED">
        <w:t>over the 2015–20</w:t>
      </w:r>
      <w:r w:rsidR="00813E06">
        <w:t xml:space="preserve"> period </w:t>
      </w:r>
      <w:r w:rsidR="00813E06" w:rsidRPr="009F3302">
        <w:t xml:space="preserve">for </w:t>
      </w:r>
      <w:r w:rsidR="00B173ED">
        <w:t>Ergon Energy</w:t>
      </w:r>
      <w:r w:rsidR="00813E06">
        <w:t xml:space="preserve">. This is </w:t>
      </w:r>
      <w:r w:rsidR="00813E06" w:rsidRPr="009F3302">
        <w:t>$</w:t>
      </w:r>
      <w:r w:rsidR="00813E06">
        <w:t>2</w:t>
      </w:r>
      <w:r w:rsidR="00033E05">
        <w:t>216.1</w:t>
      </w:r>
      <w:r w:rsidR="00813E06">
        <w:t> </w:t>
      </w:r>
      <w:r w:rsidR="00813E06" w:rsidRPr="009F3302">
        <w:t xml:space="preserve">million ($ nominal) or </w:t>
      </w:r>
      <w:r w:rsidR="00813E06">
        <w:t>2</w:t>
      </w:r>
      <w:r w:rsidR="00B2448C">
        <w:t>6.9</w:t>
      </w:r>
      <w:r w:rsidR="00813E06" w:rsidRPr="009F3302">
        <w:t xml:space="preserve"> per cent below </w:t>
      </w:r>
      <w:r w:rsidR="001321BE">
        <w:t>Ergon Energy's</w:t>
      </w:r>
      <w:r w:rsidR="00813E06">
        <w:t xml:space="preserve"> </w:t>
      </w:r>
      <w:r w:rsidR="00813E06" w:rsidRPr="009F3302">
        <w:t>proposal</w:t>
      </w:r>
      <w:r w:rsidR="00813E06">
        <w:t>. Th</w:t>
      </w:r>
      <w:r w:rsidR="00294621">
        <w:t>is</w:t>
      </w:r>
      <w:r w:rsidR="00813E06" w:rsidRPr="009F3302">
        <w:t xml:space="preserve"> reflect</w:t>
      </w:r>
      <w:r w:rsidR="00294621">
        <w:t>s</w:t>
      </w:r>
      <w:r w:rsidR="00813E06" w:rsidRPr="009F3302">
        <w:t xml:space="preserve"> the impact of our </w:t>
      </w:r>
      <w:r w:rsidR="00DC62C5">
        <w:t>preliminary</w:t>
      </w:r>
      <w:r w:rsidR="00813E06" w:rsidRPr="009F3302">
        <w:t xml:space="preserve"> decision on the various building block costs. </w:t>
      </w:r>
      <w:r w:rsidR="00813E06">
        <w:fldChar w:fldCharType="begin"/>
      </w:r>
      <w:r w:rsidR="00813E06">
        <w:instrText xml:space="preserve"> REF _Ref403482882 \h </w:instrText>
      </w:r>
      <w:r w:rsidR="00813E06">
        <w:fldChar w:fldCharType="separate"/>
      </w:r>
      <w:r w:rsidR="002B4CF4">
        <w:t xml:space="preserve">Figure </w:t>
      </w:r>
      <w:r w:rsidR="002B4CF4">
        <w:rPr>
          <w:noProof/>
        </w:rPr>
        <w:t>1</w:t>
      </w:r>
      <w:r w:rsidR="002B4CF4">
        <w:t>.</w:t>
      </w:r>
      <w:r w:rsidR="002B4CF4">
        <w:rPr>
          <w:noProof/>
        </w:rPr>
        <w:t>2</w:t>
      </w:r>
      <w:r w:rsidR="00813E06">
        <w:fldChar w:fldCharType="end"/>
      </w:r>
      <w:r w:rsidR="00813E06" w:rsidRPr="009F3302">
        <w:t xml:space="preserve"> show</w:t>
      </w:r>
      <w:r w:rsidR="001321BE">
        <w:t>s</w:t>
      </w:r>
      <w:r w:rsidR="00813E06" w:rsidRPr="009F3302">
        <w:t xml:space="preserve"> the difference between </w:t>
      </w:r>
      <w:r w:rsidR="00B173ED">
        <w:t>Ergon Energy's proposed ARR</w:t>
      </w:r>
      <w:r w:rsidR="003A41F3">
        <w:t>s</w:t>
      </w:r>
      <w:r w:rsidR="00813E06" w:rsidRPr="009F3302">
        <w:t xml:space="preserve"> and our </w:t>
      </w:r>
      <w:r w:rsidR="00DC62C5">
        <w:t>preliminary</w:t>
      </w:r>
      <w:r w:rsidR="00813E06" w:rsidRPr="009F3302">
        <w:t xml:space="preserve"> decision.</w:t>
      </w:r>
    </w:p>
    <w:p w:rsidR="00813E06" w:rsidRDefault="00813E06" w:rsidP="00813E06">
      <w:pPr>
        <w:pStyle w:val="Caption"/>
      </w:pPr>
      <w:bookmarkStart w:id="30" w:name="_Ref403482882"/>
      <w:r>
        <w:lastRenderedPageBreak/>
        <w:t xml:space="preserve">Figure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Figure \* ARABIC \s 1 </w:instrText>
      </w:r>
      <w:r w:rsidR="00F55BC8">
        <w:fldChar w:fldCharType="separate"/>
      </w:r>
      <w:r w:rsidR="002B4CF4">
        <w:rPr>
          <w:noProof/>
        </w:rPr>
        <w:t>2</w:t>
      </w:r>
      <w:r w:rsidR="00F55BC8">
        <w:rPr>
          <w:noProof/>
        </w:rPr>
        <w:fldChar w:fldCharType="end"/>
      </w:r>
      <w:bookmarkEnd w:id="30"/>
      <w:r>
        <w:tab/>
        <w:t xml:space="preserve">AER's </w:t>
      </w:r>
      <w:r w:rsidR="00DC62C5">
        <w:t>preliminary</w:t>
      </w:r>
      <w:r>
        <w:t xml:space="preserve"> decision and </w:t>
      </w:r>
      <w:r w:rsidR="00294621">
        <w:t>Ergon Energy</w:t>
      </w:r>
      <w:r>
        <w:t xml:space="preserve">'s proposed annual revenue requirements ($million, nominal) </w:t>
      </w:r>
    </w:p>
    <w:p w:rsidR="00813E06" w:rsidRDefault="006B2BD9" w:rsidP="00813E06">
      <w:pPr>
        <w:numPr>
          <w:ilvl w:val="0"/>
          <w:numId w:val="25"/>
        </w:numPr>
      </w:pPr>
      <w:r w:rsidRPr="006B2BD9">
        <w:rPr>
          <w:noProof/>
          <w:lang w:eastAsia="en-AU"/>
        </w:rPr>
        <w:drawing>
          <wp:inline distT="0" distB="0" distL="0" distR="0" wp14:anchorId="112A4E5D" wp14:editId="1F0CF165">
            <wp:extent cx="5382895" cy="3939861"/>
            <wp:effectExtent l="0" t="0" r="825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813E06" w:rsidRDefault="00813E06">
      <w:pPr>
        <w:pStyle w:val="AERtablesource"/>
      </w:pPr>
      <w:r>
        <w:t>Source:</w:t>
      </w:r>
      <w:r>
        <w:tab/>
      </w:r>
      <w:r w:rsidRPr="002370BB">
        <w:t>AER analysis</w:t>
      </w:r>
      <w:r>
        <w:t xml:space="preserve">; </w:t>
      </w:r>
      <w:r w:rsidR="006B2BD9">
        <w:t>Ergon Energy</w:t>
      </w:r>
      <w:r w:rsidRPr="002370BB">
        <w:t xml:space="preserve">, </w:t>
      </w:r>
      <w:r w:rsidRPr="008624BE">
        <w:rPr>
          <w:rStyle w:val="AERtextitalic"/>
        </w:rPr>
        <w:t>Regulatory proposal</w:t>
      </w:r>
      <w:r w:rsidRPr="002370BB">
        <w:t xml:space="preserve">, </w:t>
      </w:r>
      <w:r w:rsidR="006B2BD9">
        <w:t>October</w:t>
      </w:r>
      <w:r w:rsidRPr="002370BB">
        <w:t xml:space="preserve"> 2014, </w:t>
      </w:r>
      <w:r w:rsidR="006B2BD9">
        <w:t>p 27</w:t>
      </w:r>
      <w:r w:rsidRPr="002370BB">
        <w:t xml:space="preserve">. </w:t>
      </w:r>
    </w:p>
    <w:p w:rsidR="00920E99" w:rsidRDefault="00813E06" w:rsidP="00813E06">
      <w:r w:rsidRPr="00C467BF">
        <w:t xml:space="preserve">The most significant changes to </w:t>
      </w:r>
      <w:r w:rsidR="00B173ED">
        <w:t>Ergon Energy's</w:t>
      </w:r>
      <w:r w:rsidRPr="00C467BF">
        <w:t xml:space="preserve"> proposal include: a </w:t>
      </w:r>
      <w:r w:rsidR="00294621">
        <w:t>reduction to the</w:t>
      </w:r>
      <w:r w:rsidRPr="00C467BF">
        <w:t xml:space="preserve"> rate of return of </w:t>
      </w:r>
      <w:r w:rsidR="00D06388">
        <w:t>2.2</w:t>
      </w:r>
      <w:r w:rsidRPr="00C467BF">
        <w:t xml:space="preserve"> per cent (attachment </w:t>
      </w:r>
      <w:r>
        <w:t>3</w:t>
      </w:r>
      <w:r w:rsidRPr="00C467BF">
        <w:t xml:space="preserve">), a reduction in the capex allowance of </w:t>
      </w:r>
      <w:r w:rsidR="00D06388">
        <w:t>29.1</w:t>
      </w:r>
      <w:r w:rsidRPr="00C467BF">
        <w:t xml:space="preserve"> per cent (attachment </w:t>
      </w:r>
      <w:r>
        <w:t>6</w:t>
      </w:r>
      <w:r w:rsidRPr="00C467BF">
        <w:t xml:space="preserve">), and a reduction in the opex allowance of </w:t>
      </w:r>
      <w:r w:rsidR="00D06388">
        <w:t>10.5</w:t>
      </w:r>
      <w:r w:rsidRPr="00C467BF">
        <w:t xml:space="preserve"> per cent (attachment </w:t>
      </w:r>
      <w:r>
        <w:t>7</w:t>
      </w:r>
      <w:r w:rsidRPr="00C467BF">
        <w:t>).</w:t>
      </w:r>
    </w:p>
    <w:p w:rsidR="002646FA" w:rsidRDefault="002646FA" w:rsidP="00D03746">
      <w:pPr>
        <w:pStyle w:val="Heading3"/>
      </w:pPr>
      <w:bookmarkStart w:id="31" w:name="_Toc417565191"/>
      <w:r>
        <w:t>Revenue smoothing</w:t>
      </w:r>
      <w:bookmarkEnd w:id="31"/>
    </w:p>
    <w:p w:rsidR="004504BD" w:rsidRDefault="0001117E" w:rsidP="00813E06">
      <w:r>
        <w:t>W</w:t>
      </w:r>
      <w:r w:rsidR="00505DE6">
        <w:t xml:space="preserve">e have determined our smoothed revenue path having regard to major drivers of </w:t>
      </w:r>
      <w:r w:rsidR="002646FA">
        <w:t xml:space="preserve">total network </w:t>
      </w:r>
      <w:r w:rsidR="00505DE6">
        <w:t>revenue</w:t>
      </w:r>
      <w:r w:rsidR="002646FA">
        <w:t>s</w:t>
      </w:r>
      <w:r w:rsidR="00505DE6">
        <w:t xml:space="preserve"> </w:t>
      </w:r>
      <w:r w:rsidR="002646FA">
        <w:t>(distribution use of system—</w:t>
      </w:r>
      <w:r w:rsidR="008603D1">
        <w:t>DUo</w:t>
      </w:r>
      <w:r w:rsidR="002646FA">
        <w:t>S—charges)</w:t>
      </w:r>
      <w:r>
        <w:t xml:space="preserve">, </w:t>
      </w:r>
      <w:r w:rsidR="00033E05">
        <w:t>including</w:t>
      </w:r>
      <w:r>
        <w:t xml:space="preserve"> elements</w:t>
      </w:r>
      <w:r w:rsidR="002646FA">
        <w:t xml:space="preserve"> </w:t>
      </w:r>
      <w:r w:rsidR="00505DE6">
        <w:t>that do not fit in the building blocks</w:t>
      </w:r>
      <w:r w:rsidR="00690A9A">
        <w:t xml:space="preserve"> as set out in </w:t>
      </w:r>
      <w:r w:rsidR="00690A9A">
        <w:fldChar w:fldCharType="begin"/>
      </w:r>
      <w:r w:rsidR="00690A9A">
        <w:instrText xml:space="preserve"> REF _Ref416778046 \h </w:instrText>
      </w:r>
      <w:r w:rsidR="00690A9A">
        <w:fldChar w:fldCharType="separate"/>
      </w:r>
      <w:r w:rsidR="002B4CF4">
        <w:t xml:space="preserve">Table </w:t>
      </w:r>
      <w:r w:rsidR="002B4CF4">
        <w:rPr>
          <w:noProof/>
        </w:rPr>
        <w:t>1</w:t>
      </w:r>
      <w:r w:rsidR="002B4CF4">
        <w:t>.</w:t>
      </w:r>
      <w:r w:rsidR="002B4CF4">
        <w:rPr>
          <w:noProof/>
        </w:rPr>
        <w:t>3</w:t>
      </w:r>
      <w:r w:rsidR="00690A9A">
        <w:fldChar w:fldCharType="end"/>
      </w:r>
      <w:r w:rsidR="00505DE6">
        <w:t xml:space="preserve">. In particular, Ergon Energy has forecast </w:t>
      </w:r>
      <w:r w:rsidR="002646FA">
        <w:t>large</w:t>
      </w:r>
      <w:r w:rsidR="00505DE6">
        <w:t xml:space="preserve"> revenue </w:t>
      </w:r>
      <w:r w:rsidR="002646FA">
        <w:t>recovery associated with</w:t>
      </w:r>
      <w:r w:rsidR="00505DE6">
        <w:t xml:space="preserve"> the under-recovery of the solar bonus scheme (feed-in tariff</w:t>
      </w:r>
      <w:r w:rsidR="002646FA">
        <w:t>s</w:t>
      </w:r>
      <w:r w:rsidR="00505DE6">
        <w:t>)</w:t>
      </w:r>
      <w:r w:rsidR="004504BD">
        <w:t xml:space="preserve"> </w:t>
      </w:r>
      <w:r w:rsidR="002646FA">
        <w:t>in 2013–15</w:t>
      </w:r>
      <w:r>
        <w:t>. It has also</w:t>
      </w:r>
      <w:r w:rsidR="004504BD">
        <w:t xml:space="preserve"> forecast solar bonus scheme payments throughout the 2015–20 regulatory control period</w:t>
      </w:r>
      <w:r w:rsidR="00505DE6">
        <w:t>.</w:t>
      </w:r>
      <w:r w:rsidR="004504BD">
        <w:t xml:space="preserve"> In the </w:t>
      </w:r>
      <w:r w:rsidR="002646FA">
        <w:t xml:space="preserve">determination for the 2010–15 </w:t>
      </w:r>
      <w:r w:rsidR="004504BD">
        <w:t>regulatory control period, we included the forecast solar bonus scheme payments in the opex allowance</w:t>
      </w:r>
      <w:r>
        <w:t>. We included</w:t>
      </w:r>
      <w:r w:rsidR="004504BD">
        <w:t xml:space="preserve"> a pass-through </w:t>
      </w:r>
      <w:r>
        <w:t>mechanism for any</w:t>
      </w:r>
      <w:r w:rsidR="008603D1">
        <w:t xml:space="preserve"> difference </w:t>
      </w:r>
      <w:r>
        <w:t xml:space="preserve">to be </w:t>
      </w:r>
      <w:r w:rsidR="004504BD">
        <w:t xml:space="preserve">applied two years later during </w:t>
      </w:r>
      <w:r>
        <w:t xml:space="preserve">the </w:t>
      </w:r>
      <w:r w:rsidR="008603D1">
        <w:t xml:space="preserve">annual </w:t>
      </w:r>
      <w:r w:rsidR="004504BD">
        <w:t>pricing proposal</w:t>
      </w:r>
      <w:r w:rsidR="008603D1">
        <w:t xml:space="preserve"> processe</w:t>
      </w:r>
      <w:r w:rsidR="004504BD">
        <w:t>s.</w:t>
      </w:r>
      <w:r w:rsidR="00505DE6">
        <w:t xml:space="preserve"> </w:t>
      </w:r>
      <w:r w:rsidR="004504BD">
        <w:t xml:space="preserve">As a result of this mechanism, the </w:t>
      </w:r>
      <w:r w:rsidR="008603D1">
        <w:t xml:space="preserve">expected </w:t>
      </w:r>
      <w:r w:rsidR="004504BD">
        <w:t xml:space="preserve">under-recoveries from 2013–14 and 2014–15 will be recovered in 2015–16 and 2016–17. </w:t>
      </w:r>
      <w:r w:rsidR="008603D1">
        <w:t>Based on Ergon's proposal,</w:t>
      </w:r>
      <w:r w:rsidR="004504BD">
        <w:t xml:space="preserve"> </w:t>
      </w:r>
      <w:r w:rsidR="008603D1">
        <w:t>t</w:t>
      </w:r>
      <w:r w:rsidR="00505DE6">
        <w:t xml:space="preserve">hese </w:t>
      </w:r>
      <w:r w:rsidR="008603D1">
        <w:t>amount to</w:t>
      </w:r>
      <w:r w:rsidR="00505DE6">
        <w:t xml:space="preserve"> $</w:t>
      </w:r>
      <w:r w:rsidR="00033E05">
        <w:t>135.0</w:t>
      </w:r>
      <w:r w:rsidR="00505DE6">
        <w:t xml:space="preserve"> million and $</w:t>
      </w:r>
      <w:r w:rsidR="00033E05">
        <w:t>124.</w:t>
      </w:r>
      <w:r w:rsidR="00F87A40">
        <w:t>4</w:t>
      </w:r>
      <w:r w:rsidR="00505DE6">
        <w:t xml:space="preserve"> million </w:t>
      </w:r>
      <w:r w:rsidR="008603D1">
        <w:t xml:space="preserve">($ nominal) </w:t>
      </w:r>
      <w:r w:rsidR="00505DE6">
        <w:t>respectively.</w:t>
      </w:r>
      <w:r w:rsidR="004504BD">
        <w:t xml:space="preserve"> Then, in the 2015–20 regulatory control period, there </w:t>
      </w:r>
      <w:r w:rsidR="008603D1">
        <w:t>is</w:t>
      </w:r>
      <w:r w:rsidR="004504BD">
        <w:t xml:space="preserve"> no solar bonus </w:t>
      </w:r>
      <w:r w:rsidR="004504BD">
        <w:lastRenderedPageBreak/>
        <w:t xml:space="preserve">scheme forecasts included in the opex allowance. Instead, these </w:t>
      </w:r>
      <w:r w:rsidR="008603D1">
        <w:t>amounts</w:t>
      </w:r>
      <w:r w:rsidR="00505DE6">
        <w:t xml:space="preserve"> </w:t>
      </w:r>
      <w:r w:rsidR="004504BD">
        <w:t xml:space="preserve">will be recovered through a jurisdictional scheme </w:t>
      </w:r>
      <w:r w:rsidR="008603D1">
        <w:t>obligation</w:t>
      </w:r>
      <w:r w:rsidR="004504BD">
        <w:t xml:space="preserve">, which will feed into </w:t>
      </w:r>
      <w:r w:rsidR="008603D1">
        <w:t>DUoS</w:t>
      </w:r>
      <w:r w:rsidR="004504BD">
        <w:t xml:space="preserve"> </w:t>
      </w:r>
      <w:r w:rsidR="008603D1">
        <w:t>as part of</w:t>
      </w:r>
      <w:r w:rsidR="004504BD">
        <w:t xml:space="preserve"> the annual pricing approval process.</w:t>
      </w:r>
      <w:r w:rsidR="00F15261">
        <w:rPr>
          <w:rStyle w:val="FootnoteReference"/>
        </w:rPr>
        <w:footnoteReference w:id="8"/>
      </w:r>
      <w:r w:rsidR="004504BD">
        <w:t xml:space="preserve"> </w:t>
      </w:r>
    </w:p>
    <w:p w:rsidR="00CF6E93" w:rsidRDefault="00505DE6" w:rsidP="00813E06">
      <w:r>
        <w:t xml:space="preserve">Accordingly, we have smoothed </w:t>
      </w:r>
      <w:r w:rsidR="008603D1">
        <w:t xml:space="preserve">the building block </w:t>
      </w:r>
      <w:r>
        <w:t xml:space="preserve">revenue for </w:t>
      </w:r>
      <w:r w:rsidR="008603D1">
        <w:t xml:space="preserve">standard control services over </w:t>
      </w:r>
      <w:r w:rsidR="004504BD">
        <w:t>the 2015–20 regulatory control period</w:t>
      </w:r>
      <w:r>
        <w:t xml:space="preserve"> </w:t>
      </w:r>
      <w:r w:rsidR="008603D1">
        <w:t>by</w:t>
      </w:r>
      <w:r>
        <w:t xml:space="preserve"> </w:t>
      </w:r>
      <w:r w:rsidR="008603D1">
        <w:t>allowing</w:t>
      </w:r>
      <w:r>
        <w:t xml:space="preserve"> for these</w:t>
      </w:r>
      <w:r w:rsidR="008603D1">
        <w:t xml:space="preserve"> additional</w:t>
      </w:r>
      <w:r>
        <w:t xml:space="preserve"> forecast revenue impacts. This approach was initially proposed by Energex. We have consulted on the approach with Ergon Energy, and have adopted it in this </w:t>
      </w:r>
      <w:r w:rsidR="008603D1">
        <w:t xml:space="preserve">preliminary </w:t>
      </w:r>
      <w:r>
        <w:t xml:space="preserve">decision. </w:t>
      </w:r>
      <w:r w:rsidR="008603D1">
        <w:t>Overall</w:t>
      </w:r>
      <w:r>
        <w:t xml:space="preserve">, we are satisfied this will contribute to a smoother final revenue path for customers and </w:t>
      </w:r>
      <w:r w:rsidR="008603D1">
        <w:t xml:space="preserve">the </w:t>
      </w:r>
      <w:r>
        <w:t xml:space="preserve">service providers. </w:t>
      </w:r>
    </w:p>
    <w:p w:rsidR="008F5754" w:rsidRDefault="008F5754" w:rsidP="00F010AA">
      <w:pPr>
        <w:numPr>
          <w:ilvl w:val="0"/>
          <w:numId w:val="25"/>
        </w:numPr>
      </w:pPr>
      <w:r>
        <w:t>In practice, we would normally set the path of X</w:t>
      </w:r>
      <w:r w:rsidR="00E34641">
        <w:t xml:space="preserve"> </w:t>
      </w:r>
      <w:r>
        <w:t xml:space="preserve">factors to result in a smooth building block revenue path. </w:t>
      </w:r>
      <w:r w:rsidR="00503A64">
        <w:t>That is, t</w:t>
      </w:r>
      <w:r>
        <w:t>hese X</w:t>
      </w:r>
      <w:r w:rsidR="00E34641">
        <w:t xml:space="preserve"> </w:t>
      </w:r>
      <w:r>
        <w:t xml:space="preserve">factors would result in the desired </w:t>
      </w:r>
      <w:r w:rsidR="00E34641">
        <w:t>smoothed path</w:t>
      </w:r>
      <w:r>
        <w:t xml:space="preserve"> of the </w:t>
      </w:r>
      <w:r w:rsidR="00E34641">
        <w:t xml:space="preserve">annual expected </w:t>
      </w:r>
      <w:r>
        <w:t>revenue</w:t>
      </w:r>
      <w:r w:rsidR="00E34641">
        <w:t>s</w:t>
      </w:r>
      <w:r>
        <w:t xml:space="preserve"> </w:t>
      </w:r>
      <w:r w:rsidR="00503A64">
        <w:t>through the regulatory control period</w:t>
      </w:r>
      <w:r>
        <w:t xml:space="preserve">. However, due to the sizeable factors outside of the building blocks that will affect total </w:t>
      </w:r>
      <w:proofErr w:type="spellStart"/>
      <w:r>
        <w:t>DU</w:t>
      </w:r>
      <w:r w:rsidR="008427A9">
        <w:t>o</w:t>
      </w:r>
      <w:r>
        <w:t>S</w:t>
      </w:r>
      <w:proofErr w:type="spellEnd"/>
      <w:r>
        <w:t xml:space="preserve"> revenue, we have adopted a different approach. Specifically, when determining the X</w:t>
      </w:r>
      <w:r w:rsidR="00F87A40">
        <w:t> </w:t>
      </w:r>
      <w:r>
        <w:t xml:space="preserve">factors that set the path for smoothed building block revenue, we have considered the additional impact of these additional factors. As a result, the smoothed building block revenue does not produce a desirable path for revenue in isolation. However, the total </w:t>
      </w:r>
      <w:proofErr w:type="spellStart"/>
      <w:r>
        <w:t>DU</w:t>
      </w:r>
      <w:r w:rsidR="008427A9">
        <w:t>o</w:t>
      </w:r>
      <w:r>
        <w:t>S</w:t>
      </w:r>
      <w:proofErr w:type="spellEnd"/>
      <w:r>
        <w:t xml:space="preserve"> revenue to be faced by customers including </w:t>
      </w:r>
      <w:r w:rsidR="00E34641">
        <w:t xml:space="preserve">the </w:t>
      </w:r>
      <w:r>
        <w:t>additional factors will be smoothe</w:t>
      </w:r>
      <w:r w:rsidR="00E34641">
        <w:t>d ove</w:t>
      </w:r>
      <w:r>
        <w:t>r</w:t>
      </w:r>
      <w:r w:rsidR="00E34641">
        <w:t>all</w:t>
      </w:r>
      <w:r>
        <w:t xml:space="preserve">. </w:t>
      </w:r>
      <w:r w:rsidR="00F010AA">
        <w:t>Further, we note</w:t>
      </w:r>
      <w:r w:rsidR="00F010AA" w:rsidRPr="00C729DC">
        <w:t xml:space="preserve"> that </w:t>
      </w:r>
      <w:r w:rsidR="00F010AA">
        <w:t xml:space="preserve">our </w:t>
      </w:r>
      <w:r w:rsidR="00F010AA" w:rsidRPr="00C729DC">
        <w:t>profile of X factors</w:t>
      </w:r>
      <w:r w:rsidR="00F010AA">
        <w:t xml:space="preserve"> </w:t>
      </w:r>
      <w:r w:rsidR="00F010AA" w:rsidRPr="00C729DC">
        <w:t>result</w:t>
      </w:r>
      <w:r w:rsidR="00F010AA">
        <w:t>s</w:t>
      </w:r>
      <w:r w:rsidR="00F010AA" w:rsidRPr="00C729DC">
        <w:t xml:space="preserve"> in an expected </w:t>
      </w:r>
      <w:r w:rsidR="00F010AA">
        <w:t>revenue</w:t>
      </w:r>
      <w:r w:rsidR="00F010AA" w:rsidRPr="00C729DC">
        <w:t xml:space="preserve"> in the last year of the regulatory control period that is as close as reasonably possible to the </w:t>
      </w:r>
      <w:r w:rsidR="00F010AA">
        <w:t>ARR</w:t>
      </w:r>
      <w:r w:rsidR="00F010AA" w:rsidRPr="00C729DC">
        <w:t xml:space="preserve"> for that year.</w:t>
      </w:r>
      <w:r w:rsidR="00F010AA">
        <w:rPr>
          <w:rStyle w:val="FootnoteReference"/>
        </w:rPr>
        <w:footnoteReference w:id="9"/>
      </w:r>
    </w:p>
    <w:p w:rsidR="00505DE6" w:rsidRDefault="006405E9" w:rsidP="00813E06">
      <w:r>
        <w:fldChar w:fldCharType="begin"/>
      </w:r>
      <w:r>
        <w:instrText xml:space="preserve"> REF _Ref414977453 \h </w:instrText>
      </w:r>
      <w:r>
        <w:fldChar w:fldCharType="separate"/>
      </w:r>
      <w:r w:rsidR="002B4CF4">
        <w:t xml:space="preserve">Figure </w:t>
      </w:r>
      <w:r w:rsidR="002B4CF4">
        <w:rPr>
          <w:noProof/>
        </w:rPr>
        <w:t>1</w:t>
      </w:r>
      <w:r w:rsidR="002B4CF4">
        <w:t>.</w:t>
      </w:r>
      <w:r w:rsidR="002B4CF4">
        <w:rPr>
          <w:noProof/>
        </w:rPr>
        <w:t>3</w:t>
      </w:r>
      <w:r>
        <w:fldChar w:fldCharType="end"/>
      </w:r>
      <w:r>
        <w:t xml:space="preserve"> sets out the revenue path of our preliminary decision smoothed revenues both including and excluding the </w:t>
      </w:r>
      <w:r w:rsidR="008603D1">
        <w:t>additional revenue</w:t>
      </w:r>
      <w:r>
        <w:t xml:space="preserve"> impacts.</w:t>
      </w:r>
    </w:p>
    <w:p w:rsidR="00505DE6" w:rsidRDefault="00505DE6" w:rsidP="00505DE6">
      <w:pPr>
        <w:pStyle w:val="Caption"/>
      </w:pPr>
      <w:bookmarkStart w:id="32" w:name="_Ref417384634"/>
      <w:bookmarkStart w:id="33" w:name="_Ref414977453"/>
      <w:r>
        <w:lastRenderedPageBreak/>
        <w:t xml:space="preserve">Figure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Figure \* ARABIC \s 1 </w:instrText>
      </w:r>
      <w:r w:rsidR="00F55BC8">
        <w:fldChar w:fldCharType="separate"/>
      </w:r>
      <w:r w:rsidR="002B4CF4">
        <w:rPr>
          <w:noProof/>
        </w:rPr>
        <w:t>3</w:t>
      </w:r>
      <w:r w:rsidR="00F55BC8">
        <w:rPr>
          <w:noProof/>
        </w:rPr>
        <w:fldChar w:fldCharType="end"/>
      </w:r>
      <w:bookmarkEnd w:id="32"/>
      <w:bookmarkEnd w:id="33"/>
      <w:r>
        <w:tab/>
      </w:r>
      <w:r w:rsidR="006405E9">
        <w:t>Smoothed revenue path including and excluding jurisdictional scheme amounts</w:t>
      </w:r>
    </w:p>
    <w:p w:rsidR="00505DE6" w:rsidRDefault="007B65B2" w:rsidP="00813E06">
      <w:r w:rsidRPr="007B65B2">
        <w:rPr>
          <w:noProof/>
          <w:lang w:eastAsia="en-AU"/>
        </w:rPr>
        <w:drawing>
          <wp:inline distT="0" distB="0" distL="0" distR="0" wp14:anchorId="18B7A69E" wp14:editId="587FBA0A">
            <wp:extent cx="5382895" cy="322783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6405E9" w:rsidRDefault="006405E9" w:rsidP="006405E9">
      <w:pPr>
        <w:pStyle w:val="AERtablesource"/>
      </w:pPr>
      <w:r>
        <w:t xml:space="preserve">Source: </w:t>
      </w:r>
      <w:r w:rsidR="008603D1">
        <w:tab/>
      </w:r>
      <w:r>
        <w:t>AER analysis</w:t>
      </w:r>
      <w:r w:rsidR="008603D1">
        <w:t>.</w:t>
      </w:r>
      <w:r w:rsidR="004504BD">
        <w:t xml:space="preserve"> </w:t>
      </w:r>
    </w:p>
    <w:p w:rsidR="00B2448C" w:rsidRPr="00B2448C" w:rsidRDefault="00B2448C" w:rsidP="00B2448C">
      <w:pPr>
        <w:pStyle w:val="AERtablesource"/>
      </w:pPr>
      <w:r w:rsidRPr="00B2448C">
        <w:t>Notes:</w:t>
      </w:r>
      <w:r w:rsidRPr="00B2448C">
        <w:tab/>
        <w:t xml:space="preserve">The ‘Allowed’ 2014–15 data point is the amount allowed in the AER final decision excluding additionals. The ‘Actual’ 2014–15 data point is an updated forecast of the amount Ergon Energy actually expects to recover, including additionals, as submitted in its reset RIN. The ‘AER preliminary’ </w:t>
      </w:r>
      <w:r>
        <w:t xml:space="preserve">and 'Proposed' 2014–15 </w:t>
      </w:r>
      <w:r w:rsidRPr="00B2448C">
        <w:t xml:space="preserve">data points </w:t>
      </w:r>
      <w:r>
        <w:t>are</w:t>
      </w:r>
      <w:r w:rsidRPr="00B2448C">
        <w:t xml:space="preserve"> the amount the service provider targeted in its 2014</w:t>
      </w:r>
      <w:r w:rsidRPr="00B2448C">
        <w:softHyphen/>
      </w:r>
      <w:r>
        <w:t>–</w:t>
      </w:r>
      <w:r w:rsidRPr="00B2448C">
        <w:t xml:space="preserve">15 </w:t>
      </w:r>
      <w:r w:rsidR="00070979">
        <w:t>regulatory</w:t>
      </w:r>
      <w:r w:rsidR="00070979" w:rsidRPr="00B2448C">
        <w:t xml:space="preserve"> </w:t>
      </w:r>
      <w:r w:rsidRPr="00B2448C">
        <w:t>proposa</w:t>
      </w:r>
      <w:r w:rsidR="00DA44DB">
        <w:t>l</w:t>
      </w:r>
      <w:r w:rsidRPr="00B2448C">
        <w:t>.</w:t>
      </w:r>
    </w:p>
    <w:p w:rsidR="00920E99" w:rsidRDefault="00910678" w:rsidP="00D03746">
      <w:pPr>
        <w:pStyle w:val="Heading3"/>
      </w:pPr>
      <w:bookmarkStart w:id="34" w:name="_Toc417565192"/>
      <w:r>
        <w:t>Revenue increments or decrements</w:t>
      </w:r>
      <w:bookmarkEnd w:id="34"/>
    </w:p>
    <w:p w:rsidR="0048723D" w:rsidRDefault="000E5207" w:rsidP="00D4708D">
      <w:r>
        <w:t xml:space="preserve">Revenue </w:t>
      </w:r>
      <w:r w:rsidR="00910678">
        <w:t xml:space="preserve">increments or decrements arising from the operation of a control </w:t>
      </w:r>
      <w:r w:rsidR="009167D7">
        <w:t xml:space="preserve">mechanism </w:t>
      </w:r>
      <w:r w:rsidR="00910678">
        <w:t>or scheme</w:t>
      </w:r>
      <w:r w:rsidR="00F43787">
        <w:t>s</w:t>
      </w:r>
      <w:r w:rsidR="00910678">
        <w:t>, also known as '</w:t>
      </w:r>
      <w:r>
        <w:t>carry</w:t>
      </w:r>
      <w:r w:rsidR="00C9786F">
        <w:t>-</w:t>
      </w:r>
      <w:r>
        <w:t>overs</w:t>
      </w:r>
      <w:r w:rsidR="00910678">
        <w:t>',</w:t>
      </w:r>
      <w:r>
        <w:t xml:space="preserve"> </w:t>
      </w:r>
      <w:r w:rsidR="009167D7">
        <w:t xml:space="preserve">may </w:t>
      </w:r>
      <w:r>
        <w:t xml:space="preserve">have a </w:t>
      </w:r>
      <w:r w:rsidR="00910678">
        <w:t>sizeable</w:t>
      </w:r>
      <w:r>
        <w:t xml:space="preserve"> impact</w:t>
      </w:r>
      <w:r w:rsidR="00D05C19">
        <w:t xml:space="preserve"> </w:t>
      </w:r>
      <w:r w:rsidR="009167D7">
        <w:t>in addition to</w:t>
      </w:r>
      <w:r w:rsidR="00D05C19">
        <w:t xml:space="preserve"> our approved </w:t>
      </w:r>
      <w:r w:rsidR="00D145B1">
        <w:t>annual revenue requirements</w:t>
      </w:r>
      <w:r w:rsidR="009167D7">
        <w:t xml:space="preserve"> for the 2015–20 regulatory control period</w:t>
      </w:r>
      <w:r w:rsidR="007B05FB">
        <w:t>.</w:t>
      </w:r>
      <w:r w:rsidR="009167D7">
        <w:rPr>
          <w:rStyle w:val="FootnoteReference"/>
        </w:rPr>
        <w:footnoteReference w:id="10"/>
      </w:r>
      <w:r w:rsidR="007B05FB">
        <w:t xml:space="preserve"> </w:t>
      </w:r>
      <w:r w:rsidR="003E12D8">
        <w:t>The revenue increment and decrement</w:t>
      </w:r>
      <w:r w:rsidR="00691720">
        <w:t xml:space="preserve"> amounts are shown in </w:t>
      </w:r>
      <w:r w:rsidR="003E12D8">
        <w:fldChar w:fldCharType="begin"/>
      </w:r>
      <w:r w:rsidR="003E12D8">
        <w:instrText xml:space="preserve"> REF _Ref416778346 \h </w:instrText>
      </w:r>
      <w:r w:rsidR="003E12D8">
        <w:fldChar w:fldCharType="separate"/>
      </w:r>
      <w:r w:rsidR="0064714B">
        <w:t>t</w:t>
      </w:r>
      <w:r w:rsidR="002B4CF4">
        <w:t xml:space="preserve">able </w:t>
      </w:r>
      <w:r w:rsidR="002B4CF4">
        <w:rPr>
          <w:noProof/>
        </w:rPr>
        <w:t>1</w:t>
      </w:r>
      <w:r w:rsidR="002B4CF4">
        <w:t>.</w:t>
      </w:r>
      <w:r w:rsidR="002B4CF4">
        <w:rPr>
          <w:noProof/>
        </w:rPr>
        <w:t>5</w:t>
      </w:r>
      <w:r w:rsidR="003E12D8">
        <w:fldChar w:fldCharType="end"/>
      </w:r>
      <w:r w:rsidR="003E12D8">
        <w:t>.</w:t>
      </w:r>
    </w:p>
    <w:p w:rsidR="00EF29B4" w:rsidRDefault="00EF29B4" w:rsidP="00D4708D"/>
    <w:p w:rsidR="00EF29B4" w:rsidRDefault="00EF29B4" w:rsidP="00D4708D"/>
    <w:p w:rsidR="00EF29B4" w:rsidRDefault="00EF29B4" w:rsidP="00D4708D"/>
    <w:p w:rsidR="00EF29B4" w:rsidRDefault="00EF29B4" w:rsidP="00D4708D"/>
    <w:p w:rsidR="004949EE" w:rsidRDefault="004949EE" w:rsidP="00B173ED">
      <w:pPr>
        <w:pStyle w:val="Caption"/>
      </w:pPr>
      <w:bookmarkStart w:id="35" w:name="_Ref416778346"/>
      <w:r>
        <w:lastRenderedPageBreak/>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fldSimple w:instr=" SEQ Table \* ARABIC \s 1 ">
        <w:r w:rsidR="002B4CF4">
          <w:rPr>
            <w:noProof/>
          </w:rPr>
          <w:t>5</w:t>
        </w:r>
      </w:fldSimple>
      <w:bookmarkEnd w:id="35"/>
      <w:r>
        <w:tab/>
        <w:t xml:space="preserve">Revenue increments or decrements ($million, </w:t>
      </w:r>
      <w:r w:rsidR="00F87A40">
        <w:t>nominal</w:t>
      </w:r>
      <w:r>
        <w:t>)</w:t>
      </w:r>
    </w:p>
    <w:tbl>
      <w:tblPr>
        <w:tblStyle w:val="AERtable-numbers"/>
        <w:tblW w:w="0" w:type="auto"/>
        <w:tblLook w:val="04A0" w:firstRow="1" w:lastRow="0" w:firstColumn="1" w:lastColumn="0" w:noHBand="0" w:noVBand="1"/>
      </w:tblPr>
      <w:tblGrid>
        <w:gridCol w:w="3085"/>
        <w:gridCol w:w="934"/>
        <w:gridCol w:w="935"/>
        <w:gridCol w:w="935"/>
        <w:gridCol w:w="934"/>
        <w:gridCol w:w="935"/>
        <w:gridCol w:w="935"/>
      </w:tblGrid>
      <w:tr w:rsidR="009167D7" w:rsidTr="00F87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8723D" w:rsidRDefault="0048723D" w:rsidP="00D4708D"/>
        </w:tc>
        <w:tc>
          <w:tcPr>
            <w:tcW w:w="934" w:type="dxa"/>
          </w:tcPr>
          <w:p w:rsidR="0048723D" w:rsidRDefault="0048723D" w:rsidP="0048723D">
            <w:pPr>
              <w:cnfStyle w:val="100000000000" w:firstRow="1" w:lastRow="0" w:firstColumn="0" w:lastColumn="0" w:oddVBand="0" w:evenVBand="0" w:oddHBand="0" w:evenHBand="0" w:firstRowFirstColumn="0" w:firstRowLastColumn="0" w:lastRowFirstColumn="0" w:lastRowLastColumn="0"/>
            </w:pPr>
            <w:r>
              <w:t>2015–16</w:t>
            </w:r>
          </w:p>
        </w:tc>
        <w:tc>
          <w:tcPr>
            <w:tcW w:w="935" w:type="dxa"/>
          </w:tcPr>
          <w:p w:rsidR="0048723D" w:rsidRDefault="0048723D" w:rsidP="00D4708D">
            <w:pPr>
              <w:cnfStyle w:val="100000000000" w:firstRow="1" w:lastRow="0" w:firstColumn="0" w:lastColumn="0" w:oddVBand="0" w:evenVBand="0" w:oddHBand="0" w:evenHBand="0" w:firstRowFirstColumn="0" w:firstRowLastColumn="0" w:lastRowFirstColumn="0" w:lastRowLastColumn="0"/>
            </w:pPr>
            <w:r>
              <w:t>2016–17</w:t>
            </w:r>
          </w:p>
        </w:tc>
        <w:tc>
          <w:tcPr>
            <w:tcW w:w="935" w:type="dxa"/>
          </w:tcPr>
          <w:p w:rsidR="0048723D" w:rsidRDefault="0048723D" w:rsidP="00D4708D">
            <w:pPr>
              <w:cnfStyle w:val="100000000000" w:firstRow="1" w:lastRow="0" w:firstColumn="0" w:lastColumn="0" w:oddVBand="0" w:evenVBand="0" w:oddHBand="0" w:evenHBand="0" w:firstRowFirstColumn="0" w:firstRowLastColumn="0" w:lastRowFirstColumn="0" w:lastRowLastColumn="0"/>
            </w:pPr>
            <w:r>
              <w:t>2017–18</w:t>
            </w:r>
          </w:p>
        </w:tc>
        <w:tc>
          <w:tcPr>
            <w:tcW w:w="934" w:type="dxa"/>
          </w:tcPr>
          <w:p w:rsidR="0048723D" w:rsidRDefault="0048723D" w:rsidP="00D4708D">
            <w:pPr>
              <w:cnfStyle w:val="100000000000" w:firstRow="1" w:lastRow="0" w:firstColumn="0" w:lastColumn="0" w:oddVBand="0" w:evenVBand="0" w:oddHBand="0" w:evenHBand="0" w:firstRowFirstColumn="0" w:firstRowLastColumn="0" w:lastRowFirstColumn="0" w:lastRowLastColumn="0"/>
            </w:pPr>
            <w:r>
              <w:t>2018–19</w:t>
            </w:r>
          </w:p>
        </w:tc>
        <w:tc>
          <w:tcPr>
            <w:tcW w:w="935" w:type="dxa"/>
          </w:tcPr>
          <w:p w:rsidR="0048723D" w:rsidRDefault="0048723D" w:rsidP="00D4708D">
            <w:pPr>
              <w:cnfStyle w:val="100000000000" w:firstRow="1" w:lastRow="0" w:firstColumn="0" w:lastColumn="0" w:oddVBand="0" w:evenVBand="0" w:oddHBand="0" w:evenHBand="0" w:firstRowFirstColumn="0" w:firstRowLastColumn="0" w:lastRowFirstColumn="0" w:lastRowLastColumn="0"/>
            </w:pPr>
            <w:r>
              <w:t>2019–20</w:t>
            </w:r>
          </w:p>
        </w:tc>
        <w:tc>
          <w:tcPr>
            <w:tcW w:w="935" w:type="dxa"/>
          </w:tcPr>
          <w:p w:rsidR="0048723D" w:rsidRDefault="0048723D" w:rsidP="00D4708D">
            <w:pPr>
              <w:cnfStyle w:val="100000000000" w:firstRow="1" w:lastRow="0" w:firstColumn="0" w:lastColumn="0" w:oddVBand="0" w:evenVBand="0" w:oddHBand="0" w:evenHBand="0" w:firstRowFirstColumn="0" w:firstRowLastColumn="0" w:lastRowFirstColumn="0" w:lastRowLastColumn="0"/>
            </w:pPr>
            <w:r>
              <w:t>Total</w:t>
            </w:r>
          </w:p>
        </w:tc>
      </w:tr>
      <w:tr w:rsidR="00F87A40" w:rsidTr="00F87A40">
        <w:tc>
          <w:tcPr>
            <w:cnfStyle w:val="001000000000" w:firstRow="0" w:lastRow="0" w:firstColumn="1" w:lastColumn="0" w:oddVBand="0" w:evenVBand="0" w:oddHBand="0" w:evenHBand="0" w:firstRowFirstColumn="0" w:firstRowLastColumn="0" w:lastRowFirstColumn="0" w:lastRowLastColumn="0"/>
            <w:tcW w:w="3085" w:type="dxa"/>
          </w:tcPr>
          <w:p w:rsidR="00F87A40" w:rsidRPr="00F87A40" w:rsidRDefault="00F87A40" w:rsidP="008427A9">
            <w:r w:rsidRPr="00F87A40">
              <w:t xml:space="preserve">EBSS </w:t>
            </w:r>
          </w:p>
        </w:tc>
        <w:tc>
          <w:tcPr>
            <w:tcW w:w="934"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35.4</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51.3</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69.2</w:t>
            </w:r>
          </w:p>
        </w:tc>
        <w:tc>
          <w:tcPr>
            <w:tcW w:w="934"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t>–</w:t>
            </w:r>
            <w:r w:rsidRPr="00F87A40">
              <w:t>19.2</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0.0</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136.7</w:t>
            </w:r>
          </w:p>
        </w:tc>
      </w:tr>
      <w:tr w:rsidR="00F87A40" w:rsidTr="00F87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F87A40" w:rsidRPr="00F87A40" w:rsidRDefault="00F87A40" w:rsidP="00F87A40">
            <w:r w:rsidRPr="00F87A40">
              <w:t>DMIA</w:t>
            </w:r>
          </w:p>
        </w:tc>
        <w:tc>
          <w:tcPr>
            <w:tcW w:w="934"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rsidRPr="00F87A40">
              <w:t>1.0</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rsidRPr="00F87A40">
              <w:t>1.1</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rsidRPr="00F87A40">
              <w:t>1.1</w:t>
            </w:r>
          </w:p>
        </w:tc>
        <w:tc>
          <w:tcPr>
            <w:tcW w:w="934"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rsidRPr="00F87A40">
              <w:t>1.1</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rsidRPr="00F87A40">
              <w:t>1.1</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rsidRPr="00F87A40">
              <w:t>5.4</w:t>
            </w:r>
          </w:p>
        </w:tc>
      </w:tr>
      <w:tr w:rsidR="00F87A40" w:rsidTr="00F87A40">
        <w:tc>
          <w:tcPr>
            <w:cnfStyle w:val="001000000000" w:firstRow="0" w:lastRow="0" w:firstColumn="1" w:lastColumn="0" w:oddVBand="0" w:evenVBand="0" w:oddHBand="0" w:evenHBand="0" w:firstRowFirstColumn="0" w:firstRowLastColumn="0" w:lastRowFirstColumn="0" w:lastRowLastColumn="0"/>
            <w:tcW w:w="3085" w:type="dxa"/>
          </w:tcPr>
          <w:p w:rsidR="00F87A40" w:rsidRPr="00F87A40" w:rsidRDefault="008427A9" w:rsidP="00F87A40">
            <w:r w:rsidRPr="000A53DB">
              <w:t xml:space="preserve">Closing balance of </w:t>
            </w:r>
            <w:proofErr w:type="spellStart"/>
            <w:r w:rsidRPr="000A53DB">
              <w:t>DUoS</w:t>
            </w:r>
            <w:proofErr w:type="spellEnd"/>
            <w:r w:rsidRPr="000A53DB">
              <w:t xml:space="preserve"> </w:t>
            </w:r>
            <w:proofErr w:type="spellStart"/>
            <w:r w:rsidRPr="000A53DB">
              <w:t>unders</w:t>
            </w:r>
            <w:proofErr w:type="spellEnd"/>
            <w:r w:rsidRPr="008427A9">
              <w:t>/overs account as at 30 June 2015.</w:t>
            </w:r>
          </w:p>
        </w:tc>
        <w:tc>
          <w:tcPr>
            <w:tcW w:w="934"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58.6</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n/a</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n/a</w:t>
            </w:r>
          </w:p>
        </w:tc>
        <w:tc>
          <w:tcPr>
            <w:tcW w:w="934"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n/a</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n/a</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pPr>
            <w:r w:rsidRPr="00F87A40">
              <w:t>58.6</w:t>
            </w:r>
          </w:p>
        </w:tc>
      </w:tr>
      <w:tr w:rsidR="00F87A40" w:rsidTr="00F87A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F87A40" w:rsidRPr="00F87A40" w:rsidRDefault="00F87A40" w:rsidP="008427A9">
            <w:r w:rsidRPr="00F87A40">
              <w:t>Shared asset</w:t>
            </w:r>
            <w:r w:rsidR="008427A9">
              <w:t>s</w:t>
            </w:r>
          </w:p>
        </w:tc>
        <w:tc>
          <w:tcPr>
            <w:tcW w:w="934"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t>–</w:t>
            </w:r>
            <w:r w:rsidRPr="00F87A40">
              <w:t>3.1</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t>–</w:t>
            </w:r>
            <w:r w:rsidRPr="00F87A40">
              <w:t>3.2</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t>–</w:t>
            </w:r>
            <w:r w:rsidRPr="00F87A40">
              <w:t>3.3</w:t>
            </w:r>
          </w:p>
        </w:tc>
        <w:tc>
          <w:tcPr>
            <w:tcW w:w="934"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t>–</w:t>
            </w:r>
            <w:r w:rsidRPr="00F87A40">
              <w:t>3.4</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t>–</w:t>
            </w:r>
            <w:r w:rsidRPr="00F87A40">
              <w:t>3.5</w:t>
            </w:r>
          </w:p>
        </w:tc>
        <w:tc>
          <w:tcPr>
            <w:tcW w:w="935" w:type="dxa"/>
          </w:tcPr>
          <w:p w:rsidR="00F87A40" w:rsidRPr="00F87A40" w:rsidRDefault="00F87A40" w:rsidP="00F87A40">
            <w:pPr>
              <w:cnfStyle w:val="000000010000" w:firstRow="0" w:lastRow="0" w:firstColumn="0" w:lastColumn="0" w:oddVBand="0" w:evenVBand="0" w:oddHBand="0" w:evenHBand="1" w:firstRowFirstColumn="0" w:firstRowLastColumn="0" w:lastRowFirstColumn="0" w:lastRowLastColumn="0"/>
            </w:pPr>
            <w:r>
              <w:t>–</w:t>
            </w:r>
            <w:r w:rsidRPr="00F87A40">
              <w:t>16.5</w:t>
            </w:r>
          </w:p>
        </w:tc>
      </w:tr>
      <w:tr w:rsidR="00F87A40" w:rsidRPr="00F87A40" w:rsidTr="00F87A40">
        <w:tc>
          <w:tcPr>
            <w:cnfStyle w:val="001000000000" w:firstRow="0" w:lastRow="0" w:firstColumn="1" w:lastColumn="0" w:oddVBand="0" w:evenVBand="0" w:oddHBand="0" w:evenHBand="0" w:firstRowFirstColumn="0" w:firstRowLastColumn="0" w:lastRowFirstColumn="0" w:lastRowLastColumn="0"/>
            <w:tcW w:w="3085" w:type="dxa"/>
          </w:tcPr>
          <w:p w:rsidR="00F87A40" w:rsidRPr="00F87A40" w:rsidRDefault="00F87A40" w:rsidP="00F87A40">
            <w:pPr>
              <w:rPr>
                <w:rStyle w:val="Strong"/>
              </w:rPr>
            </w:pPr>
            <w:r w:rsidRPr="00F87A40">
              <w:rPr>
                <w:rStyle w:val="Strong"/>
              </w:rPr>
              <w:t>Total</w:t>
            </w:r>
          </w:p>
        </w:tc>
        <w:tc>
          <w:tcPr>
            <w:tcW w:w="934"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rPr>
                <w:rStyle w:val="Strong"/>
              </w:rPr>
            </w:pPr>
            <w:r w:rsidRPr="00F87A40">
              <w:rPr>
                <w:rStyle w:val="Strong"/>
              </w:rPr>
              <w:t>91.9</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rPr>
                <w:rStyle w:val="Strong"/>
              </w:rPr>
            </w:pPr>
            <w:r w:rsidRPr="00F87A40">
              <w:rPr>
                <w:rStyle w:val="Strong"/>
              </w:rPr>
              <w:t>49.1</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rPr>
                <w:rStyle w:val="Strong"/>
              </w:rPr>
            </w:pPr>
            <w:r w:rsidRPr="00F87A40">
              <w:rPr>
                <w:rStyle w:val="Strong"/>
              </w:rPr>
              <w:t>66.9</w:t>
            </w:r>
          </w:p>
        </w:tc>
        <w:tc>
          <w:tcPr>
            <w:tcW w:w="934"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F87A40">
              <w:rPr>
                <w:rStyle w:val="Strong"/>
              </w:rPr>
              <w:t>21.4</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F87A40">
              <w:rPr>
                <w:rStyle w:val="Strong"/>
              </w:rPr>
              <w:t>2.3</w:t>
            </w:r>
          </w:p>
        </w:tc>
        <w:tc>
          <w:tcPr>
            <w:tcW w:w="935" w:type="dxa"/>
          </w:tcPr>
          <w:p w:rsidR="00F87A40" w:rsidRPr="00F87A40" w:rsidRDefault="00F87A40" w:rsidP="00F87A40">
            <w:pPr>
              <w:cnfStyle w:val="000000000000" w:firstRow="0" w:lastRow="0" w:firstColumn="0" w:lastColumn="0" w:oddVBand="0" w:evenVBand="0" w:oddHBand="0" w:evenHBand="0" w:firstRowFirstColumn="0" w:firstRowLastColumn="0" w:lastRowFirstColumn="0" w:lastRowLastColumn="0"/>
              <w:rPr>
                <w:rStyle w:val="Strong"/>
              </w:rPr>
            </w:pPr>
            <w:r w:rsidRPr="00F87A40">
              <w:rPr>
                <w:rStyle w:val="Strong"/>
              </w:rPr>
              <w:t>184.2</w:t>
            </w:r>
          </w:p>
        </w:tc>
      </w:tr>
    </w:tbl>
    <w:p w:rsidR="009167D7" w:rsidRDefault="009167D7" w:rsidP="00D03746">
      <w:pPr>
        <w:pStyle w:val="AERtablesource"/>
      </w:pPr>
      <w:r>
        <w:t xml:space="preserve">Source: </w:t>
      </w:r>
      <w:r>
        <w:tab/>
      </w:r>
      <w:r w:rsidR="004F2D3C">
        <w:t>AER</w:t>
      </w:r>
      <w:r w:rsidR="00B93ED3">
        <w:t xml:space="preserve"> analysis.</w:t>
      </w:r>
    </w:p>
    <w:p w:rsidR="00D03CCF" w:rsidRDefault="00EB1C9A" w:rsidP="00D4708D">
      <w:r>
        <w:t xml:space="preserve">This section explains how these </w:t>
      </w:r>
      <w:r w:rsidR="009167D7">
        <w:t>revenue increments or decrements</w:t>
      </w:r>
      <w:r>
        <w:t xml:space="preserve"> arose.</w:t>
      </w:r>
    </w:p>
    <w:p w:rsidR="00976E22" w:rsidRDefault="00890CF1" w:rsidP="00390D5A">
      <w:r>
        <w:t>Over the 2010–15</w:t>
      </w:r>
      <w:r w:rsidR="00DC62C5">
        <w:t xml:space="preserve"> regulatory control period, we regulated Ergon Energy</w:t>
      </w:r>
      <w:r>
        <w:t xml:space="preserve"> under</w:t>
      </w:r>
      <w:r w:rsidR="00DC62C5">
        <w:t xml:space="preserve"> a revenue cap form of control. Under </w:t>
      </w:r>
      <w:r w:rsidR="00F43787">
        <w:t>this form of control</w:t>
      </w:r>
      <w:r>
        <w:t xml:space="preserve">, service providers recover no more or less than the </w:t>
      </w:r>
      <w:r w:rsidR="00F43787">
        <w:t xml:space="preserve">total </w:t>
      </w:r>
      <w:r w:rsidR="00D576A8">
        <w:t xml:space="preserve">allowed </w:t>
      </w:r>
      <w:r w:rsidR="00F43787">
        <w:t>revenue</w:t>
      </w:r>
      <w:r>
        <w:t xml:space="preserve">, which </w:t>
      </w:r>
      <w:r w:rsidR="00DC62C5">
        <w:t xml:space="preserve">usually </w:t>
      </w:r>
      <w:r>
        <w:t>includes:</w:t>
      </w:r>
    </w:p>
    <w:p w:rsidR="00890CF1" w:rsidRDefault="00F43787" w:rsidP="00B173ED">
      <w:pPr>
        <w:pStyle w:val="AERbulletlistfirststyle"/>
      </w:pPr>
      <w:r>
        <w:t>B</w:t>
      </w:r>
      <w:r w:rsidR="00890CF1">
        <w:t xml:space="preserve">uilding block </w:t>
      </w:r>
      <w:r>
        <w:t xml:space="preserve">expected </w:t>
      </w:r>
      <w:r w:rsidR="00890CF1">
        <w:t>revenue set in the determination</w:t>
      </w:r>
      <w:r>
        <w:t>.</w:t>
      </w:r>
    </w:p>
    <w:p w:rsidR="00731A21" w:rsidRDefault="00B215C9" w:rsidP="00B173ED">
      <w:pPr>
        <w:pStyle w:val="AERbulletlistfirststyle"/>
      </w:pPr>
      <w:r>
        <w:t>U</w:t>
      </w:r>
      <w:r w:rsidR="00890CF1">
        <w:t>nder or over</w:t>
      </w:r>
      <w:r w:rsidR="00F43787">
        <w:t>-</w:t>
      </w:r>
      <w:r w:rsidR="00890CF1">
        <w:t>recovery</w:t>
      </w:r>
      <w:r w:rsidR="00084F6C">
        <w:t xml:space="preserve"> in the </w:t>
      </w:r>
      <w:r w:rsidR="00F43787">
        <w:t>expected revenue</w:t>
      </w:r>
      <w:r w:rsidR="00890CF1">
        <w:t xml:space="preserve"> from two years </w:t>
      </w:r>
      <w:r w:rsidR="00731A21">
        <w:t>prior</w:t>
      </w:r>
      <w:r w:rsidR="00890CF1">
        <w:t>—</w:t>
      </w:r>
      <w:r w:rsidR="00795F48">
        <w:t>these amounts are for</w:t>
      </w:r>
      <w:r w:rsidR="00890CF1">
        <w:t xml:space="preserve"> two years prior because the full amount of any under/over</w:t>
      </w:r>
      <w:r w:rsidR="00F43787">
        <w:t>-</w:t>
      </w:r>
      <w:r w:rsidR="00890CF1">
        <w:t>recovery is not known until the end of a pricing year, but the pricing approval process must take place in advance of the pricing year. Therefore</w:t>
      </w:r>
      <w:r w:rsidR="00731A21">
        <w:t xml:space="preserve">, there is a two year lag between when the pricing year finishes and when revenue under/over recoveries can be included in the </w:t>
      </w:r>
      <w:r w:rsidR="00F43787">
        <w:t xml:space="preserve">future </w:t>
      </w:r>
      <w:r w:rsidR="00731A21">
        <w:t>revenue target.</w:t>
      </w:r>
    </w:p>
    <w:p w:rsidR="00890CF1" w:rsidRDefault="00740AED" w:rsidP="00B173ED">
      <w:pPr>
        <w:pStyle w:val="AERbulletlistfirststyle"/>
      </w:pPr>
      <w:r>
        <w:t>J</w:t>
      </w:r>
      <w:r w:rsidR="001514DD">
        <w:t xml:space="preserve">urisdictional scheme </w:t>
      </w:r>
      <w:r w:rsidR="00D576A8">
        <w:t xml:space="preserve">obligation </w:t>
      </w:r>
      <w:r w:rsidR="001514DD">
        <w:t>amounts</w:t>
      </w:r>
      <w:r w:rsidR="00ED229E">
        <w:t xml:space="preserve">—these are amounts that the service provider is required to collect under legislation and which we </w:t>
      </w:r>
      <w:r w:rsidR="00D576A8">
        <w:t>are not required</w:t>
      </w:r>
      <w:r w:rsidR="00ED229E">
        <w:t xml:space="preserve"> to assess.</w:t>
      </w:r>
    </w:p>
    <w:p w:rsidR="0064020B" w:rsidRDefault="00740AED" w:rsidP="00B173ED">
      <w:pPr>
        <w:pStyle w:val="AERbulletlistfirststyle"/>
      </w:pPr>
      <w:r>
        <w:t>P</w:t>
      </w:r>
      <w:r w:rsidR="00ED229E">
        <w:t>ass</w:t>
      </w:r>
      <w:r w:rsidR="00D576A8">
        <w:t xml:space="preserve"> </w:t>
      </w:r>
      <w:r w:rsidR="00ED229E">
        <w:t>through amounts</w:t>
      </w:r>
      <w:r w:rsidR="00795F48">
        <w:t>—these are amounts</w:t>
      </w:r>
      <w:r w:rsidR="0064020B">
        <w:t xml:space="preserve"> that the service provider has applied for under the pass through provisions in its determination and we have subsequently approved. Often, this relates to events with unfor</w:t>
      </w:r>
      <w:r w:rsidR="00D576A8">
        <w:t>e</w:t>
      </w:r>
      <w:r w:rsidR="0064020B">
        <w:t>seeable likelihood and or timing, such as damage due to storms or regulatory changes.</w:t>
      </w:r>
    </w:p>
    <w:p w:rsidR="00ED229E" w:rsidRDefault="00740AED" w:rsidP="00B173ED">
      <w:pPr>
        <w:pStyle w:val="AERbulletlistfirststyle"/>
      </w:pPr>
      <w:r>
        <w:t>O</w:t>
      </w:r>
      <w:r w:rsidR="0064020B">
        <w:t>ther factors—</w:t>
      </w:r>
      <w:r w:rsidR="00D576A8">
        <w:t>t</w:t>
      </w:r>
      <w:r w:rsidR="008175A0">
        <w:t>his</w:t>
      </w:r>
      <w:r w:rsidR="000A35B5">
        <w:t xml:space="preserve"> </w:t>
      </w:r>
      <w:r w:rsidR="008175A0">
        <w:t>category</w:t>
      </w:r>
      <w:r w:rsidR="000A35B5">
        <w:t xml:space="preserve"> include</w:t>
      </w:r>
      <w:r w:rsidR="008175A0">
        <w:t>s</w:t>
      </w:r>
      <w:r w:rsidR="000A35B5">
        <w:t xml:space="preserve"> applicable incentive scheme amounts, such as the S-factor for STPIS</w:t>
      </w:r>
      <w:r w:rsidR="00AB1EA8">
        <w:t>, and transitional capital contributions and shared asset amounts</w:t>
      </w:r>
      <w:r w:rsidR="000A35B5">
        <w:t xml:space="preserve">. </w:t>
      </w:r>
    </w:p>
    <w:p w:rsidR="008175A0" w:rsidRDefault="00390D5A" w:rsidP="00B173ED">
      <w:pPr>
        <w:pStyle w:val="AERbulletlistfirststyle"/>
        <w:numPr>
          <w:ilvl w:val="0"/>
          <w:numId w:val="0"/>
        </w:numPr>
      </w:pPr>
      <w:r>
        <w:t>Ergon Energy has accumulated</w:t>
      </w:r>
      <w:r w:rsidR="00727BA1">
        <w:t xml:space="preserve"> a</w:t>
      </w:r>
      <w:r>
        <w:t xml:space="preserve"> </w:t>
      </w:r>
      <w:r w:rsidR="00727BA1">
        <w:t xml:space="preserve">large under-recovery balance </w:t>
      </w:r>
      <w:r>
        <w:t>due to:</w:t>
      </w:r>
    </w:p>
    <w:p w:rsidR="00390D5A" w:rsidRPr="00390D5A" w:rsidRDefault="00727BA1" w:rsidP="00D03746">
      <w:pPr>
        <w:pStyle w:val="AERbulletlistfirststyle"/>
      </w:pPr>
      <w:r>
        <w:t>revenue cap under</w:t>
      </w:r>
      <w:r w:rsidR="00D576A8">
        <w:t>-</w:t>
      </w:r>
      <w:r>
        <w:t>recoveries</w:t>
      </w:r>
    </w:p>
    <w:p w:rsidR="00390D5A" w:rsidRDefault="00D576A8" w:rsidP="00D03746">
      <w:pPr>
        <w:pStyle w:val="AERbulletlistfirststyle"/>
      </w:pPr>
      <w:r>
        <w:t xml:space="preserve">pass through of </w:t>
      </w:r>
      <w:r w:rsidR="00727BA1">
        <w:t>feed-in tariff</w:t>
      </w:r>
      <w:r>
        <w:t>s</w:t>
      </w:r>
      <w:r w:rsidR="00727BA1">
        <w:t xml:space="preserve"> under</w:t>
      </w:r>
      <w:r>
        <w:t>-</w:t>
      </w:r>
      <w:r w:rsidR="00727BA1">
        <w:t>recoveries</w:t>
      </w:r>
      <w:r w:rsidR="00390D5A" w:rsidRPr="00390D5A">
        <w:t>.</w:t>
      </w:r>
    </w:p>
    <w:p w:rsidR="008D51D2" w:rsidRDefault="008D51D2" w:rsidP="006F3449">
      <w:r>
        <w:t xml:space="preserve">These are amounts that Ergon Energy was allowed to recover </w:t>
      </w:r>
      <w:r w:rsidR="00D576A8">
        <w:t xml:space="preserve">as revenues </w:t>
      </w:r>
      <w:r>
        <w:t xml:space="preserve">over the 2010–15 </w:t>
      </w:r>
      <w:r w:rsidR="00D576A8">
        <w:t xml:space="preserve">regulatory control </w:t>
      </w:r>
      <w:r>
        <w:t xml:space="preserve">period, but did not </w:t>
      </w:r>
      <w:r w:rsidR="00D576A8">
        <w:t>do so</w:t>
      </w:r>
      <w:r>
        <w:t xml:space="preserve">. </w:t>
      </w:r>
      <w:r w:rsidR="00AA6018">
        <w:t xml:space="preserve">In particular, these amounts accumulated due to </w:t>
      </w:r>
      <w:r w:rsidR="00727BA1">
        <w:t>three main</w:t>
      </w:r>
      <w:r w:rsidR="00AA6018">
        <w:t xml:space="preserve"> factors:</w:t>
      </w:r>
    </w:p>
    <w:p w:rsidR="00D91852" w:rsidRDefault="00697B33" w:rsidP="00B173ED">
      <w:pPr>
        <w:pStyle w:val="AERbulletlistfirststyle"/>
      </w:pPr>
      <w:r>
        <w:lastRenderedPageBreak/>
        <w:t>T</w:t>
      </w:r>
      <w:r w:rsidR="00F563D3">
        <w:t>hroughout the</w:t>
      </w:r>
      <w:r>
        <w:t xml:space="preserve"> 2010–15</w:t>
      </w:r>
      <w:r w:rsidR="00F563D3">
        <w:t xml:space="preserve"> regulatory control period, consumption of electricity on Ergon Energy's network decreased at a faster rate than was projected in</w:t>
      </w:r>
      <w:r w:rsidR="00B215C9">
        <w:t xml:space="preserve"> pricing</w:t>
      </w:r>
      <w:r w:rsidR="00F563D3">
        <w:t xml:space="preserve"> forecasts. Approved prices are set </w:t>
      </w:r>
      <w:r w:rsidR="00CC1891">
        <w:t>annually</w:t>
      </w:r>
      <w:r w:rsidR="00F563D3">
        <w:t xml:space="preserve"> to recover the target revenue based on estimate</w:t>
      </w:r>
      <w:r>
        <w:t>d unit</w:t>
      </w:r>
      <w:r w:rsidR="00F563D3">
        <w:t xml:space="preserve">s of consumption, customer numbers and other factors where relevant. </w:t>
      </w:r>
      <w:r w:rsidR="00CC1891">
        <w:t>Holding all else constant,</w:t>
      </w:r>
      <w:r w:rsidR="00CC1891" w:rsidRPr="00CC1891">
        <w:t xml:space="preserve"> </w:t>
      </w:r>
      <w:r w:rsidR="00CC1891">
        <w:t>i</w:t>
      </w:r>
      <w:r w:rsidR="00D91852">
        <w:t xml:space="preserve">f </w:t>
      </w:r>
      <w:r w:rsidR="00CC1891">
        <w:t>any of</w:t>
      </w:r>
      <w:r w:rsidR="00D91852">
        <w:t xml:space="preserve"> these </w:t>
      </w:r>
      <w:r w:rsidR="00CC1891">
        <w:t>units</w:t>
      </w:r>
      <w:r w:rsidR="00D91852">
        <w:t xml:space="preserve"> is overestimated:</w:t>
      </w:r>
    </w:p>
    <w:p w:rsidR="00AA6018" w:rsidRDefault="00D91852" w:rsidP="00B173ED">
      <w:pPr>
        <w:pStyle w:val="AERbulletlistsecondstyle"/>
      </w:pPr>
      <w:r>
        <w:t>prices are relatively lower than they should have been, since the same revenue amount is shared across a larger number of units</w:t>
      </w:r>
    </w:p>
    <w:p w:rsidR="00D91852" w:rsidRDefault="00D91852" w:rsidP="00B173ED">
      <w:pPr>
        <w:pStyle w:val="AERbulletlistsecondstyle"/>
      </w:pPr>
      <w:r>
        <w:t>revenue is therefore lower than it should have been, since it is the product of a lower-than-forecast actual number of units multiplied by a relatively lower price.</w:t>
      </w:r>
    </w:p>
    <w:p w:rsidR="00D91852" w:rsidRDefault="00740AED" w:rsidP="00B173ED">
      <w:pPr>
        <w:pStyle w:val="AERbulletlistfirststyle"/>
      </w:pPr>
      <w:r>
        <w:t>U</w:t>
      </w:r>
      <w:r w:rsidR="00EB1C9A">
        <w:t xml:space="preserve">ptake of the solar bonus scheme </w:t>
      </w:r>
      <w:r w:rsidR="00697B33">
        <w:t>(</w:t>
      </w:r>
      <w:r w:rsidR="00EB1C9A">
        <w:t>feed-in tariff</w:t>
      </w:r>
      <w:r w:rsidR="00697B33">
        <w:t>s)</w:t>
      </w:r>
      <w:r w:rsidR="00EB1C9A">
        <w:t xml:space="preserve"> was greater than forecast</w:t>
      </w:r>
      <w:r w:rsidR="00A10836">
        <w:t>. An</w:t>
      </w:r>
      <w:r w:rsidR="00697B33">
        <w:t>nual</w:t>
      </w:r>
      <w:r w:rsidR="00A10836">
        <w:t xml:space="preserve"> estimate</w:t>
      </w:r>
      <w:r w:rsidR="00697B33">
        <w:t>s</w:t>
      </w:r>
      <w:r w:rsidR="00A10836">
        <w:t xml:space="preserve"> of the </w:t>
      </w:r>
      <w:r w:rsidR="00697B33">
        <w:t>feed-in tariffs</w:t>
      </w:r>
      <w:r w:rsidR="00A10836">
        <w:t xml:space="preserve"> w</w:t>
      </w:r>
      <w:r w:rsidR="00697B33">
        <w:t>ere</w:t>
      </w:r>
      <w:r w:rsidR="00A10836">
        <w:t xml:space="preserve"> included in Ergon Energy's opex allowance over the 2010–15 regulatory control period. However, since this was a new jurisdictional policy and hence difficult to forecast, we approved a specific overs</w:t>
      </w:r>
      <w:r w:rsidR="00697B33">
        <w:t>/</w:t>
      </w:r>
      <w:r w:rsidR="00A10836">
        <w:t>unders</w:t>
      </w:r>
      <w:r w:rsidR="00DC62C5">
        <w:t xml:space="preserve"> factor </w:t>
      </w:r>
      <w:r w:rsidR="00697B33">
        <w:t xml:space="preserve">to account </w:t>
      </w:r>
      <w:r w:rsidR="00DC62C5">
        <w:t xml:space="preserve">for the </w:t>
      </w:r>
      <w:r w:rsidR="00697B33">
        <w:t>difference between forecast and actual</w:t>
      </w:r>
      <w:r w:rsidR="00DC62C5">
        <w:t>.</w:t>
      </w:r>
      <w:r w:rsidRPr="00740AED">
        <w:t xml:space="preserve"> </w:t>
      </w:r>
      <w:r w:rsidR="00056AC4">
        <w:t>As</w:t>
      </w:r>
      <w:r>
        <w:t xml:space="preserve"> the take-up of the scheme was </w:t>
      </w:r>
      <w:r w:rsidR="00697B33">
        <w:t>much</w:t>
      </w:r>
      <w:r>
        <w:t xml:space="preserve"> greater than forecast, this led to a </w:t>
      </w:r>
      <w:r w:rsidR="00697B33">
        <w:t>large</w:t>
      </w:r>
      <w:r>
        <w:t xml:space="preserve"> under</w:t>
      </w:r>
      <w:r w:rsidR="00697B33">
        <w:t>-</w:t>
      </w:r>
      <w:r>
        <w:t xml:space="preserve">recovery balance. </w:t>
      </w:r>
    </w:p>
    <w:p w:rsidR="00DC62C5" w:rsidRPr="00890CF1" w:rsidRDefault="00740AED" w:rsidP="00F87A40">
      <w:r>
        <w:t>T</w:t>
      </w:r>
      <w:r w:rsidR="00D6504D">
        <w:t xml:space="preserve">hese in combination led to a triggering of the under-recovery threshold. </w:t>
      </w:r>
      <w:r w:rsidR="00697B33">
        <w:t>In</w:t>
      </w:r>
      <w:r w:rsidR="00D6504D">
        <w:t xml:space="preserve"> the </w:t>
      </w:r>
      <w:r w:rsidR="00697B33">
        <w:t>2010</w:t>
      </w:r>
      <w:r w:rsidR="00D6504D">
        <w:t xml:space="preserve"> determination, we set a 5 per cent over/under threshold for accumulated under or over</w:t>
      </w:r>
      <w:r w:rsidR="00697B33">
        <w:t>-</w:t>
      </w:r>
      <w:r w:rsidR="00D6504D">
        <w:t xml:space="preserve">recovery balances. On meeting this threshold, Ergon Energy submitted a plan to clear the balance over several years. Part of this plan included the recovery of some of the revenue in the </w:t>
      </w:r>
      <w:r w:rsidR="00DC62C5">
        <w:t>2015–20</w:t>
      </w:r>
      <w:r w:rsidR="00D6504D">
        <w:t xml:space="preserve"> regulatory control period. This was designed to prevent larger </w:t>
      </w:r>
      <w:r w:rsidR="00697B33">
        <w:t>increase</w:t>
      </w:r>
      <w:r w:rsidR="00D6504D">
        <w:t xml:space="preserve"> in prices over the </w:t>
      </w:r>
      <w:r w:rsidR="00697B33">
        <w:t>2010–15</w:t>
      </w:r>
      <w:r w:rsidR="00D6504D">
        <w:t xml:space="preserve"> regulatory control period.</w:t>
      </w:r>
    </w:p>
    <w:p w:rsidR="00CB5166" w:rsidRPr="00813E06" w:rsidRDefault="00CB5166" w:rsidP="00CB5166">
      <w:pPr>
        <w:pStyle w:val="Heading3"/>
      </w:pPr>
      <w:bookmarkStart w:id="36" w:name="_Toc404354911"/>
      <w:bookmarkStart w:id="37" w:name="_Toc417565193"/>
      <w:bookmarkStart w:id="38" w:name="_Toc404354910"/>
      <w:r w:rsidRPr="007F7AA6">
        <w:t>Shared assets</w:t>
      </w:r>
      <w:bookmarkEnd w:id="36"/>
      <w:bookmarkEnd w:id="37"/>
    </w:p>
    <w:p w:rsidR="00EB4073" w:rsidRDefault="00CB5166" w:rsidP="00CB5166">
      <w:pPr>
        <w:numPr>
          <w:ilvl w:val="0"/>
          <w:numId w:val="25"/>
        </w:numPr>
      </w:pPr>
      <w:r w:rsidRPr="007F7AA6">
        <w:t xml:space="preserve">Service providers, such as </w:t>
      </w:r>
      <w:r>
        <w:t>Ergon Energy</w:t>
      </w:r>
      <w:r w:rsidRPr="007F7AA6">
        <w:t>, may use assets to provide both standard control services we regulate and unregulated services. These assets are called 'shared assets'.</w:t>
      </w:r>
      <w:r w:rsidRPr="007F7AA6">
        <w:rPr>
          <w:rStyle w:val="AERsuperscript"/>
        </w:rPr>
        <w:footnoteReference w:id="11"/>
      </w:r>
      <w:r w:rsidRPr="007F7AA6">
        <w:rPr>
          <w:rStyle w:val="AERsuperscript"/>
        </w:rPr>
        <w:t xml:space="preserve"> </w:t>
      </w:r>
      <w:r w:rsidRPr="007F7AA6">
        <w:t>Of the unregulated revenues a service provider earns from shared assets, 10</w:t>
      </w:r>
      <w:r w:rsidR="000B0058">
        <w:t> </w:t>
      </w:r>
      <w:r w:rsidRPr="007F7AA6">
        <w:t>per cent will be used to reduce the service provider's prices for standard control services.</w:t>
      </w:r>
      <w:r w:rsidRPr="007F7AA6">
        <w:rPr>
          <w:rStyle w:val="AERsuperscript"/>
        </w:rPr>
        <w:footnoteReference w:id="12"/>
      </w:r>
      <w:r w:rsidR="00EB4073">
        <w:t xml:space="preserve"> </w:t>
      </w:r>
    </w:p>
    <w:p w:rsidR="00CB5166" w:rsidRPr="007F7AA6" w:rsidRDefault="00EB4073" w:rsidP="00CB5166">
      <w:pPr>
        <w:numPr>
          <w:ilvl w:val="0"/>
          <w:numId w:val="25"/>
        </w:numPr>
      </w:pPr>
      <w:r>
        <w:t xml:space="preserve">Shared asset </w:t>
      </w:r>
      <w:r w:rsidR="00CB5166" w:rsidRPr="007F7AA6">
        <w:t>price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00CB5166" w:rsidRPr="007F7AA6">
        <w:rPr>
          <w:rStyle w:val="AERsuperscript"/>
        </w:rPr>
        <w:footnoteReference w:id="13"/>
      </w:r>
      <w:r w:rsidR="00CB5166" w:rsidRPr="007F7AA6">
        <w:t xml:space="preserve">  </w:t>
      </w:r>
    </w:p>
    <w:p w:rsidR="00923B6B" w:rsidRDefault="00CB5166" w:rsidP="008108C5">
      <w:pPr>
        <w:numPr>
          <w:ilvl w:val="0"/>
          <w:numId w:val="25"/>
        </w:numPr>
      </w:pPr>
      <w:r>
        <w:t>Ergon Energy</w:t>
      </w:r>
      <w:r w:rsidRPr="007F7AA6">
        <w:t xml:space="preserve"> submitted that its shared asset unregulated revenues are forecast to be </w:t>
      </w:r>
      <w:r w:rsidR="008108C5">
        <w:t xml:space="preserve">around 20 per cent of its total revenues in each year of the </w:t>
      </w:r>
      <w:r w:rsidR="000B0058">
        <w:t xml:space="preserve">2015–20 </w:t>
      </w:r>
      <w:r w:rsidR="008108C5">
        <w:t xml:space="preserve">regulatory </w:t>
      </w:r>
      <w:r w:rsidR="008108C5">
        <w:lastRenderedPageBreak/>
        <w:t>period.</w:t>
      </w:r>
      <w:r w:rsidR="008108C5">
        <w:rPr>
          <w:rStyle w:val="FootnoteReference"/>
        </w:rPr>
        <w:footnoteReference w:id="14"/>
      </w:r>
      <w:r w:rsidR="008108C5">
        <w:t xml:space="preserve"> Ergon Energy therefore proposed reductions in its total revenues for each year of th</w:t>
      </w:r>
      <w:r w:rsidR="000B0058">
        <w:t>at</w:t>
      </w:r>
      <w:r w:rsidR="008108C5">
        <w:t xml:space="preserve"> period. </w:t>
      </w:r>
    </w:p>
    <w:p w:rsidR="007B6B77" w:rsidRDefault="00923B6B" w:rsidP="0064714B">
      <w:r>
        <w:t>O</w:t>
      </w:r>
      <w:r w:rsidR="0080747B">
        <w:t xml:space="preserve">ur </w:t>
      </w:r>
      <w:r w:rsidR="006C006C" w:rsidRPr="0064714B">
        <w:t xml:space="preserve">Shared </w:t>
      </w:r>
      <w:r w:rsidR="0064714B">
        <w:t>A</w:t>
      </w:r>
      <w:r w:rsidR="006C006C" w:rsidRPr="0064714B">
        <w:t xml:space="preserve">sset </w:t>
      </w:r>
      <w:r w:rsidR="0064714B">
        <w:t>G</w:t>
      </w:r>
      <w:r w:rsidR="0080747B" w:rsidRPr="0064714B">
        <w:t>uideline</w:t>
      </w:r>
      <w:r w:rsidR="0080747B">
        <w:t xml:space="preserve"> </w:t>
      </w:r>
      <w:r w:rsidR="000556EA">
        <w:t xml:space="preserve">caps </w:t>
      </w:r>
      <w:r w:rsidR="0080747B">
        <w:t>the value</w:t>
      </w:r>
      <w:r>
        <w:t xml:space="preserve"> of annual shared asset revenue adjustments</w:t>
      </w:r>
      <w:r w:rsidR="0080747B">
        <w:t xml:space="preserve">, to prevent </w:t>
      </w:r>
      <w:r>
        <w:t>them</w:t>
      </w:r>
      <w:r w:rsidR="003B0637">
        <w:t xml:space="preserve"> exceeding the value of the regulated assets generating the unregulated revenue.</w:t>
      </w:r>
      <w:r w:rsidR="0080747B">
        <w:t xml:space="preserve"> </w:t>
      </w:r>
      <w:r>
        <w:t>The cap means distributors retain incentives to allow their regulated assets to provide unregulated services.</w:t>
      </w:r>
      <w:r w:rsidR="008108C5">
        <w:t xml:space="preserve"> </w:t>
      </w:r>
      <w:r>
        <w:t xml:space="preserve">Without the cap, society would risk losing the benefits of having unregulated services provided </w:t>
      </w:r>
      <w:r w:rsidR="000B0058">
        <w:t xml:space="preserve">in conjunction </w:t>
      </w:r>
      <w:r>
        <w:t xml:space="preserve">with electricity network assets. It would also risk electricity customers losing altogether the price benefits of shared asset revenue reductions. </w:t>
      </w:r>
    </w:p>
    <w:p w:rsidR="00923B6B" w:rsidRDefault="00923B6B" w:rsidP="008108C5">
      <w:pPr>
        <w:numPr>
          <w:ilvl w:val="0"/>
          <w:numId w:val="25"/>
        </w:numPr>
      </w:pPr>
      <w:r>
        <w:t>Ergon Energy calculated annual caps and applied those to its annual shared asset revenue adjustments.</w:t>
      </w:r>
      <w:r w:rsidR="00DC20A3">
        <w:rPr>
          <w:rStyle w:val="FootnoteReference"/>
        </w:rPr>
        <w:footnoteReference w:id="15"/>
      </w:r>
      <w:r>
        <w:t xml:space="preserve"> </w:t>
      </w:r>
      <w:r w:rsidR="000556EA">
        <w:t xml:space="preserve">Ergon Energy's </w:t>
      </w:r>
      <w:r w:rsidR="00533B5D">
        <w:t xml:space="preserve">updated </w:t>
      </w:r>
      <w:r w:rsidR="000556EA">
        <w:t xml:space="preserve">proposed revenue adjustments are set out in </w:t>
      </w:r>
      <w:r w:rsidR="000B0058">
        <w:fldChar w:fldCharType="begin"/>
      </w:r>
      <w:r w:rsidR="000B0058">
        <w:instrText xml:space="preserve"> REF _Ref415733330 \h </w:instrText>
      </w:r>
      <w:r w:rsidR="000B0058">
        <w:fldChar w:fldCharType="separate"/>
      </w:r>
      <w:r w:rsidR="0064714B">
        <w:t>t</w:t>
      </w:r>
      <w:r w:rsidR="002B4CF4">
        <w:t xml:space="preserve">able </w:t>
      </w:r>
      <w:r w:rsidR="002B4CF4">
        <w:rPr>
          <w:noProof/>
        </w:rPr>
        <w:t>1</w:t>
      </w:r>
      <w:r w:rsidR="002B4CF4">
        <w:t>.</w:t>
      </w:r>
      <w:r w:rsidR="002B4CF4">
        <w:rPr>
          <w:noProof/>
        </w:rPr>
        <w:t>6</w:t>
      </w:r>
      <w:r w:rsidR="000B0058">
        <w:fldChar w:fldCharType="end"/>
      </w:r>
      <w:r w:rsidR="000556EA">
        <w:t>.</w:t>
      </w:r>
    </w:p>
    <w:p w:rsidR="0080353A" w:rsidRDefault="0080353A" w:rsidP="0080353A">
      <w:pPr>
        <w:pStyle w:val="Caption"/>
      </w:pPr>
      <w:bookmarkStart w:id="39" w:name="_Ref415733330"/>
      <w:r>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Table \* AR</w:instrText>
      </w:r>
      <w:r w:rsidR="00F55BC8">
        <w:instrText xml:space="preserve">ABIC \s 1 </w:instrText>
      </w:r>
      <w:r w:rsidR="00F55BC8">
        <w:fldChar w:fldCharType="separate"/>
      </w:r>
      <w:r w:rsidR="002B4CF4">
        <w:rPr>
          <w:noProof/>
        </w:rPr>
        <w:t>6</w:t>
      </w:r>
      <w:r w:rsidR="00F55BC8">
        <w:rPr>
          <w:noProof/>
        </w:rPr>
        <w:fldChar w:fldCharType="end"/>
      </w:r>
      <w:bookmarkEnd w:id="39"/>
      <w:r>
        <w:tab/>
        <w:t>Ergon Energy</w:t>
      </w:r>
      <w:r w:rsidR="00AA1580">
        <w:t>'s</w:t>
      </w:r>
      <w:r>
        <w:t xml:space="preserve"> proposed shared asset revenue adjustments</w:t>
      </w:r>
      <w:r w:rsidR="00AA1580">
        <w:t xml:space="preserve"> ($ million, 2014–15)</w:t>
      </w:r>
    </w:p>
    <w:tbl>
      <w:tblPr>
        <w:tblStyle w:val="AERtable-numbers"/>
        <w:tblW w:w="0" w:type="auto"/>
        <w:tblLook w:val="04A0" w:firstRow="1" w:lastRow="0" w:firstColumn="1" w:lastColumn="0" w:noHBand="0" w:noVBand="1"/>
      </w:tblPr>
      <w:tblGrid>
        <w:gridCol w:w="2660"/>
        <w:gridCol w:w="1005"/>
        <w:gridCol w:w="1006"/>
        <w:gridCol w:w="1005"/>
        <w:gridCol w:w="1006"/>
        <w:gridCol w:w="1005"/>
        <w:gridCol w:w="1006"/>
      </w:tblGrid>
      <w:tr w:rsidR="00AA1580" w:rsidTr="00D03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A1580" w:rsidRDefault="00AA1580" w:rsidP="00AA1580"/>
        </w:tc>
        <w:tc>
          <w:tcPr>
            <w:tcW w:w="1005" w:type="dxa"/>
          </w:tcPr>
          <w:p w:rsidR="00AA1580" w:rsidRDefault="00AA1580" w:rsidP="00AA1580">
            <w:pPr>
              <w:cnfStyle w:val="100000000000" w:firstRow="1" w:lastRow="0" w:firstColumn="0" w:lastColumn="0" w:oddVBand="0" w:evenVBand="0" w:oddHBand="0" w:evenHBand="0" w:firstRowFirstColumn="0" w:firstRowLastColumn="0" w:lastRowFirstColumn="0" w:lastRowLastColumn="0"/>
            </w:pPr>
            <w:r>
              <w:t>2015–16</w:t>
            </w:r>
          </w:p>
        </w:tc>
        <w:tc>
          <w:tcPr>
            <w:tcW w:w="1006" w:type="dxa"/>
          </w:tcPr>
          <w:p w:rsidR="00AA1580" w:rsidRDefault="00AA1580" w:rsidP="00AA1580">
            <w:pPr>
              <w:cnfStyle w:val="100000000000" w:firstRow="1" w:lastRow="0" w:firstColumn="0" w:lastColumn="0" w:oddVBand="0" w:evenVBand="0" w:oddHBand="0" w:evenHBand="0" w:firstRowFirstColumn="0" w:firstRowLastColumn="0" w:lastRowFirstColumn="0" w:lastRowLastColumn="0"/>
            </w:pPr>
            <w:r>
              <w:t>2016–17</w:t>
            </w:r>
          </w:p>
        </w:tc>
        <w:tc>
          <w:tcPr>
            <w:tcW w:w="1005" w:type="dxa"/>
          </w:tcPr>
          <w:p w:rsidR="00AA1580" w:rsidRDefault="00AA1580" w:rsidP="00AA1580">
            <w:pPr>
              <w:cnfStyle w:val="100000000000" w:firstRow="1" w:lastRow="0" w:firstColumn="0" w:lastColumn="0" w:oddVBand="0" w:evenVBand="0" w:oddHBand="0" w:evenHBand="0" w:firstRowFirstColumn="0" w:firstRowLastColumn="0" w:lastRowFirstColumn="0" w:lastRowLastColumn="0"/>
            </w:pPr>
            <w:r>
              <w:t>2017–18</w:t>
            </w:r>
          </w:p>
        </w:tc>
        <w:tc>
          <w:tcPr>
            <w:tcW w:w="1006" w:type="dxa"/>
          </w:tcPr>
          <w:p w:rsidR="00AA1580" w:rsidRDefault="00AA1580" w:rsidP="00AA1580">
            <w:pPr>
              <w:cnfStyle w:val="100000000000" w:firstRow="1" w:lastRow="0" w:firstColumn="0" w:lastColumn="0" w:oddVBand="0" w:evenVBand="0" w:oddHBand="0" w:evenHBand="0" w:firstRowFirstColumn="0" w:firstRowLastColumn="0" w:lastRowFirstColumn="0" w:lastRowLastColumn="0"/>
            </w:pPr>
            <w:r>
              <w:t>2018–19</w:t>
            </w:r>
          </w:p>
        </w:tc>
        <w:tc>
          <w:tcPr>
            <w:tcW w:w="1005" w:type="dxa"/>
          </w:tcPr>
          <w:p w:rsidR="00AA1580" w:rsidRDefault="00AA1580" w:rsidP="00AA1580">
            <w:pPr>
              <w:cnfStyle w:val="100000000000" w:firstRow="1" w:lastRow="0" w:firstColumn="0" w:lastColumn="0" w:oddVBand="0" w:evenVBand="0" w:oddHBand="0" w:evenHBand="0" w:firstRowFirstColumn="0" w:firstRowLastColumn="0" w:lastRowFirstColumn="0" w:lastRowLastColumn="0"/>
            </w:pPr>
            <w:r>
              <w:t>2019–20</w:t>
            </w:r>
          </w:p>
        </w:tc>
        <w:tc>
          <w:tcPr>
            <w:tcW w:w="1006" w:type="dxa"/>
          </w:tcPr>
          <w:p w:rsidR="00AA1580" w:rsidRDefault="00AA1580" w:rsidP="00AA1580">
            <w:pPr>
              <w:cnfStyle w:val="100000000000" w:firstRow="1" w:lastRow="0" w:firstColumn="0" w:lastColumn="0" w:oddVBand="0" w:evenVBand="0" w:oddHBand="0" w:evenHBand="0" w:firstRowFirstColumn="0" w:firstRowLastColumn="0" w:lastRowFirstColumn="0" w:lastRowLastColumn="0"/>
            </w:pPr>
            <w:r>
              <w:t>Total</w:t>
            </w:r>
          </w:p>
        </w:tc>
      </w:tr>
      <w:tr w:rsidR="00AA1580" w:rsidTr="00D03746">
        <w:tc>
          <w:tcPr>
            <w:cnfStyle w:val="001000000000" w:firstRow="0" w:lastRow="0" w:firstColumn="1" w:lastColumn="0" w:oddVBand="0" w:evenVBand="0" w:oddHBand="0" w:evenHBand="0" w:firstRowFirstColumn="0" w:firstRowLastColumn="0" w:lastRowFirstColumn="0" w:lastRowLastColumn="0"/>
            <w:tcW w:w="2660" w:type="dxa"/>
          </w:tcPr>
          <w:p w:rsidR="00AA1580" w:rsidRDefault="00AA1580" w:rsidP="00AA1580">
            <w:r>
              <w:t>Adjustment for shared assets</w:t>
            </w:r>
          </w:p>
        </w:tc>
        <w:tc>
          <w:tcPr>
            <w:tcW w:w="1005" w:type="dxa"/>
          </w:tcPr>
          <w:p w:rsidR="00AA1580" w:rsidRPr="00AA1580" w:rsidRDefault="00D03746" w:rsidP="00AA1580">
            <w:pPr>
              <w:cnfStyle w:val="000000000000" w:firstRow="0" w:lastRow="0" w:firstColumn="0" w:lastColumn="0" w:oddVBand="0" w:evenVBand="0" w:oddHBand="0" w:evenHBand="0" w:firstRowFirstColumn="0" w:firstRowLastColumn="0" w:lastRowFirstColumn="0" w:lastRowLastColumn="0"/>
            </w:pPr>
            <w:r>
              <w:t>–</w:t>
            </w:r>
            <w:r w:rsidR="00533B5D">
              <w:t>3.1</w:t>
            </w:r>
          </w:p>
        </w:tc>
        <w:tc>
          <w:tcPr>
            <w:tcW w:w="1006" w:type="dxa"/>
          </w:tcPr>
          <w:p w:rsidR="00AA1580" w:rsidRPr="00AA1580" w:rsidRDefault="00D03746" w:rsidP="00AA1580">
            <w:pPr>
              <w:cnfStyle w:val="000000000000" w:firstRow="0" w:lastRow="0" w:firstColumn="0" w:lastColumn="0" w:oddVBand="0" w:evenVBand="0" w:oddHBand="0" w:evenHBand="0" w:firstRowFirstColumn="0" w:firstRowLastColumn="0" w:lastRowFirstColumn="0" w:lastRowLastColumn="0"/>
            </w:pPr>
            <w:r>
              <w:t>–</w:t>
            </w:r>
            <w:r w:rsidR="00533B5D">
              <w:t>3.1</w:t>
            </w:r>
          </w:p>
        </w:tc>
        <w:tc>
          <w:tcPr>
            <w:tcW w:w="1005" w:type="dxa"/>
          </w:tcPr>
          <w:p w:rsidR="00AA1580" w:rsidRPr="00AA1580" w:rsidRDefault="00D03746" w:rsidP="00AA1580">
            <w:pPr>
              <w:cnfStyle w:val="000000000000" w:firstRow="0" w:lastRow="0" w:firstColumn="0" w:lastColumn="0" w:oddVBand="0" w:evenVBand="0" w:oddHBand="0" w:evenHBand="0" w:firstRowFirstColumn="0" w:firstRowLastColumn="0" w:lastRowFirstColumn="0" w:lastRowLastColumn="0"/>
            </w:pPr>
            <w:r>
              <w:t>–</w:t>
            </w:r>
            <w:r w:rsidR="00533B5D">
              <w:t>3.1</w:t>
            </w:r>
          </w:p>
        </w:tc>
        <w:tc>
          <w:tcPr>
            <w:tcW w:w="1006" w:type="dxa"/>
          </w:tcPr>
          <w:p w:rsidR="00AA1580" w:rsidRPr="00AA1580" w:rsidRDefault="00D03746">
            <w:pPr>
              <w:cnfStyle w:val="000000000000" w:firstRow="0" w:lastRow="0" w:firstColumn="0" w:lastColumn="0" w:oddVBand="0" w:evenVBand="0" w:oddHBand="0" w:evenHBand="0" w:firstRowFirstColumn="0" w:firstRowLastColumn="0" w:lastRowFirstColumn="0" w:lastRowLastColumn="0"/>
            </w:pPr>
            <w:r>
              <w:t>–</w:t>
            </w:r>
            <w:r w:rsidR="00533B5D">
              <w:t>3.1</w:t>
            </w:r>
          </w:p>
        </w:tc>
        <w:tc>
          <w:tcPr>
            <w:tcW w:w="1005" w:type="dxa"/>
          </w:tcPr>
          <w:p w:rsidR="00AA1580" w:rsidRPr="00AA1580" w:rsidRDefault="00D03746">
            <w:pPr>
              <w:cnfStyle w:val="000000000000" w:firstRow="0" w:lastRow="0" w:firstColumn="0" w:lastColumn="0" w:oddVBand="0" w:evenVBand="0" w:oddHBand="0" w:evenHBand="0" w:firstRowFirstColumn="0" w:firstRowLastColumn="0" w:lastRowFirstColumn="0" w:lastRowLastColumn="0"/>
            </w:pPr>
            <w:r>
              <w:t>–</w:t>
            </w:r>
            <w:r w:rsidR="00533B5D">
              <w:t>3.1</w:t>
            </w:r>
          </w:p>
        </w:tc>
        <w:tc>
          <w:tcPr>
            <w:tcW w:w="1006" w:type="dxa"/>
          </w:tcPr>
          <w:p w:rsidR="00AA1580" w:rsidRPr="00AA1580" w:rsidRDefault="00D03746" w:rsidP="00AA1580">
            <w:pPr>
              <w:cnfStyle w:val="000000000000" w:firstRow="0" w:lastRow="0" w:firstColumn="0" w:lastColumn="0" w:oddVBand="0" w:evenVBand="0" w:oddHBand="0" w:evenHBand="0" w:firstRowFirstColumn="0" w:firstRowLastColumn="0" w:lastRowFirstColumn="0" w:lastRowLastColumn="0"/>
            </w:pPr>
            <w:r>
              <w:t>–</w:t>
            </w:r>
            <w:r w:rsidR="00533B5D">
              <w:t>15.3</w:t>
            </w:r>
          </w:p>
        </w:tc>
      </w:tr>
    </w:tbl>
    <w:p w:rsidR="00AA1580" w:rsidRDefault="00AA1580" w:rsidP="00D03746">
      <w:pPr>
        <w:pStyle w:val="AERtablesource"/>
      </w:pPr>
      <w:r>
        <w:t xml:space="preserve">Source: </w:t>
      </w:r>
      <w:r>
        <w:tab/>
        <w:t xml:space="preserve">Ergon Energy, </w:t>
      </w:r>
      <w:r w:rsidR="00705EDA" w:rsidRPr="00705EDA">
        <w:rPr>
          <w:rStyle w:val="AERtextitalic"/>
        </w:rPr>
        <w:t xml:space="preserve">Response to Information Request 'AER </w:t>
      </w:r>
      <w:r w:rsidR="00705EDA">
        <w:rPr>
          <w:rStyle w:val="AERtextitalic"/>
        </w:rPr>
        <w:t>Ergon</w:t>
      </w:r>
      <w:r w:rsidR="00705EDA" w:rsidRPr="00705EDA">
        <w:rPr>
          <w:rStyle w:val="AERtextitalic"/>
        </w:rPr>
        <w:t xml:space="preserve"> 0</w:t>
      </w:r>
      <w:r w:rsidR="00705EDA">
        <w:rPr>
          <w:rStyle w:val="AERtextitalic"/>
        </w:rPr>
        <w:t>60</w:t>
      </w:r>
      <w:r w:rsidR="00705EDA" w:rsidRPr="00705EDA">
        <w:rPr>
          <w:rStyle w:val="AERtextitalic"/>
        </w:rPr>
        <w:t>'</w:t>
      </w:r>
      <w:r w:rsidR="00705EDA" w:rsidRPr="00705EDA">
        <w:t xml:space="preserve">, </w:t>
      </w:r>
      <w:r w:rsidR="00705EDA">
        <w:t>23</w:t>
      </w:r>
      <w:r w:rsidR="00705EDA" w:rsidRPr="00705EDA">
        <w:t xml:space="preserve"> </w:t>
      </w:r>
      <w:r w:rsidR="00705EDA">
        <w:t>February</w:t>
      </w:r>
      <w:r w:rsidR="00705EDA" w:rsidRPr="00705EDA">
        <w:t xml:space="preserve"> 2015</w:t>
      </w:r>
      <w:r w:rsidR="00705EDA">
        <w:t>, Revised SCPTRM Data Model</w:t>
      </w:r>
      <w:r w:rsidRPr="00AA1580">
        <w:t>.</w:t>
      </w:r>
    </w:p>
    <w:p w:rsidR="00923B6B" w:rsidRDefault="00DC20A3" w:rsidP="00923B6B">
      <w:r>
        <w:t xml:space="preserve">Our preliminary decision is to accept Ergon Energy's </w:t>
      </w:r>
      <w:r w:rsidR="00533B5D">
        <w:t xml:space="preserve">updated </w:t>
      </w:r>
      <w:r>
        <w:t xml:space="preserve">proposed shared asset revenue </w:t>
      </w:r>
      <w:r w:rsidR="00AA1580">
        <w:t>adjustments</w:t>
      </w:r>
      <w:r>
        <w:t xml:space="preserve">. </w:t>
      </w:r>
    </w:p>
    <w:p w:rsidR="00C21803" w:rsidRDefault="00FC1388" w:rsidP="00923B6B">
      <w:r>
        <w:t>Ergon Energy also proposed to adjust its total revenue for alternative control service assets that it retained in its RAB</w:t>
      </w:r>
      <w:r w:rsidR="00AA1580">
        <w:t xml:space="preserve"> for standard control services</w:t>
      </w:r>
      <w:r>
        <w:t>.</w:t>
      </w:r>
      <w:r w:rsidR="00C21803">
        <w:rPr>
          <w:rStyle w:val="FootnoteReference"/>
        </w:rPr>
        <w:footnoteReference w:id="16"/>
      </w:r>
      <w:r>
        <w:t xml:space="preserve"> </w:t>
      </w:r>
      <w:r w:rsidR="00C21803">
        <w:t xml:space="preserve">Ergon Energy noted that this is </w:t>
      </w:r>
      <w:r w:rsidR="00AA1580">
        <w:t>the</w:t>
      </w:r>
      <w:r w:rsidR="00C21803">
        <w:t xml:space="preserve"> approach</w:t>
      </w:r>
      <w:r w:rsidR="00AA1580">
        <w:t xml:space="preserve"> applied for the 2010 determination</w:t>
      </w:r>
      <w:r w:rsidR="00C21803">
        <w:t xml:space="preserve">, </w:t>
      </w:r>
      <w:r w:rsidR="00AA1580">
        <w:t xml:space="preserve">consistent with that </w:t>
      </w:r>
      <w:r w:rsidR="00C21803">
        <w:t xml:space="preserve">determined by the Queensland Competition Authority. Under transitional provisions of the NER, Ergon Energy was permitted to continue this approach during the </w:t>
      </w:r>
      <w:r w:rsidR="00AA1580">
        <w:t>2010–15</w:t>
      </w:r>
      <w:r w:rsidR="00C21803">
        <w:t xml:space="preserve"> regulatory </w:t>
      </w:r>
      <w:r w:rsidR="00AA1580">
        <w:t xml:space="preserve">control </w:t>
      </w:r>
      <w:r w:rsidR="00C21803">
        <w:t xml:space="preserve">period. These transitional arrangements cease at the end of the </w:t>
      </w:r>
      <w:r w:rsidR="00AA1580">
        <w:t>2010–15</w:t>
      </w:r>
      <w:r w:rsidR="00C21803">
        <w:t xml:space="preserve"> regulatory</w:t>
      </w:r>
      <w:r w:rsidR="00AA1580">
        <w:t xml:space="preserve"> control</w:t>
      </w:r>
      <w:r w:rsidR="00C21803">
        <w:t xml:space="preserve"> period. From the beginning of the </w:t>
      </w:r>
      <w:r w:rsidR="00AA1580">
        <w:t>2015–20</w:t>
      </w:r>
      <w:r w:rsidR="00C21803">
        <w:t xml:space="preserve"> regulatory</w:t>
      </w:r>
      <w:r w:rsidR="00AA1580">
        <w:t xml:space="preserve"> control</w:t>
      </w:r>
      <w:r w:rsidR="00C21803">
        <w:t xml:space="preserve"> period, Ergon Energy's RAB must be determined under the NER.</w:t>
      </w:r>
    </w:p>
    <w:p w:rsidR="009A75F2" w:rsidRDefault="00FC1388" w:rsidP="00923B6B">
      <w:r>
        <w:t>We consider</w:t>
      </w:r>
      <w:r w:rsidR="00C21803">
        <w:t xml:space="preserve"> that, under the NER, Ergon Energy's</w:t>
      </w:r>
      <w:r>
        <w:t xml:space="preserve"> RAB should reflect only the value of assets providing standard control services.</w:t>
      </w:r>
      <w:r>
        <w:rPr>
          <w:rStyle w:val="FootnoteReference"/>
        </w:rPr>
        <w:footnoteReference w:id="17"/>
      </w:r>
      <w:r>
        <w:t xml:space="preserve"> We indicated our position to Ergon Energy. In turn, Ergon Energy agreed to remove from its RAB the value of assets providing alternative control services.</w:t>
      </w:r>
      <w:r>
        <w:rPr>
          <w:rStyle w:val="FootnoteReference"/>
        </w:rPr>
        <w:footnoteReference w:id="18"/>
      </w:r>
      <w:r>
        <w:t xml:space="preserve"> Ergon Energy subsequently submitted revised </w:t>
      </w:r>
      <w:r>
        <w:lastRenderedPageBreak/>
        <w:t>RAB values</w:t>
      </w:r>
      <w:r w:rsidR="00AA1580">
        <w:t xml:space="preserve"> providing these services</w:t>
      </w:r>
      <w:r>
        <w:t>.</w:t>
      </w:r>
      <w:r w:rsidR="002B371C">
        <w:rPr>
          <w:rStyle w:val="FootnoteReference"/>
        </w:rPr>
        <w:footnoteReference w:id="19"/>
      </w:r>
      <w:r>
        <w:t xml:space="preserve"> </w:t>
      </w:r>
      <w:r w:rsidR="009A75F2">
        <w:t xml:space="preserve">This means standard control service revenues will decline by the full value of the assets providing alternative control services. </w:t>
      </w:r>
    </w:p>
    <w:p w:rsidR="00FC1388" w:rsidRDefault="009A75F2" w:rsidP="00923B6B">
      <w:r>
        <w:t xml:space="preserve">On the basis of the above, our preliminary position is to not accept Ergon Energy's proposed revenue reductions for alternative control services provided by assets retained in its RAB. </w:t>
      </w:r>
      <w:r w:rsidR="00AA1580">
        <w:t>This is because we have removed these assets providing alternative control services from the RAB for standard control services.</w:t>
      </w:r>
    </w:p>
    <w:p w:rsidR="00813E06" w:rsidRPr="00813E06" w:rsidRDefault="00813E06" w:rsidP="00813E06">
      <w:pPr>
        <w:pStyle w:val="Heading3"/>
      </w:pPr>
      <w:bookmarkStart w:id="40" w:name="_Toc417565194"/>
      <w:r w:rsidRPr="00F37EDD">
        <w:t>Indicative</w:t>
      </w:r>
      <w:r w:rsidRPr="00813E06">
        <w:t xml:space="preserve"> average distribution price impact</w:t>
      </w:r>
      <w:bookmarkEnd w:id="38"/>
      <w:bookmarkEnd w:id="40"/>
    </w:p>
    <w:p w:rsidR="00813E06" w:rsidRDefault="00813E06" w:rsidP="00813E06">
      <w:pPr>
        <w:numPr>
          <w:ilvl w:val="0"/>
          <w:numId w:val="25"/>
        </w:numPr>
      </w:pPr>
      <w:r w:rsidRPr="00446442">
        <w:t xml:space="preserve">Our </w:t>
      </w:r>
      <w:r w:rsidR="00DC62C5">
        <w:t>preliminary</w:t>
      </w:r>
      <w:r w:rsidR="00DC62C5" w:rsidRPr="00446442">
        <w:t xml:space="preserve"> </w:t>
      </w:r>
      <w:r w:rsidRPr="00446442">
        <w:t xml:space="preserve">decision on </w:t>
      </w:r>
      <w:r w:rsidR="00D4708D">
        <w:t>Ergon Energy's</w:t>
      </w:r>
      <w:r w:rsidR="00D4708D" w:rsidRPr="00446442">
        <w:t xml:space="preserve"> </w:t>
      </w:r>
      <w:r w:rsidRPr="00446442">
        <w:t xml:space="preserve">expected revenues ultimately affects the prices consumers pay for electricity. </w:t>
      </w:r>
      <w:r>
        <w:t xml:space="preserve">There are several steps required </w:t>
      </w:r>
      <w:r w:rsidR="00027EA0">
        <w:t>in</w:t>
      </w:r>
      <w:r>
        <w:t xml:space="preserve"> translat</w:t>
      </w:r>
      <w:r w:rsidR="00027EA0">
        <w:t>ing</w:t>
      </w:r>
      <w:r>
        <w:t xml:space="preserve"> our revenue decision to a price impact</w:t>
      </w:r>
      <w:r w:rsidR="00D4708D">
        <w:t>.</w:t>
      </w:r>
    </w:p>
    <w:p w:rsidR="00813E06" w:rsidRPr="00813E06" w:rsidRDefault="00DC62C5" w:rsidP="00DF4A68">
      <w:pPr>
        <w:numPr>
          <w:ilvl w:val="0"/>
          <w:numId w:val="25"/>
        </w:numPr>
      </w:pPr>
      <w:r>
        <w:t>W</w:t>
      </w:r>
      <w:r w:rsidR="00813E06" w:rsidRPr="00813E06">
        <w:t>e regulat</w:t>
      </w:r>
      <w:r w:rsidR="003D7FC8">
        <w:t>e</w:t>
      </w:r>
      <w:r w:rsidR="00813E06" w:rsidRPr="00813E06">
        <w:t xml:space="preserve"> </w:t>
      </w:r>
      <w:r>
        <w:t xml:space="preserve">Ergon Energy's </w:t>
      </w:r>
      <w:r w:rsidR="00813E06" w:rsidRPr="00813E06">
        <w:t xml:space="preserve">standard control services under a revenue cap form of control. This means </w:t>
      </w:r>
      <w:r w:rsidR="004D7263">
        <w:t>our preliminary decision on</w:t>
      </w:r>
      <w:r w:rsidR="00813E06" w:rsidRPr="00813E06">
        <w:t xml:space="preserve"> </w:t>
      </w:r>
      <w:r w:rsidR="00D4708D">
        <w:t>Ergon Energy's</w:t>
      </w:r>
      <w:r w:rsidR="00D4708D" w:rsidRPr="00813E06">
        <w:t xml:space="preserve"> </w:t>
      </w:r>
      <w:r w:rsidR="00813E06" w:rsidRPr="00813E06">
        <w:t xml:space="preserve">expected revenues do not directly translate to price impacts. This is because </w:t>
      </w:r>
      <w:r w:rsidR="00D4708D">
        <w:t>Ergon Energy's</w:t>
      </w:r>
      <w:r w:rsidR="00D4708D" w:rsidRPr="00813E06">
        <w:t xml:space="preserve"> </w:t>
      </w:r>
      <w:r w:rsidR="00813E06" w:rsidRPr="00813E06">
        <w:t xml:space="preserve">revenue is fixed under the revenue cap form of control, so changes in the consumption of electricity will affect the prices ultimately charged to consumers. We are not required to establish the distribution prices for </w:t>
      </w:r>
      <w:r w:rsidR="00D4708D">
        <w:t>Ergon Energy</w:t>
      </w:r>
      <w:r w:rsidR="00D4708D" w:rsidRPr="00813E06">
        <w:t xml:space="preserve"> </w:t>
      </w:r>
      <w:r w:rsidR="00813E06" w:rsidRPr="00813E06">
        <w:t xml:space="preserve">as part of this determination.  However, we will assess </w:t>
      </w:r>
      <w:r w:rsidR="00D4708D">
        <w:t>Ergon Energy's</w:t>
      </w:r>
      <w:r w:rsidR="00D4708D" w:rsidRPr="00813E06">
        <w:t xml:space="preserve"> </w:t>
      </w:r>
      <w:r w:rsidR="00813E06" w:rsidRPr="00813E06">
        <w:t xml:space="preserve">annual pricing proposals before the commencement of </w:t>
      </w:r>
      <w:r w:rsidR="003D7FC8">
        <w:t xml:space="preserve">each </w:t>
      </w:r>
      <w:r w:rsidR="00813E06" w:rsidRPr="00813E06">
        <w:t>regulatory year for the 201</w:t>
      </w:r>
      <w:r w:rsidR="00404DEB">
        <w:t>5–20</w:t>
      </w:r>
      <w:r w:rsidR="00813E06" w:rsidRPr="00813E06">
        <w:t xml:space="preserve"> </w:t>
      </w:r>
      <w:r w:rsidR="006E26AB">
        <w:t xml:space="preserve">regulatory control </w:t>
      </w:r>
      <w:r w:rsidR="00813E06" w:rsidRPr="00813E06">
        <w:t xml:space="preserve">period </w:t>
      </w:r>
      <w:r w:rsidR="003D7FC8">
        <w:t>to administer the pricing requirements in</w:t>
      </w:r>
      <w:r w:rsidR="00813E06" w:rsidRPr="00813E06">
        <w:t xml:space="preserve"> this distribution determination.</w:t>
      </w:r>
    </w:p>
    <w:p w:rsidR="00813E06" w:rsidRDefault="00813E06" w:rsidP="00813E06">
      <w:pPr>
        <w:numPr>
          <w:ilvl w:val="0"/>
          <w:numId w:val="25"/>
        </w:numPr>
      </w:pPr>
      <w:r w:rsidRPr="00446442">
        <w:t xml:space="preserve">For this </w:t>
      </w:r>
      <w:r w:rsidR="00DC62C5">
        <w:t>preliminary</w:t>
      </w:r>
      <w:r w:rsidRPr="00446442">
        <w:t xml:space="preserve"> decision, we have estimated some indicative average distribution price impacts flowing from our determination on the expected revenues </w:t>
      </w:r>
      <w:r w:rsidR="00C9786F">
        <w:t xml:space="preserve">and jurisdictional scheme obligation amounts </w:t>
      </w:r>
      <w:r w:rsidRPr="00446442">
        <w:t xml:space="preserve">for </w:t>
      </w:r>
      <w:r w:rsidR="00D4708D">
        <w:t>Ergon Energy</w:t>
      </w:r>
      <w:r w:rsidR="00D4708D" w:rsidRPr="00446442">
        <w:t xml:space="preserve"> </w:t>
      </w:r>
      <w:r w:rsidRPr="00446442">
        <w:t>over the 201</w:t>
      </w:r>
      <w:r w:rsidR="00D4708D">
        <w:t>5</w:t>
      </w:r>
      <w:r>
        <w:t>–</w:t>
      </w:r>
      <w:r w:rsidR="00D4708D">
        <w:t>20</w:t>
      </w:r>
      <w:r w:rsidR="004D7263">
        <w:t xml:space="preserve"> regulatory control</w:t>
      </w:r>
      <w:r w:rsidRPr="00446442">
        <w:t xml:space="preserve"> period. </w:t>
      </w:r>
      <w:r w:rsidR="003E12D8">
        <w:fldChar w:fldCharType="begin"/>
      </w:r>
      <w:r w:rsidR="003E12D8">
        <w:instrText xml:space="preserve"> REF _Ref416778439 \h </w:instrText>
      </w:r>
      <w:r w:rsidR="003E12D8">
        <w:fldChar w:fldCharType="separate"/>
      </w:r>
      <w:r w:rsidR="002B4CF4">
        <w:t xml:space="preserve">Figure </w:t>
      </w:r>
      <w:r w:rsidR="002B4CF4">
        <w:rPr>
          <w:noProof/>
        </w:rPr>
        <w:t>1</w:t>
      </w:r>
      <w:r w:rsidR="002B4CF4">
        <w:t>.</w:t>
      </w:r>
      <w:r w:rsidR="002B4CF4">
        <w:rPr>
          <w:noProof/>
        </w:rPr>
        <w:t>4</w:t>
      </w:r>
      <w:r w:rsidR="003E12D8">
        <w:fldChar w:fldCharType="end"/>
      </w:r>
      <w:r w:rsidRPr="00446442">
        <w:t xml:space="preserve"> show</w:t>
      </w:r>
      <w:r w:rsidR="00CC1891">
        <w:t>s</w:t>
      </w:r>
      <w:r w:rsidRPr="00446442">
        <w:t xml:space="preserve"> </w:t>
      </w:r>
      <w:r w:rsidR="00D4708D">
        <w:t>Ergon Energy</w:t>
      </w:r>
      <w:r w:rsidR="00CC1891">
        <w:t>'s</w:t>
      </w:r>
      <w:r w:rsidR="00D4708D" w:rsidRPr="00446442">
        <w:t xml:space="preserve"> </w:t>
      </w:r>
      <w:r w:rsidRPr="00446442">
        <w:t>indicative price path</w:t>
      </w:r>
      <w:r>
        <w:t xml:space="preserve"> </w:t>
      </w:r>
      <w:r w:rsidRPr="00446442">
        <w:t xml:space="preserve">based on the expected revenues established in our </w:t>
      </w:r>
      <w:r w:rsidR="00DC62C5">
        <w:t>preliminary</w:t>
      </w:r>
      <w:r w:rsidRPr="00446442">
        <w:t xml:space="preserve"> decision compared to its propos</w:t>
      </w:r>
      <w:r>
        <w:t>al</w:t>
      </w:r>
      <w:r w:rsidRPr="00446442">
        <w:t xml:space="preserve">. </w:t>
      </w:r>
      <w:r w:rsidR="00EC2519">
        <w:t>We used the data on average price changes E</w:t>
      </w:r>
      <w:r w:rsidR="00705EDA">
        <w:t>rgon</w:t>
      </w:r>
      <w:r w:rsidR="00EC2519">
        <w:t xml:space="preserve"> provided in its proposal. </w:t>
      </w:r>
      <w:r w:rsidR="004D7263">
        <w:t>W</w:t>
      </w:r>
      <w:r w:rsidRPr="00446442">
        <w:t xml:space="preserve">e </w:t>
      </w:r>
      <w:r w:rsidR="008E12DE">
        <w:t>estimated average prices by dividing expected revenue by total forecast energy consumed (MWh) in Ergon's distribution network to determine the movement in overall prices</w:t>
      </w:r>
      <w:r w:rsidRPr="00446442">
        <w:t>. For presentational purposes, the prices are scaled so that the price index begins at 1.0 in 201</w:t>
      </w:r>
      <w:r w:rsidR="004D7263">
        <w:t>4</w:t>
      </w:r>
      <w:r>
        <w:t>–</w:t>
      </w:r>
      <w:r w:rsidRPr="00446442">
        <w:t>1</w:t>
      </w:r>
      <w:r w:rsidR="004D7263">
        <w:t>5</w:t>
      </w:r>
      <w:r w:rsidRPr="00446442">
        <w:t>.</w:t>
      </w:r>
      <w:r w:rsidRPr="00F15277">
        <w:t xml:space="preserve"> The index provides a simple overall measure of the relative movement in expected distribution prices over the 201</w:t>
      </w:r>
      <w:r w:rsidR="00B173ED">
        <w:t>5–20</w:t>
      </w:r>
      <w:r w:rsidR="004D7263">
        <w:t xml:space="preserve"> regulatory control</w:t>
      </w:r>
      <w:r w:rsidRPr="00F15277">
        <w:t xml:space="preserve"> period.</w:t>
      </w:r>
    </w:p>
    <w:p w:rsidR="00813E06" w:rsidRDefault="00813E06" w:rsidP="00813E06">
      <w:pPr>
        <w:pStyle w:val="Caption"/>
      </w:pPr>
      <w:bookmarkStart w:id="41" w:name="_Ref416778439"/>
      <w:bookmarkStart w:id="42" w:name="_Ref402793878"/>
      <w:r>
        <w:lastRenderedPageBreak/>
        <w:t xml:space="preserve">Figure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Figure \* ARABIC \s 1 </w:instrText>
      </w:r>
      <w:r w:rsidR="00F55BC8">
        <w:fldChar w:fldCharType="separate"/>
      </w:r>
      <w:r w:rsidR="002B4CF4">
        <w:rPr>
          <w:noProof/>
        </w:rPr>
        <w:t>4</w:t>
      </w:r>
      <w:r w:rsidR="00F55BC8">
        <w:rPr>
          <w:noProof/>
        </w:rPr>
        <w:fldChar w:fldCharType="end"/>
      </w:r>
      <w:bookmarkEnd w:id="41"/>
      <w:bookmarkEnd w:id="42"/>
      <w:r>
        <w:tab/>
        <w:t xml:space="preserve">AER's </w:t>
      </w:r>
      <w:r w:rsidR="00DC62C5">
        <w:t>preliminary</w:t>
      </w:r>
      <w:r>
        <w:t xml:space="preserve"> decision and </w:t>
      </w:r>
      <w:r w:rsidR="004D7263">
        <w:t>Ergon Energy</w:t>
      </w:r>
      <w:r>
        <w:t xml:space="preserve">'s proposed indicative price paths (nominal price index) </w:t>
      </w:r>
    </w:p>
    <w:p w:rsidR="00813E06" w:rsidRDefault="002B4CF4" w:rsidP="00705EDA">
      <w:r w:rsidRPr="002B4CF4">
        <w:rPr>
          <w:noProof/>
          <w:lang w:eastAsia="en-AU"/>
        </w:rPr>
        <w:drawing>
          <wp:inline distT="0" distB="0" distL="0" distR="0" wp14:anchorId="6FE46E0E" wp14:editId="295F14D6">
            <wp:extent cx="5382895" cy="322783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813E06" w:rsidRDefault="00813E06" w:rsidP="00813E06">
      <w:pPr>
        <w:pStyle w:val="AERtablesource"/>
      </w:pPr>
      <w:r>
        <w:t>Source:</w:t>
      </w:r>
      <w:r>
        <w:tab/>
        <w:t xml:space="preserve">AER analysis. </w:t>
      </w:r>
    </w:p>
    <w:p w:rsidR="00813E06" w:rsidRDefault="00813E06" w:rsidP="00813E06">
      <w:pPr>
        <w:pStyle w:val="AERtablesource"/>
      </w:pPr>
      <w:r>
        <w:t>Notes:</w:t>
      </w:r>
      <w:r>
        <w:tab/>
      </w:r>
      <w:r w:rsidRPr="00FC0C64">
        <w:t xml:space="preserve">The nominal price index is calculated by </w:t>
      </w:r>
      <w:r w:rsidR="00A078EF">
        <w:t>the AER based on the indicative</w:t>
      </w:r>
      <w:r w:rsidRPr="00FC0C64">
        <w:t xml:space="preserve"> average price changes submitted by </w:t>
      </w:r>
      <w:r w:rsidR="001321BE">
        <w:t>Ergon Energy</w:t>
      </w:r>
      <w:r w:rsidRPr="00FC0C64">
        <w:t xml:space="preserve"> in its </w:t>
      </w:r>
      <w:r>
        <w:t xml:space="preserve">proposal, </w:t>
      </w:r>
      <w:r w:rsidRPr="00FC0C64">
        <w:t xml:space="preserve">and adjusting for the change in overall revenue substituted by the AER.  </w:t>
      </w:r>
    </w:p>
    <w:p w:rsidR="00813E06" w:rsidRPr="00446442" w:rsidRDefault="00813E06" w:rsidP="00813E06">
      <w:pPr>
        <w:numPr>
          <w:ilvl w:val="0"/>
          <w:numId w:val="25"/>
        </w:numPr>
      </w:pPr>
      <w:r w:rsidRPr="00481870">
        <w:t xml:space="preserve">We estimate that our </w:t>
      </w:r>
      <w:r w:rsidR="00DC62C5">
        <w:t>preliminary</w:t>
      </w:r>
      <w:r w:rsidRPr="00481870">
        <w:t xml:space="preserve"> decision on </w:t>
      </w:r>
      <w:r w:rsidR="00A27F81">
        <w:t>Ergon Energy's</w:t>
      </w:r>
      <w:r w:rsidR="00A27F81" w:rsidRPr="00481870">
        <w:t xml:space="preserve"> </w:t>
      </w:r>
      <w:r w:rsidRPr="00481870">
        <w:t>annual expected revenue will result in a decrease to average distribution charges</w:t>
      </w:r>
      <w:r w:rsidR="008627F8">
        <w:t xml:space="preserve"> (including additionals)</w:t>
      </w:r>
      <w:r w:rsidRPr="00481870">
        <w:t xml:space="preserve"> by about </w:t>
      </w:r>
      <w:r w:rsidR="0070379C">
        <w:t>5</w:t>
      </w:r>
      <w:r w:rsidR="0021483C">
        <w:t>.</w:t>
      </w:r>
      <w:r w:rsidR="0070379C">
        <w:t>4</w:t>
      </w:r>
      <w:r w:rsidRPr="00481870">
        <w:t xml:space="preserve"> per cent per annum over the 201</w:t>
      </w:r>
      <w:r w:rsidR="00DC62C5">
        <w:t>5</w:t>
      </w:r>
      <w:r w:rsidRPr="00481870">
        <w:t>–</w:t>
      </w:r>
      <w:r w:rsidR="00DC62C5">
        <w:t>20</w:t>
      </w:r>
      <w:r w:rsidRPr="00481870">
        <w:t xml:space="preserve"> </w:t>
      </w:r>
      <w:r w:rsidR="004D7263">
        <w:t xml:space="preserve">regulatory control </w:t>
      </w:r>
      <w:r w:rsidRPr="00481870">
        <w:t xml:space="preserve">period in nominal terms. </w:t>
      </w:r>
      <w:r w:rsidR="00D03746" w:rsidRPr="00D03746">
        <w:t xml:space="preserve"> </w:t>
      </w:r>
      <w:r w:rsidR="00D03746" w:rsidRPr="00E606D6">
        <w:t>This amount includes a forecast inflation rate of 2.5</w:t>
      </w:r>
      <w:r w:rsidR="00D03746">
        <w:t>5</w:t>
      </w:r>
      <w:r w:rsidR="00D03746" w:rsidRPr="00E606D6">
        <w:t xml:space="preserve"> per cent per annum. In real terms we estimate average distribution charges to decline by </w:t>
      </w:r>
      <w:r w:rsidR="00D03746">
        <w:t>7.</w:t>
      </w:r>
      <w:r w:rsidR="000100F0">
        <w:t>5</w:t>
      </w:r>
      <w:r w:rsidR="00D03746" w:rsidRPr="00E606D6">
        <w:t xml:space="preserve"> per cent per annum, compared to a decline of </w:t>
      </w:r>
      <w:r w:rsidR="000100F0">
        <w:t>2.0</w:t>
      </w:r>
      <w:r w:rsidR="00D03746" w:rsidRPr="00E606D6">
        <w:t xml:space="preserve"> per cent proposed by </w:t>
      </w:r>
      <w:r w:rsidR="00D03746">
        <w:t>Ergon Energy</w:t>
      </w:r>
      <w:r w:rsidR="00D03746" w:rsidRPr="00E606D6">
        <w:t>.</w:t>
      </w:r>
      <w:r w:rsidR="00D03746">
        <w:t xml:space="preserve"> </w:t>
      </w:r>
      <w:r w:rsidRPr="00481870">
        <w:t xml:space="preserve">This compares to the nominal average increase of approximately </w:t>
      </w:r>
      <w:r w:rsidR="000100F0">
        <w:t>0.5</w:t>
      </w:r>
      <w:r w:rsidRPr="00481870">
        <w:t xml:space="preserve"> per cent per annum proposed by </w:t>
      </w:r>
      <w:r w:rsidR="00A27F81">
        <w:t>Ergon Energy</w:t>
      </w:r>
      <w:r w:rsidR="008627F8">
        <w:t xml:space="preserve"> (including additionals)</w:t>
      </w:r>
      <w:r w:rsidR="00A27F81">
        <w:t xml:space="preserve"> </w:t>
      </w:r>
      <w:r>
        <w:t>over the 201</w:t>
      </w:r>
      <w:r w:rsidR="00DC62C5">
        <w:t>5</w:t>
      </w:r>
      <w:r>
        <w:t>–</w:t>
      </w:r>
      <w:r w:rsidR="00DC62C5">
        <w:t>20</w:t>
      </w:r>
      <w:r>
        <w:t xml:space="preserve"> </w:t>
      </w:r>
      <w:r w:rsidR="004D7263">
        <w:t xml:space="preserve">regulatory control </w:t>
      </w:r>
      <w:r>
        <w:t>period</w:t>
      </w:r>
      <w:r w:rsidRPr="00481870">
        <w:t>.</w:t>
      </w:r>
    </w:p>
    <w:p w:rsidR="00813E06" w:rsidRDefault="00813E06" w:rsidP="00813E06">
      <w:pPr>
        <w:numPr>
          <w:ilvl w:val="0"/>
          <w:numId w:val="25"/>
        </w:numPr>
      </w:pPr>
      <w:r>
        <w:fldChar w:fldCharType="begin"/>
      </w:r>
      <w:r>
        <w:instrText xml:space="preserve"> REF _Ref404354253 \h </w:instrText>
      </w:r>
      <w:r>
        <w:fldChar w:fldCharType="separate"/>
      </w:r>
      <w:r w:rsidR="002B4CF4">
        <w:t xml:space="preserve">Table </w:t>
      </w:r>
      <w:r w:rsidR="002B4CF4">
        <w:rPr>
          <w:noProof/>
        </w:rPr>
        <w:t>1</w:t>
      </w:r>
      <w:r w:rsidR="002B4CF4">
        <w:t>.</w:t>
      </w:r>
      <w:r w:rsidR="002B4CF4">
        <w:rPr>
          <w:noProof/>
        </w:rPr>
        <w:t>7</w:t>
      </w:r>
      <w:r>
        <w:fldChar w:fldCharType="end"/>
      </w:r>
      <w:r>
        <w:t xml:space="preserve"> display</w:t>
      </w:r>
      <w:r w:rsidR="00A27F81">
        <w:t>s</w:t>
      </w:r>
      <w:r>
        <w:t xml:space="preserve"> the comparison of the price impacts of </w:t>
      </w:r>
      <w:r w:rsidR="00A27F81">
        <w:t xml:space="preserve">Ergon Energy's </w:t>
      </w:r>
      <w:r>
        <w:t xml:space="preserve">proposal and our </w:t>
      </w:r>
      <w:r w:rsidR="00DC62C5">
        <w:t>preliminary</w:t>
      </w:r>
      <w:r>
        <w:t xml:space="preserve"> decision revenue allowance</w:t>
      </w:r>
      <w:r w:rsidR="00A27F81">
        <w:t>.</w:t>
      </w:r>
    </w:p>
    <w:p w:rsidR="00813E06" w:rsidRPr="00813E06" w:rsidRDefault="00813E06" w:rsidP="00813E06">
      <w:bookmarkStart w:id="43" w:name="_Ref401573569"/>
      <w:r>
        <w:br w:type="page"/>
      </w:r>
    </w:p>
    <w:p w:rsidR="00813E06" w:rsidRDefault="00813E06" w:rsidP="00813E06">
      <w:pPr>
        <w:pStyle w:val="Caption"/>
      </w:pPr>
      <w:bookmarkStart w:id="44" w:name="_Ref404354253"/>
      <w:r>
        <w:lastRenderedPageBreak/>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r w:rsidR="00F55BC8">
        <w:fldChar w:fldCharType="begin"/>
      </w:r>
      <w:r w:rsidR="00F55BC8">
        <w:instrText xml:space="preserve"> SEQ Table \* ARABIC \s 1 </w:instrText>
      </w:r>
      <w:r w:rsidR="00F55BC8">
        <w:fldChar w:fldCharType="separate"/>
      </w:r>
      <w:r w:rsidR="002B4CF4">
        <w:rPr>
          <w:noProof/>
        </w:rPr>
        <w:t>7</w:t>
      </w:r>
      <w:r w:rsidR="00F55BC8">
        <w:rPr>
          <w:noProof/>
        </w:rPr>
        <w:fldChar w:fldCharType="end"/>
      </w:r>
      <w:bookmarkEnd w:id="43"/>
      <w:bookmarkEnd w:id="44"/>
      <w:r>
        <w:tab/>
        <w:t xml:space="preserve">Comparison of revenue and price impacts of </w:t>
      </w:r>
      <w:r w:rsidR="00B215C9">
        <w:t>Ergon Energy's</w:t>
      </w:r>
      <w:r>
        <w:t xml:space="preserve"> proposal and </w:t>
      </w:r>
      <w:r w:rsidR="00827B04">
        <w:t xml:space="preserve">the </w:t>
      </w:r>
      <w:r>
        <w:t xml:space="preserve">AER's </w:t>
      </w:r>
      <w:r w:rsidR="00DC62C5">
        <w:t>preliminary</w:t>
      </w:r>
      <w:r>
        <w:t xml:space="preserve"> decision </w:t>
      </w:r>
    </w:p>
    <w:tbl>
      <w:tblPr>
        <w:tblStyle w:val="AERtable-numbers"/>
        <w:tblW w:w="8755" w:type="dxa"/>
        <w:tblLayout w:type="fixed"/>
        <w:tblLook w:val="04A0" w:firstRow="1" w:lastRow="0" w:firstColumn="1" w:lastColumn="0" w:noHBand="0" w:noVBand="1"/>
      </w:tblPr>
      <w:tblGrid>
        <w:gridCol w:w="2966"/>
        <w:gridCol w:w="964"/>
        <w:gridCol w:w="965"/>
        <w:gridCol w:w="965"/>
        <w:gridCol w:w="965"/>
        <w:gridCol w:w="965"/>
        <w:gridCol w:w="965"/>
      </w:tblGrid>
      <w:tr w:rsidR="00C9786F" w:rsidRPr="004D7263" w:rsidTr="00F419E7">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813E06" w:rsidRPr="004D7263" w:rsidRDefault="00813E06" w:rsidP="004D7263">
            <w:r w:rsidRPr="004D7263">
              <w:t> </w:t>
            </w:r>
          </w:p>
        </w:tc>
        <w:tc>
          <w:tcPr>
            <w:tcW w:w="964" w:type="dxa"/>
            <w:noWrap/>
            <w:hideMark/>
          </w:tcPr>
          <w:p w:rsidR="00813E06" w:rsidRPr="004D7263" w:rsidRDefault="00813E06" w:rsidP="004D7263">
            <w:pPr>
              <w:cnfStyle w:val="100000000000" w:firstRow="1" w:lastRow="0" w:firstColumn="0" w:lastColumn="0" w:oddVBand="0" w:evenVBand="0" w:oddHBand="0" w:evenHBand="0" w:firstRowFirstColumn="0" w:firstRowLastColumn="0" w:lastRowFirstColumn="0" w:lastRowLastColumn="0"/>
            </w:pPr>
            <w:r w:rsidRPr="004D7263">
              <w:t>201</w:t>
            </w:r>
            <w:r w:rsidR="00404DEB" w:rsidRPr="004D7263">
              <w:t>4</w:t>
            </w:r>
            <w:r w:rsidRPr="004D7263">
              <w:t>–1</w:t>
            </w:r>
            <w:r w:rsidR="00404DEB" w:rsidRPr="004D7263">
              <w:t>5</w:t>
            </w:r>
          </w:p>
        </w:tc>
        <w:tc>
          <w:tcPr>
            <w:tcW w:w="965" w:type="dxa"/>
          </w:tcPr>
          <w:p w:rsidR="00813E06" w:rsidRPr="004D7263" w:rsidRDefault="00404DEB" w:rsidP="004D7263">
            <w:pPr>
              <w:cnfStyle w:val="100000000000" w:firstRow="1" w:lastRow="0" w:firstColumn="0" w:lastColumn="0" w:oddVBand="0" w:evenVBand="0" w:oddHBand="0" w:evenHBand="0" w:firstRowFirstColumn="0" w:firstRowLastColumn="0" w:lastRowFirstColumn="0" w:lastRowLastColumn="0"/>
            </w:pPr>
            <w:r w:rsidRPr="004D7263">
              <w:t>2015</w:t>
            </w:r>
            <w:r w:rsidR="00813E06" w:rsidRPr="004D7263">
              <w:t>–1</w:t>
            </w:r>
            <w:r w:rsidRPr="004D7263">
              <w:t>6</w:t>
            </w:r>
          </w:p>
        </w:tc>
        <w:tc>
          <w:tcPr>
            <w:tcW w:w="965" w:type="dxa"/>
          </w:tcPr>
          <w:p w:rsidR="00813E06" w:rsidRPr="004D7263" w:rsidRDefault="00813E06" w:rsidP="004D7263">
            <w:pPr>
              <w:cnfStyle w:val="100000000000" w:firstRow="1" w:lastRow="0" w:firstColumn="0" w:lastColumn="0" w:oddVBand="0" w:evenVBand="0" w:oddHBand="0" w:evenHBand="0" w:firstRowFirstColumn="0" w:firstRowLastColumn="0" w:lastRowFirstColumn="0" w:lastRowLastColumn="0"/>
            </w:pPr>
            <w:r w:rsidRPr="004D7263">
              <w:t>201</w:t>
            </w:r>
            <w:r w:rsidR="00404DEB" w:rsidRPr="004D7263">
              <w:t>6</w:t>
            </w:r>
            <w:r w:rsidRPr="004D7263">
              <w:t>–1</w:t>
            </w:r>
            <w:r w:rsidR="00404DEB" w:rsidRPr="004D7263">
              <w:t>7</w:t>
            </w:r>
          </w:p>
        </w:tc>
        <w:tc>
          <w:tcPr>
            <w:tcW w:w="965" w:type="dxa"/>
          </w:tcPr>
          <w:p w:rsidR="00813E06" w:rsidRPr="004D7263" w:rsidRDefault="00813E06" w:rsidP="004D7263">
            <w:pPr>
              <w:cnfStyle w:val="100000000000" w:firstRow="1" w:lastRow="0" w:firstColumn="0" w:lastColumn="0" w:oddVBand="0" w:evenVBand="0" w:oddHBand="0" w:evenHBand="0" w:firstRowFirstColumn="0" w:firstRowLastColumn="0" w:lastRowFirstColumn="0" w:lastRowLastColumn="0"/>
            </w:pPr>
            <w:r w:rsidRPr="004D7263">
              <w:t>201</w:t>
            </w:r>
            <w:r w:rsidR="00404DEB" w:rsidRPr="004D7263">
              <w:t>7</w:t>
            </w:r>
            <w:r w:rsidRPr="004D7263">
              <w:t>–1</w:t>
            </w:r>
            <w:r w:rsidR="00404DEB" w:rsidRPr="004D7263">
              <w:t>8</w:t>
            </w:r>
          </w:p>
        </w:tc>
        <w:tc>
          <w:tcPr>
            <w:tcW w:w="965" w:type="dxa"/>
          </w:tcPr>
          <w:p w:rsidR="00813E06" w:rsidRPr="004D7263" w:rsidRDefault="00813E06" w:rsidP="004D7263">
            <w:pPr>
              <w:cnfStyle w:val="100000000000" w:firstRow="1" w:lastRow="0" w:firstColumn="0" w:lastColumn="0" w:oddVBand="0" w:evenVBand="0" w:oddHBand="0" w:evenHBand="0" w:firstRowFirstColumn="0" w:firstRowLastColumn="0" w:lastRowFirstColumn="0" w:lastRowLastColumn="0"/>
            </w:pPr>
            <w:r w:rsidRPr="004D7263">
              <w:t>201</w:t>
            </w:r>
            <w:r w:rsidR="00404DEB" w:rsidRPr="004D7263">
              <w:t>8</w:t>
            </w:r>
            <w:r w:rsidRPr="004D7263">
              <w:t>–1</w:t>
            </w:r>
            <w:r w:rsidR="00404DEB" w:rsidRPr="004D7263">
              <w:t>9</w:t>
            </w:r>
          </w:p>
        </w:tc>
        <w:tc>
          <w:tcPr>
            <w:tcW w:w="965" w:type="dxa"/>
            <w:noWrap/>
            <w:hideMark/>
          </w:tcPr>
          <w:p w:rsidR="00813E06" w:rsidRPr="004D7263" w:rsidRDefault="00813E06" w:rsidP="004D7263">
            <w:pPr>
              <w:cnfStyle w:val="100000000000" w:firstRow="1" w:lastRow="0" w:firstColumn="0" w:lastColumn="0" w:oddVBand="0" w:evenVBand="0" w:oddHBand="0" w:evenHBand="0" w:firstRowFirstColumn="0" w:firstRowLastColumn="0" w:lastRowFirstColumn="0" w:lastRowLastColumn="0"/>
            </w:pPr>
            <w:r w:rsidRPr="004D7263">
              <w:t>201</w:t>
            </w:r>
            <w:r w:rsidR="00404DEB" w:rsidRPr="004D7263">
              <w:t>9–20</w:t>
            </w:r>
          </w:p>
        </w:tc>
      </w:tr>
      <w:tr w:rsidR="00813E06" w:rsidRPr="004D7263" w:rsidTr="00F419E7">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813E06" w:rsidRPr="004D7263" w:rsidRDefault="00B215C9" w:rsidP="004D7263">
            <w:pPr>
              <w:rPr>
                <w:rStyle w:val="Strong"/>
              </w:rPr>
            </w:pPr>
            <w:r w:rsidRPr="004D7263">
              <w:rPr>
                <w:rStyle w:val="Strong"/>
              </w:rPr>
              <w:t>Ergon Energy</w:t>
            </w:r>
            <w:r w:rsidR="00813E06" w:rsidRPr="004D7263">
              <w:rPr>
                <w:rStyle w:val="Strong"/>
              </w:rPr>
              <w:t xml:space="preserve"> proposal</w:t>
            </w:r>
          </w:p>
        </w:tc>
        <w:tc>
          <w:tcPr>
            <w:tcW w:w="964" w:type="dxa"/>
            <w:noWrap/>
          </w:tcPr>
          <w:p w:rsidR="00813E06" w:rsidRPr="004D7263" w:rsidRDefault="00813E06" w:rsidP="004D7263">
            <w:pPr>
              <w:cnfStyle w:val="000000000000" w:firstRow="0" w:lastRow="0" w:firstColumn="0" w:lastColumn="0" w:oddVBand="0" w:evenVBand="0" w:oddHBand="0" w:evenHBand="0" w:firstRowFirstColumn="0" w:firstRowLastColumn="0" w:lastRowFirstColumn="0" w:lastRowLastColumn="0"/>
            </w:pPr>
          </w:p>
        </w:tc>
        <w:tc>
          <w:tcPr>
            <w:tcW w:w="965" w:type="dxa"/>
          </w:tcPr>
          <w:p w:rsidR="00813E06" w:rsidRPr="004D7263" w:rsidRDefault="00813E06" w:rsidP="004D7263">
            <w:pPr>
              <w:cnfStyle w:val="000000000000" w:firstRow="0" w:lastRow="0" w:firstColumn="0" w:lastColumn="0" w:oddVBand="0" w:evenVBand="0" w:oddHBand="0" w:evenHBand="0" w:firstRowFirstColumn="0" w:firstRowLastColumn="0" w:lastRowFirstColumn="0" w:lastRowLastColumn="0"/>
            </w:pPr>
          </w:p>
        </w:tc>
        <w:tc>
          <w:tcPr>
            <w:tcW w:w="965" w:type="dxa"/>
          </w:tcPr>
          <w:p w:rsidR="00813E06" w:rsidRPr="004D7263" w:rsidRDefault="00813E06" w:rsidP="004D7263">
            <w:pPr>
              <w:cnfStyle w:val="000000000000" w:firstRow="0" w:lastRow="0" w:firstColumn="0" w:lastColumn="0" w:oddVBand="0" w:evenVBand="0" w:oddHBand="0" w:evenHBand="0" w:firstRowFirstColumn="0" w:firstRowLastColumn="0" w:lastRowFirstColumn="0" w:lastRowLastColumn="0"/>
            </w:pPr>
          </w:p>
        </w:tc>
        <w:tc>
          <w:tcPr>
            <w:tcW w:w="965" w:type="dxa"/>
          </w:tcPr>
          <w:p w:rsidR="00813E06" w:rsidRPr="004D7263" w:rsidRDefault="00813E06" w:rsidP="004D7263">
            <w:pPr>
              <w:cnfStyle w:val="000000000000" w:firstRow="0" w:lastRow="0" w:firstColumn="0" w:lastColumn="0" w:oddVBand="0" w:evenVBand="0" w:oddHBand="0" w:evenHBand="0" w:firstRowFirstColumn="0" w:firstRowLastColumn="0" w:lastRowFirstColumn="0" w:lastRowLastColumn="0"/>
            </w:pPr>
          </w:p>
        </w:tc>
        <w:tc>
          <w:tcPr>
            <w:tcW w:w="965" w:type="dxa"/>
          </w:tcPr>
          <w:p w:rsidR="00813E06" w:rsidRPr="004D7263" w:rsidRDefault="00813E06" w:rsidP="004D7263">
            <w:pPr>
              <w:cnfStyle w:val="000000000000" w:firstRow="0" w:lastRow="0" w:firstColumn="0" w:lastColumn="0" w:oddVBand="0" w:evenVBand="0" w:oddHBand="0" w:evenHBand="0" w:firstRowFirstColumn="0" w:firstRowLastColumn="0" w:lastRowFirstColumn="0" w:lastRowLastColumn="0"/>
            </w:pPr>
          </w:p>
        </w:tc>
        <w:tc>
          <w:tcPr>
            <w:tcW w:w="965" w:type="dxa"/>
            <w:noWrap/>
          </w:tcPr>
          <w:p w:rsidR="00813E06" w:rsidRPr="004D7263" w:rsidRDefault="00813E06" w:rsidP="004D7263">
            <w:pPr>
              <w:cnfStyle w:val="000000000000" w:firstRow="0" w:lastRow="0" w:firstColumn="0" w:lastColumn="0" w:oddVBand="0" w:evenVBand="0" w:oddHBand="0" w:evenHBand="0" w:firstRowFirstColumn="0" w:firstRowLastColumn="0" w:lastRowFirstColumn="0" w:lastRowLastColumn="0"/>
            </w:pPr>
          </w:p>
        </w:tc>
      </w:tr>
      <w:tr w:rsidR="008627F8" w:rsidRPr="004D7263" w:rsidTr="00F419E7">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8627F8" w:rsidRPr="008627F8" w:rsidRDefault="008627F8" w:rsidP="008627F8">
            <w:r w:rsidRPr="008627F8">
              <w:t>Revenue ($m, nominal)</w:t>
            </w:r>
            <w:r w:rsidRPr="008627F8">
              <w:rPr>
                <w:rStyle w:val="AERsuperscript"/>
              </w:rPr>
              <w:t>a</w:t>
            </w:r>
          </w:p>
        </w:tc>
        <w:tc>
          <w:tcPr>
            <w:tcW w:w="964" w:type="dxa"/>
            <w:noWrap/>
            <w:vAlign w:val="top"/>
          </w:tcPr>
          <w:p w:rsidR="008627F8" w:rsidRPr="008627F8" w:rsidRDefault="008627F8" w:rsidP="000100F0">
            <w:pPr>
              <w:cnfStyle w:val="000000010000" w:firstRow="0" w:lastRow="0" w:firstColumn="0" w:lastColumn="0" w:oddVBand="0" w:evenVBand="0" w:oddHBand="0" w:evenHBand="1" w:firstRowFirstColumn="0" w:firstRowLastColumn="0" w:lastRowFirstColumn="0" w:lastRowLastColumn="0"/>
            </w:pPr>
            <w:r w:rsidRPr="008627F8">
              <w:t>1</w:t>
            </w:r>
            <w:r w:rsidR="000100F0">
              <w:t>751</w:t>
            </w:r>
          </w:p>
        </w:tc>
        <w:tc>
          <w:tcPr>
            <w:tcW w:w="965" w:type="dxa"/>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1935</w:t>
            </w:r>
          </w:p>
        </w:tc>
        <w:tc>
          <w:tcPr>
            <w:tcW w:w="965" w:type="dxa"/>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1930</w:t>
            </w:r>
          </w:p>
        </w:tc>
        <w:tc>
          <w:tcPr>
            <w:tcW w:w="965" w:type="dxa"/>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1809</w:t>
            </w:r>
          </w:p>
        </w:tc>
        <w:tc>
          <w:tcPr>
            <w:tcW w:w="965" w:type="dxa"/>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1813</w:t>
            </w:r>
          </w:p>
        </w:tc>
        <w:tc>
          <w:tcPr>
            <w:tcW w:w="965" w:type="dxa"/>
            <w:noWrap/>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1817</w:t>
            </w:r>
          </w:p>
        </w:tc>
      </w:tr>
      <w:tr w:rsidR="008627F8" w:rsidRPr="004D7263" w:rsidTr="00F419E7">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8627F8" w:rsidRPr="008627F8" w:rsidRDefault="008627F8" w:rsidP="008627F8">
            <w:r w:rsidRPr="008627F8">
              <w:t>Price path (nominal index)</w:t>
            </w:r>
          </w:p>
        </w:tc>
        <w:tc>
          <w:tcPr>
            <w:tcW w:w="964" w:type="dxa"/>
            <w:noWrap/>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w:t>
            </w:r>
            <w:r w:rsidR="000100F0">
              <w:t>.00</w:t>
            </w:r>
          </w:p>
        </w:tc>
        <w:tc>
          <w:tcPr>
            <w:tcW w:w="965" w:type="dxa"/>
            <w:vAlign w:val="top"/>
          </w:tcPr>
          <w:p w:rsidR="008627F8" w:rsidRPr="008627F8" w:rsidRDefault="008627F8" w:rsidP="000100F0">
            <w:pPr>
              <w:cnfStyle w:val="000000000000" w:firstRow="0" w:lastRow="0" w:firstColumn="0" w:lastColumn="0" w:oddVBand="0" w:evenVBand="0" w:oddHBand="0" w:evenHBand="0" w:firstRowFirstColumn="0" w:firstRowLastColumn="0" w:lastRowFirstColumn="0" w:lastRowLastColumn="0"/>
            </w:pPr>
            <w:r w:rsidRPr="008627F8">
              <w:t>1.1</w:t>
            </w:r>
            <w:r w:rsidR="000100F0">
              <w:t>2</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1.12</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1.04</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1.03</w:t>
            </w:r>
          </w:p>
        </w:tc>
        <w:tc>
          <w:tcPr>
            <w:tcW w:w="965" w:type="dxa"/>
            <w:noWrap/>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1.02</w:t>
            </w:r>
          </w:p>
        </w:tc>
      </w:tr>
      <w:tr w:rsidR="008627F8" w:rsidRPr="004D7263" w:rsidTr="00F419E7">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hideMark/>
          </w:tcPr>
          <w:p w:rsidR="008627F8" w:rsidRPr="008627F8" w:rsidRDefault="008627F8" w:rsidP="008627F8">
            <w:r w:rsidRPr="008627F8">
              <w:t>Revenue (change %)</w:t>
            </w:r>
          </w:p>
        </w:tc>
        <w:tc>
          <w:tcPr>
            <w:tcW w:w="964" w:type="dxa"/>
            <w:noWrap/>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8627F8" w:rsidRPr="008627F8" w:rsidRDefault="000100F0" w:rsidP="000100F0">
            <w:pPr>
              <w:cnfStyle w:val="000000010000" w:firstRow="0" w:lastRow="0" w:firstColumn="0" w:lastColumn="0" w:oddVBand="0" w:evenVBand="0" w:oddHBand="0" w:evenHBand="1" w:firstRowFirstColumn="0" w:firstRowLastColumn="0" w:lastRowFirstColumn="0" w:lastRowLastColumn="0"/>
            </w:pPr>
            <w:r>
              <w:t>10.5</w:t>
            </w:r>
            <w:r w:rsidR="008627F8" w:rsidRPr="008627F8">
              <w:t>%</w:t>
            </w:r>
          </w:p>
        </w:tc>
        <w:tc>
          <w:tcPr>
            <w:tcW w:w="965" w:type="dxa"/>
            <w:vAlign w:val="top"/>
          </w:tcPr>
          <w:p w:rsidR="008627F8" w:rsidRPr="008627F8" w:rsidRDefault="00E34641" w:rsidP="008627F8">
            <w:pPr>
              <w:cnfStyle w:val="000000010000" w:firstRow="0" w:lastRow="0" w:firstColumn="0" w:lastColumn="0" w:oddVBand="0" w:evenVBand="0" w:oddHBand="0" w:evenHBand="1" w:firstRowFirstColumn="0" w:firstRowLastColumn="0" w:lastRowFirstColumn="0" w:lastRowLastColumn="0"/>
            </w:pPr>
            <w:r>
              <w:t>–</w:t>
            </w:r>
            <w:r w:rsidR="008627F8" w:rsidRPr="008627F8">
              <w:t>0.3%</w:t>
            </w:r>
          </w:p>
        </w:tc>
        <w:tc>
          <w:tcPr>
            <w:tcW w:w="965" w:type="dxa"/>
            <w:vAlign w:val="top"/>
          </w:tcPr>
          <w:p w:rsidR="008627F8" w:rsidRPr="008627F8" w:rsidRDefault="00E34641" w:rsidP="008627F8">
            <w:pPr>
              <w:cnfStyle w:val="000000010000" w:firstRow="0" w:lastRow="0" w:firstColumn="0" w:lastColumn="0" w:oddVBand="0" w:evenVBand="0" w:oddHBand="0" w:evenHBand="1" w:firstRowFirstColumn="0" w:firstRowLastColumn="0" w:lastRowFirstColumn="0" w:lastRowLastColumn="0"/>
            </w:pPr>
            <w:r>
              <w:t>–</w:t>
            </w:r>
            <w:r w:rsidR="008627F8" w:rsidRPr="008627F8">
              <w:t>6.3%</w:t>
            </w:r>
          </w:p>
        </w:tc>
        <w:tc>
          <w:tcPr>
            <w:tcW w:w="965" w:type="dxa"/>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0.2%</w:t>
            </w:r>
          </w:p>
        </w:tc>
        <w:tc>
          <w:tcPr>
            <w:tcW w:w="965" w:type="dxa"/>
            <w:noWrap/>
            <w:vAlign w:val="top"/>
          </w:tcPr>
          <w:p w:rsidR="008627F8" w:rsidRPr="008627F8" w:rsidRDefault="008627F8" w:rsidP="008627F8">
            <w:pPr>
              <w:cnfStyle w:val="000000010000" w:firstRow="0" w:lastRow="0" w:firstColumn="0" w:lastColumn="0" w:oddVBand="0" w:evenVBand="0" w:oddHBand="0" w:evenHBand="1" w:firstRowFirstColumn="0" w:firstRowLastColumn="0" w:lastRowFirstColumn="0" w:lastRowLastColumn="0"/>
            </w:pPr>
            <w:r w:rsidRPr="008627F8">
              <w:t>0.2%</w:t>
            </w:r>
          </w:p>
        </w:tc>
      </w:tr>
      <w:tr w:rsidR="008627F8" w:rsidRPr="004D7263" w:rsidTr="00F419E7">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8627F8" w:rsidRPr="008627F8" w:rsidRDefault="008627F8" w:rsidP="008627F8">
            <w:r w:rsidRPr="008627F8">
              <w:t>Price path (change %)</w:t>
            </w:r>
          </w:p>
        </w:tc>
        <w:tc>
          <w:tcPr>
            <w:tcW w:w="964" w:type="dxa"/>
            <w:noWrap/>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8627F8" w:rsidRPr="008627F8" w:rsidRDefault="000100F0" w:rsidP="000100F0">
            <w:pPr>
              <w:cnfStyle w:val="000000000000" w:firstRow="0" w:lastRow="0" w:firstColumn="0" w:lastColumn="0" w:oddVBand="0" w:evenVBand="0" w:oddHBand="0" w:evenHBand="0" w:firstRowFirstColumn="0" w:firstRowLastColumn="0" w:lastRowFirstColumn="0" w:lastRowLastColumn="0"/>
            </w:pPr>
            <w:r>
              <w:t>11.9</w:t>
            </w:r>
            <w:r w:rsidR="008627F8" w:rsidRPr="008627F8">
              <w:t>%</w:t>
            </w:r>
          </w:p>
        </w:tc>
        <w:tc>
          <w:tcPr>
            <w:tcW w:w="965" w:type="dxa"/>
            <w:vAlign w:val="top"/>
          </w:tcPr>
          <w:p w:rsidR="008627F8" w:rsidRPr="008627F8" w:rsidRDefault="00E34641" w:rsidP="000100F0">
            <w:pPr>
              <w:cnfStyle w:val="000000000000" w:firstRow="0" w:lastRow="0" w:firstColumn="0" w:lastColumn="0" w:oddVBand="0" w:evenVBand="0" w:oddHBand="0" w:evenHBand="0" w:firstRowFirstColumn="0" w:firstRowLastColumn="0" w:lastRowFirstColumn="0" w:lastRowLastColumn="0"/>
            </w:pPr>
            <w:r>
              <w:t>–</w:t>
            </w:r>
            <w:r w:rsidR="000100F0">
              <w:t>0.3</w:t>
            </w:r>
            <w:r w:rsidR="008627F8" w:rsidRPr="008627F8">
              <w:t>%</w:t>
            </w:r>
          </w:p>
        </w:tc>
        <w:tc>
          <w:tcPr>
            <w:tcW w:w="965" w:type="dxa"/>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7.3%</w:t>
            </w:r>
          </w:p>
        </w:tc>
        <w:tc>
          <w:tcPr>
            <w:tcW w:w="965" w:type="dxa"/>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0.7%</w:t>
            </w:r>
          </w:p>
        </w:tc>
        <w:tc>
          <w:tcPr>
            <w:tcW w:w="965" w:type="dxa"/>
            <w:noWrap/>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0.8%</w:t>
            </w:r>
          </w:p>
        </w:tc>
      </w:tr>
      <w:tr w:rsidR="0021483C" w:rsidRPr="004D7263" w:rsidTr="001871E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21483C" w:rsidRPr="0021483C" w:rsidRDefault="0021483C" w:rsidP="0021483C">
            <w:pPr>
              <w:rPr>
                <w:rStyle w:val="Strong"/>
              </w:rPr>
            </w:pPr>
            <w:r w:rsidRPr="0021483C">
              <w:rPr>
                <w:rStyle w:val="Strong"/>
              </w:rPr>
              <w:t>AER preliminary decision</w:t>
            </w:r>
          </w:p>
        </w:tc>
        <w:tc>
          <w:tcPr>
            <w:tcW w:w="964" w:type="dxa"/>
            <w:noWrap/>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p>
        </w:tc>
        <w:tc>
          <w:tcPr>
            <w:tcW w:w="965" w:type="dxa"/>
            <w:noWrap/>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p>
        </w:tc>
      </w:tr>
      <w:tr w:rsidR="008627F8" w:rsidRPr="004D7263" w:rsidTr="001871E3">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8627F8" w:rsidRPr="008627F8" w:rsidRDefault="008627F8" w:rsidP="008627F8">
            <w:r w:rsidRPr="008627F8">
              <w:t>Revenue ($m, nominal)</w:t>
            </w:r>
            <w:r w:rsidRPr="00E34641">
              <w:rPr>
                <w:rStyle w:val="AERsuperscript"/>
              </w:rPr>
              <w:t>a</w:t>
            </w:r>
          </w:p>
        </w:tc>
        <w:tc>
          <w:tcPr>
            <w:tcW w:w="964" w:type="dxa"/>
            <w:noWrap/>
            <w:vAlign w:val="top"/>
          </w:tcPr>
          <w:p w:rsidR="008627F8" w:rsidRPr="008627F8" w:rsidRDefault="008627F8" w:rsidP="000100F0">
            <w:pPr>
              <w:cnfStyle w:val="000000000000" w:firstRow="0" w:lastRow="0" w:firstColumn="0" w:lastColumn="0" w:oddVBand="0" w:evenVBand="0" w:oddHBand="0" w:evenHBand="0" w:firstRowFirstColumn="0" w:firstRowLastColumn="0" w:lastRowFirstColumn="0" w:lastRowLastColumn="0"/>
            </w:pPr>
            <w:r w:rsidRPr="008627F8">
              <w:t>1</w:t>
            </w:r>
            <w:r w:rsidR="000100F0">
              <w:t>751</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1562</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1428</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1387</w:t>
            </w:r>
          </w:p>
        </w:tc>
        <w:tc>
          <w:tcPr>
            <w:tcW w:w="965" w:type="dxa"/>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1364</w:t>
            </w:r>
          </w:p>
        </w:tc>
        <w:tc>
          <w:tcPr>
            <w:tcW w:w="965" w:type="dxa"/>
            <w:noWrap/>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r w:rsidRPr="008627F8">
              <w:t>1342</w:t>
            </w:r>
          </w:p>
        </w:tc>
      </w:tr>
      <w:tr w:rsidR="0021483C" w:rsidRPr="004D7263" w:rsidTr="001871E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21483C" w:rsidRPr="0021483C" w:rsidRDefault="0021483C" w:rsidP="0021483C">
            <w:r w:rsidRPr="0021483C">
              <w:t>Price path (nominal index)</w:t>
            </w:r>
          </w:p>
        </w:tc>
        <w:tc>
          <w:tcPr>
            <w:tcW w:w="964" w:type="dxa"/>
            <w:noWrap/>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r w:rsidRPr="0021483C">
              <w:t>1.00</w:t>
            </w:r>
          </w:p>
        </w:tc>
        <w:tc>
          <w:tcPr>
            <w:tcW w:w="965" w:type="dxa"/>
            <w:vAlign w:val="top"/>
          </w:tcPr>
          <w:p w:rsidR="0021483C" w:rsidRPr="0021483C" w:rsidRDefault="0021483C" w:rsidP="000100F0">
            <w:pPr>
              <w:cnfStyle w:val="000000010000" w:firstRow="0" w:lastRow="0" w:firstColumn="0" w:lastColumn="0" w:oddVBand="0" w:evenVBand="0" w:oddHBand="0" w:evenHBand="1" w:firstRowFirstColumn="0" w:firstRowLastColumn="0" w:lastRowFirstColumn="0" w:lastRowLastColumn="0"/>
            </w:pPr>
            <w:r w:rsidRPr="0021483C">
              <w:t>0.9</w:t>
            </w:r>
            <w:r w:rsidR="000100F0">
              <w:t>2</w:t>
            </w:r>
          </w:p>
        </w:tc>
        <w:tc>
          <w:tcPr>
            <w:tcW w:w="965" w:type="dxa"/>
            <w:vAlign w:val="top"/>
          </w:tcPr>
          <w:p w:rsidR="0021483C" w:rsidRPr="0021483C" w:rsidRDefault="0021483C" w:rsidP="000100F0">
            <w:pPr>
              <w:cnfStyle w:val="000000010000" w:firstRow="0" w:lastRow="0" w:firstColumn="0" w:lastColumn="0" w:oddVBand="0" w:evenVBand="0" w:oddHBand="0" w:evenHBand="1" w:firstRowFirstColumn="0" w:firstRowLastColumn="0" w:lastRowFirstColumn="0" w:lastRowLastColumn="0"/>
            </w:pPr>
            <w:r w:rsidRPr="0021483C">
              <w:t>0.8</w:t>
            </w:r>
            <w:r w:rsidR="000100F0">
              <w:t>3</w:t>
            </w:r>
          </w:p>
        </w:tc>
        <w:tc>
          <w:tcPr>
            <w:tcW w:w="965" w:type="dxa"/>
            <w:vAlign w:val="top"/>
          </w:tcPr>
          <w:p w:rsidR="0021483C" w:rsidRPr="0021483C" w:rsidRDefault="0021483C" w:rsidP="000100F0">
            <w:pPr>
              <w:cnfStyle w:val="000000010000" w:firstRow="0" w:lastRow="0" w:firstColumn="0" w:lastColumn="0" w:oddVBand="0" w:evenVBand="0" w:oddHBand="0" w:evenHBand="1" w:firstRowFirstColumn="0" w:firstRowLastColumn="0" w:lastRowFirstColumn="0" w:lastRowLastColumn="0"/>
            </w:pPr>
            <w:r w:rsidRPr="0021483C">
              <w:t>0.</w:t>
            </w:r>
            <w:r w:rsidR="000100F0">
              <w:t>80</w:t>
            </w:r>
          </w:p>
        </w:tc>
        <w:tc>
          <w:tcPr>
            <w:tcW w:w="965" w:type="dxa"/>
            <w:vAlign w:val="top"/>
          </w:tcPr>
          <w:p w:rsidR="0021483C" w:rsidRPr="0021483C" w:rsidRDefault="0021483C" w:rsidP="0021483C">
            <w:pPr>
              <w:cnfStyle w:val="000000010000" w:firstRow="0" w:lastRow="0" w:firstColumn="0" w:lastColumn="0" w:oddVBand="0" w:evenVBand="0" w:oddHBand="0" w:evenHBand="1" w:firstRowFirstColumn="0" w:firstRowLastColumn="0" w:lastRowFirstColumn="0" w:lastRowLastColumn="0"/>
            </w:pPr>
            <w:r w:rsidRPr="0021483C">
              <w:t>0.78</w:t>
            </w:r>
          </w:p>
        </w:tc>
        <w:tc>
          <w:tcPr>
            <w:tcW w:w="965" w:type="dxa"/>
            <w:noWrap/>
            <w:vAlign w:val="top"/>
          </w:tcPr>
          <w:p w:rsidR="0021483C" w:rsidRPr="0021483C" w:rsidRDefault="0021483C" w:rsidP="000100F0">
            <w:pPr>
              <w:cnfStyle w:val="000000010000" w:firstRow="0" w:lastRow="0" w:firstColumn="0" w:lastColumn="0" w:oddVBand="0" w:evenVBand="0" w:oddHBand="0" w:evenHBand="1" w:firstRowFirstColumn="0" w:firstRowLastColumn="0" w:lastRowFirstColumn="0" w:lastRowLastColumn="0"/>
            </w:pPr>
            <w:r w:rsidRPr="0021483C">
              <w:t>0.7</w:t>
            </w:r>
            <w:r w:rsidR="000100F0">
              <w:t>6</w:t>
            </w:r>
          </w:p>
        </w:tc>
      </w:tr>
      <w:tr w:rsidR="008627F8" w:rsidRPr="004D7263" w:rsidTr="001871E3">
        <w:trPr>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8627F8" w:rsidRPr="008627F8" w:rsidRDefault="008627F8" w:rsidP="008627F8">
            <w:r w:rsidRPr="008627F8">
              <w:t>Revenue (change %)</w:t>
            </w:r>
          </w:p>
        </w:tc>
        <w:tc>
          <w:tcPr>
            <w:tcW w:w="964" w:type="dxa"/>
            <w:noWrap/>
            <w:vAlign w:val="top"/>
          </w:tcPr>
          <w:p w:rsidR="008627F8" w:rsidRPr="008627F8" w:rsidRDefault="008627F8" w:rsidP="008627F8">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8627F8" w:rsidRPr="008627F8" w:rsidRDefault="00E34641" w:rsidP="000100F0">
            <w:pPr>
              <w:cnfStyle w:val="000000000000" w:firstRow="0" w:lastRow="0" w:firstColumn="0" w:lastColumn="0" w:oddVBand="0" w:evenVBand="0" w:oddHBand="0" w:evenHBand="0" w:firstRowFirstColumn="0" w:firstRowLastColumn="0" w:lastRowFirstColumn="0" w:lastRowLastColumn="0"/>
            </w:pPr>
            <w:r>
              <w:t>–</w:t>
            </w:r>
            <w:r w:rsidR="008627F8" w:rsidRPr="008627F8">
              <w:t>1</w:t>
            </w:r>
            <w:r w:rsidR="000100F0">
              <w:t>0.8</w:t>
            </w:r>
            <w:r w:rsidR="008627F8" w:rsidRPr="008627F8">
              <w:t>%</w:t>
            </w:r>
          </w:p>
        </w:tc>
        <w:tc>
          <w:tcPr>
            <w:tcW w:w="965" w:type="dxa"/>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8.6%</w:t>
            </w:r>
          </w:p>
        </w:tc>
        <w:tc>
          <w:tcPr>
            <w:tcW w:w="965" w:type="dxa"/>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2.9%</w:t>
            </w:r>
          </w:p>
        </w:tc>
        <w:tc>
          <w:tcPr>
            <w:tcW w:w="965" w:type="dxa"/>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1.6%</w:t>
            </w:r>
          </w:p>
        </w:tc>
        <w:tc>
          <w:tcPr>
            <w:tcW w:w="965" w:type="dxa"/>
            <w:noWrap/>
            <w:vAlign w:val="top"/>
          </w:tcPr>
          <w:p w:rsidR="008627F8" w:rsidRPr="008627F8" w:rsidRDefault="00E34641" w:rsidP="008627F8">
            <w:pPr>
              <w:cnfStyle w:val="000000000000" w:firstRow="0" w:lastRow="0" w:firstColumn="0" w:lastColumn="0" w:oddVBand="0" w:evenVBand="0" w:oddHBand="0" w:evenHBand="0" w:firstRowFirstColumn="0" w:firstRowLastColumn="0" w:lastRowFirstColumn="0" w:lastRowLastColumn="0"/>
            </w:pPr>
            <w:r>
              <w:t>–</w:t>
            </w:r>
            <w:r w:rsidR="008627F8" w:rsidRPr="008627F8">
              <w:t>1.6%</w:t>
            </w:r>
          </w:p>
        </w:tc>
      </w:tr>
      <w:tr w:rsidR="0070379C" w:rsidRPr="004D7263" w:rsidTr="001871E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vAlign w:val="top"/>
          </w:tcPr>
          <w:p w:rsidR="0070379C" w:rsidRPr="0070379C" w:rsidRDefault="0070379C" w:rsidP="0070379C">
            <w:r w:rsidRPr="0070379C">
              <w:t>Price path (change %)</w:t>
            </w:r>
          </w:p>
        </w:tc>
        <w:tc>
          <w:tcPr>
            <w:tcW w:w="964" w:type="dxa"/>
            <w:noWrap/>
            <w:vAlign w:val="top"/>
          </w:tcPr>
          <w:p w:rsidR="0070379C" w:rsidRPr="0070379C" w:rsidRDefault="0070379C" w:rsidP="0070379C">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70379C" w:rsidRPr="0070379C" w:rsidRDefault="00E34641" w:rsidP="0070379C">
            <w:pPr>
              <w:cnfStyle w:val="000000010000" w:firstRow="0" w:lastRow="0" w:firstColumn="0" w:lastColumn="0" w:oddVBand="0" w:evenVBand="0" w:oddHBand="0" w:evenHBand="1" w:firstRowFirstColumn="0" w:firstRowLastColumn="0" w:lastRowFirstColumn="0" w:lastRowLastColumn="0"/>
            </w:pPr>
            <w:r>
              <w:t>–</w:t>
            </w:r>
            <w:r w:rsidR="0070379C" w:rsidRPr="0070379C">
              <w:t>8.3%</w:t>
            </w:r>
          </w:p>
        </w:tc>
        <w:tc>
          <w:tcPr>
            <w:tcW w:w="965" w:type="dxa"/>
            <w:vAlign w:val="top"/>
          </w:tcPr>
          <w:p w:rsidR="0070379C" w:rsidRPr="0070379C" w:rsidRDefault="00E34641">
            <w:pPr>
              <w:cnfStyle w:val="000000010000" w:firstRow="0" w:lastRow="0" w:firstColumn="0" w:lastColumn="0" w:oddVBand="0" w:evenVBand="0" w:oddHBand="0" w:evenHBand="1" w:firstRowFirstColumn="0" w:firstRowLastColumn="0" w:lastRowFirstColumn="0" w:lastRowLastColumn="0"/>
            </w:pPr>
            <w:r>
              <w:t>–</w:t>
            </w:r>
            <w:r w:rsidR="0070379C" w:rsidRPr="0070379C">
              <w:t>9.5%</w:t>
            </w:r>
          </w:p>
        </w:tc>
        <w:tc>
          <w:tcPr>
            <w:tcW w:w="965" w:type="dxa"/>
            <w:vAlign w:val="top"/>
          </w:tcPr>
          <w:p w:rsidR="0070379C" w:rsidRPr="0070379C" w:rsidRDefault="00E34641" w:rsidP="0070379C">
            <w:pPr>
              <w:cnfStyle w:val="000000010000" w:firstRow="0" w:lastRow="0" w:firstColumn="0" w:lastColumn="0" w:oddVBand="0" w:evenVBand="0" w:oddHBand="0" w:evenHBand="1" w:firstRowFirstColumn="0" w:firstRowLastColumn="0" w:lastRowFirstColumn="0" w:lastRowLastColumn="0"/>
            </w:pPr>
            <w:r>
              <w:t>–</w:t>
            </w:r>
            <w:r w:rsidR="0070379C" w:rsidRPr="0070379C">
              <w:t>3.9%</w:t>
            </w:r>
          </w:p>
        </w:tc>
        <w:tc>
          <w:tcPr>
            <w:tcW w:w="965" w:type="dxa"/>
            <w:vAlign w:val="top"/>
          </w:tcPr>
          <w:p w:rsidR="0070379C" w:rsidRPr="0070379C" w:rsidRDefault="00E34641" w:rsidP="0070379C">
            <w:pPr>
              <w:cnfStyle w:val="000000010000" w:firstRow="0" w:lastRow="0" w:firstColumn="0" w:lastColumn="0" w:oddVBand="0" w:evenVBand="0" w:oddHBand="0" w:evenHBand="1" w:firstRowFirstColumn="0" w:firstRowLastColumn="0" w:lastRowFirstColumn="0" w:lastRowLastColumn="0"/>
            </w:pPr>
            <w:r>
              <w:t>–</w:t>
            </w:r>
            <w:r w:rsidR="0070379C" w:rsidRPr="0070379C">
              <w:t>2.6%</w:t>
            </w:r>
          </w:p>
        </w:tc>
        <w:tc>
          <w:tcPr>
            <w:tcW w:w="965" w:type="dxa"/>
            <w:noWrap/>
            <w:vAlign w:val="top"/>
          </w:tcPr>
          <w:p w:rsidR="0070379C" w:rsidRPr="0070379C" w:rsidRDefault="00E34641" w:rsidP="0070379C">
            <w:pPr>
              <w:cnfStyle w:val="000000010000" w:firstRow="0" w:lastRow="0" w:firstColumn="0" w:lastColumn="0" w:oddVBand="0" w:evenVBand="0" w:oddHBand="0" w:evenHBand="1" w:firstRowFirstColumn="0" w:firstRowLastColumn="0" w:lastRowFirstColumn="0" w:lastRowLastColumn="0"/>
            </w:pPr>
            <w:r>
              <w:t>–</w:t>
            </w:r>
            <w:r w:rsidR="0070379C" w:rsidRPr="0070379C">
              <w:t>2.6%</w:t>
            </w:r>
          </w:p>
        </w:tc>
      </w:tr>
    </w:tbl>
    <w:p w:rsidR="00813E06" w:rsidRDefault="00813E06" w:rsidP="00813E06">
      <w:pPr>
        <w:pStyle w:val="AERtablesource"/>
      </w:pPr>
      <w:r>
        <w:t>Source:</w:t>
      </w:r>
      <w:r>
        <w:tab/>
        <w:t xml:space="preserve">AER analysis. </w:t>
      </w:r>
    </w:p>
    <w:p w:rsidR="00813E06" w:rsidRDefault="00813E06" w:rsidP="00813E06">
      <w:pPr>
        <w:pStyle w:val="AERtablesource"/>
      </w:pPr>
      <w:r>
        <w:t xml:space="preserve">(a) </w:t>
      </w:r>
      <w:r>
        <w:tab/>
        <w:t xml:space="preserve">This </w:t>
      </w:r>
      <w:r w:rsidR="00C9786F">
        <w:t xml:space="preserve">includes the </w:t>
      </w:r>
      <w:r w:rsidR="008627F8">
        <w:t>additional amounts in DU</w:t>
      </w:r>
      <w:r w:rsidR="00E34641">
        <w:t>o</w:t>
      </w:r>
      <w:r w:rsidR="008627F8">
        <w:t>S</w:t>
      </w:r>
      <w:r w:rsidR="00E34641">
        <w:t>,</w:t>
      </w:r>
      <w:r w:rsidR="008627F8">
        <w:t xml:space="preserve"> </w:t>
      </w:r>
      <w:r w:rsidR="00E34641">
        <w:t>which are</w:t>
      </w:r>
      <w:r w:rsidR="008627F8">
        <w:t xml:space="preserve"> outside of the building block revenue determination.</w:t>
      </w:r>
    </w:p>
    <w:p w:rsidR="00A214E8" w:rsidRDefault="00813E06" w:rsidP="00813E06">
      <w:pPr>
        <w:numPr>
          <w:ilvl w:val="0"/>
          <w:numId w:val="25"/>
        </w:numPr>
      </w:pPr>
      <w:r w:rsidRPr="00481870">
        <w:t xml:space="preserve">Distribution charges represent approximately </w:t>
      </w:r>
      <w:r w:rsidR="00273AA8">
        <w:t>42</w:t>
      </w:r>
      <w:r>
        <w:t> </w:t>
      </w:r>
      <w:r w:rsidRPr="00481870">
        <w:t xml:space="preserve">per cent on average of </w:t>
      </w:r>
      <w:r w:rsidR="00A27F81">
        <w:t>Ergon Energy's</w:t>
      </w:r>
      <w:r w:rsidR="00A27F81" w:rsidRPr="00481870">
        <w:t xml:space="preserve"> </w:t>
      </w:r>
      <w:r w:rsidRPr="00481870">
        <w:t xml:space="preserve">typical customer's annual electricity </w:t>
      </w:r>
      <w:r>
        <w:t>bill</w:t>
      </w:r>
      <w:r w:rsidRPr="00481870">
        <w:t>.</w:t>
      </w:r>
      <w:r>
        <w:rPr>
          <w:rStyle w:val="FootnoteReference"/>
        </w:rPr>
        <w:footnoteReference w:id="20"/>
      </w:r>
      <w:r w:rsidRPr="00481870">
        <w:t xml:space="preserve"> We expect that our </w:t>
      </w:r>
      <w:r w:rsidR="00DC62C5">
        <w:t>preliminary</w:t>
      </w:r>
      <w:r w:rsidRPr="00481870">
        <w:t xml:space="preserve"> decision, </w:t>
      </w:r>
      <w:r w:rsidR="003D7FC8">
        <w:t xml:space="preserve">holding all </w:t>
      </w:r>
      <w:r w:rsidRPr="00481870">
        <w:t xml:space="preserve">other </w:t>
      </w:r>
      <w:r w:rsidR="003D7FC8">
        <w:t>components of the bill constant</w:t>
      </w:r>
      <w:r w:rsidRPr="00481870">
        <w:t xml:space="preserve">, will reduce the average </w:t>
      </w:r>
      <w:r>
        <w:t xml:space="preserve">annual </w:t>
      </w:r>
      <w:r w:rsidRPr="00481870">
        <w:t xml:space="preserve">electricity </w:t>
      </w:r>
      <w:r>
        <w:t>bills for</w:t>
      </w:r>
      <w:r w:rsidRPr="00481870">
        <w:t xml:space="preserve"> residential customer</w:t>
      </w:r>
      <w:r>
        <w:t>s</w:t>
      </w:r>
      <w:r w:rsidRPr="00481870">
        <w:t xml:space="preserve"> in </w:t>
      </w:r>
      <w:r w:rsidR="00A27F81">
        <w:t>Ergon Energy's</w:t>
      </w:r>
      <w:r w:rsidR="00A27F81" w:rsidRPr="00481870">
        <w:t xml:space="preserve"> </w:t>
      </w:r>
      <w:r w:rsidRPr="00481870">
        <w:t xml:space="preserve">network. This is because we estimate that our </w:t>
      </w:r>
      <w:r w:rsidR="00DC62C5">
        <w:t>preliminary</w:t>
      </w:r>
      <w:r w:rsidRPr="00481870">
        <w:t xml:space="preserve"> decision will result in lower distribution charges on average over the 201</w:t>
      </w:r>
      <w:r w:rsidR="00A27F81">
        <w:t>5</w:t>
      </w:r>
      <w:r w:rsidRPr="00481870">
        <w:t>–</w:t>
      </w:r>
      <w:r w:rsidR="00A27F81">
        <w:t>20</w:t>
      </w:r>
      <w:r w:rsidRPr="00481870">
        <w:t xml:space="preserve"> </w:t>
      </w:r>
      <w:r w:rsidR="004D7263">
        <w:t xml:space="preserve">regulatory control </w:t>
      </w:r>
      <w:r w:rsidRPr="00481870">
        <w:t xml:space="preserve">period compared to </w:t>
      </w:r>
      <w:r w:rsidR="00A27F81">
        <w:t>Ergon Energy's</w:t>
      </w:r>
      <w:r w:rsidR="00A27F81" w:rsidRPr="00481870">
        <w:t xml:space="preserve"> </w:t>
      </w:r>
      <w:r w:rsidRPr="00481870">
        <w:t>proposal.</w:t>
      </w:r>
      <w:r w:rsidR="00A214E8" w:rsidRPr="00A214E8">
        <w:t xml:space="preserve"> </w:t>
      </w:r>
      <w:r w:rsidR="00A214E8">
        <w:t xml:space="preserve">Our bill impact calculations adopt the network charges in our preliminary decision for Energex. </w:t>
      </w:r>
      <w:r w:rsidR="00A214E8" w:rsidRPr="00B851EA">
        <w:t xml:space="preserve">This is because retail electricity </w:t>
      </w:r>
      <w:r w:rsidR="00A214E8">
        <w:t>prices in Ergon Energy's distribution area</w:t>
      </w:r>
      <w:r w:rsidR="00A214E8" w:rsidRPr="00B851EA">
        <w:t xml:space="preserve"> are </w:t>
      </w:r>
      <w:r w:rsidR="00A214E8">
        <w:t>determined under the</w:t>
      </w:r>
      <w:r w:rsidR="00A214E8" w:rsidRPr="00B851EA">
        <w:t xml:space="preserve"> Queensland Government</w:t>
      </w:r>
      <w:r w:rsidR="00A214E8">
        <w:t>'s</w:t>
      </w:r>
      <w:r w:rsidR="00A214E8" w:rsidRPr="00B851EA">
        <w:t xml:space="preserve"> uniform tariff policy. </w:t>
      </w:r>
      <w:r w:rsidR="00A214E8">
        <w:t>The policy results in regulated retail electricity prices in Ergon Energy's distribution area being matched to those in Energex's area.</w:t>
      </w:r>
      <w:r w:rsidRPr="00481870">
        <w:t xml:space="preserve"> </w:t>
      </w:r>
    </w:p>
    <w:p w:rsidR="00813E06" w:rsidRPr="00481870" w:rsidRDefault="006A5A66" w:rsidP="00813E06">
      <w:pPr>
        <w:numPr>
          <w:ilvl w:val="0"/>
          <w:numId w:val="25"/>
        </w:numPr>
      </w:pPr>
      <w:r>
        <w:t xml:space="preserve">We estimate that </w:t>
      </w:r>
      <w:r w:rsidR="003D7FC8">
        <w:t>based on</w:t>
      </w:r>
      <w:r w:rsidR="00813E06" w:rsidRPr="00FC41A0">
        <w:t xml:space="preserve"> the distribution charges from our </w:t>
      </w:r>
      <w:r w:rsidR="00DC62C5">
        <w:t>preliminary</w:t>
      </w:r>
      <w:r w:rsidR="00813E06" w:rsidRPr="00FC41A0">
        <w:t xml:space="preserve"> decision </w:t>
      </w:r>
      <w:r w:rsidR="003D7FC8">
        <w:t>passing</w:t>
      </w:r>
      <w:r w:rsidR="00813E06" w:rsidRPr="00FC41A0">
        <w:t xml:space="preserve"> through to c</w:t>
      </w:r>
      <w:r w:rsidR="00813E06">
        <w:t>ustomers</w:t>
      </w:r>
      <w:r w:rsidR="00813E06" w:rsidRPr="00FC41A0">
        <w:t xml:space="preserve">, we would expect </w:t>
      </w:r>
      <w:r w:rsidR="00813E06">
        <w:t xml:space="preserve">the </w:t>
      </w:r>
      <w:r w:rsidR="00813E06" w:rsidRPr="00FC41A0">
        <w:t xml:space="preserve">average </w:t>
      </w:r>
      <w:r w:rsidR="00813E06">
        <w:t xml:space="preserve">annual </w:t>
      </w:r>
      <w:r w:rsidR="00813E06" w:rsidRPr="00FC41A0">
        <w:t xml:space="preserve">electricity </w:t>
      </w:r>
      <w:r w:rsidR="00813E06">
        <w:t>bill for</w:t>
      </w:r>
      <w:r w:rsidR="00813E06" w:rsidRPr="00FC41A0">
        <w:t xml:space="preserve"> residential </w:t>
      </w:r>
      <w:r w:rsidR="00813E06">
        <w:t xml:space="preserve">customers </w:t>
      </w:r>
      <w:r w:rsidR="00813E06" w:rsidRPr="00FC41A0">
        <w:t>to reduce by $</w:t>
      </w:r>
      <w:r w:rsidR="00A214E8">
        <w:t>34</w:t>
      </w:r>
      <w:r w:rsidR="00813E06" w:rsidRPr="00FC41A0">
        <w:t xml:space="preserve"> or </w:t>
      </w:r>
      <w:r w:rsidR="00A214E8">
        <w:t>1.8</w:t>
      </w:r>
      <w:r w:rsidR="00813E06" w:rsidRPr="00FC41A0">
        <w:t xml:space="preserve"> per cent in 2015–16. This would be followed by </w:t>
      </w:r>
      <w:r w:rsidR="00074767">
        <w:t>reductions</w:t>
      </w:r>
      <w:r w:rsidR="00813E06" w:rsidRPr="00FC41A0">
        <w:t xml:space="preserve"> of</w:t>
      </w:r>
      <w:r w:rsidR="0070379C">
        <w:t>, on average,</w:t>
      </w:r>
      <w:r w:rsidR="00813E06" w:rsidRPr="00FC41A0">
        <w:t xml:space="preserve"> $</w:t>
      </w:r>
      <w:r w:rsidR="00A214E8">
        <w:t>25</w:t>
      </w:r>
      <w:r w:rsidR="00813E06" w:rsidRPr="00FC41A0">
        <w:t xml:space="preserve"> or </w:t>
      </w:r>
      <w:r w:rsidR="00DF4A68">
        <w:t>1.</w:t>
      </w:r>
      <w:r w:rsidR="00A214E8">
        <w:t>3</w:t>
      </w:r>
      <w:r w:rsidR="00813E06" w:rsidRPr="00FC41A0">
        <w:t> per cent ($ nominal) per annum from 2016–17 to 201</w:t>
      </w:r>
      <w:r w:rsidR="004D7263">
        <w:t>9</w:t>
      </w:r>
      <w:r w:rsidR="00813E06" w:rsidRPr="00FC41A0">
        <w:t>–</w:t>
      </w:r>
      <w:r w:rsidR="004D7263">
        <w:t>20</w:t>
      </w:r>
      <w:r w:rsidR="00813E06">
        <w:t xml:space="preserve">. </w:t>
      </w:r>
      <w:r w:rsidR="00027EA0">
        <w:t>By</w:t>
      </w:r>
      <w:r w:rsidR="00813E06" w:rsidRPr="00481870">
        <w:t xml:space="preserve"> comparison, </w:t>
      </w:r>
      <w:r w:rsidR="00027EA0">
        <w:t>had</w:t>
      </w:r>
      <w:r w:rsidR="00813E06" w:rsidRPr="00481870">
        <w:t xml:space="preserve"> we accepted </w:t>
      </w:r>
      <w:r w:rsidR="00A214E8">
        <w:t>the</w:t>
      </w:r>
      <w:r w:rsidR="00A27F81" w:rsidRPr="00481870">
        <w:t xml:space="preserve"> </w:t>
      </w:r>
      <w:r w:rsidR="00813E06" w:rsidRPr="00481870">
        <w:t xml:space="preserve">proposal, the average </w:t>
      </w:r>
      <w:r w:rsidR="00813E06">
        <w:t xml:space="preserve">annual electricity bill for residential </w:t>
      </w:r>
      <w:r w:rsidR="00813E06" w:rsidRPr="00481870">
        <w:t>customer</w:t>
      </w:r>
      <w:r w:rsidR="00813E06">
        <w:t>s</w:t>
      </w:r>
      <w:r w:rsidR="00813E06" w:rsidRPr="00481870">
        <w:t xml:space="preserve"> would </w:t>
      </w:r>
      <w:r w:rsidR="0070379C">
        <w:t>increase</w:t>
      </w:r>
      <w:r w:rsidR="0070379C" w:rsidRPr="00481870">
        <w:t xml:space="preserve"> </w:t>
      </w:r>
      <w:r w:rsidR="00813E06" w:rsidRPr="00481870">
        <w:t>by $</w:t>
      </w:r>
      <w:r w:rsidR="00A214E8">
        <w:t>21</w:t>
      </w:r>
      <w:r w:rsidR="00813E06" w:rsidRPr="00481870">
        <w:t xml:space="preserve"> or </w:t>
      </w:r>
      <w:r w:rsidR="00A214E8">
        <w:t>1.1</w:t>
      </w:r>
      <w:r w:rsidR="00813E06" w:rsidRPr="00481870">
        <w:t xml:space="preserve"> per cent </w:t>
      </w:r>
      <w:r w:rsidR="00E43E3D">
        <w:t xml:space="preserve">in 2015–16. This would be followed by </w:t>
      </w:r>
      <w:r w:rsidR="00A214E8">
        <w:t>increase</w:t>
      </w:r>
      <w:r w:rsidR="00E43E3D">
        <w:t>s of approximately $1</w:t>
      </w:r>
      <w:r w:rsidR="00A214E8">
        <w:t>7</w:t>
      </w:r>
      <w:r w:rsidR="00E43E3D">
        <w:t xml:space="preserve"> (0.9 per cent) </w:t>
      </w:r>
      <w:r w:rsidR="00E43E3D" w:rsidRPr="002E113C">
        <w:t>per annum</w:t>
      </w:r>
      <w:r w:rsidR="00E43E3D">
        <w:t xml:space="preserve"> between 2016–17 and 2019–20.</w:t>
      </w:r>
      <w:r w:rsidR="00813E06" w:rsidRPr="00481870">
        <w:t xml:space="preserve"> </w:t>
      </w:r>
    </w:p>
    <w:p w:rsidR="00813E06" w:rsidRPr="00481870" w:rsidRDefault="00813E06" w:rsidP="00813E06">
      <w:pPr>
        <w:numPr>
          <w:ilvl w:val="0"/>
          <w:numId w:val="25"/>
        </w:numPr>
      </w:pPr>
      <w:r w:rsidRPr="00481870">
        <w:lastRenderedPageBreak/>
        <w:t>Our estimate</w:t>
      </w:r>
      <w:r w:rsidR="00027EA0">
        <w:t xml:space="preserve"> of the</w:t>
      </w:r>
      <w:r w:rsidRPr="00481870">
        <w:t xml:space="preserve"> potential impact</w:t>
      </w:r>
      <w:r w:rsidR="00027EA0">
        <w:t xml:space="preserve"> our preliminary decision will have for Ergon Energy's residential customers</w:t>
      </w:r>
      <w:r w:rsidRPr="00481870">
        <w:t xml:space="preserve"> is based on the typical annual electricity usage of </w:t>
      </w:r>
      <w:r w:rsidR="00D63360">
        <w:t>4100</w:t>
      </w:r>
      <w:r w:rsidR="00A214E8">
        <w:t> </w:t>
      </w:r>
      <w:r w:rsidRPr="00481870">
        <w:t xml:space="preserve">kWh per annum for a residential customer in </w:t>
      </w:r>
      <w:r w:rsidR="00A27F81">
        <w:t>Queensland</w:t>
      </w:r>
      <w:r w:rsidRPr="00481870">
        <w:t>.</w:t>
      </w:r>
      <w:r>
        <w:rPr>
          <w:rStyle w:val="FootnoteReference"/>
        </w:rPr>
        <w:footnoteReference w:id="21"/>
      </w:r>
      <w:r w:rsidRPr="00481870">
        <w:t xml:space="preserve"> Therefore customers with different usage will experience different changes in their </w:t>
      </w:r>
      <w:r>
        <w:t>bills</w:t>
      </w:r>
      <w:r w:rsidRPr="00481870">
        <w:t xml:space="preserve">. We also note that there are other factors, such as transmission network costs, wholesale and retail costs, which affect electricity </w:t>
      </w:r>
      <w:r>
        <w:t>bills</w:t>
      </w:r>
      <w:r w:rsidRPr="00481870">
        <w:t xml:space="preserve">. </w:t>
      </w:r>
    </w:p>
    <w:p w:rsidR="002B4CF4" w:rsidRPr="00813E06" w:rsidRDefault="00813E06" w:rsidP="00813E06">
      <w:pPr>
        <w:numPr>
          <w:ilvl w:val="0"/>
          <w:numId w:val="25"/>
        </w:numPr>
      </w:pPr>
      <w:r w:rsidRPr="00481870">
        <w:t xml:space="preserve">Similarly, for an average small business customer in </w:t>
      </w:r>
      <w:r w:rsidR="00A27F81">
        <w:t>Queensland</w:t>
      </w:r>
      <w:r w:rsidR="00A27F81" w:rsidRPr="00481870">
        <w:t xml:space="preserve"> </w:t>
      </w:r>
      <w:r w:rsidRPr="00481870">
        <w:t xml:space="preserve">that uses approximately 10 MWh of electricity per annum, our </w:t>
      </w:r>
      <w:r w:rsidR="00DC62C5">
        <w:t>preliminary</w:t>
      </w:r>
      <w:r w:rsidRPr="00481870">
        <w:t xml:space="preserve"> decision for </w:t>
      </w:r>
      <w:r w:rsidR="00A27F81">
        <w:t>Ergon Energy</w:t>
      </w:r>
      <w:r w:rsidR="00A27F81" w:rsidRPr="00481870">
        <w:t xml:space="preserve"> </w:t>
      </w:r>
      <w:r w:rsidRPr="00481870">
        <w:t xml:space="preserve">is expected to lead to lower average annual electricity </w:t>
      </w:r>
      <w:r>
        <w:t>bill</w:t>
      </w:r>
      <w:r w:rsidRPr="00481870">
        <w:t xml:space="preserve">s. We estimate that </w:t>
      </w:r>
      <w:r w:rsidR="003D7FC8">
        <w:t>based on</w:t>
      </w:r>
      <w:r w:rsidRPr="00481870">
        <w:t xml:space="preserve"> the </w:t>
      </w:r>
      <w:r w:rsidRPr="0054495D">
        <w:t xml:space="preserve">distribution charges from our </w:t>
      </w:r>
      <w:r w:rsidR="00DC62C5">
        <w:t>preliminary</w:t>
      </w:r>
      <w:r w:rsidRPr="0054495D">
        <w:t xml:space="preserve"> decision </w:t>
      </w:r>
      <w:r w:rsidR="003D7FC8">
        <w:t>passing</w:t>
      </w:r>
      <w:r w:rsidRPr="0054495D">
        <w:t xml:space="preserve"> through to customers, we would expect </w:t>
      </w:r>
      <w:r>
        <w:t xml:space="preserve">the </w:t>
      </w:r>
      <w:r w:rsidRPr="0054495D">
        <w:t>average</w:t>
      </w:r>
      <w:r>
        <w:t xml:space="preserve"> annual electricity bill for</w:t>
      </w:r>
      <w:r w:rsidRPr="0054495D">
        <w:t xml:space="preserve"> small business </w:t>
      </w:r>
      <w:r>
        <w:t>customers</w:t>
      </w:r>
      <w:r w:rsidRPr="0054495D">
        <w:t xml:space="preserve"> to reduce by $</w:t>
      </w:r>
      <w:r w:rsidR="007641C4">
        <w:t>53</w:t>
      </w:r>
      <w:r w:rsidRPr="0054495D">
        <w:t xml:space="preserve"> or </w:t>
      </w:r>
      <w:r w:rsidR="007641C4">
        <w:t>1.8</w:t>
      </w:r>
      <w:r w:rsidRPr="0054495D">
        <w:t xml:space="preserve"> per cent in 2015–16. This would be followed by </w:t>
      </w:r>
      <w:r w:rsidR="00DF4A68">
        <w:t>decreases</w:t>
      </w:r>
      <w:r w:rsidRPr="0054495D">
        <w:t xml:space="preserve"> of about $</w:t>
      </w:r>
      <w:r w:rsidR="007641C4">
        <w:t>38</w:t>
      </w:r>
      <w:r w:rsidRPr="0054495D">
        <w:t xml:space="preserve"> or </w:t>
      </w:r>
      <w:r w:rsidR="00DF4A68">
        <w:t>1.</w:t>
      </w:r>
      <w:r w:rsidR="007641C4">
        <w:t>3</w:t>
      </w:r>
      <w:r w:rsidRPr="0054495D">
        <w:t> per cent ($ nominal) per annum from 2016–17 to 201</w:t>
      </w:r>
      <w:r w:rsidR="006A5A66">
        <w:t>9</w:t>
      </w:r>
      <w:r w:rsidRPr="0054495D">
        <w:t>–</w:t>
      </w:r>
      <w:r w:rsidR="006A5A66">
        <w:t>20</w:t>
      </w:r>
      <w:r w:rsidRPr="0054495D">
        <w:t xml:space="preserve">. </w:t>
      </w:r>
      <w:r w:rsidR="00027EA0">
        <w:t>By</w:t>
      </w:r>
      <w:r w:rsidRPr="00481870">
        <w:t xml:space="preserve"> comparison, </w:t>
      </w:r>
      <w:r w:rsidR="00027EA0">
        <w:t>had</w:t>
      </w:r>
      <w:r w:rsidRPr="00481870">
        <w:t xml:space="preserve"> we accepted </w:t>
      </w:r>
      <w:r w:rsidR="007641C4">
        <w:t>the</w:t>
      </w:r>
      <w:r w:rsidR="00A27F81" w:rsidRPr="00481870">
        <w:t xml:space="preserve"> </w:t>
      </w:r>
      <w:r w:rsidRPr="00481870">
        <w:t xml:space="preserve">proposal, the average </w:t>
      </w:r>
      <w:r>
        <w:t xml:space="preserve">annual electricity bill for </w:t>
      </w:r>
      <w:r w:rsidRPr="00481870">
        <w:t>small business customers would increase by $</w:t>
      </w:r>
      <w:r w:rsidR="007641C4">
        <w:t xml:space="preserve">32 </w:t>
      </w:r>
      <w:r w:rsidRPr="00481870">
        <w:t xml:space="preserve">or </w:t>
      </w:r>
      <w:r w:rsidR="007641C4">
        <w:t>1.1</w:t>
      </w:r>
      <w:r w:rsidR="00E43E3D">
        <w:t xml:space="preserve"> </w:t>
      </w:r>
      <w:r>
        <w:t>p</w:t>
      </w:r>
      <w:r w:rsidRPr="00481870">
        <w:t xml:space="preserve">er cent </w:t>
      </w:r>
      <w:r w:rsidR="00E43E3D">
        <w:t xml:space="preserve">in 2015–16. This would be followed by </w:t>
      </w:r>
      <w:r w:rsidR="007641C4">
        <w:t>i</w:t>
      </w:r>
      <w:r w:rsidR="00E43E3D">
        <w:t>n</w:t>
      </w:r>
      <w:r w:rsidR="007641C4">
        <w:t>crease</w:t>
      </w:r>
      <w:r w:rsidR="00E43E3D">
        <w:t>s of approximately $2</w:t>
      </w:r>
      <w:r w:rsidR="007641C4">
        <w:t>6</w:t>
      </w:r>
      <w:r w:rsidR="00E43E3D">
        <w:t xml:space="preserve"> (0.9 per cent) </w:t>
      </w:r>
      <w:r w:rsidR="00E43E3D" w:rsidRPr="002E113C">
        <w:t>per annum</w:t>
      </w:r>
      <w:r w:rsidR="00E43E3D">
        <w:t xml:space="preserve"> between 2016–17 and 2019–20.</w:t>
      </w:r>
      <w:r w:rsidRPr="00481870">
        <w:t xml:space="preserve"> </w:t>
      </w:r>
      <w:r w:rsidRPr="001A0446">
        <w:fldChar w:fldCharType="begin"/>
      </w:r>
      <w:r w:rsidRPr="001A0446">
        <w:instrText xml:space="preserve"> REF _Ref401574064 \h </w:instrText>
      </w:r>
      <w:r>
        <w:instrText xml:space="preserve"> \* MERGEFORMAT </w:instrText>
      </w:r>
      <w:r w:rsidRPr="001A0446">
        <w:fldChar w:fldCharType="separate"/>
      </w:r>
    </w:p>
    <w:p w:rsidR="00813E06" w:rsidRPr="00813E06" w:rsidRDefault="002B4CF4" w:rsidP="00813E06">
      <w:pPr>
        <w:numPr>
          <w:ilvl w:val="0"/>
          <w:numId w:val="25"/>
        </w:numPr>
      </w:pPr>
      <w:r>
        <w:t xml:space="preserve">Table </w:t>
      </w:r>
      <w:r>
        <w:rPr>
          <w:noProof/>
        </w:rPr>
        <w:t>1.8</w:t>
      </w:r>
      <w:r w:rsidR="00813E06" w:rsidRPr="001A0446">
        <w:fldChar w:fldCharType="end"/>
      </w:r>
      <w:r w:rsidR="000100F0">
        <w:t xml:space="preserve"> </w:t>
      </w:r>
      <w:r w:rsidR="00813E06" w:rsidRPr="001A0446">
        <w:t xml:space="preserve">shows the estimated annual average impact of our </w:t>
      </w:r>
      <w:r w:rsidR="00DC62C5">
        <w:t>preliminary</w:t>
      </w:r>
      <w:r w:rsidR="00813E06" w:rsidRPr="001A0446">
        <w:t xml:space="preserve"> decision for  the 201</w:t>
      </w:r>
      <w:r w:rsidR="00A27F81">
        <w:t>5</w:t>
      </w:r>
      <w:r w:rsidR="00813E06" w:rsidRPr="001A0446">
        <w:t>–</w:t>
      </w:r>
      <w:r w:rsidR="00A27F81">
        <w:t>20</w:t>
      </w:r>
      <w:r w:rsidR="00813E06" w:rsidRPr="001A0446">
        <w:t xml:space="preserve"> </w:t>
      </w:r>
      <w:r w:rsidR="006A5A66">
        <w:t xml:space="preserve">regulatory control </w:t>
      </w:r>
      <w:r w:rsidR="00813E06" w:rsidRPr="001A0446">
        <w:t xml:space="preserve">period </w:t>
      </w:r>
      <w:r w:rsidR="006A5A66">
        <w:t xml:space="preserve">and Ergon Energy's proposal </w:t>
      </w:r>
      <w:r w:rsidR="00813E06" w:rsidRPr="001A0446">
        <w:t xml:space="preserve">on the average residential and small business customers' annual electricity bills. </w:t>
      </w:r>
      <w:bookmarkStart w:id="45" w:name="_Ref401574064"/>
    </w:p>
    <w:p w:rsidR="00813E06" w:rsidRDefault="00813E06" w:rsidP="00813E06">
      <w:pPr>
        <w:pStyle w:val="Caption"/>
      </w:pPr>
      <w:bookmarkStart w:id="46" w:name="_Ref404354417"/>
      <w:r>
        <w:t xml:space="preserve">Table </w:t>
      </w:r>
      <w:r w:rsidR="00F55BC8">
        <w:fldChar w:fldCharType="begin"/>
      </w:r>
      <w:r w:rsidR="00F55BC8">
        <w:instrText xml:space="preserve"> STYLEREF 1 \s </w:instrText>
      </w:r>
      <w:r w:rsidR="00F55BC8">
        <w:fldChar w:fldCharType="separate"/>
      </w:r>
      <w:r w:rsidR="002B4CF4">
        <w:rPr>
          <w:noProof/>
        </w:rPr>
        <w:t>1</w:t>
      </w:r>
      <w:r w:rsidR="00F55BC8">
        <w:rPr>
          <w:noProof/>
        </w:rPr>
        <w:fldChar w:fldCharType="end"/>
      </w:r>
      <w:r w:rsidR="00691720">
        <w:t>.</w:t>
      </w:r>
      <w:fldSimple w:instr=" SEQ Table \* ARABIC \s 1 ">
        <w:r w:rsidR="002B4CF4">
          <w:rPr>
            <w:noProof/>
          </w:rPr>
          <w:t>8</w:t>
        </w:r>
      </w:fldSimple>
      <w:bookmarkEnd w:id="45"/>
      <w:bookmarkEnd w:id="46"/>
      <w:r>
        <w:tab/>
        <w:t xml:space="preserve">Estimated impact of </w:t>
      </w:r>
      <w:r w:rsidR="00B173ED">
        <w:t>Ergon Energy's</w:t>
      </w:r>
      <w:r>
        <w:t xml:space="preserve"> proposal and AER's </w:t>
      </w:r>
      <w:r w:rsidR="00DC62C5">
        <w:t>preliminary</w:t>
      </w:r>
      <w:r>
        <w:t xml:space="preserve"> decision on annual electricity bills for the 201</w:t>
      </w:r>
      <w:r w:rsidR="006A5A66">
        <w:t>5</w:t>
      </w:r>
      <w:r>
        <w:t>–</w:t>
      </w:r>
      <w:r w:rsidR="006A5A66">
        <w:t>20</w:t>
      </w:r>
      <w:r>
        <w:t xml:space="preserve"> </w:t>
      </w:r>
      <w:r w:rsidR="006A5A66">
        <w:t xml:space="preserve">regulatory control </w:t>
      </w:r>
      <w:r>
        <w:t>period ($ nominal)</w:t>
      </w:r>
      <w:r w:rsidR="00A214E8" w:rsidRPr="00A214E8">
        <w:rPr>
          <w:rStyle w:val="AERsuperscript"/>
        </w:rPr>
        <w:t>a</w:t>
      </w:r>
      <w:r w:rsidRPr="00A214E8" w:rsidDel="006E6462">
        <w:rPr>
          <w:rStyle w:val="AERsuperscript"/>
        </w:rPr>
        <w:t xml:space="preserve"> </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A214E8" w:rsidTr="00A214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A214E8" w:rsidRDefault="00A214E8" w:rsidP="00A214E8"/>
        </w:tc>
        <w:tc>
          <w:tcPr>
            <w:tcW w:w="850" w:type="dxa"/>
          </w:tcPr>
          <w:p w:rsidR="00A214E8" w:rsidRPr="00A214E8" w:rsidRDefault="00A214E8" w:rsidP="00A214E8">
            <w:pPr>
              <w:cnfStyle w:val="100000000000" w:firstRow="1" w:lastRow="0" w:firstColumn="0" w:lastColumn="0" w:oddVBand="0" w:evenVBand="0" w:oddHBand="0" w:evenHBand="0" w:firstRowFirstColumn="0" w:firstRowLastColumn="0" w:lastRowFirstColumn="0" w:lastRowLastColumn="0"/>
            </w:pPr>
            <w:r>
              <w:t>201</w:t>
            </w:r>
            <w:r w:rsidRPr="00A214E8">
              <w:t>4−15</w:t>
            </w:r>
          </w:p>
        </w:tc>
        <w:tc>
          <w:tcPr>
            <w:tcW w:w="1121" w:type="dxa"/>
          </w:tcPr>
          <w:p w:rsidR="00A214E8" w:rsidRPr="00A214E8" w:rsidRDefault="00A214E8" w:rsidP="00A214E8">
            <w:pPr>
              <w:cnfStyle w:val="100000000000" w:firstRow="1" w:lastRow="0" w:firstColumn="0" w:lastColumn="0" w:oddVBand="0" w:evenVBand="0" w:oddHBand="0" w:evenHBand="0" w:firstRowFirstColumn="0" w:firstRowLastColumn="0" w:lastRowFirstColumn="0" w:lastRowLastColumn="0"/>
            </w:pPr>
            <w:r>
              <w:t>201</w:t>
            </w:r>
            <w:r w:rsidRPr="00A214E8">
              <w:t>5−16</w:t>
            </w:r>
          </w:p>
        </w:tc>
        <w:tc>
          <w:tcPr>
            <w:tcW w:w="1122" w:type="dxa"/>
          </w:tcPr>
          <w:p w:rsidR="00A214E8" w:rsidRPr="00A214E8" w:rsidRDefault="00A214E8" w:rsidP="00A214E8">
            <w:pPr>
              <w:cnfStyle w:val="100000000000" w:firstRow="1" w:lastRow="0" w:firstColumn="0" w:lastColumn="0" w:oddVBand="0" w:evenVBand="0" w:oddHBand="0" w:evenHBand="0" w:firstRowFirstColumn="0" w:firstRowLastColumn="0" w:lastRowFirstColumn="0" w:lastRowLastColumn="0"/>
            </w:pPr>
            <w:r>
              <w:t>201</w:t>
            </w:r>
            <w:r w:rsidRPr="00A214E8">
              <w:t>6−17</w:t>
            </w:r>
          </w:p>
        </w:tc>
        <w:tc>
          <w:tcPr>
            <w:tcW w:w="1121" w:type="dxa"/>
          </w:tcPr>
          <w:p w:rsidR="00A214E8" w:rsidRPr="00A214E8" w:rsidRDefault="00A214E8" w:rsidP="00A214E8">
            <w:pPr>
              <w:cnfStyle w:val="100000000000" w:firstRow="1" w:lastRow="0" w:firstColumn="0" w:lastColumn="0" w:oddVBand="0" w:evenVBand="0" w:oddHBand="0" w:evenHBand="0" w:firstRowFirstColumn="0" w:firstRowLastColumn="0" w:lastRowFirstColumn="0" w:lastRowLastColumn="0"/>
            </w:pPr>
            <w:r>
              <w:t>201</w:t>
            </w:r>
            <w:r w:rsidRPr="00A214E8">
              <w:t>7−18</w:t>
            </w:r>
          </w:p>
        </w:tc>
        <w:tc>
          <w:tcPr>
            <w:tcW w:w="1122" w:type="dxa"/>
          </w:tcPr>
          <w:p w:rsidR="00A214E8" w:rsidRPr="00A214E8" w:rsidRDefault="00A214E8" w:rsidP="00A214E8">
            <w:pPr>
              <w:cnfStyle w:val="100000000000" w:firstRow="1" w:lastRow="0" w:firstColumn="0" w:lastColumn="0" w:oddVBand="0" w:evenVBand="0" w:oddHBand="0" w:evenHBand="0" w:firstRowFirstColumn="0" w:firstRowLastColumn="0" w:lastRowFirstColumn="0" w:lastRowLastColumn="0"/>
            </w:pPr>
            <w:r>
              <w:t>201</w:t>
            </w:r>
            <w:r w:rsidRPr="00A214E8">
              <w:t>8−19</w:t>
            </w:r>
          </w:p>
        </w:tc>
        <w:tc>
          <w:tcPr>
            <w:tcW w:w="1122" w:type="dxa"/>
          </w:tcPr>
          <w:p w:rsidR="00A214E8" w:rsidRPr="00A214E8" w:rsidRDefault="00A214E8" w:rsidP="00A214E8">
            <w:pPr>
              <w:cnfStyle w:val="100000000000" w:firstRow="1" w:lastRow="0" w:firstColumn="0" w:lastColumn="0" w:oddVBand="0" w:evenVBand="0" w:oddHBand="0" w:evenHBand="0" w:firstRowFirstColumn="0" w:firstRowLastColumn="0" w:lastRowFirstColumn="0" w:lastRowLastColumn="0"/>
            </w:pPr>
            <w:r>
              <w:t>2019–20</w:t>
            </w:r>
          </w:p>
        </w:tc>
      </w:tr>
      <w:tr w:rsidR="00A214E8" w:rsidTr="00A214E8">
        <w:tc>
          <w:tcPr>
            <w:cnfStyle w:val="001000000000" w:firstRow="0" w:lastRow="0" w:firstColumn="1" w:lastColumn="0" w:oddVBand="0" w:evenVBand="0" w:oddHBand="0" w:evenHBand="0" w:firstRowFirstColumn="0" w:firstRowLastColumn="0" w:lastRowFirstColumn="0" w:lastRowLastColumn="0"/>
            <w:tcW w:w="8693" w:type="dxa"/>
            <w:gridSpan w:val="7"/>
          </w:tcPr>
          <w:p w:rsidR="00A214E8" w:rsidRPr="00A214E8" w:rsidRDefault="00A214E8" w:rsidP="00A214E8">
            <w:r>
              <w:rPr>
                <w:rStyle w:val="Strong"/>
              </w:rPr>
              <w:t>E</w:t>
            </w:r>
            <w:r w:rsidRPr="00A214E8">
              <w:rPr>
                <w:rStyle w:val="Strong"/>
              </w:rPr>
              <w:t xml:space="preserve">rgon Energy </w:t>
            </w:r>
            <w:proofErr w:type="spellStart"/>
            <w:r w:rsidRPr="00A214E8">
              <w:rPr>
                <w:rStyle w:val="Strong"/>
              </w:rPr>
              <w:t>proposal</w:t>
            </w:r>
            <w:r w:rsidR="00C97D34" w:rsidRPr="00C97D34">
              <w:rPr>
                <w:rStyle w:val="AERsuperscript"/>
              </w:rPr>
              <w:t>a</w:t>
            </w:r>
            <w:proofErr w:type="spellEnd"/>
          </w:p>
        </w:tc>
      </w:tr>
      <w:tr w:rsidR="00A214E8" w:rsidTr="00A214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790C92">
              <w:t xml:space="preserve">Residential annual </w:t>
            </w:r>
            <w:proofErr w:type="spellStart"/>
            <w:r w:rsidRPr="00790C92">
              <w:t>bill</w:t>
            </w:r>
            <w:r w:rsidR="00C97D34">
              <w:rPr>
                <w:rStyle w:val="AERsuperscript"/>
              </w:rPr>
              <w:t>b</w:t>
            </w:r>
            <w:proofErr w:type="spellEnd"/>
          </w:p>
        </w:tc>
        <w:tc>
          <w:tcPr>
            <w:tcW w:w="850"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1914</w:t>
            </w:r>
          </w:p>
        </w:tc>
        <w:tc>
          <w:tcPr>
            <w:tcW w:w="1121"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1935</w:t>
            </w:r>
          </w:p>
        </w:tc>
        <w:tc>
          <w:tcPr>
            <w:tcW w:w="1122"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1958</w:t>
            </w:r>
          </w:p>
        </w:tc>
        <w:tc>
          <w:tcPr>
            <w:tcW w:w="1121"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1974</w:t>
            </w:r>
          </w:p>
        </w:tc>
        <w:tc>
          <w:tcPr>
            <w:tcW w:w="1122"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1989</w:t>
            </w:r>
          </w:p>
        </w:tc>
        <w:tc>
          <w:tcPr>
            <w:tcW w:w="1122"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2001</w:t>
            </w:r>
          </w:p>
        </w:tc>
      </w:tr>
      <w:tr w:rsidR="00A214E8" w:rsidTr="00A214E8">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790C92">
              <w:t>Annual change</w:t>
            </w:r>
          </w:p>
        </w:tc>
        <w:tc>
          <w:tcPr>
            <w:tcW w:w="850" w:type="dxa"/>
            <w:vAlign w:val="top"/>
          </w:tcPr>
          <w:p w:rsidR="00A214E8" w:rsidRPr="00790C92" w:rsidRDefault="00A214E8" w:rsidP="00A214E8">
            <w:pPr>
              <w:cnfStyle w:val="000000000000" w:firstRow="0" w:lastRow="0" w:firstColumn="0" w:lastColumn="0" w:oddVBand="0" w:evenVBand="0" w:oddHBand="0" w:evenHBand="0" w:firstRowFirstColumn="0" w:firstRowLastColumn="0" w:lastRowFirstColumn="0" w:lastRowLastColumn="0"/>
            </w:pPr>
          </w:p>
        </w:tc>
        <w:tc>
          <w:tcPr>
            <w:tcW w:w="1121"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21 (1.1%)</w:t>
            </w:r>
          </w:p>
        </w:tc>
        <w:tc>
          <w:tcPr>
            <w:tcW w:w="1122"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24 (1.2%)</w:t>
            </w:r>
          </w:p>
        </w:tc>
        <w:tc>
          <w:tcPr>
            <w:tcW w:w="1121"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16 (0.8%)</w:t>
            </w:r>
          </w:p>
        </w:tc>
        <w:tc>
          <w:tcPr>
            <w:tcW w:w="1122"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15 (0.8%)</w:t>
            </w:r>
          </w:p>
        </w:tc>
        <w:tc>
          <w:tcPr>
            <w:tcW w:w="1122"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12 (0.6%)</w:t>
            </w:r>
          </w:p>
        </w:tc>
      </w:tr>
      <w:tr w:rsidR="00A214E8" w:rsidTr="00A214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790C92">
              <w:t xml:space="preserve">Small business annual </w:t>
            </w:r>
            <w:proofErr w:type="spellStart"/>
            <w:r w:rsidRPr="00790C92">
              <w:t>bill</w:t>
            </w:r>
            <w:r w:rsidRPr="00A214E8">
              <w:rPr>
                <w:rStyle w:val="AERsuperscript"/>
              </w:rPr>
              <w:t>c</w:t>
            </w:r>
            <w:proofErr w:type="spellEnd"/>
          </w:p>
        </w:tc>
        <w:tc>
          <w:tcPr>
            <w:tcW w:w="850"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2973</w:t>
            </w:r>
          </w:p>
        </w:tc>
        <w:tc>
          <w:tcPr>
            <w:tcW w:w="1121"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3005</w:t>
            </w:r>
          </w:p>
        </w:tc>
        <w:tc>
          <w:tcPr>
            <w:tcW w:w="1122"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3041</w:t>
            </w:r>
          </w:p>
        </w:tc>
        <w:tc>
          <w:tcPr>
            <w:tcW w:w="1121"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3066</w:t>
            </w:r>
          </w:p>
        </w:tc>
        <w:tc>
          <w:tcPr>
            <w:tcW w:w="1122"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3090</w:t>
            </w:r>
          </w:p>
        </w:tc>
        <w:tc>
          <w:tcPr>
            <w:tcW w:w="1122" w:type="dxa"/>
            <w:vAlign w:val="top"/>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rsidRPr="00790C92">
              <w:t>3108</w:t>
            </w:r>
          </w:p>
        </w:tc>
      </w:tr>
      <w:tr w:rsidR="00A214E8" w:rsidTr="00A214E8">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790C92">
              <w:t>Annual change</w:t>
            </w:r>
          </w:p>
        </w:tc>
        <w:tc>
          <w:tcPr>
            <w:tcW w:w="850" w:type="dxa"/>
            <w:vAlign w:val="top"/>
          </w:tcPr>
          <w:p w:rsidR="00A214E8" w:rsidRPr="00790C92" w:rsidRDefault="00A214E8" w:rsidP="00A214E8">
            <w:pPr>
              <w:cnfStyle w:val="000000000000" w:firstRow="0" w:lastRow="0" w:firstColumn="0" w:lastColumn="0" w:oddVBand="0" w:evenVBand="0" w:oddHBand="0" w:evenHBand="0" w:firstRowFirstColumn="0" w:firstRowLastColumn="0" w:lastRowFirstColumn="0" w:lastRowLastColumn="0"/>
            </w:pPr>
          </w:p>
        </w:tc>
        <w:tc>
          <w:tcPr>
            <w:tcW w:w="1121"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32 (1.1%)</w:t>
            </w:r>
          </w:p>
        </w:tc>
        <w:tc>
          <w:tcPr>
            <w:tcW w:w="1122"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37 (1.2%)</w:t>
            </w:r>
          </w:p>
        </w:tc>
        <w:tc>
          <w:tcPr>
            <w:tcW w:w="1121"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25 (0.8%)</w:t>
            </w:r>
          </w:p>
        </w:tc>
        <w:tc>
          <w:tcPr>
            <w:tcW w:w="1122"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23 (0.8%)</w:t>
            </w:r>
          </w:p>
        </w:tc>
        <w:tc>
          <w:tcPr>
            <w:tcW w:w="1122"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790C92">
              <w:t>18 (0.6%)</w:t>
            </w:r>
          </w:p>
        </w:tc>
      </w:tr>
      <w:tr w:rsidR="00A214E8" w:rsidTr="00A214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A214E8" w:rsidRPr="00A214E8" w:rsidRDefault="00A214E8" w:rsidP="00A214E8">
            <w:r w:rsidRPr="00790C92">
              <w:rPr>
                <w:rStyle w:val="Strong"/>
              </w:rPr>
              <w:t xml:space="preserve">AER </w:t>
            </w:r>
            <w:r w:rsidRPr="00A214E8">
              <w:rPr>
                <w:rStyle w:val="Strong"/>
              </w:rPr>
              <w:t xml:space="preserve">preliminary </w:t>
            </w:r>
            <w:proofErr w:type="spellStart"/>
            <w:r w:rsidRPr="00A214E8">
              <w:rPr>
                <w:rStyle w:val="Strong"/>
              </w:rPr>
              <w:t>decision</w:t>
            </w:r>
            <w:r w:rsidR="00C97D34" w:rsidRPr="00C97D34">
              <w:rPr>
                <w:rStyle w:val="AERsuperscript"/>
              </w:rPr>
              <w:t>a</w:t>
            </w:r>
            <w:proofErr w:type="spellEnd"/>
          </w:p>
        </w:tc>
      </w:tr>
      <w:tr w:rsidR="00A214E8" w:rsidTr="00A214E8">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BC07C3">
              <w:t xml:space="preserve">Residential annual </w:t>
            </w:r>
            <w:proofErr w:type="spellStart"/>
            <w:r w:rsidRPr="00BC07C3">
              <w:t>bill</w:t>
            </w:r>
            <w:r w:rsidRPr="00A214E8">
              <w:rPr>
                <w:rStyle w:val="AERsuperscript"/>
              </w:rPr>
              <w:t>b</w:t>
            </w:r>
            <w:proofErr w:type="spellEnd"/>
          </w:p>
        </w:tc>
        <w:tc>
          <w:tcPr>
            <w:tcW w:w="850"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1914</w:t>
            </w:r>
          </w:p>
        </w:tc>
        <w:tc>
          <w:tcPr>
            <w:tcW w:w="1121"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1880</w:t>
            </w:r>
          </w:p>
        </w:tc>
        <w:tc>
          <w:tcPr>
            <w:tcW w:w="1122"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1836</w:t>
            </w:r>
          </w:p>
        </w:tc>
        <w:tc>
          <w:tcPr>
            <w:tcW w:w="1121"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1820</w:t>
            </w:r>
          </w:p>
        </w:tc>
        <w:tc>
          <w:tcPr>
            <w:tcW w:w="1122"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1799</w:t>
            </w:r>
          </w:p>
        </w:tc>
        <w:tc>
          <w:tcPr>
            <w:tcW w:w="1122"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1782</w:t>
            </w:r>
          </w:p>
        </w:tc>
      </w:tr>
      <w:tr w:rsidR="00A214E8" w:rsidTr="00A214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BC07C3">
              <w:t>Annual change</w:t>
            </w:r>
          </w:p>
        </w:tc>
        <w:tc>
          <w:tcPr>
            <w:tcW w:w="850" w:type="dxa"/>
            <w:vAlign w:val="top"/>
          </w:tcPr>
          <w:p w:rsidR="00A214E8" w:rsidRPr="00BC07C3" w:rsidRDefault="00A214E8" w:rsidP="00A214E8">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34 (–1.8%)</w:t>
            </w:r>
          </w:p>
        </w:tc>
        <w:tc>
          <w:tcPr>
            <w:tcW w:w="1122"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44 (–2.4%)</w:t>
            </w:r>
          </w:p>
        </w:tc>
        <w:tc>
          <w:tcPr>
            <w:tcW w:w="1121"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16 (–0.9%)</w:t>
            </w:r>
          </w:p>
        </w:tc>
        <w:tc>
          <w:tcPr>
            <w:tcW w:w="1122"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21 (–1.1%)</w:t>
            </w:r>
          </w:p>
        </w:tc>
        <w:tc>
          <w:tcPr>
            <w:tcW w:w="1122"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17 (–0.9%)</w:t>
            </w:r>
          </w:p>
        </w:tc>
      </w:tr>
      <w:tr w:rsidR="00A214E8" w:rsidTr="00A214E8">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BC07C3">
              <w:t xml:space="preserve">Small business annual </w:t>
            </w:r>
            <w:proofErr w:type="spellStart"/>
            <w:r w:rsidRPr="00BC07C3">
              <w:t>bill</w:t>
            </w:r>
            <w:r w:rsidRPr="00A214E8">
              <w:rPr>
                <w:rStyle w:val="AERsuperscript"/>
              </w:rPr>
              <w:t>c</w:t>
            </w:r>
            <w:proofErr w:type="spellEnd"/>
          </w:p>
        </w:tc>
        <w:tc>
          <w:tcPr>
            <w:tcW w:w="850" w:type="dxa"/>
            <w:vAlign w:val="top"/>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2973</w:t>
            </w:r>
          </w:p>
        </w:tc>
        <w:tc>
          <w:tcPr>
            <w:tcW w:w="1121"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2920</w:t>
            </w:r>
          </w:p>
        </w:tc>
        <w:tc>
          <w:tcPr>
            <w:tcW w:w="1122"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2851</w:t>
            </w:r>
          </w:p>
        </w:tc>
        <w:tc>
          <w:tcPr>
            <w:tcW w:w="1121"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2826</w:t>
            </w:r>
          </w:p>
        </w:tc>
        <w:tc>
          <w:tcPr>
            <w:tcW w:w="1122"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2794</w:t>
            </w:r>
          </w:p>
        </w:tc>
        <w:tc>
          <w:tcPr>
            <w:tcW w:w="1122" w:type="dxa"/>
            <w:vAlign w:val="bottom"/>
          </w:tcPr>
          <w:p w:rsidR="00A214E8" w:rsidRPr="00A214E8" w:rsidRDefault="00A214E8" w:rsidP="00A214E8">
            <w:pPr>
              <w:cnfStyle w:val="000000000000" w:firstRow="0" w:lastRow="0" w:firstColumn="0" w:lastColumn="0" w:oddVBand="0" w:evenVBand="0" w:oddHBand="0" w:evenHBand="0" w:firstRowFirstColumn="0" w:firstRowLastColumn="0" w:lastRowFirstColumn="0" w:lastRowLastColumn="0"/>
            </w:pPr>
            <w:r w:rsidRPr="00BC07C3">
              <w:t>2768</w:t>
            </w:r>
          </w:p>
        </w:tc>
      </w:tr>
      <w:tr w:rsidR="00A214E8" w:rsidTr="00A214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214E8" w:rsidRPr="00A214E8" w:rsidRDefault="00A214E8" w:rsidP="00A214E8">
            <w:r w:rsidRPr="00BC07C3">
              <w:t>Annual change</w:t>
            </w:r>
          </w:p>
        </w:tc>
        <w:tc>
          <w:tcPr>
            <w:tcW w:w="850" w:type="dxa"/>
            <w:vAlign w:val="top"/>
          </w:tcPr>
          <w:p w:rsidR="00A214E8" w:rsidRPr="00BC07C3" w:rsidRDefault="00A214E8" w:rsidP="00A214E8">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53 (–1.8%)</w:t>
            </w:r>
          </w:p>
        </w:tc>
        <w:tc>
          <w:tcPr>
            <w:tcW w:w="1122"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69 (–2.4%)</w:t>
            </w:r>
          </w:p>
        </w:tc>
        <w:tc>
          <w:tcPr>
            <w:tcW w:w="1121"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25 (–0.9%)</w:t>
            </w:r>
          </w:p>
        </w:tc>
        <w:tc>
          <w:tcPr>
            <w:tcW w:w="1122"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32 (–1.1%)</w:t>
            </w:r>
          </w:p>
        </w:tc>
        <w:tc>
          <w:tcPr>
            <w:tcW w:w="1122" w:type="dxa"/>
            <w:vAlign w:val="bottom"/>
          </w:tcPr>
          <w:p w:rsidR="00A214E8" w:rsidRPr="00A214E8" w:rsidRDefault="00A214E8" w:rsidP="00A214E8">
            <w:pPr>
              <w:cnfStyle w:val="000000010000" w:firstRow="0" w:lastRow="0" w:firstColumn="0" w:lastColumn="0" w:oddVBand="0" w:evenVBand="0" w:oddHBand="0" w:evenHBand="1" w:firstRowFirstColumn="0" w:firstRowLastColumn="0" w:lastRowFirstColumn="0" w:lastRowLastColumn="0"/>
            </w:pPr>
            <w:r>
              <w:t>–</w:t>
            </w:r>
            <w:r w:rsidRPr="00A214E8">
              <w:t>26 (–0.9%)</w:t>
            </w:r>
          </w:p>
        </w:tc>
      </w:tr>
    </w:tbl>
    <w:p w:rsidR="00813E06" w:rsidRDefault="00813E06" w:rsidP="00813E06">
      <w:pPr>
        <w:pStyle w:val="AERtablesource"/>
      </w:pPr>
      <w:r>
        <w:lastRenderedPageBreak/>
        <w:t>Source:</w:t>
      </w:r>
      <w:r>
        <w:tab/>
        <w:t xml:space="preserve">AER analysis; </w:t>
      </w:r>
      <w:r w:rsidR="001871E3">
        <w:t>QCA</w:t>
      </w:r>
      <w:r>
        <w:t xml:space="preserve">, </w:t>
      </w:r>
      <w:r w:rsidR="001871E3">
        <w:t>Price comparator</w:t>
      </w:r>
      <w:r>
        <w:t xml:space="preserve">; </w:t>
      </w:r>
      <w:r w:rsidR="001871E3">
        <w:t xml:space="preserve">QCA, </w:t>
      </w:r>
      <w:r w:rsidR="001871E3" w:rsidRPr="00E34641">
        <w:rPr>
          <w:rStyle w:val="AERtextitalic"/>
        </w:rPr>
        <w:t>Final determination, Regulated retail electricity prices 2014–15</w:t>
      </w:r>
      <w:r w:rsidR="001871E3">
        <w:t>, May 2014, p.4.</w:t>
      </w:r>
    </w:p>
    <w:p w:rsidR="00A214E8" w:rsidRDefault="00A214E8" w:rsidP="00813E06">
      <w:pPr>
        <w:pStyle w:val="AERtablesource"/>
      </w:pPr>
      <w:r>
        <w:t>(a)</w:t>
      </w:r>
      <w:r>
        <w:tab/>
      </w:r>
      <w:r w:rsidR="00C97D34">
        <w:t>Energex's bill impacts are used for this table</w:t>
      </w:r>
      <w:r w:rsidRPr="00323635">
        <w:t>.</w:t>
      </w:r>
    </w:p>
    <w:p w:rsidR="00813E06" w:rsidRDefault="00A214E8" w:rsidP="00813E06">
      <w:pPr>
        <w:pStyle w:val="AERtablesource"/>
      </w:pPr>
      <w:r>
        <w:t>(b</w:t>
      </w:r>
      <w:r w:rsidR="00813E06">
        <w:t>)</w:t>
      </w:r>
      <w:r w:rsidR="00813E06">
        <w:tab/>
        <w:t xml:space="preserve">Based on annual bill for typical consumption of </w:t>
      </w:r>
      <w:r w:rsidR="001871E3">
        <w:t>4100</w:t>
      </w:r>
      <w:r w:rsidR="005E65BF">
        <w:t xml:space="preserve"> k</w:t>
      </w:r>
      <w:r w:rsidR="00813E06">
        <w:t>Wh per year during the period 1 July 201</w:t>
      </w:r>
      <w:r w:rsidR="00E34641">
        <w:t>4</w:t>
      </w:r>
      <w:r w:rsidR="00813E06">
        <w:t xml:space="preserve"> to 30 June 201</w:t>
      </w:r>
      <w:r w:rsidR="00E34641">
        <w:t>5</w:t>
      </w:r>
      <w:r w:rsidR="00813E06">
        <w:t>.</w:t>
      </w:r>
    </w:p>
    <w:p w:rsidR="00CB0279" w:rsidRPr="00290C63" w:rsidRDefault="00813E06" w:rsidP="00E43E3D">
      <w:pPr>
        <w:pStyle w:val="AERtablesource"/>
      </w:pPr>
      <w:r>
        <w:t>(</w:t>
      </w:r>
      <w:r w:rsidR="00A214E8">
        <w:t>c</w:t>
      </w:r>
      <w:r>
        <w:t>)</w:t>
      </w:r>
      <w:r>
        <w:tab/>
      </w:r>
      <w:r w:rsidRPr="00540B74">
        <w:t xml:space="preserve">Based on the annual </w:t>
      </w:r>
      <w:r>
        <w:t>bill</w:t>
      </w:r>
      <w:r w:rsidRPr="00540B74">
        <w:t xml:space="preserve"> sourced from Energy Made Easy for a typical consumption of 10000 kWh per year during the period 1 July 201</w:t>
      </w:r>
      <w:r w:rsidR="00E34641">
        <w:t>4</w:t>
      </w:r>
      <w:r w:rsidRPr="00540B74">
        <w:t xml:space="preserve"> to 30 June 201</w:t>
      </w:r>
      <w:r w:rsidR="00E34641">
        <w:t>5</w:t>
      </w:r>
      <w:r w:rsidRPr="00540B74">
        <w:t>.</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E8" w:rsidRPr="00290C63" w:rsidRDefault="00A214E8" w:rsidP="00290C63">
      <w:r>
        <w:separator/>
      </w:r>
    </w:p>
    <w:p w:rsidR="00A214E8" w:rsidRDefault="00A214E8"/>
  </w:endnote>
  <w:endnote w:type="continuationSeparator" w:id="0">
    <w:p w:rsidR="00A214E8" w:rsidRPr="00290C63" w:rsidRDefault="00A214E8" w:rsidP="00290C63">
      <w:r>
        <w:continuationSeparator/>
      </w:r>
    </w:p>
    <w:p w:rsidR="00A214E8" w:rsidRDefault="00A2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E8" w:rsidRPr="00290C63" w:rsidRDefault="00A214E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214E8" w:rsidRDefault="00A214E8"/>
  <w:p w:rsidR="00A214E8" w:rsidRDefault="00A214E8"/>
  <w:p w:rsidR="00A214E8" w:rsidRDefault="00A214E8"/>
  <w:p w:rsidR="00A214E8" w:rsidRDefault="00A214E8"/>
  <w:p w:rsidR="00A214E8" w:rsidRDefault="00A214E8"/>
  <w:p w:rsidR="00A214E8" w:rsidRDefault="00A214E8"/>
  <w:p w:rsidR="00A214E8" w:rsidRDefault="00A214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214E8" w:rsidRDefault="00A214E8">
        <w:pPr>
          <w:pStyle w:val="Footer"/>
        </w:pPr>
        <w:r>
          <w:t>1-</w:t>
        </w:r>
        <w:r>
          <w:fldChar w:fldCharType="begin"/>
        </w:r>
        <w:r>
          <w:instrText xml:space="preserve"> PAGE   \* MERGEFORMAT </w:instrText>
        </w:r>
        <w:r>
          <w:fldChar w:fldCharType="separate"/>
        </w:r>
        <w:r w:rsidR="00F55BC8">
          <w:rPr>
            <w:noProof/>
          </w:rPr>
          <w:t>22</w:t>
        </w:r>
        <w:r>
          <w:rPr>
            <w:noProof/>
          </w:rPr>
          <w:fldChar w:fldCharType="end"/>
        </w:r>
        <w:r>
          <w:rPr>
            <w:noProof/>
          </w:rPr>
          <w:t xml:space="preserve">      </w:t>
        </w:r>
        <w:r>
          <w:t xml:space="preserve">           </w:t>
        </w:r>
        <w:r>
          <w:rPr>
            <w:noProof/>
          </w:rPr>
          <w:t xml:space="preserve">  </w:t>
        </w:r>
        <w:r>
          <w:t xml:space="preserve">         </w:t>
        </w:r>
        <w:r>
          <w:rPr>
            <w:noProof/>
          </w:rPr>
          <w:t xml:space="preserve">Attachment 1 </w:t>
        </w:r>
        <w:r>
          <w:rPr>
            <w:rFonts w:cs="Gautami"/>
            <w:noProof/>
          </w:rPr>
          <w:t xml:space="preserve">– </w:t>
        </w:r>
        <w:r>
          <w:t>Annual revenue requirement</w:t>
        </w:r>
        <w:r>
          <w:rPr>
            <w:rFonts w:cs="Gautami"/>
            <w:noProof/>
          </w:rPr>
          <w:t xml:space="preserve"> | </w:t>
        </w:r>
        <w:r>
          <w:t>Ergon Energy</w:t>
        </w:r>
        <w:r>
          <w:rPr>
            <w:rFonts w:cs="Gautami"/>
            <w:noProof/>
          </w:rPr>
          <w:t xml:space="preserve"> determination 2015–20</w:t>
        </w:r>
      </w:p>
    </w:sdtContent>
  </w:sdt>
  <w:p w:rsidR="00A214E8" w:rsidRDefault="00A21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E8" w:rsidRPr="00290C63" w:rsidRDefault="00A214E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214E8" w:rsidRDefault="00A214E8">
    <w:pPr>
      <w:pStyle w:val="Footer"/>
    </w:pPr>
  </w:p>
  <w:p w:rsidR="00A214E8" w:rsidRDefault="00A214E8"/>
  <w:p w:rsidR="00A214E8" w:rsidRDefault="00A214E8"/>
  <w:p w:rsidR="00A214E8" w:rsidRDefault="00A214E8"/>
  <w:p w:rsidR="00A214E8" w:rsidRDefault="00A214E8"/>
  <w:p w:rsidR="00A214E8" w:rsidRDefault="00A214E8"/>
  <w:p w:rsidR="00A214E8" w:rsidRDefault="00A214E8"/>
  <w:p w:rsidR="00A214E8" w:rsidRDefault="00A214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E8" w:rsidRPr="00290C63" w:rsidRDefault="00A214E8" w:rsidP="00290C63">
      <w:r>
        <w:separator/>
      </w:r>
    </w:p>
    <w:p w:rsidR="00A214E8" w:rsidRDefault="00A214E8"/>
  </w:footnote>
  <w:footnote w:type="continuationSeparator" w:id="0">
    <w:p w:rsidR="00A214E8" w:rsidRPr="00290C63" w:rsidRDefault="00A214E8" w:rsidP="00290C63">
      <w:r>
        <w:continuationSeparator/>
      </w:r>
    </w:p>
    <w:p w:rsidR="00A214E8" w:rsidRDefault="00A214E8"/>
  </w:footnote>
  <w:footnote w:id="1">
    <w:p w:rsidR="00A214E8" w:rsidRDefault="00A214E8" w:rsidP="00BA40E1">
      <w:pPr>
        <w:pStyle w:val="FootnoteText"/>
      </w:pPr>
      <w:r>
        <w:rPr>
          <w:rStyle w:val="FootnoteReference"/>
        </w:rPr>
        <w:footnoteRef/>
      </w:r>
      <w:r>
        <w:t xml:space="preserve"> </w:t>
      </w:r>
      <w:r>
        <w:tab/>
        <w:t>NER, cl 6.3.2(a)(1).</w:t>
      </w:r>
    </w:p>
  </w:footnote>
  <w:footnote w:id="2">
    <w:p w:rsidR="00A214E8" w:rsidRDefault="00A214E8" w:rsidP="00BA40E1">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A214E8" w:rsidRDefault="00A214E8" w:rsidP="00F55385">
      <w:pPr>
        <w:pStyle w:val="FootnoteText"/>
      </w:pPr>
      <w:r>
        <w:rPr>
          <w:rStyle w:val="FootnoteReference"/>
        </w:rPr>
        <w:footnoteRef/>
      </w:r>
      <w:r>
        <w:t xml:space="preserve"> </w:t>
      </w:r>
      <w:r>
        <w:tab/>
        <w:t>NER, cl 6.5.9(a).</w:t>
      </w:r>
    </w:p>
  </w:footnote>
  <w:footnote w:id="4">
    <w:p w:rsidR="00A214E8" w:rsidRDefault="00A214E8" w:rsidP="00F55385">
      <w:pPr>
        <w:pStyle w:val="FootnoteText"/>
      </w:pPr>
      <w:r>
        <w:rPr>
          <w:rStyle w:val="FootnoteReference"/>
        </w:rPr>
        <w:footnoteRef/>
      </w:r>
      <w:r>
        <w:t xml:space="preserve"> </w:t>
      </w:r>
      <w:r>
        <w:tab/>
        <w:t>NER, cl 6.5.9(3)(i).</w:t>
      </w:r>
      <w:r w:rsidRPr="003D7FC8">
        <w:t xml:space="preserve"> </w:t>
      </w:r>
      <w:r>
        <w:t>The X factors represent the rate of change in the real revenue path over the 2015–20 regulatory control period under the CPI–X framework.</w:t>
      </w:r>
    </w:p>
  </w:footnote>
  <w:footnote w:id="5">
    <w:p w:rsidR="00A214E8" w:rsidRDefault="00A214E8" w:rsidP="00F55385">
      <w:pPr>
        <w:pStyle w:val="FootnoteText"/>
      </w:pPr>
      <w:r>
        <w:rPr>
          <w:rStyle w:val="FootnoteReference"/>
        </w:rPr>
        <w:footnoteRef/>
      </w:r>
      <w:r>
        <w:t xml:space="preserve"> </w:t>
      </w:r>
      <w:r>
        <w:tab/>
        <w:t>NER, cl 6.5.9(b)(2).</w:t>
      </w:r>
    </w:p>
  </w:footnote>
  <w:footnote w:id="6">
    <w:p w:rsidR="00A214E8" w:rsidRDefault="00A214E8" w:rsidP="00BA40E1">
      <w:pPr>
        <w:pStyle w:val="FootnoteText"/>
      </w:pPr>
      <w:r>
        <w:rPr>
          <w:rStyle w:val="FootnoteReference"/>
        </w:rPr>
        <w:footnoteRef/>
      </w:r>
      <w:r>
        <w:t xml:space="preserve"> </w:t>
      </w:r>
      <w:r>
        <w:tab/>
        <w:t>NER, cl 11.60.3(b).</w:t>
      </w:r>
    </w:p>
  </w:footnote>
  <w:footnote w:id="7">
    <w:p w:rsidR="00A214E8" w:rsidRDefault="00A214E8">
      <w:pPr>
        <w:pStyle w:val="FootnoteText"/>
      </w:pPr>
      <w:r>
        <w:rPr>
          <w:rStyle w:val="FootnoteReference"/>
        </w:rPr>
        <w:footnoteRef/>
      </w:r>
      <w:r>
        <w:t xml:space="preserve"> </w:t>
      </w:r>
      <w:r>
        <w:tab/>
        <w:t>We have adopted the proposed additional revenue amounts for revenue smoothing in this preliminary decision. The amounts will be reviewed as part of the annual pricing approval process.</w:t>
      </w:r>
    </w:p>
  </w:footnote>
  <w:footnote w:id="8">
    <w:p w:rsidR="00A214E8" w:rsidRDefault="00A214E8">
      <w:pPr>
        <w:pStyle w:val="FootnoteText"/>
      </w:pPr>
      <w:r>
        <w:rPr>
          <w:rStyle w:val="FootnoteReference"/>
        </w:rPr>
        <w:footnoteRef/>
      </w:r>
      <w:r>
        <w:t xml:space="preserve"> </w:t>
      </w:r>
      <w:r>
        <w:tab/>
        <w:t>Ergon Energy forecast these costs to be $110.4 million in 2015–16 to $99.2 million in 2019–20 ($ nominal).</w:t>
      </w:r>
    </w:p>
  </w:footnote>
  <w:footnote w:id="9">
    <w:p w:rsidR="00A214E8" w:rsidRDefault="00A214E8" w:rsidP="00F010AA">
      <w:pPr>
        <w:pStyle w:val="FootnoteText"/>
      </w:pPr>
      <w:r>
        <w:rPr>
          <w:rStyle w:val="FootnoteReference"/>
        </w:rPr>
        <w:footnoteRef/>
      </w:r>
      <w:r>
        <w:t xml:space="preserve"> </w:t>
      </w:r>
      <w:r>
        <w:tab/>
      </w:r>
      <w:r w:rsidRPr="00C729DC">
        <w:t>In the present circumstances, based on the X factors we have determined</w:t>
      </w:r>
      <w:r>
        <w:t xml:space="preserve"> for Ergon Energy</w:t>
      </w:r>
      <w:r w:rsidRPr="00C729DC">
        <w:t xml:space="preserve">, this divergence is </w:t>
      </w:r>
      <w:r>
        <w:t>around 0.3 </w:t>
      </w:r>
      <w:r w:rsidRPr="00C729DC">
        <w:t>per cent.</w:t>
      </w:r>
    </w:p>
  </w:footnote>
  <w:footnote w:id="10">
    <w:p w:rsidR="00A214E8" w:rsidRDefault="00A214E8">
      <w:pPr>
        <w:pStyle w:val="FootnoteText"/>
      </w:pPr>
      <w:r>
        <w:rPr>
          <w:rStyle w:val="FootnoteReference"/>
        </w:rPr>
        <w:footnoteRef/>
      </w:r>
      <w:r>
        <w:t xml:space="preserve"> </w:t>
      </w:r>
      <w:r>
        <w:tab/>
        <w:t>NER, cls 6.4.3(a)(5), (6), (6A).</w:t>
      </w:r>
    </w:p>
  </w:footnote>
  <w:footnote w:id="11">
    <w:p w:rsidR="00A214E8" w:rsidRDefault="00A214E8" w:rsidP="00CB5166">
      <w:pPr>
        <w:pStyle w:val="FootnoteText"/>
      </w:pPr>
      <w:r>
        <w:rPr>
          <w:rStyle w:val="FootnoteReference"/>
        </w:rPr>
        <w:footnoteRef/>
      </w:r>
      <w:r>
        <w:t xml:space="preserve"> </w:t>
      </w:r>
      <w:r>
        <w:tab/>
        <w:t>NER, cl. 6.4.4.</w:t>
      </w:r>
    </w:p>
  </w:footnote>
  <w:footnote w:id="12">
    <w:p w:rsidR="00A214E8" w:rsidRDefault="00A214E8" w:rsidP="00CB5166">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3">
    <w:p w:rsidR="00A214E8" w:rsidRDefault="00A214E8" w:rsidP="00CB5166">
      <w:pPr>
        <w:pStyle w:val="FootnoteText"/>
      </w:pPr>
      <w:r>
        <w:rPr>
          <w:rStyle w:val="FootnoteReference"/>
        </w:rPr>
        <w:footnoteRef/>
      </w:r>
      <w:r>
        <w:t xml:space="preserve"> </w:t>
      </w:r>
      <w:r>
        <w:tab/>
        <w:t xml:space="preserve">AER, </w:t>
      </w:r>
      <w:r w:rsidRPr="00D03746">
        <w:rPr>
          <w:rStyle w:val="AERtextitalic"/>
        </w:rPr>
        <w:t>Shared asset guideline</w:t>
      </w:r>
      <w:r>
        <w:t>, November 2013, p. 8.</w:t>
      </w:r>
    </w:p>
  </w:footnote>
  <w:footnote w:id="14">
    <w:p w:rsidR="00A214E8" w:rsidRDefault="00A214E8">
      <w:pPr>
        <w:pStyle w:val="FootnoteText"/>
      </w:pPr>
      <w:r>
        <w:rPr>
          <w:rStyle w:val="FootnoteReference"/>
        </w:rPr>
        <w:footnoteRef/>
      </w:r>
      <w:r>
        <w:t xml:space="preserve"> </w:t>
      </w:r>
      <w:r>
        <w:tab/>
        <w:t xml:space="preserve">Ergon Energy, </w:t>
      </w:r>
      <w:r w:rsidRPr="0080747B">
        <w:rPr>
          <w:rStyle w:val="AERtextitalic"/>
        </w:rPr>
        <w:t>Regulatory proposal</w:t>
      </w:r>
      <w:r>
        <w:t xml:space="preserve">, </w:t>
      </w:r>
      <w:r w:rsidRPr="0080747B">
        <w:rPr>
          <w:rStyle w:val="AERtextitalic"/>
        </w:rPr>
        <w:t>attachment 3.01.02</w:t>
      </w:r>
      <w:r>
        <w:t xml:space="preserve"> </w:t>
      </w:r>
      <w:r w:rsidRPr="0080747B">
        <w:rPr>
          <w:rStyle w:val="AERtextitalic"/>
        </w:rPr>
        <w:t>Other revenue adjustments</w:t>
      </w:r>
      <w:r>
        <w:t>, October 2014, p. 8.</w:t>
      </w:r>
    </w:p>
  </w:footnote>
  <w:footnote w:id="15">
    <w:p w:rsidR="00A214E8" w:rsidRDefault="00A214E8">
      <w:pPr>
        <w:pStyle w:val="FootnoteText"/>
      </w:pPr>
      <w:r>
        <w:rPr>
          <w:rStyle w:val="FootnoteReference"/>
        </w:rPr>
        <w:footnoteRef/>
      </w:r>
      <w:r>
        <w:t xml:space="preserve"> </w:t>
      </w:r>
      <w:r>
        <w:tab/>
        <w:t xml:space="preserve">Ergon Energy, </w:t>
      </w:r>
      <w:r w:rsidRPr="0080747B">
        <w:rPr>
          <w:rStyle w:val="AERtextitalic"/>
        </w:rPr>
        <w:t>Regulatory proposal</w:t>
      </w:r>
      <w:r>
        <w:t xml:space="preserve">, </w:t>
      </w:r>
      <w:r w:rsidRPr="0080747B">
        <w:rPr>
          <w:rStyle w:val="AERtextitalic"/>
        </w:rPr>
        <w:t>attachment 3.01.02</w:t>
      </w:r>
      <w:r>
        <w:t xml:space="preserve"> </w:t>
      </w:r>
      <w:r w:rsidRPr="0080747B">
        <w:rPr>
          <w:rStyle w:val="AERtextitalic"/>
        </w:rPr>
        <w:t>Other revenue adjustments</w:t>
      </w:r>
      <w:r>
        <w:t>, October 2014, p. 11.</w:t>
      </w:r>
    </w:p>
  </w:footnote>
  <w:footnote w:id="16">
    <w:p w:rsidR="00A214E8" w:rsidRDefault="00A214E8">
      <w:pPr>
        <w:pStyle w:val="FootnoteText"/>
      </w:pPr>
      <w:r>
        <w:rPr>
          <w:rStyle w:val="FootnoteReference"/>
        </w:rPr>
        <w:footnoteRef/>
      </w:r>
      <w:r>
        <w:t xml:space="preserve"> </w:t>
      </w:r>
      <w:r>
        <w:tab/>
        <w:t xml:space="preserve">Ergon Energy, </w:t>
      </w:r>
      <w:r w:rsidRPr="0080747B">
        <w:rPr>
          <w:rStyle w:val="AERtextitalic"/>
        </w:rPr>
        <w:t>Regulatory proposal</w:t>
      </w:r>
      <w:r>
        <w:t xml:space="preserve">, </w:t>
      </w:r>
      <w:r w:rsidRPr="0080747B">
        <w:rPr>
          <w:rStyle w:val="AERtextitalic"/>
        </w:rPr>
        <w:t>attachment 3.01.02</w:t>
      </w:r>
      <w:r>
        <w:t xml:space="preserve"> </w:t>
      </w:r>
      <w:r w:rsidRPr="0080747B">
        <w:rPr>
          <w:rStyle w:val="AERtextitalic"/>
        </w:rPr>
        <w:t>Other revenue adjustments</w:t>
      </w:r>
      <w:r>
        <w:t>, October 2014, p. 12.</w:t>
      </w:r>
    </w:p>
  </w:footnote>
  <w:footnote w:id="17">
    <w:p w:rsidR="00A214E8" w:rsidRDefault="00A214E8">
      <w:pPr>
        <w:pStyle w:val="FootnoteText"/>
      </w:pPr>
      <w:r>
        <w:rPr>
          <w:rStyle w:val="FootnoteReference"/>
        </w:rPr>
        <w:footnoteRef/>
      </w:r>
      <w:r>
        <w:t xml:space="preserve"> </w:t>
      </w:r>
      <w:r>
        <w:tab/>
        <w:t>NER, cl. 6.5.1(a).</w:t>
      </w:r>
    </w:p>
  </w:footnote>
  <w:footnote w:id="18">
    <w:p w:rsidR="00A214E8" w:rsidRDefault="00A214E8">
      <w:pPr>
        <w:pStyle w:val="FootnoteText"/>
      </w:pPr>
      <w:r>
        <w:rPr>
          <w:rStyle w:val="FootnoteReference"/>
        </w:rPr>
        <w:footnoteRef/>
      </w:r>
      <w:r>
        <w:t xml:space="preserve"> </w:t>
      </w:r>
      <w:r>
        <w:tab/>
        <w:t>Ergon Energy, email to AER, 7 February 2015.</w:t>
      </w:r>
    </w:p>
  </w:footnote>
  <w:footnote w:id="19">
    <w:p w:rsidR="00A214E8" w:rsidRDefault="00A214E8">
      <w:pPr>
        <w:pStyle w:val="FootnoteText"/>
      </w:pPr>
      <w:r>
        <w:rPr>
          <w:rStyle w:val="FootnoteReference"/>
        </w:rPr>
        <w:footnoteRef/>
      </w:r>
      <w:r>
        <w:t xml:space="preserve"> </w:t>
      </w:r>
      <w:r>
        <w:tab/>
        <w:t xml:space="preserve">Ergon Energy, </w:t>
      </w:r>
      <w:r w:rsidRPr="00705EDA">
        <w:rPr>
          <w:rStyle w:val="AERtextitalic"/>
        </w:rPr>
        <w:t>Response to Information Request 'AER Ergon 060'</w:t>
      </w:r>
      <w:r>
        <w:t>, 23 February 2015.</w:t>
      </w:r>
    </w:p>
  </w:footnote>
  <w:footnote w:id="20">
    <w:p w:rsidR="00A214E8" w:rsidRDefault="00A214E8" w:rsidP="00813E06">
      <w:pPr>
        <w:pStyle w:val="FootnoteText"/>
      </w:pPr>
      <w:r>
        <w:rPr>
          <w:rStyle w:val="FootnoteReference"/>
        </w:rPr>
        <w:footnoteRef/>
      </w:r>
      <w:r>
        <w:t xml:space="preserve"> </w:t>
      </w:r>
      <w:r>
        <w:tab/>
        <w:t>QCA</w:t>
      </w:r>
      <w:r w:rsidRPr="00CA283F">
        <w:t xml:space="preserve">, </w:t>
      </w:r>
      <w:r w:rsidRPr="00E34641">
        <w:rPr>
          <w:rStyle w:val="AERtextitalic"/>
        </w:rPr>
        <w:t>Final determination: Regulated retail electricity prices 2014–15</w:t>
      </w:r>
      <w:r>
        <w:t xml:space="preserve"> , May 2014, p. 116; AEMC,</w:t>
      </w:r>
      <w:r w:rsidRPr="00F53618">
        <w:rPr>
          <w:rStyle w:val="AERtextitalic"/>
        </w:rPr>
        <w:t>2014 Residential electricity price trends report</w:t>
      </w:r>
      <w:r>
        <w:t>, 5 December 2014, p. 33</w:t>
      </w:r>
      <w:r w:rsidRPr="00CA283F">
        <w:t>.</w:t>
      </w:r>
    </w:p>
  </w:footnote>
  <w:footnote w:id="21">
    <w:p w:rsidR="00A214E8" w:rsidRDefault="00A214E8" w:rsidP="00813E06">
      <w:pPr>
        <w:pStyle w:val="FootnoteText"/>
      </w:pPr>
      <w:r>
        <w:rPr>
          <w:rStyle w:val="FootnoteReference"/>
        </w:rPr>
        <w:footnoteRef/>
      </w:r>
      <w:r>
        <w:t xml:space="preserve"> </w:t>
      </w:r>
      <w:r>
        <w:tab/>
        <w:t>QCA</w:t>
      </w:r>
      <w:r w:rsidRPr="003B2318">
        <w:t xml:space="preserve">, </w:t>
      </w:r>
      <w:r w:rsidRPr="003B2318">
        <w:rPr>
          <w:rStyle w:val="AERtextitalic"/>
        </w:rPr>
        <w:t xml:space="preserve">Final </w:t>
      </w:r>
      <w:r>
        <w:rPr>
          <w:rStyle w:val="AERtextitalic"/>
        </w:rPr>
        <w:t>determination</w:t>
      </w:r>
      <w:r w:rsidRPr="003B2318">
        <w:rPr>
          <w:rStyle w:val="AERtextitalic"/>
        </w:rPr>
        <w:t>: Re</w:t>
      </w:r>
      <w:r>
        <w:rPr>
          <w:rStyle w:val="AERtextitalic"/>
        </w:rPr>
        <w:t>gulated retail electricity prices2014-15</w:t>
      </w:r>
      <w:r w:rsidRPr="003B2318">
        <w:t xml:space="preserve">, </w:t>
      </w:r>
      <w:r>
        <w:t xml:space="preserve">May </w:t>
      </w:r>
      <w:r w:rsidRPr="003B2318">
        <w:t>201</w:t>
      </w:r>
      <w:r>
        <w:t>4</w:t>
      </w:r>
      <w:r w:rsidRPr="003B2318">
        <w:t xml:space="preserve">, p. </w:t>
      </w:r>
      <w:r>
        <w:t>116</w:t>
      </w:r>
      <w:r w:rsidRPr="003B231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95C7239"/>
    <w:multiLevelType w:val="multilevel"/>
    <w:tmpl w:val="950A1C52"/>
    <w:numStyleLink w:val="AERHeadings"/>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BF27E3B"/>
    <w:multiLevelType w:val="multilevel"/>
    <w:tmpl w:val="950A1C52"/>
    <w:numStyleLink w:val="AERHeadings"/>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4"/>
  </w:num>
  <w:num w:numId="21">
    <w:abstractNumId w:val="13"/>
  </w:num>
  <w:num w:numId="22">
    <w:abstractNumId w:val="29"/>
  </w:num>
  <w:num w:numId="23">
    <w:abstractNumId w:val="27"/>
  </w:num>
  <w:num w:numId="24">
    <w:abstractNumId w:val="19"/>
  </w:num>
  <w:num w:numId="25">
    <w:abstractNumId w:val="28"/>
  </w:num>
  <w:num w:numId="26">
    <w:abstractNumId w:val="30"/>
  </w:num>
  <w:num w:numId="27">
    <w:abstractNumId w:val="20"/>
  </w:num>
  <w:num w:numId="28">
    <w:abstractNumId w:val="18"/>
  </w:num>
  <w:num w:numId="29">
    <w:abstractNumId w:val="15"/>
  </w:num>
  <w:num w:numId="30">
    <w:abstractNumId w:val="35"/>
  </w:num>
  <w:num w:numId="31">
    <w:abstractNumId w:val="14"/>
  </w:num>
  <w:num w:numId="32">
    <w:abstractNumId w:val="23"/>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32"/>
  </w:num>
  <w:num w:numId="38">
    <w:abstractNumId w:val="24"/>
  </w:num>
  <w:num w:numId="39">
    <w:abstractNumId w:val="22"/>
  </w:num>
  <w:num w:numId="40">
    <w:abstractNumId w:val="17"/>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l1+0Bw70UCrLv5rJtzyV8r7jC9RCNAAweG33ti95bY=" w:saltValue="HTV4owhXLNniE7RGnKhCsg==" w:algorithmName="SHA-256"/>
  <w:defaultTabStop w:val="34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Ergon\Ergon PD - Public\Ergon Energy - Overview and attachments - Public\AER - Preliminary decision Ergon Energy - Attachment 1 - Annual revenue requirement - April 2015.DOCX"/>
  </w:docVars>
  <w:rsids>
    <w:rsidRoot w:val="00961A4A"/>
    <w:rsid w:val="00000C69"/>
    <w:rsid w:val="000100F0"/>
    <w:rsid w:val="0001117E"/>
    <w:rsid w:val="00012850"/>
    <w:rsid w:val="0001433B"/>
    <w:rsid w:val="00021202"/>
    <w:rsid w:val="0002517F"/>
    <w:rsid w:val="00027EA0"/>
    <w:rsid w:val="00033A70"/>
    <w:rsid w:val="00033E05"/>
    <w:rsid w:val="0003578C"/>
    <w:rsid w:val="0003662E"/>
    <w:rsid w:val="00045230"/>
    <w:rsid w:val="00050E89"/>
    <w:rsid w:val="000556EA"/>
    <w:rsid w:val="00056AC4"/>
    <w:rsid w:val="00063247"/>
    <w:rsid w:val="0006436B"/>
    <w:rsid w:val="00070979"/>
    <w:rsid w:val="00070F9F"/>
    <w:rsid w:val="0007137B"/>
    <w:rsid w:val="00074767"/>
    <w:rsid w:val="000755BF"/>
    <w:rsid w:val="00084F6C"/>
    <w:rsid w:val="00085663"/>
    <w:rsid w:val="00085EBF"/>
    <w:rsid w:val="000867F7"/>
    <w:rsid w:val="00096D1A"/>
    <w:rsid w:val="000A3020"/>
    <w:rsid w:val="000A35B5"/>
    <w:rsid w:val="000A4B20"/>
    <w:rsid w:val="000A6C7B"/>
    <w:rsid w:val="000B0058"/>
    <w:rsid w:val="000C047A"/>
    <w:rsid w:val="000D122C"/>
    <w:rsid w:val="000E1819"/>
    <w:rsid w:val="000E4821"/>
    <w:rsid w:val="000E5207"/>
    <w:rsid w:val="000E6C72"/>
    <w:rsid w:val="000F0D1A"/>
    <w:rsid w:val="00116EB2"/>
    <w:rsid w:val="001201F1"/>
    <w:rsid w:val="00124609"/>
    <w:rsid w:val="00125D75"/>
    <w:rsid w:val="00126A4C"/>
    <w:rsid w:val="001321BE"/>
    <w:rsid w:val="0014573B"/>
    <w:rsid w:val="00145CBA"/>
    <w:rsid w:val="001514DD"/>
    <w:rsid w:val="001516F9"/>
    <w:rsid w:val="001573E4"/>
    <w:rsid w:val="00160756"/>
    <w:rsid w:val="00163770"/>
    <w:rsid w:val="0017232E"/>
    <w:rsid w:val="00174102"/>
    <w:rsid w:val="001743A2"/>
    <w:rsid w:val="00175661"/>
    <w:rsid w:val="00180157"/>
    <w:rsid w:val="00185CB9"/>
    <w:rsid w:val="00186F77"/>
    <w:rsid w:val="001871E3"/>
    <w:rsid w:val="001926A4"/>
    <w:rsid w:val="00192AD5"/>
    <w:rsid w:val="001B45A0"/>
    <w:rsid w:val="001D055E"/>
    <w:rsid w:val="001F492E"/>
    <w:rsid w:val="001F6DA3"/>
    <w:rsid w:val="002010BC"/>
    <w:rsid w:val="00202E03"/>
    <w:rsid w:val="0020492C"/>
    <w:rsid w:val="0021483C"/>
    <w:rsid w:val="00215C8B"/>
    <w:rsid w:val="00224DB9"/>
    <w:rsid w:val="00233775"/>
    <w:rsid w:val="002353CB"/>
    <w:rsid w:val="00251745"/>
    <w:rsid w:val="00252DC0"/>
    <w:rsid w:val="00257D75"/>
    <w:rsid w:val="00262E67"/>
    <w:rsid w:val="00263AC0"/>
    <w:rsid w:val="00264264"/>
    <w:rsid w:val="002646FA"/>
    <w:rsid w:val="002666C7"/>
    <w:rsid w:val="0026772D"/>
    <w:rsid w:val="00273AA8"/>
    <w:rsid w:val="00286874"/>
    <w:rsid w:val="00290C63"/>
    <w:rsid w:val="00294621"/>
    <w:rsid w:val="00296B65"/>
    <w:rsid w:val="002A45E0"/>
    <w:rsid w:val="002A7DEF"/>
    <w:rsid w:val="002B371C"/>
    <w:rsid w:val="002B4CF4"/>
    <w:rsid w:val="002B52F6"/>
    <w:rsid w:val="002E7B22"/>
    <w:rsid w:val="002F7986"/>
    <w:rsid w:val="00301B40"/>
    <w:rsid w:val="003029EE"/>
    <w:rsid w:val="003046E8"/>
    <w:rsid w:val="00305CC8"/>
    <w:rsid w:val="00307F6D"/>
    <w:rsid w:val="003177A2"/>
    <w:rsid w:val="00326043"/>
    <w:rsid w:val="003271B5"/>
    <w:rsid w:val="00327A1E"/>
    <w:rsid w:val="003309F5"/>
    <w:rsid w:val="00331264"/>
    <w:rsid w:val="0033309D"/>
    <w:rsid w:val="00334C8D"/>
    <w:rsid w:val="00343A18"/>
    <w:rsid w:val="003518B3"/>
    <w:rsid w:val="00360C03"/>
    <w:rsid w:val="003846F1"/>
    <w:rsid w:val="00390D5A"/>
    <w:rsid w:val="003A41F3"/>
    <w:rsid w:val="003B0637"/>
    <w:rsid w:val="003B454E"/>
    <w:rsid w:val="003B484F"/>
    <w:rsid w:val="003B67F7"/>
    <w:rsid w:val="003C0E4A"/>
    <w:rsid w:val="003C45C7"/>
    <w:rsid w:val="003D4898"/>
    <w:rsid w:val="003D7FC8"/>
    <w:rsid w:val="003E12D8"/>
    <w:rsid w:val="003F174D"/>
    <w:rsid w:val="00404DEB"/>
    <w:rsid w:val="004504BD"/>
    <w:rsid w:val="0045777E"/>
    <w:rsid w:val="00477122"/>
    <w:rsid w:val="00480B4B"/>
    <w:rsid w:val="00485DC4"/>
    <w:rsid w:val="0048723D"/>
    <w:rsid w:val="00494673"/>
    <w:rsid w:val="004949EE"/>
    <w:rsid w:val="00496A7C"/>
    <w:rsid w:val="00497CE8"/>
    <w:rsid w:val="004A43D1"/>
    <w:rsid w:val="004B1D54"/>
    <w:rsid w:val="004B4412"/>
    <w:rsid w:val="004C348C"/>
    <w:rsid w:val="004D543F"/>
    <w:rsid w:val="004D55BA"/>
    <w:rsid w:val="004D7263"/>
    <w:rsid w:val="004E22EC"/>
    <w:rsid w:val="004F2D3C"/>
    <w:rsid w:val="00503A64"/>
    <w:rsid w:val="00505DE6"/>
    <w:rsid w:val="00530128"/>
    <w:rsid w:val="00532467"/>
    <w:rsid w:val="00533B5D"/>
    <w:rsid w:val="0055177F"/>
    <w:rsid w:val="00560FF7"/>
    <w:rsid w:val="00564A4D"/>
    <w:rsid w:val="00567BA5"/>
    <w:rsid w:val="00571B35"/>
    <w:rsid w:val="00571D57"/>
    <w:rsid w:val="00577A09"/>
    <w:rsid w:val="005829C2"/>
    <w:rsid w:val="00584860"/>
    <w:rsid w:val="00584D8F"/>
    <w:rsid w:val="005A1D8D"/>
    <w:rsid w:val="005A404D"/>
    <w:rsid w:val="005A6F0D"/>
    <w:rsid w:val="005B1E3C"/>
    <w:rsid w:val="005C26CC"/>
    <w:rsid w:val="005D7BA2"/>
    <w:rsid w:val="005E36C2"/>
    <w:rsid w:val="005E391D"/>
    <w:rsid w:val="005E65BF"/>
    <w:rsid w:val="005E7C89"/>
    <w:rsid w:val="005F13D0"/>
    <w:rsid w:val="00615C6B"/>
    <w:rsid w:val="00621DCE"/>
    <w:rsid w:val="00624A25"/>
    <w:rsid w:val="00632D6D"/>
    <w:rsid w:val="0064020B"/>
    <w:rsid w:val="006405E9"/>
    <w:rsid w:val="00642C3E"/>
    <w:rsid w:val="0064714B"/>
    <w:rsid w:val="0066104A"/>
    <w:rsid w:val="00663DAD"/>
    <w:rsid w:val="00665F92"/>
    <w:rsid w:val="00675E20"/>
    <w:rsid w:val="00676679"/>
    <w:rsid w:val="0068013D"/>
    <w:rsid w:val="00683C89"/>
    <w:rsid w:val="00685B24"/>
    <w:rsid w:val="00690A9A"/>
    <w:rsid w:val="00691720"/>
    <w:rsid w:val="00697B33"/>
    <w:rsid w:val="006A5A66"/>
    <w:rsid w:val="006B2395"/>
    <w:rsid w:val="006B2BD9"/>
    <w:rsid w:val="006B4CF9"/>
    <w:rsid w:val="006B7AC8"/>
    <w:rsid w:val="006C006C"/>
    <w:rsid w:val="006D0BF2"/>
    <w:rsid w:val="006D550F"/>
    <w:rsid w:val="006E26AB"/>
    <w:rsid w:val="006F3449"/>
    <w:rsid w:val="006F5739"/>
    <w:rsid w:val="00701CAB"/>
    <w:rsid w:val="0070379C"/>
    <w:rsid w:val="00705EDA"/>
    <w:rsid w:val="00707563"/>
    <w:rsid w:val="0072348C"/>
    <w:rsid w:val="00724A37"/>
    <w:rsid w:val="00727BA1"/>
    <w:rsid w:val="007303C3"/>
    <w:rsid w:val="00731A21"/>
    <w:rsid w:val="00740AED"/>
    <w:rsid w:val="007429BE"/>
    <w:rsid w:val="00743223"/>
    <w:rsid w:val="00746E01"/>
    <w:rsid w:val="0075081A"/>
    <w:rsid w:val="00757BDF"/>
    <w:rsid w:val="007626F5"/>
    <w:rsid w:val="00763E5D"/>
    <w:rsid w:val="007641C4"/>
    <w:rsid w:val="00767740"/>
    <w:rsid w:val="00772E60"/>
    <w:rsid w:val="007750D6"/>
    <w:rsid w:val="00777EE6"/>
    <w:rsid w:val="00782EEA"/>
    <w:rsid w:val="00787CF6"/>
    <w:rsid w:val="00795740"/>
    <w:rsid w:val="00795F48"/>
    <w:rsid w:val="007B05FB"/>
    <w:rsid w:val="007B2C72"/>
    <w:rsid w:val="007B65B2"/>
    <w:rsid w:val="007B6B77"/>
    <w:rsid w:val="007C1C53"/>
    <w:rsid w:val="007C74BB"/>
    <w:rsid w:val="007E4904"/>
    <w:rsid w:val="007E4CB5"/>
    <w:rsid w:val="007E716D"/>
    <w:rsid w:val="007E7E10"/>
    <w:rsid w:val="007F066B"/>
    <w:rsid w:val="008033C4"/>
    <w:rsid w:val="0080353A"/>
    <w:rsid w:val="008039F7"/>
    <w:rsid w:val="00806C88"/>
    <w:rsid w:val="0080747B"/>
    <w:rsid w:val="0081034E"/>
    <w:rsid w:val="008108C5"/>
    <w:rsid w:val="00813E06"/>
    <w:rsid w:val="008175A0"/>
    <w:rsid w:val="00825E89"/>
    <w:rsid w:val="00827B04"/>
    <w:rsid w:val="008344F6"/>
    <w:rsid w:val="0083510F"/>
    <w:rsid w:val="008422F7"/>
    <w:rsid w:val="008427A9"/>
    <w:rsid w:val="00844A66"/>
    <w:rsid w:val="00845E33"/>
    <w:rsid w:val="00851209"/>
    <w:rsid w:val="008603D1"/>
    <w:rsid w:val="008627F8"/>
    <w:rsid w:val="00872961"/>
    <w:rsid w:val="008837AC"/>
    <w:rsid w:val="00890CF1"/>
    <w:rsid w:val="008A587D"/>
    <w:rsid w:val="008B35CD"/>
    <w:rsid w:val="008B5FCC"/>
    <w:rsid w:val="008C5486"/>
    <w:rsid w:val="008D1661"/>
    <w:rsid w:val="008D3134"/>
    <w:rsid w:val="008D51D2"/>
    <w:rsid w:val="008D58E7"/>
    <w:rsid w:val="008E12DE"/>
    <w:rsid w:val="008E38A3"/>
    <w:rsid w:val="008E7031"/>
    <w:rsid w:val="008E77DE"/>
    <w:rsid w:val="008F07A3"/>
    <w:rsid w:val="008F5754"/>
    <w:rsid w:val="00900E1B"/>
    <w:rsid w:val="00910678"/>
    <w:rsid w:val="009167D7"/>
    <w:rsid w:val="00920E99"/>
    <w:rsid w:val="009233EE"/>
    <w:rsid w:val="00923B6B"/>
    <w:rsid w:val="009460AA"/>
    <w:rsid w:val="00951978"/>
    <w:rsid w:val="00961A4A"/>
    <w:rsid w:val="009661DE"/>
    <w:rsid w:val="00966887"/>
    <w:rsid w:val="00976E22"/>
    <w:rsid w:val="00983C25"/>
    <w:rsid w:val="009856B7"/>
    <w:rsid w:val="00985C86"/>
    <w:rsid w:val="009A2F6F"/>
    <w:rsid w:val="009A5FC3"/>
    <w:rsid w:val="009A75F2"/>
    <w:rsid w:val="009A7A7D"/>
    <w:rsid w:val="009B04A2"/>
    <w:rsid w:val="009B74B0"/>
    <w:rsid w:val="009D6B46"/>
    <w:rsid w:val="009E39AD"/>
    <w:rsid w:val="009E7E36"/>
    <w:rsid w:val="009F4940"/>
    <w:rsid w:val="009F5BA1"/>
    <w:rsid w:val="00A02A88"/>
    <w:rsid w:val="00A0562E"/>
    <w:rsid w:val="00A0726D"/>
    <w:rsid w:val="00A078EF"/>
    <w:rsid w:val="00A10836"/>
    <w:rsid w:val="00A214E8"/>
    <w:rsid w:val="00A27F81"/>
    <w:rsid w:val="00A32FBB"/>
    <w:rsid w:val="00A428EE"/>
    <w:rsid w:val="00A4478A"/>
    <w:rsid w:val="00A44852"/>
    <w:rsid w:val="00A57D04"/>
    <w:rsid w:val="00A60A26"/>
    <w:rsid w:val="00A61598"/>
    <w:rsid w:val="00A75D48"/>
    <w:rsid w:val="00A84A99"/>
    <w:rsid w:val="00A84E4A"/>
    <w:rsid w:val="00A84F46"/>
    <w:rsid w:val="00A871F4"/>
    <w:rsid w:val="00AA1580"/>
    <w:rsid w:val="00AA47E7"/>
    <w:rsid w:val="00AA6018"/>
    <w:rsid w:val="00AB1EA8"/>
    <w:rsid w:val="00AC1B2C"/>
    <w:rsid w:val="00AC3264"/>
    <w:rsid w:val="00AE1BF1"/>
    <w:rsid w:val="00AF0DD2"/>
    <w:rsid w:val="00B13048"/>
    <w:rsid w:val="00B1716D"/>
    <w:rsid w:val="00B173ED"/>
    <w:rsid w:val="00B17A1D"/>
    <w:rsid w:val="00B207A0"/>
    <w:rsid w:val="00B215C9"/>
    <w:rsid w:val="00B2448C"/>
    <w:rsid w:val="00B514DD"/>
    <w:rsid w:val="00B52AF0"/>
    <w:rsid w:val="00B561BD"/>
    <w:rsid w:val="00B56E03"/>
    <w:rsid w:val="00B65FE8"/>
    <w:rsid w:val="00B8080B"/>
    <w:rsid w:val="00B81CD9"/>
    <w:rsid w:val="00B87BA5"/>
    <w:rsid w:val="00B87C39"/>
    <w:rsid w:val="00B93ED3"/>
    <w:rsid w:val="00BA40E1"/>
    <w:rsid w:val="00BA4665"/>
    <w:rsid w:val="00BB2FB2"/>
    <w:rsid w:val="00BB3304"/>
    <w:rsid w:val="00BC5D56"/>
    <w:rsid w:val="00BD3446"/>
    <w:rsid w:val="00BE1F1B"/>
    <w:rsid w:val="00BE47B5"/>
    <w:rsid w:val="00BF2F5F"/>
    <w:rsid w:val="00BF5447"/>
    <w:rsid w:val="00C21803"/>
    <w:rsid w:val="00C21C2F"/>
    <w:rsid w:val="00C25FA6"/>
    <w:rsid w:val="00C35BBD"/>
    <w:rsid w:val="00C4288A"/>
    <w:rsid w:val="00C538A9"/>
    <w:rsid w:val="00C53B5A"/>
    <w:rsid w:val="00C54F5A"/>
    <w:rsid w:val="00C569B4"/>
    <w:rsid w:val="00C67A92"/>
    <w:rsid w:val="00C8593B"/>
    <w:rsid w:val="00C86679"/>
    <w:rsid w:val="00C9786F"/>
    <w:rsid w:val="00C97D34"/>
    <w:rsid w:val="00CA489E"/>
    <w:rsid w:val="00CB0279"/>
    <w:rsid w:val="00CB5166"/>
    <w:rsid w:val="00CB666B"/>
    <w:rsid w:val="00CC1891"/>
    <w:rsid w:val="00CC7F1D"/>
    <w:rsid w:val="00CD0352"/>
    <w:rsid w:val="00CD4C31"/>
    <w:rsid w:val="00CF6E93"/>
    <w:rsid w:val="00D006AE"/>
    <w:rsid w:val="00D01CF0"/>
    <w:rsid w:val="00D03746"/>
    <w:rsid w:val="00D03CCF"/>
    <w:rsid w:val="00D0442A"/>
    <w:rsid w:val="00D05C19"/>
    <w:rsid w:val="00D06388"/>
    <w:rsid w:val="00D145B1"/>
    <w:rsid w:val="00D4708D"/>
    <w:rsid w:val="00D55781"/>
    <w:rsid w:val="00D576A8"/>
    <w:rsid w:val="00D61388"/>
    <w:rsid w:val="00D61A54"/>
    <w:rsid w:val="00D63360"/>
    <w:rsid w:val="00D64DEA"/>
    <w:rsid w:val="00D6504D"/>
    <w:rsid w:val="00D7168E"/>
    <w:rsid w:val="00D71E57"/>
    <w:rsid w:val="00D740B8"/>
    <w:rsid w:val="00D7577E"/>
    <w:rsid w:val="00D80893"/>
    <w:rsid w:val="00D84854"/>
    <w:rsid w:val="00D90C1F"/>
    <w:rsid w:val="00D91852"/>
    <w:rsid w:val="00D92CF1"/>
    <w:rsid w:val="00D92D38"/>
    <w:rsid w:val="00D950F5"/>
    <w:rsid w:val="00DA44DB"/>
    <w:rsid w:val="00DA4752"/>
    <w:rsid w:val="00DA4E76"/>
    <w:rsid w:val="00DA61F3"/>
    <w:rsid w:val="00DB0F93"/>
    <w:rsid w:val="00DB1A67"/>
    <w:rsid w:val="00DB5074"/>
    <w:rsid w:val="00DC20A3"/>
    <w:rsid w:val="00DC4BA5"/>
    <w:rsid w:val="00DC62C5"/>
    <w:rsid w:val="00DC7981"/>
    <w:rsid w:val="00DD3B86"/>
    <w:rsid w:val="00DE1093"/>
    <w:rsid w:val="00DE4EFA"/>
    <w:rsid w:val="00DE5520"/>
    <w:rsid w:val="00DE563D"/>
    <w:rsid w:val="00DF4A68"/>
    <w:rsid w:val="00E04818"/>
    <w:rsid w:val="00E06442"/>
    <w:rsid w:val="00E23993"/>
    <w:rsid w:val="00E25B8C"/>
    <w:rsid w:val="00E34641"/>
    <w:rsid w:val="00E34FAE"/>
    <w:rsid w:val="00E43E3D"/>
    <w:rsid w:val="00E4774D"/>
    <w:rsid w:val="00E50543"/>
    <w:rsid w:val="00E57429"/>
    <w:rsid w:val="00E65C85"/>
    <w:rsid w:val="00E66199"/>
    <w:rsid w:val="00E755EC"/>
    <w:rsid w:val="00E7624D"/>
    <w:rsid w:val="00E81D1C"/>
    <w:rsid w:val="00EA3D42"/>
    <w:rsid w:val="00EA6B1B"/>
    <w:rsid w:val="00EB10DA"/>
    <w:rsid w:val="00EB1C9A"/>
    <w:rsid w:val="00EB4073"/>
    <w:rsid w:val="00EC2519"/>
    <w:rsid w:val="00ED229E"/>
    <w:rsid w:val="00ED7323"/>
    <w:rsid w:val="00EE28F3"/>
    <w:rsid w:val="00EF29B4"/>
    <w:rsid w:val="00EF5110"/>
    <w:rsid w:val="00F010AA"/>
    <w:rsid w:val="00F10411"/>
    <w:rsid w:val="00F15261"/>
    <w:rsid w:val="00F15882"/>
    <w:rsid w:val="00F171E0"/>
    <w:rsid w:val="00F20BD3"/>
    <w:rsid w:val="00F373A5"/>
    <w:rsid w:val="00F419E7"/>
    <w:rsid w:val="00F43787"/>
    <w:rsid w:val="00F47559"/>
    <w:rsid w:val="00F53618"/>
    <w:rsid w:val="00F55385"/>
    <w:rsid w:val="00F55BC8"/>
    <w:rsid w:val="00F563D3"/>
    <w:rsid w:val="00F64C7B"/>
    <w:rsid w:val="00F676DD"/>
    <w:rsid w:val="00F75A26"/>
    <w:rsid w:val="00F76706"/>
    <w:rsid w:val="00F7691E"/>
    <w:rsid w:val="00F77823"/>
    <w:rsid w:val="00F83FAD"/>
    <w:rsid w:val="00F87A40"/>
    <w:rsid w:val="00F952A0"/>
    <w:rsid w:val="00FA3C7F"/>
    <w:rsid w:val="00FB1CA1"/>
    <w:rsid w:val="00FB74E2"/>
    <w:rsid w:val="00FC10C4"/>
    <w:rsid w:val="00FC1388"/>
    <w:rsid w:val="00FD5614"/>
    <w:rsid w:val="00FE0BE1"/>
    <w:rsid w:val="00FE1DE9"/>
    <w:rsid w:val="00FE36AF"/>
    <w:rsid w:val="00FE39C2"/>
    <w:rsid w:val="00FE3C32"/>
    <w:rsid w:val="00FE64AE"/>
    <w:rsid w:val="00FF4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772E6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772E6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912B1106</Template>
  <TotalTime>0</TotalTime>
  <Pages>23</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2015-04-28T00:11:00Z</dcterms:created>
  <dcterms:modified xsi:type="dcterms:W3CDTF">2015-04-28T00:12:00Z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