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3F8DFC8" wp14:editId="3DADC4F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CF0373">
            <w:t>1</w:t>
          </w:r>
          <w:r>
            <w:t xml:space="preserve"> </w:t>
          </w:r>
          <w:r>
            <w:rPr>
              <w:rFonts w:cs="Arial"/>
            </w:rPr>
            <w:t>−</w:t>
          </w:r>
          <w:r>
            <w:t xml:space="preserve"> </w:t>
          </w:r>
          <w:r w:rsidR="00CF0373">
            <w:t>Service target performance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638577"/>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494DFA">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6F7D3C" w:rsidRPr="006F7D3C" w:rsidRDefault="008F07A3" w:rsidP="006F7D3C">
      <w:pPr>
        <w:numPr>
          <w:ilvl w:val="0"/>
          <w:numId w:val="25"/>
        </w:numPr>
      </w:pPr>
      <w:r>
        <w:t xml:space="preserve">Attachment 18 – Connection </w:t>
      </w:r>
      <w:r w:rsidR="006F7D3C" w:rsidRPr="006F7D3C">
        <w:t>policy</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763857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C076E7"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638577" w:history="1">
            <w:r w:rsidR="00C076E7" w:rsidRPr="003971D7">
              <w:rPr>
                <w:rStyle w:val="Hyperlink"/>
              </w:rPr>
              <w:t>Note</w:t>
            </w:r>
            <w:r w:rsidR="00C076E7">
              <w:rPr>
                <w:webHidden/>
              </w:rPr>
              <w:tab/>
            </w:r>
            <w:r w:rsidR="00494DFA">
              <w:rPr>
                <w:webHidden/>
              </w:rPr>
              <w:t>11-</w:t>
            </w:r>
            <w:r w:rsidR="00C076E7">
              <w:rPr>
                <w:webHidden/>
              </w:rPr>
              <w:fldChar w:fldCharType="begin"/>
            </w:r>
            <w:r w:rsidR="00C076E7">
              <w:rPr>
                <w:webHidden/>
              </w:rPr>
              <w:instrText xml:space="preserve"> PAGEREF _Toc417638577 \h </w:instrText>
            </w:r>
            <w:r w:rsidR="00C076E7">
              <w:rPr>
                <w:webHidden/>
              </w:rPr>
            </w:r>
            <w:r w:rsidR="00C076E7">
              <w:rPr>
                <w:webHidden/>
              </w:rPr>
              <w:fldChar w:fldCharType="separate"/>
            </w:r>
            <w:r w:rsidR="00C076E7">
              <w:rPr>
                <w:webHidden/>
              </w:rPr>
              <w:t>2</w:t>
            </w:r>
            <w:r w:rsidR="00C076E7">
              <w:rPr>
                <w:webHidden/>
              </w:rPr>
              <w:fldChar w:fldCharType="end"/>
            </w:r>
          </w:hyperlink>
        </w:p>
        <w:p w:rsidR="00C076E7" w:rsidRDefault="00D541C9">
          <w:pPr>
            <w:pStyle w:val="TOC1"/>
            <w:rPr>
              <w:rFonts w:asciiTheme="minorHAnsi" w:eastAsiaTheme="minorEastAsia" w:hAnsiTheme="minorHAnsi"/>
              <w:b w:val="0"/>
              <w:color w:val="auto"/>
              <w:sz w:val="22"/>
              <w:lang w:val="en-AU" w:eastAsia="en-AU"/>
            </w:rPr>
          </w:pPr>
          <w:hyperlink w:anchor="_Toc417638578" w:history="1">
            <w:r w:rsidR="00C076E7" w:rsidRPr="003971D7">
              <w:rPr>
                <w:rStyle w:val="Hyperlink"/>
              </w:rPr>
              <w:t>Contents</w:t>
            </w:r>
            <w:r w:rsidR="00C076E7">
              <w:rPr>
                <w:webHidden/>
              </w:rPr>
              <w:tab/>
            </w:r>
            <w:r w:rsidR="00494DFA">
              <w:rPr>
                <w:webHidden/>
              </w:rPr>
              <w:t>11-</w:t>
            </w:r>
            <w:r w:rsidR="00C076E7">
              <w:rPr>
                <w:webHidden/>
              </w:rPr>
              <w:fldChar w:fldCharType="begin"/>
            </w:r>
            <w:r w:rsidR="00C076E7">
              <w:rPr>
                <w:webHidden/>
              </w:rPr>
              <w:instrText xml:space="preserve"> PAGEREF _Toc417638578 \h </w:instrText>
            </w:r>
            <w:r w:rsidR="00C076E7">
              <w:rPr>
                <w:webHidden/>
              </w:rPr>
            </w:r>
            <w:r w:rsidR="00C076E7">
              <w:rPr>
                <w:webHidden/>
              </w:rPr>
              <w:fldChar w:fldCharType="separate"/>
            </w:r>
            <w:r w:rsidR="00C076E7">
              <w:rPr>
                <w:webHidden/>
              </w:rPr>
              <w:t>3</w:t>
            </w:r>
            <w:r w:rsidR="00C076E7">
              <w:rPr>
                <w:webHidden/>
              </w:rPr>
              <w:fldChar w:fldCharType="end"/>
            </w:r>
          </w:hyperlink>
        </w:p>
        <w:p w:rsidR="00C076E7" w:rsidRDefault="00D541C9">
          <w:pPr>
            <w:pStyle w:val="TOC1"/>
            <w:rPr>
              <w:rFonts w:asciiTheme="minorHAnsi" w:eastAsiaTheme="minorEastAsia" w:hAnsiTheme="minorHAnsi"/>
              <w:b w:val="0"/>
              <w:color w:val="auto"/>
              <w:sz w:val="22"/>
              <w:lang w:val="en-AU" w:eastAsia="en-AU"/>
            </w:rPr>
          </w:pPr>
          <w:hyperlink w:anchor="_Toc417638579" w:history="1">
            <w:r w:rsidR="00C076E7" w:rsidRPr="003971D7">
              <w:rPr>
                <w:rStyle w:val="Hyperlink"/>
              </w:rPr>
              <w:t>Shortened forms</w:t>
            </w:r>
            <w:r w:rsidR="00C076E7">
              <w:rPr>
                <w:webHidden/>
              </w:rPr>
              <w:tab/>
            </w:r>
            <w:r w:rsidR="00494DFA">
              <w:rPr>
                <w:webHidden/>
              </w:rPr>
              <w:t>11-</w:t>
            </w:r>
            <w:r w:rsidR="00C076E7">
              <w:rPr>
                <w:webHidden/>
              </w:rPr>
              <w:fldChar w:fldCharType="begin"/>
            </w:r>
            <w:r w:rsidR="00C076E7">
              <w:rPr>
                <w:webHidden/>
              </w:rPr>
              <w:instrText xml:space="preserve"> PAGEREF _Toc417638579 \h </w:instrText>
            </w:r>
            <w:r w:rsidR="00C076E7">
              <w:rPr>
                <w:webHidden/>
              </w:rPr>
            </w:r>
            <w:r w:rsidR="00C076E7">
              <w:rPr>
                <w:webHidden/>
              </w:rPr>
              <w:fldChar w:fldCharType="separate"/>
            </w:r>
            <w:r w:rsidR="00C076E7">
              <w:rPr>
                <w:webHidden/>
              </w:rPr>
              <w:t>4</w:t>
            </w:r>
            <w:r w:rsidR="00C076E7">
              <w:rPr>
                <w:webHidden/>
              </w:rPr>
              <w:fldChar w:fldCharType="end"/>
            </w:r>
          </w:hyperlink>
        </w:p>
        <w:p w:rsidR="00C076E7" w:rsidRDefault="00D541C9">
          <w:pPr>
            <w:pStyle w:val="TOC1"/>
            <w:rPr>
              <w:rFonts w:asciiTheme="minorHAnsi" w:eastAsiaTheme="minorEastAsia" w:hAnsiTheme="minorHAnsi"/>
              <w:b w:val="0"/>
              <w:color w:val="auto"/>
              <w:sz w:val="22"/>
              <w:lang w:val="en-AU" w:eastAsia="en-AU"/>
            </w:rPr>
          </w:pPr>
          <w:hyperlink w:anchor="_Toc417638580" w:history="1">
            <w:r w:rsidR="00C076E7" w:rsidRPr="003971D7">
              <w:rPr>
                <w:rStyle w:val="Hyperlink"/>
              </w:rPr>
              <w:t>11</w:t>
            </w:r>
            <w:r w:rsidR="00C076E7">
              <w:rPr>
                <w:rFonts w:asciiTheme="minorHAnsi" w:eastAsiaTheme="minorEastAsia" w:hAnsiTheme="minorHAnsi"/>
                <w:b w:val="0"/>
                <w:color w:val="auto"/>
                <w:sz w:val="22"/>
                <w:lang w:val="en-AU" w:eastAsia="en-AU"/>
              </w:rPr>
              <w:tab/>
            </w:r>
            <w:r w:rsidR="00C076E7" w:rsidRPr="003971D7">
              <w:rPr>
                <w:rStyle w:val="Hyperlink"/>
              </w:rPr>
              <w:t>Service target performance incentive scheme</w:t>
            </w:r>
            <w:r w:rsidR="00C076E7">
              <w:rPr>
                <w:webHidden/>
              </w:rPr>
              <w:tab/>
            </w:r>
            <w:r w:rsidR="00494DFA">
              <w:rPr>
                <w:webHidden/>
              </w:rPr>
              <w:t>11-</w:t>
            </w:r>
            <w:r w:rsidR="00C076E7">
              <w:rPr>
                <w:webHidden/>
              </w:rPr>
              <w:fldChar w:fldCharType="begin"/>
            </w:r>
            <w:r w:rsidR="00C076E7">
              <w:rPr>
                <w:webHidden/>
              </w:rPr>
              <w:instrText xml:space="preserve"> PAGEREF _Toc417638580 \h </w:instrText>
            </w:r>
            <w:r w:rsidR="00C076E7">
              <w:rPr>
                <w:webHidden/>
              </w:rPr>
            </w:r>
            <w:r w:rsidR="00C076E7">
              <w:rPr>
                <w:webHidden/>
              </w:rPr>
              <w:fldChar w:fldCharType="separate"/>
            </w:r>
            <w:r w:rsidR="00C076E7">
              <w:rPr>
                <w:webHidden/>
              </w:rPr>
              <w:t>6</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81" w:history="1">
            <w:r w:rsidR="00C076E7" w:rsidRPr="003971D7">
              <w:rPr>
                <w:rStyle w:val="Hyperlink"/>
              </w:rPr>
              <w:t>11.1</w:t>
            </w:r>
            <w:r w:rsidR="00C076E7">
              <w:rPr>
                <w:rFonts w:asciiTheme="minorHAnsi" w:eastAsiaTheme="minorEastAsia" w:hAnsiTheme="minorHAnsi"/>
                <w:b w:val="0"/>
                <w:color w:val="auto"/>
                <w:sz w:val="22"/>
                <w:lang w:eastAsia="en-AU"/>
              </w:rPr>
              <w:tab/>
            </w:r>
            <w:r w:rsidR="00C076E7" w:rsidRPr="003971D7">
              <w:rPr>
                <w:rStyle w:val="Hyperlink"/>
              </w:rPr>
              <w:t>Preliminary decision</w:t>
            </w:r>
            <w:r w:rsidR="00C076E7">
              <w:rPr>
                <w:webHidden/>
              </w:rPr>
              <w:tab/>
            </w:r>
            <w:r w:rsidR="00494DFA">
              <w:rPr>
                <w:webHidden/>
              </w:rPr>
              <w:t>11-</w:t>
            </w:r>
            <w:r w:rsidR="00C076E7">
              <w:rPr>
                <w:webHidden/>
              </w:rPr>
              <w:fldChar w:fldCharType="begin"/>
            </w:r>
            <w:r w:rsidR="00C076E7">
              <w:rPr>
                <w:webHidden/>
              </w:rPr>
              <w:instrText xml:space="preserve"> PAGEREF _Toc417638581 \h </w:instrText>
            </w:r>
            <w:r w:rsidR="00C076E7">
              <w:rPr>
                <w:webHidden/>
              </w:rPr>
            </w:r>
            <w:r w:rsidR="00C076E7">
              <w:rPr>
                <w:webHidden/>
              </w:rPr>
              <w:fldChar w:fldCharType="separate"/>
            </w:r>
            <w:r w:rsidR="00C076E7">
              <w:rPr>
                <w:webHidden/>
              </w:rPr>
              <w:t>6</w:t>
            </w:r>
            <w:r w:rsidR="00C076E7">
              <w:rPr>
                <w:webHidden/>
              </w:rPr>
              <w:fldChar w:fldCharType="end"/>
            </w:r>
          </w:hyperlink>
        </w:p>
        <w:p w:rsidR="00C076E7" w:rsidRDefault="00D541C9">
          <w:pPr>
            <w:pStyle w:val="TOC3"/>
            <w:rPr>
              <w:rFonts w:asciiTheme="minorHAnsi" w:eastAsiaTheme="minorEastAsia" w:hAnsiTheme="minorHAnsi"/>
              <w:lang w:eastAsia="en-AU"/>
            </w:rPr>
          </w:pPr>
          <w:hyperlink w:anchor="_Toc417638582" w:history="1">
            <w:r w:rsidR="00C076E7" w:rsidRPr="003971D7">
              <w:rPr>
                <w:rStyle w:val="Hyperlink"/>
              </w:rPr>
              <w:t>11.1.1</w:t>
            </w:r>
            <w:r w:rsidR="00C076E7">
              <w:rPr>
                <w:rFonts w:asciiTheme="minorHAnsi" w:eastAsiaTheme="minorEastAsia" w:hAnsiTheme="minorHAnsi"/>
                <w:lang w:eastAsia="en-AU"/>
              </w:rPr>
              <w:tab/>
            </w:r>
            <w:r w:rsidR="00C076E7" w:rsidRPr="003971D7">
              <w:rPr>
                <w:rStyle w:val="Hyperlink"/>
              </w:rPr>
              <w:t>Revenue at risk</w:t>
            </w:r>
            <w:r w:rsidR="00C076E7">
              <w:rPr>
                <w:webHidden/>
              </w:rPr>
              <w:tab/>
            </w:r>
            <w:r w:rsidR="00494DFA">
              <w:rPr>
                <w:webHidden/>
              </w:rPr>
              <w:t>11-</w:t>
            </w:r>
            <w:r w:rsidR="00C076E7">
              <w:rPr>
                <w:webHidden/>
              </w:rPr>
              <w:fldChar w:fldCharType="begin"/>
            </w:r>
            <w:r w:rsidR="00C076E7">
              <w:rPr>
                <w:webHidden/>
              </w:rPr>
              <w:instrText xml:space="preserve"> PAGEREF _Toc417638582 \h </w:instrText>
            </w:r>
            <w:r w:rsidR="00C076E7">
              <w:rPr>
                <w:webHidden/>
              </w:rPr>
            </w:r>
            <w:r w:rsidR="00C076E7">
              <w:rPr>
                <w:webHidden/>
              </w:rPr>
              <w:fldChar w:fldCharType="separate"/>
            </w:r>
            <w:r w:rsidR="00C076E7">
              <w:rPr>
                <w:webHidden/>
              </w:rPr>
              <w:t>7</w:t>
            </w:r>
            <w:r w:rsidR="00C076E7">
              <w:rPr>
                <w:webHidden/>
              </w:rPr>
              <w:fldChar w:fldCharType="end"/>
            </w:r>
          </w:hyperlink>
        </w:p>
        <w:p w:rsidR="00C076E7" w:rsidRDefault="00D541C9">
          <w:pPr>
            <w:pStyle w:val="TOC3"/>
            <w:rPr>
              <w:rFonts w:asciiTheme="minorHAnsi" w:eastAsiaTheme="minorEastAsia" w:hAnsiTheme="minorHAnsi"/>
              <w:lang w:eastAsia="en-AU"/>
            </w:rPr>
          </w:pPr>
          <w:hyperlink w:anchor="_Toc417638583" w:history="1">
            <w:r w:rsidR="00C076E7" w:rsidRPr="003971D7">
              <w:rPr>
                <w:rStyle w:val="Hyperlink"/>
              </w:rPr>
              <w:t>11.1.2</w:t>
            </w:r>
            <w:r w:rsidR="00C076E7">
              <w:rPr>
                <w:rFonts w:asciiTheme="minorHAnsi" w:eastAsiaTheme="minorEastAsia" w:hAnsiTheme="minorHAnsi"/>
                <w:lang w:eastAsia="en-AU"/>
              </w:rPr>
              <w:tab/>
            </w:r>
            <w:r w:rsidR="00C076E7" w:rsidRPr="003971D7">
              <w:rPr>
                <w:rStyle w:val="Hyperlink"/>
              </w:rPr>
              <w:t>Incentive rates</w:t>
            </w:r>
            <w:r w:rsidR="00C076E7">
              <w:rPr>
                <w:webHidden/>
              </w:rPr>
              <w:tab/>
            </w:r>
            <w:r w:rsidR="00494DFA">
              <w:rPr>
                <w:webHidden/>
              </w:rPr>
              <w:t>11-</w:t>
            </w:r>
            <w:r w:rsidR="00C076E7">
              <w:rPr>
                <w:webHidden/>
              </w:rPr>
              <w:fldChar w:fldCharType="begin"/>
            </w:r>
            <w:r w:rsidR="00C076E7">
              <w:rPr>
                <w:webHidden/>
              </w:rPr>
              <w:instrText xml:space="preserve"> PAGEREF _Toc417638583 \h </w:instrText>
            </w:r>
            <w:r w:rsidR="00C076E7">
              <w:rPr>
                <w:webHidden/>
              </w:rPr>
            </w:r>
            <w:r w:rsidR="00C076E7">
              <w:rPr>
                <w:webHidden/>
              </w:rPr>
              <w:fldChar w:fldCharType="separate"/>
            </w:r>
            <w:r w:rsidR="00C076E7">
              <w:rPr>
                <w:webHidden/>
              </w:rPr>
              <w:t>7</w:t>
            </w:r>
            <w:r w:rsidR="00C076E7">
              <w:rPr>
                <w:webHidden/>
              </w:rPr>
              <w:fldChar w:fldCharType="end"/>
            </w:r>
          </w:hyperlink>
        </w:p>
        <w:p w:rsidR="00C076E7" w:rsidRDefault="00D541C9">
          <w:pPr>
            <w:pStyle w:val="TOC3"/>
            <w:rPr>
              <w:rFonts w:asciiTheme="minorHAnsi" w:eastAsiaTheme="minorEastAsia" w:hAnsiTheme="minorHAnsi"/>
              <w:lang w:eastAsia="en-AU"/>
            </w:rPr>
          </w:pPr>
          <w:hyperlink w:anchor="_Toc417638584" w:history="1">
            <w:r w:rsidR="00C076E7" w:rsidRPr="003971D7">
              <w:rPr>
                <w:rStyle w:val="Hyperlink"/>
              </w:rPr>
              <w:t>11.1.3</w:t>
            </w:r>
            <w:r w:rsidR="00C076E7">
              <w:rPr>
                <w:rFonts w:asciiTheme="minorHAnsi" w:eastAsiaTheme="minorEastAsia" w:hAnsiTheme="minorHAnsi"/>
                <w:lang w:eastAsia="en-AU"/>
              </w:rPr>
              <w:tab/>
            </w:r>
            <w:r w:rsidR="00C076E7" w:rsidRPr="003971D7">
              <w:rPr>
                <w:rStyle w:val="Hyperlink"/>
              </w:rPr>
              <w:t>Performance targets</w:t>
            </w:r>
            <w:r w:rsidR="00C076E7">
              <w:rPr>
                <w:webHidden/>
              </w:rPr>
              <w:tab/>
            </w:r>
            <w:r w:rsidR="00494DFA">
              <w:rPr>
                <w:webHidden/>
              </w:rPr>
              <w:t>11-</w:t>
            </w:r>
            <w:r w:rsidR="00C076E7">
              <w:rPr>
                <w:webHidden/>
              </w:rPr>
              <w:fldChar w:fldCharType="begin"/>
            </w:r>
            <w:r w:rsidR="00C076E7">
              <w:rPr>
                <w:webHidden/>
              </w:rPr>
              <w:instrText xml:space="preserve"> PAGEREF _Toc417638584 \h </w:instrText>
            </w:r>
            <w:r w:rsidR="00C076E7">
              <w:rPr>
                <w:webHidden/>
              </w:rPr>
            </w:r>
            <w:r w:rsidR="00C076E7">
              <w:rPr>
                <w:webHidden/>
              </w:rPr>
              <w:fldChar w:fldCharType="separate"/>
            </w:r>
            <w:r w:rsidR="00C076E7">
              <w:rPr>
                <w:webHidden/>
              </w:rPr>
              <w:t>8</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85" w:history="1">
            <w:r w:rsidR="00C076E7" w:rsidRPr="003971D7">
              <w:rPr>
                <w:rStyle w:val="Hyperlink"/>
              </w:rPr>
              <w:t>11.2</w:t>
            </w:r>
            <w:r w:rsidR="00C076E7">
              <w:rPr>
                <w:rFonts w:asciiTheme="minorHAnsi" w:eastAsiaTheme="minorEastAsia" w:hAnsiTheme="minorHAnsi"/>
                <w:b w:val="0"/>
                <w:color w:val="auto"/>
                <w:sz w:val="22"/>
                <w:lang w:eastAsia="en-AU"/>
              </w:rPr>
              <w:tab/>
            </w:r>
            <w:r w:rsidR="00C076E7" w:rsidRPr="003971D7">
              <w:rPr>
                <w:rStyle w:val="Hyperlink"/>
              </w:rPr>
              <w:t>Ergon Energy's proposal</w:t>
            </w:r>
            <w:r w:rsidR="00C076E7">
              <w:rPr>
                <w:webHidden/>
              </w:rPr>
              <w:tab/>
            </w:r>
            <w:r w:rsidR="00494DFA">
              <w:rPr>
                <w:webHidden/>
              </w:rPr>
              <w:t>11</w:t>
            </w:r>
            <w:r w:rsidR="00C076E7">
              <w:rPr>
                <w:webHidden/>
              </w:rPr>
              <w:fldChar w:fldCharType="begin"/>
            </w:r>
            <w:r w:rsidR="00C076E7">
              <w:rPr>
                <w:webHidden/>
              </w:rPr>
              <w:instrText xml:space="preserve"> PAGEREF _Toc417638585 \h </w:instrText>
            </w:r>
            <w:r w:rsidR="00C076E7">
              <w:rPr>
                <w:webHidden/>
              </w:rPr>
            </w:r>
            <w:r w:rsidR="00C076E7">
              <w:rPr>
                <w:webHidden/>
              </w:rPr>
              <w:fldChar w:fldCharType="separate"/>
            </w:r>
            <w:r w:rsidR="00C076E7">
              <w:rPr>
                <w:webHidden/>
              </w:rPr>
              <w:t>10</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86" w:history="1">
            <w:r w:rsidR="00C076E7" w:rsidRPr="003971D7">
              <w:rPr>
                <w:rStyle w:val="Hyperlink"/>
              </w:rPr>
              <w:t>11.3</w:t>
            </w:r>
            <w:r w:rsidR="00C076E7">
              <w:rPr>
                <w:rFonts w:asciiTheme="minorHAnsi" w:eastAsiaTheme="minorEastAsia" w:hAnsiTheme="minorHAnsi"/>
                <w:b w:val="0"/>
                <w:color w:val="auto"/>
                <w:sz w:val="22"/>
                <w:lang w:eastAsia="en-AU"/>
              </w:rPr>
              <w:tab/>
            </w:r>
            <w:r w:rsidR="00C076E7" w:rsidRPr="003971D7">
              <w:rPr>
                <w:rStyle w:val="Hyperlink"/>
              </w:rPr>
              <w:t>AER’s assessment approach</w:t>
            </w:r>
            <w:r w:rsidR="00C076E7">
              <w:rPr>
                <w:webHidden/>
              </w:rPr>
              <w:tab/>
            </w:r>
            <w:r w:rsidR="00494DFA">
              <w:rPr>
                <w:webHidden/>
              </w:rPr>
              <w:t>11-</w:t>
            </w:r>
            <w:r w:rsidR="00C076E7">
              <w:rPr>
                <w:webHidden/>
              </w:rPr>
              <w:fldChar w:fldCharType="begin"/>
            </w:r>
            <w:r w:rsidR="00C076E7">
              <w:rPr>
                <w:webHidden/>
              </w:rPr>
              <w:instrText xml:space="preserve"> PAGEREF _Toc417638586 \h </w:instrText>
            </w:r>
            <w:r w:rsidR="00C076E7">
              <w:rPr>
                <w:webHidden/>
              </w:rPr>
            </w:r>
            <w:r w:rsidR="00C076E7">
              <w:rPr>
                <w:webHidden/>
              </w:rPr>
              <w:fldChar w:fldCharType="separate"/>
            </w:r>
            <w:r w:rsidR="00C076E7">
              <w:rPr>
                <w:webHidden/>
              </w:rPr>
              <w:t>11</w:t>
            </w:r>
            <w:r w:rsidR="00C076E7">
              <w:rPr>
                <w:webHidden/>
              </w:rPr>
              <w:fldChar w:fldCharType="end"/>
            </w:r>
          </w:hyperlink>
        </w:p>
        <w:p w:rsidR="00C076E7" w:rsidRDefault="00D541C9">
          <w:pPr>
            <w:pStyle w:val="TOC3"/>
            <w:rPr>
              <w:rFonts w:asciiTheme="minorHAnsi" w:eastAsiaTheme="minorEastAsia" w:hAnsiTheme="minorHAnsi"/>
              <w:lang w:eastAsia="en-AU"/>
            </w:rPr>
          </w:pPr>
          <w:hyperlink w:anchor="_Toc417638587" w:history="1">
            <w:r w:rsidR="00C076E7" w:rsidRPr="003971D7">
              <w:rPr>
                <w:rStyle w:val="Hyperlink"/>
              </w:rPr>
              <w:t>11.3.1</w:t>
            </w:r>
            <w:r w:rsidR="00C076E7">
              <w:rPr>
                <w:rFonts w:asciiTheme="minorHAnsi" w:eastAsiaTheme="minorEastAsia" w:hAnsiTheme="minorHAnsi"/>
                <w:lang w:eastAsia="en-AU"/>
              </w:rPr>
              <w:tab/>
            </w:r>
            <w:r w:rsidR="00C076E7" w:rsidRPr="003971D7">
              <w:rPr>
                <w:rStyle w:val="Hyperlink"/>
              </w:rPr>
              <w:t>Interrelationship with other incentive schemes</w:t>
            </w:r>
            <w:r w:rsidR="00C076E7">
              <w:rPr>
                <w:webHidden/>
              </w:rPr>
              <w:tab/>
            </w:r>
            <w:r w:rsidR="00494DFA">
              <w:rPr>
                <w:webHidden/>
              </w:rPr>
              <w:t>11-</w:t>
            </w:r>
            <w:r w:rsidR="00C076E7">
              <w:rPr>
                <w:webHidden/>
              </w:rPr>
              <w:fldChar w:fldCharType="begin"/>
            </w:r>
            <w:r w:rsidR="00C076E7">
              <w:rPr>
                <w:webHidden/>
              </w:rPr>
              <w:instrText xml:space="preserve"> PAGEREF _Toc417638587 \h </w:instrText>
            </w:r>
            <w:r w:rsidR="00C076E7">
              <w:rPr>
                <w:webHidden/>
              </w:rPr>
            </w:r>
            <w:r w:rsidR="00C076E7">
              <w:rPr>
                <w:webHidden/>
              </w:rPr>
              <w:fldChar w:fldCharType="separate"/>
            </w:r>
            <w:r w:rsidR="00C076E7">
              <w:rPr>
                <w:webHidden/>
              </w:rPr>
              <w:t>11</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88" w:history="1">
            <w:r w:rsidR="00C076E7" w:rsidRPr="003971D7">
              <w:rPr>
                <w:rStyle w:val="Hyperlink"/>
              </w:rPr>
              <w:t>11.4</w:t>
            </w:r>
            <w:r w:rsidR="00C076E7">
              <w:rPr>
                <w:rFonts w:asciiTheme="minorHAnsi" w:eastAsiaTheme="minorEastAsia" w:hAnsiTheme="minorHAnsi"/>
                <w:b w:val="0"/>
                <w:color w:val="auto"/>
                <w:sz w:val="22"/>
                <w:lang w:eastAsia="en-AU"/>
              </w:rPr>
              <w:tab/>
            </w:r>
            <w:r w:rsidR="00C076E7" w:rsidRPr="003971D7">
              <w:rPr>
                <w:rStyle w:val="Hyperlink"/>
              </w:rPr>
              <w:t>Reasons for preliminary decision</w:t>
            </w:r>
            <w:r w:rsidR="00C076E7">
              <w:rPr>
                <w:webHidden/>
              </w:rPr>
              <w:tab/>
            </w:r>
            <w:r w:rsidR="00494DFA">
              <w:rPr>
                <w:webHidden/>
              </w:rPr>
              <w:t>11-</w:t>
            </w:r>
            <w:r w:rsidR="00C076E7">
              <w:rPr>
                <w:webHidden/>
              </w:rPr>
              <w:fldChar w:fldCharType="begin"/>
            </w:r>
            <w:r w:rsidR="00C076E7">
              <w:rPr>
                <w:webHidden/>
              </w:rPr>
              <w:instrText xml:space="preserve"> PAGEREF _Toc417638588 \h </w:instrText>
            </w:r>
            <w:r w:rsidR="00C076E7">
              <w:rPr>
                <w:webHidden/>
              </w:rPr>
            </w:r>
            <w:r w:rsidR="00C076E7">
              <w:rPr>
                <w:webHidden/>
              </w:rPr>
              <w:fldChar w:fldCharType="separate"/>
            </w:r>
            <w:r w:rsidR="00C076E7">
              <w:rPr>
                <w:webHidden/>
              </w:rPr>
              <w:t>12</w:t>
            </w:r>
            <w:r w:rsidR="00C076E7">
              <w:rPr>
                <w:webHidden/>
              </w:rPr>
              <w:fldChar w:fldCharType="end"/>
            </w:r>
          </w:hyperlink>
        </w:p>
        <w:p w:rsidR="00C076E7" w:rsidRDefault="00D541C9">
          <w:pPr>
            <w:pStyle w:val="TOC3"/>
            <w:rPr>
              <w:rFonts w:asciiTheme="minorHAnsi" w:eastAsiaTheme="minorEastAsia" w:hAnsiTheme="minorHAnsi"/>
              <w:lang w:eastAsia="en-AU"/>
            </w:rPr>
          </w:pPr>
          <w:hyperlink w:anchor="_Toc417638589" w:history="1">
            <w:r w:rsidR="00C076E7" w:rsidRPr="003971D7">
              <w:rPr>
                <w:rStyle w:val="Hyperlink"/>
              </w:rPr>
              <w:t>11.4.1</w:t>
            </w:r>
            <w:r w:rsidR="00C076E7">
              <w:rPr>
                <w:rFonts w:asciiTheme="minorHAnsi" w:eastAsiaTheme="minorEastAsia" w:hAnsiTheme="minorHAnsi"/>
                <w:lang w:eastAsia="en-AU"/>
              </w:rPr>
              <w:tab/>
            </w:r>
            <w:r w:rsidR="00C076E7" w:rsidRPr="003971D7">
              <w:rPr>
                <w:rStyle w:val="Hyperlink"/>
              </w:rPr>
              <w:t>Revenue at risk</w:t>
            </w:r>
            <w:r w:rsidR="00C076E7">
              <w:rPr>
                <w:webHidden/>
              </w:rPr>
              <w:tab/>
            </w:r>
            <w:r w:rsidR="00494DFA">
              <w:rPr>
                <w:webHidden/>
              </w:rPr>
              <w:t>11-</w:t>
            </w:r>
            <w:r w:rsidR="00C076E7">
              <w:rPr>
                <w:webHidden/>
              </w:rPr>
              <w:fldChar w:fldCharType="begin"/>
            </w:r>
            <w:r w:rsidR="00C076E7">
              <w:rPr>
                <w:webHidden/>
              </w:rPr>
              <w:instrText xml:space="preserve"> PAGEREF _Toc417638589 \h </w:instrText>
            </w:r>
            <w:r w:rsidR="00C076E7">
              <w:rPr>
                <w:webHidden/>
              </w:rPr>
            </w:r>
            <w:r w:rsidR="00C076E7">
              <w:rPr>
                <w:webHidden/>
              </w:rPr>
              <w:fldChar w:fldCharType="separate"/>
            </w:r>
            <w:r w:rsidR="00C076E7">
              <w:rPr>
                <w:webHidden/>
              </w:rPr>
              <w:t>12</w:t>
            </w:r>
            <w:r w:rsidR="00C076E7">
              <w:rPr>
                <w:webHidden/>
              </w:rPr>
              <w:fldChar w:fldCharType="end"/>
            </w:r>
          </w:hyperlink>
        </w:p>
        <w:p w:rsidR="00C076E7" w:rsidRDefault="00D541C9">
          <w:pPr>
            <w:pStyle w:val="TOC3"/>
            <w:rPr>
              <w:rFonts w:asciiTheme="minorHAnsi" w:eastAsiaTheme="minorEastAsia" w:hAnsiTheme="minorHAnsi"/>
              <w:lang w:eastAsia="en-AU"/>
            </w:rPr>
          </w:pPr>
          <w:hyperlink w:anchor="_Toc417638590" w:history="1">
            <w:r w:rsidR="00C076E7" w:rsidRPr="003971D7">
              <w:rPr>
                <w:rStyle w:val="Hyperlink"/>
              </w:rPr>
              <w:t>11.4.2</w:t>
            </w:r>
            <w:r w:rsidR="00C076E7">
              <w:rPr>
                <w:rFonts w:asciiTheme="minorHAnsi" w:eastAsiaTheme="minorEastAsia" w:hAnsiTheme="minorHAnsi"/>
                <w:lang w:eastAsia="en-AU"/>
              </w:rPr>
              <w:tab/>
            </w:r>
            <w:r w:rsidR="00C076E7" w:rsidRPr="003971D7">
              <w:rPr>
                <w:rStyle w:val="Hyperlink"/>
              </w:rPr>
              <w:t>Reliability of supply component</w:t>
            </w:r>
            <w:r w:rsidR="00C076E7">
              <w:rPr>
                <w:webHidden/>
              </w:rPr>
              <w:tab/>
            </w:r>
            <w:r w:rsidR="00494DFA">
              <w:rPr>
                <w:webHidden/>
              </w:rPr>
              <w:t>11-</w:t>
            </w:r>
            <w:r w:rsidR="00C076E7">
              <w:rPr>
                <w:webHidden/>
              </w:rPr>
              <w:fldChar w:fldCharType="begin"/>
            </w:r>
            <w:r w:rsidR="00C076E7">
              <w:rPr>
                <w:webHidden/>
              </w:rPr>
              <w:instrText xml:space="preserve"> PAGEREF _Toc417638590 \h </w:instrText>
            </w:r>
            <w:r w:rsidR="00C076E7">
              <w:rPr>
                <w:webHidden/>
              </w:rPr>
            </w:r>
            <w:r w:rsidR="00C076E7">
              <w:rPr>
                <w:webHidden/>
              </w:rPr>
              <w:fldChar w:fldCharType="separate"/>
            </w:r>
            <w:r w:rsidR="00C076E7">
              <w:rPr>
                <w:webHidden/>
              </w:rPr>
              <w:t>13</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94" w:history="1">
            <w:r w:rsidR="00C076E7" w:rsidRPr="003971D7">
              <w:rPr>
                <w:rStyle w:val="Hyperlink"/>
              </w:rPr>
              <w:t>11.5</w:t>
            </w:r>
            <w:r w:rsidR="00C076E7">
              <w:rPr>
                <w:rFonts w:asciiTheme="minorHAnsi" w:eastAsiaTheme="minorEastAsia" w:hAnsiTheme="minorHAnsi"/>
                <w:b w:val="0"/>
                <w:color w:val="auto"/>
                <w:sz w:val="22"/>
                <w:lang w:eastAsia="en-AU"/>
              </w:rPr>
              <w:tab/>
            </w:r>
            <w:r w:rsidR="00C076E7" w:rsidRPr="003971D7">
              <w:rPr>
                <w:rStyle w:val="Hyperlink"/>
              </w:rPr>
              <w:t>Customer service component</w:t>
            </w:r>
            <w:r w:rsidR="00C076E7">
              <w:rPr>
                <w:webHidden/>
              </w:rPr>
              <w:tab/>
            </w:r>
            <w:r w:rsidR="00494DFA">
              <w:rPr>
                <w:webHidden/>
              </w:rPr>
              <w:t>11-</w:t>
            </w:r>
            <w:r w:rsidR="00C076E7">
              <w:rPr>
                <w:webHidden/>
              </w:rPr>
              <w:fldChar w:fldCharType="begin"/>
            </w:r>
            <w:r w:rsidR="00C076E7">
              <w:rPr>
                <w:webHidden/>
              </w:rPr>
              <w:instrText xml:space="preserve"> PAGEREF _Toc417638594 \h </w:instrText>
            </w:r>
            <w:r w:rsidR="00C076E7">
              <w:rPr>
                <w:webHidden/>
              </w:rPr>
            </w:r>
            <w:r w:rsidR="00C076E7">
              <w:rPr>
                <w:webHidden/>
              </w:rPr>
              <w:fldChar w:fldCharType="separate"/>
            </w:r>
            <w:r w:rsidR="00C076E7">
              <w:rPr>
                <w:webHidden/>
              </w:rPr>
              <w:t>16</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95" w:history="1">
            <w:r w:rsidR="00C076E7" w:rsidRPr="003971D7">
              <w:rPr>
                <w:rStyle w:val="Hyperlink"/>
              </w:rPr>
              <w:t>11.6</w:t>
            </w:r>
            <w:r w:rsidR="00C076E7">
              <w:rPr>
                <w:rFonts w:asciiTheme="minorHAnsi" w:eastAsiaTheme="minorEastAsia" w:hAnsiTheme="minorHAnsi"/>
                <w:b w:val="0"/>
                <w:color w:val="auto"/>
                <w:sz w:val="22"/>
                <w:lang w:eastAsia="en-AU"/>
              </w:rPr>
              <w:tab/>
            </w:r>
            <w:r w:rsidR="00C076E7" w:rsidRPr="003971D7">
              <w:rPr>
                <w:rStyle w:val="Hyperlink"/>
              </w:rPr>
              <w:t>Incentive rates</w:t>
            </w:r>
            <w:r w:rsidR="00C076E7">
              <w:rPr>
                <w:webHidden/>
              </w:rPr>
              <w:tab/>
            </w:r>
            <w:r w:rsidR="00494DFA">
              <w:rPr>
                <w:webHidden/>
              </w:rPr>
              <w:t>11-</w:t>
            </w:r>
            <w:r w:rsidR="00C076E7">
              <w:rPr>
                <w:webHidden/>
              </w:rPr>
              <w:fldChar w:fldCharType="begin"/>
            </w:r>
            <w:r w:rsidR="00C076E7">
              <w:rPr>
                <w:webHidden/>
              </w:rPr>
              <w:instrText xml:space="preserve"> PAGEREF _Toc417638595 \h </w:instrText>
            </w:r>
            <w:r w:rsidR="00C076E7">
              <w:rPr>
                <w:webHidden/>
              </w:rPr>
            </w:r>
            <w:r w:rsidR="00C076E7">
              <w:rPr>
                <w:webHidden/>
              </w:rPr>
              <w:fldChar w:fldCharType="separate"/>
            </w:r>
            <w:r w:rsidR="00C076E7">
              <w:rPr>
                <w:webHidden/>
              </w:rPr>
              <w:t>16</w:t>
            </w:r>
            <w:r w:rsidR="00C076E7">
              <w:rPr>
                <w:webHidden/>
              </w:rPr>
              <w:fldChar w:fldCharType="end"/>
            </w:r>
          </w:hyperlink>
        </w:p>
        <w:p w:rsidR="00C076E7" w:rsidRDefault="00D541C9">
          <w:pPr>
            <w:pStyle w:val="TOC2"/>
            <w:tabs>
              <w:tab w:val="left" w:pos="1276"/>
            </w:tabs>
            <w:rPr>
              <w:rFonts w:asciiTheme="minorHAnsi" w:eastAsiaTheme="minorEastAsia" w:hAnsiTheme="minorHAnsi"/>
              <w:b w:val="0"/>
              <w:color w:val="auto"/>
              <w:sz w:val="22"/>
              <w:lang w:eastAsia="en-AU"/>
            </w:rPr>
          </w:pPr>
          <w:hyperlink w:anchor="_Toc417638596" w:history="1">
            <w:r w:rsidR="00C076E7" w:rsidRPr="003971D7">
              <w:rPr>
                <w:rStyle w:val="Hyperlink"/>
              </w:rPr>
              <w:t>11.7</w:t>
            </w:r>
            <w:r w:rsidR="00C076E7">
              <w:rPr>
                <w:rFonts w:asciiTheme="minorHAnsi" w:eastAsiaTheme="minorEastAsia" w:hAnsiTheme="minorHAnsi"/>
                <w:b w:val="0"/>
                <w:color w:val="auto"/>
                <w:sz w:val="22"/>
                <w:lang w:eastAsia="en-AU"/>
              </w:rPr>
              <w:tab/>
            </w:r>
            <w:r w:rsidR="00C076E7" w:rsidRPr="003971D7">
              <w:rPr>
                <w:rStyle w:val="Hyperlink"/>
              </w:rPr>
              <w:t>Stakeholders submissions on the STPIS</w:t>
            </w:r>
            <w:r w:rsidR="00C076E7">
              <w:rPr>
                <w:webHidden/>
              </w:rPr>
              <w:tab/>
            </w:r>
            <w:r w:rsidR="00494DFA">
              <w:rPr>
                <w:webHidden/>
              </w:rPr>
              <w:t>11-</w:t>
            </w:r>
            <w:r w:rsidR="00C076E7">
              <w:rPr>
                <w:webHidden/>
              </w:rPr>
              <w:fldChar w:fldCharType="begin"/>
            </w:r>
            <w:r w:rsidR="00C076E7">
              <w:rPr>
                <w:webHidden/>
              </w:rPr>
              <w:instrText xml:space="preserve"> PAGEREF _Toc417638596 \h </w:instrText>
            </w:r>
            <w:r w:rsidR="00C076E7">
              <w:rPr>
                <w:webHidden/>
              </w:rPr>
            </w:r>
            <w:r w:rsidR="00C076E7">
              <w:rPr>
                <w:webHidden/>
              </w:rPr>
              <w:fldChar w:fldCharType="separate"/>
            </w:r>
            <w:r w:rsidR="00C076E7">
              <w:rPr>
                <w:webHidden/>
              </w:rPr>
              <w:t>16</w:t>
            </w:r>
            <w:r w:rsidR="00C076E7">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7638579"/>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4440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B94419"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494DFA"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B94419">
              <w:t>G</w:t>
            </w:r>
            <w:r w:rsidR="00DE563D">
              <w:t>uideline for electricity distribution</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bookmarkStart w:id="9" w:name="_GoBack"/>
            <w:bookmarkEnd w:id="9"/>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B94419">
              <w:t xml:space="preserve">and </w:t>
            </w:r>
            <w:r>
              <w:t>pricing principles</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4440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44404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6F7D3C" w:rsidRDefault="00CF0373" w:rsidP="006F7D3C">
      <w:pPr>
        <w:pStyle w:val="Heading1"/>
      </w:pPr>
      <w:bookmarkStart w:id="10" w:name="_Toc417638580"/>
      <w:r w:rsidRPr="006F7D3C">
        <w:lastRenderedPageBreak/>
        <w:t>Service target performance incentive scheme</w:t>
      </w:r>
      <w:bookmarkEnd w:id="10"/>
    </w:p>
    <w:p w:rsidR="00CD49D5" w:rsidRDefault="00CD49D5" w:rsidP="00CD49D5">
      <w:r>
        <w:t>We published</w:t>
      </w:r>
      <w:r w:rsidRPr="00E73EFA">
        <w:t xml:space="preserve"> </w:t>
      </w:r>
      <w:r>
        <w:t xml:space="preserve">the current version of our national </w:t>
      </w:r>
      <w:r w:rsidRPr="00E73EFA">
        <w:t xml:space="preserve">Service Target Performance Incentive Scheme </w:t>
      </w:r>
      <w:r>
        <w:t xml:space="preserve">for electricity </w:t>
      </w:r>
      <w:r w:rsidR="0034298D">
        <w:t>distributors</w:t>
      </w:r>
      <w:r>
        <w:t xml:space="preserve">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rsidR="0034298D">
        <w:t>distributors</w:t>
      </w:r>
      <w:r w:rsidRPr="00401F71">
        <w:t xml:space="preserve"> to maintain and improve service performance where customers are willing to pay for these improvements.</w:t>
      </w:r>
      <w:r>
        <w:t xml:space="preserve"> </w:t>
      </w:r>
    </w:p>
    <w:p w:rsidR="00CD49D5" w:rsidRDefault="00CD49D5" w:rsidP="00CD49D5">
      <w:r>
        <w:t xml:space="preserve">The STPIS operates as part of the building block determination and is applied via the control mechanism. Through the S-factor component of the STPIS, </w:t>
      </w:r>
      <w:r w:rsidR="0034298D">
        <w:t>distributors</w:t>
      </w:r>
      <w:r>
        <w:t xml:space="preserve"> are penalised or rewarded for diminished or improved service performance compared to predetermined targets.</w:t>
      </w:r>
    </w:p>
    <w:p w:rsidR="00CD49D5" w:rsidRDefault="00CD49D5" w:rsidP="00CD49D5">
      <w:pPr>
        <w:numPr>
          <w:ilvl w:val="0"/>
          <w:numId w:val="25"/>
        </w:numPr>
      </w:pPr>
      <w:r>
        <w:t>Our framework and approach paper for Energex and Ergon Energy proposed to continue to apply the national STPIS to the Q</w:t>
      </w:r>
      <w:r w:rsidR="00233F47">
        <w:t xml:space="preserve">ueensland </w:t>
      </w:r>
      <w:r>
        <w:t>distributors. The framework and approach paper also proposed to:</w:t>
      </w:r>
    </w:p>
    <w:p w:rsidR="00CD49D5" w:rsidRDefault="00CD49D5" w:rsidP="00CD49D5">
      <w:pPr>
        <w:pStyle w:val="ListNumber"/>
      </w:pPr>
      <w:r>
        <w:t xml:space="preserve">apply a </w:t>
      </w:r>
      <w:r w:rsidRPr="003D6AD9">
        <w:t>±</w:t>
      </w:r>
      <w:r>
        <w:t xml:space="preserve">2 per cent financial reward or penalty based on whether the </w:t>
      </w:r>
      <w:r w:rsidR="0034298D">
        <w:t xml:space="preserve">Queensland </w:t>
      </w:r>
      <w:r>
        <w:t xml:space="preserve">distributors meet their STPIS targets, and </w:t>
      </w:r>
    </w:p>
    <w:p w:rsidR="00CD49D5" w:rsidRPr="002F4AE2" w:rsidRDefault="00CD49D5" w:rsidP="00CD49D5">
      <w:pPr>
        <w:pStyle w:val="ListNumber"/>
        <w:rPr>
          <w:rStyle w:val="AERbody"/>
        </w:rPr>
      </w:pPr>
      <w:r>
        <w:rPr>
          <w:rStyle w:val="AERbody"/>
        </w:rPr>
        <w:t>not to apply the guaranteed service level (GSL) component as the Q</w:t>
      </w:r>
      <w:r w:rsidR="0034298D">
        <w:rPr>
          <w:rStyle w:val="AERbody"/>
        </w:rPr>
        <w:t>ueensland</w:t>
      </w:r>
      <w:r>
        <w:rPr>
          <w:rStyle w:val="AERbody"/>
        </w:rPr>
        <w:t xml:space="preserve"> distributors are subject to a jurisdictional GSL scheme.</w:t>
      </w:r>
      <w:r>
        <w:rPr>
          <w:rStyle w:val="FootnoteReference"/>
        </w:rPr>
        <w:footnoteReference w:id="2"/>
      </w:r>
    </w:p>
    <w:p w:rsidR="00DE563D" w:rsidRPr="006F7D3C" w:rsidRDefault="00DE563D" w:rsidP="006F7D3C">
      <w:pPr>
        <w:pStyle w:val="Heading2"/>
      </w:pPr>
      <w:bookmarkStart w:id="11" w:name="_Toc403144136"/>
      <w:bookmarkStart w:id="12" w:name="_Toc417638581"/>
      <w:r w:rsidRPr="006F7D3C">
        <w:t>Preliminary decision</w:t>
      </w:r>
      <w:bookmarkEnd w:id="11"/>
      <w:bookmarkEnd w:id="12"/>
    </w:p>
    <w:p w:rsidR="00CD49D5" w:rsidRDefault="00A7561A" w:rsidP="00CD49D5">
      <w:r>
        <w:t>O</w:t>
      </w:r>
      <w:r w:rsidR="00892BB3">
        <w:t xml:space="preserve">ur preliminary decision is to </w:t>
      </w:r>
      <w:r w:rsidR="00CD49D5" w:rsidRPr="0035295E">
        <w:t xml:space="preserve">apply the STPIS to </w:t>
      </w:r>
      <w:r w:rsidR="00CD49D5">
        <w:t>Ergon</w:t>
      </w:r>
      <w:r w:rsidR="00C25632">
        <w:t xml:space="preserve"> Energy</w:t>
      </w:r>
      <w:r w:rsidR="00CD49D5" w:rsidRPr="0035295E">
        <w:t xml:space="preserve"> </w:t>
      </w:r>
      <w:r w:rsidR="00D159B3">
        <w:t>for the 2015-20 regulatory control period</w:t>
      </w:r>
      <w:r w:rsidR="00D6741A">
        <w:t xml:space="preserve"> </w:t>
      </w:r>
      <w:r w:rsidR="00456C53">
        <w:t>in the following way</w:t>
      </w:r>
      <w:r w:rsidR="00D6741A">
        <w:t>:</w:t>
      </w:r>
    </w:p>
    <w:p w:rsidR="00D6741A" w:rsidRPr="00D6741A" w:rsidRDefault="00D6741A" w:rsidP="00D6741A">
      <w:pPr>
        <w:pStyle w:val="AERbulletlistfirststyle"/>
        <w:rPr>
          <w:rStyle w:val="AERbody"/>
        </w:rPr>
      </w:pPr>
      <w:r w:rsidRPr="00441E9B">
        <w:rPr>
          <w:rStyle w:val="AERbody"/>
        </w:rPr>
        <w:t xml:space="preserve">set revenue at risk for </w:t>
      </w:r>
      <w:r>
        <w:rPr>
          <w:rStyle w:val="AERbody"/>
        </w:rPr>
        <w:t xml:space="preserve">Ergon Energy at the </w:t>
      </w:r>
      <w:r w:rsidRPr="00441E9B">
        <w:rPr>
          <w:rStyle w:val="AERbody"/>
        </w:rPr>
        <w:t>range ±</w:t>
      </w:r>
      <w:r w:rsidRPr="00D6741A">
        <w:rPr>
          <w:rStyle w:val="AERbody"/>
        </w:rPr>
        <w:t>2</w:t>
      </w:r>
      <w:r w:rsidR="00D75609">
        <w:rPr>
          <w:rStyle w:val="AERbody"/>
        </w:rPr>
        <w:t>.0</w:t>
      </w:r>
      <w:r w:rsidRPr="00D6741A">
        <w:rPr>
          <w:rStyle w:val="AERbody"/>
        </w:rPr>
        <w:t xml:space="preserve"> per cent</w:t>
      </w:r>
    </w:p>
    <w:p w:rsidR="00D6741A" w:rsidRPr="00D6741A" w:rsidRDefault="00D6741A" w:rsidP="00D6741A">
      <w:pPr>
        <w:pStyle w:val="AERbulletlistfirststyle"/>
      </w:pPr>
      <w:r w:rsidRPr="00C16C7B">
        <w:t xml:space="preserve">segment </w:t>
      </w:r>
      <w:r>
        <w:t xml:space="preserve">Ergon's Energy's </w:t>
      </w:r>
      <w:r w:rsidRPr="00C16C7B">
        <w:t>network according to feeder categories urban</w:t>
      </w:r>
      <w:r w:rsidRPr="00D6741A">
        <w:t xml:space="preserve">, short rural and long rural </w:t>
      </w:r>
    </w:p>
    <w:p w:rsidR="00D6741A" w:rsidRDefault="00D6741A" w:rsidP="00D6741A">
      <w:pPr>
        <w:pStyle w:val="AERbulletlistfirststyle"/>
        <w:rPr>
          <w:rStyle w:val="AERbody"/>
        </w:rPr>
      </w:pPr>
      <w:r w:rsidRPr="00C16C7B">
        <w:t>set applicable reliability of supply (</w:t>
      </w:r>
      <w:r w:rsidRPr="00D6741A">
        <w:t xml:space="preserve">system average interruption duration index or SAIDI and system average interruption frequency index or SAIFI) and </w:t>
      </w:r>
      <w:r w:rsidRPr="00D6741A">
        <w:rPr>
          <w:rStyle w:val="AERbody"/>
        </w:rPr>
        <w:t>customer service (telephone answering) parameters</w:t>
      </w:r>
    </w:p>
    <w:p w:rsidR="00D6741A" w:rsidRPr="00D6741A" w:rsidRDefault="00D6741A" w:rsidP="00D6741A">
      <w:pPr>
        <w:pStyle w:val="AERbulletlistfirststyle"/>
      </w:pPr>
      <w:r w:rsidRPr="00D6741A">
        <w:t xml:space="preserve">set performance targets based on the </w:t>
      </w:r>
      <w:r>
        <w:t>Ergon Energy's</w:t>
      </w:r>
      <w:r w:rsidRPr="00D6741A">
        <w:t xml:space="preserve"> average performance over the past five regulatory years </w:t>
      </w:r>
    </w:p>
    <w:p w:rsidR="00D6741A" w:rsidRPr="00D6741A" w:rsidRDefault="00D6741A" w:rsidP="00D6741A">
      <w:pPr>
        <w:pStyle w:val="AERbulletlistfirststyle"/>
      </w:pPr>
      <w:r w:rsidRPr="00D6741A">
        <w:t xml:space="preserve">apply the methodology indicated in the national STPIS for excluding specific events from the calculation of annual performance targets </w:t>
      </w:r>
    </w:p>
    <w:p w:rsidR="00D6741A" w:rsidRPr="00D6741A" w:rsidRDefault="00D6741A" w:rsidP="00D6741A">
      <w:pPr>
        <w:pStyle w:val="AERbulletlistfirststyle"/>
      </w:pPr>
      <w:r w:rsidRPr="00D6741A">
        <w:lastRenderedPageBreak/>
        <w:t>apply the methodology and value of customer reliability (VCR) values to the calculation of incentive rates</w:t>
      </w:r>
      <w:r w:rsidR="00456C53">
        <w:t xml:space="preserve"> using the latest estimate of VCR for Queensland</w:t>
      </w:r>
      <w:r w:rsidRPr="00D6741A">
        <w:t>.</w:t>
      </w:r>
    </w:p>
    <w:p w:rsidR="00CD49D5" w:rsidRDefault="00CD49D5" w:rsidP="00CD49D5">
      <w:pPr>
        <w:pStyle w:val="Heading3"/>
      </w:pPr>
      <w:bookmarkStart w:id="13" w:name="_Toc417638582"/>
      <w:r>
        <w:t>Revenue at risk</w:t>
      </w:r>
      <w:r>
        <w:rPr>
          <w:rStyle w:val="FootnoteReference"/>
        </w:rPr>
        <w:footnoteReference w:id="3"/>
      </w:r>
      <w:bookmarkEnd w:id="13"/>
    </w:p>
    <w:p w:rsidR="004B6A03" w:rsidRDefault="004B6A03" w:rsidP="00CD49D5">
      <w:pPr>
        <w:rPr>
          <w:rStyle w:val="AERbody"/>
        </w:rPr>
      </w:pPr>
      <w:r w:rsidRPr="00390F5A">
        <w:rPr>
          <w:rStyle w:val="AERbody"/>
        </w:rPr>
        <w:t xml:space="preserve">The maximum level of penalty or reward under the STPIS is calculated as a percentage adjustment to </w:t>
      </w:r>
      <w:r w:rsidR="00F6537B">
        <w:rPr>
          <w:rStyle w:val="AERbody"/>
        </w:rPr>
        <w:t xml:space="preserve">Ergon </w:t>
      </w:r>
      <w:r w:rsidRPr="00390F5A">
        <w:rPr>
          <w:rStyle w:val="AERbody"/>
        </w:rPr>
        <w:t>Energ</w:t>
      </w:r>
      <w:r w:rsidR="00F6537B">
        <w:rPr>
          <w:rStyle w:val="AERbody"/>
        </w:rPr>
        <w:t>y</w:t>
      </w:r>
      <w:r w:rsidRPr="00390F5A">
        <w:rPr>
          <w:rStyle w:val="AERbody"/>
        </w:rPr>
        <w:t>'s total revenue (the S-factor adjustment)</w:t>
      </w:r>
      <w:r>
        <w:rPr>
          <w:rStyle w:val="AERbody"/>
        </w:rPr>
        <w:t>. The S-factor adjustment</w:t>
      </w:r>
      <w:r w:rsidRPr="00390F5A">
        <w:rPr>
          <w:rStyle w:val="AERbody"/>
        </w:rPr>
        <w:t xml:space="preserve"> is subject to the revenue at risk cap</w:t>
      </w:r>
      <w:r>
        <w:rPr>
          <w:rStyle w:val="AERbody"/>
        </w:rPr>
        <w:t>.</w:t>
      </w:r>
    </w:p>
    <w:p w:rsidR="00CD49D5" w:rsidRDefault="00CD49D5" w:rsidP="00CD49D5">
      <w:pPr>
        <w:rPr>
          <w:rStyle w:val="AERbody"/>
        </w:rPr>
      </w:pPr>
      <w:r>
        <w:rPr>
          <w:rStyle w:val="AERbody"/>
        </w:rPr>
        <w:t xml:space="preserve">The revenue at risk for </w:t>
      </w:r>
      <w:r w:rsidR="00C25632">
        <w:rPr>
          <w:rStyle w:val="AERbody"/>
        </w:rPr>
        <w:t>Ergon Energy</w:t>
      </w:r>
      <w:r>
        <w:rPr>
          <w:rStyle w:val="AERbody"/>
        </w:rPr>
        <w:t xml:space="preserve"> for each regulatory year of the 2015–20 regulatory control period will be capped at </w:t>
      </w:r>
      <w:r w:rsidRPr="00CC262C">
        <w:rPr>
          <w:rStyle w:val="AERbody"/>
        </w:rPr>
        <w:t>±2.</w:t>
      </w:r>
      <w:r>
        <w:rPr>
          <w:rStyle w:val="AERbody"/>
        </w:rPr>
        <w:t>0</w:t>
      </w:r>
      <w:r w:rsidRPr="00CC262C">
        <w:rPr>
          <w:rStyle w:val="AERbody"/>
        </w:rPr>
        <w:t xml:space="preserve"> per cent</w:t>
      </w:r>
      <w:r>
        <w:rPr>
          <w:rStyle w:val="AERbody"/>
        </w:rPr>
        <w:t xml:space="preserve">. Within this cap, there will be a sub cap of </w:t>
      </w:r>
      <w:r w:rsidRPr="00794C57">
        <w:rPr>
          <w:rStyle w:val="AERbody"/>
        </w:rPr>
        <w:t>±</w:t>
      </w:r>
      <w:r>
        <w:rPr>
          <w:rStyle w:val="AERbody"/>
        </w:rPr>
        <w:t>1.</w:t>
      </w:r>
      <w:r w:rsidR="00160928">
        <w:rPr>
          <w:rStyle w:val="AERbody"/>
        </w:rPr>
        <w:t>8</w:t>
      </w:r>
      <w:r>
        <w:rPr>
          <w:rStyle w:val="AERbody"/>
        </w:rPr>
        <w:t xml:space="preserve"> per cent for the reliability component and </w:t>
      </w:r>
      <w:r w:rsidRPr="00794C57">
        <w:rPr>
          <w:rStyle w:val="AERbody"/>
        </w:rPr>
        <w:t>±0.</w:t>
      </w:r>
      <w:r w:rsidR="00160928">
        <w:rPr>
          <w:rStyle w:val="AERbody"/>
        </w:rPr>
        <w:t>2</w:t>
      </w:r>
      <w:r w:rsidRPr="00794C57">
        <w:rPr>
          <w:rStyle w:val="AERbody"/>
        </w:rPr>
        <w:t xml:space="preserve"> per cent </w:t>
      </w:r>
      <w:r w:rsidRPr="00C91158">
        <w:rPr>
          <w:rStyle w:val="AERbody"/>
        </w:rPr>
        <w:t>on the telephone answering parameter for performance</w:t>
      </w:r>
      <w:r w:rsidRPr="00794C57">
        <w:rPr>
          <w:rStyle w:val="AERbody"/>
        </w:rPr>
        <w:t xml:space="preserve">.  </w:t>
      </w:r>
    </w:p>
    <w:p w:rsidR="00CD49D5" w:rsidRPr="00C91158" w:rsidRDefault="00CD49D5" w:rsidP="00CD49D5">
      <w:pPr>
        <w:pStyle w:val="Heading3"/>
      </w:pPr>
      <w:bookmarkStart w:id="14" w:name="_Toc417638583"/>
      <w:r w:rsidRPr="00F955D3">
        <w:t>Incentive rates</w:t>
      </w:r>
      <w:r w:rsidRPr="00C91158">
        <w:rPr>
          <w:rStyle w:val="FootnoteReference"/>
        </w:rPr>
        <w:footnoteReference w:id="4"/>
      </w:r>
      <w:bookmarkEnd w:id="14"/>
    </w:p>
    <w:p w:rsidR="00CD49D5" w:rsidRDefault="00CD49D5" w:rsidP="00236360">
      <w:r>
        <w:t xml:space="preserve">Incentive rates are the penalty or reward that </w:t>
      </w:r>
      <w:r w:rsidR="00C25632">
        <w:t>Ergon Energy</w:t>
      </w:r>
      <w:r>
        <w:t xml:space="preserve"> receives for a single unit variation in performance. The incentive rates parameters are calculated with reference to the</w:t>
      </w:r>
      <w:r w:rsidRPr="00D95D38">
        <w:t xml:space="preserve"> V</w:t>
      </w:r>
      <w:r>
        <w:t>alue of Customer Reliability (VCR).</w:t>
      </w:r>
      <w:r w:rsidR="00E63D2F">
        <w:rPr>
          <w:rStyle w:val="FootnoteReference"/>
        </w:rPr>
        <w:footnoteReference w:id="5"/>
      </w:r>
      <w:r>
        <w:t xml:space="preserve"> We consider the most recent VCR rate</w:t>
      </w:r>
      <w:r w:rsidR="00D42F5A">
        <w:t>s published</w:t>
      </w:r>
      <w:r>
        <w:t xml:space="preserve"> </w:t>
      </w:r>
      <w:r w:rsidR="00236360">
        <w:t xml:space="preserve">by AEMO </w:t>
      </w:r>
      <w:r w:rsidR="00D6741A">
        <w:t xml:space="preserve">for Queensland </w:t>
      </w:r>
      <w:r>
        <w:t xml:space="preserve">should be applied in calculating the incentive rates because it better </w:t>
      </w:r>
      <w:r w:rsidRPr="00D95D38">
        <w:t>reflects customers' current value for reliability</w:t>
      </w:r>
      <w:r w:rsidR="00D6741A">
        <w:t xml:space="preserve"> than our national STPIS values</w:t>
      </w:r>
      <w:r w:rsidRPr="00D95D38">
        <w:t>.</w:t>
      </w:r>
      <w:r>
        <w:t xml:space="preserve"> AEMO's </w:t>
      </w:r>
      <w:r w:rsidRPr="00DD2840">
        <w:t>review process was comprehensive and included survey</w:t>
      </w:r>
      <w:r w:rsidR="00D6741A">
        <w:t>s</w:t>
      </w:r>
      <w:r w:rsidRPr="00DD2840">
        <w:t xml:space="preserve"> of </w:t>
      </w:r>
      <w:r>
        <w:t>Q</w:t>
      </w:r>
      <w:r w:rsidR="00236360">
        <w:t>ueensland</w:t>
      </w:r>
      <w:r>
        <w:t xml:space="preserve"> </w:t>
      </w:r>
      <w:r w:rsidRPr="00DD2840">
        <w:t>consumers and relies on more recent information</w:t>
      </w:r>
      <w:r w:rsidR="00D6741A">
        <w:t xml:space="preserve"> compared to our national STPIS</w:t>
      </w:r>
      <w:r w:rsidRPr="00DD2840">
        <w:t xml:space="preserve"> on the preferences of </w:t>
      </w:r>
      <w:r>
        <w:t>Q</w:t>
      </w:r>
      <w:r w:rsidR="00236360">
        <w:t xml:space="preserve">ueensland </w:t>
      </w:r>
      <w:r w:rsidRPr="00DD2840">
        <w:t>consumers</w:t>
      </w:r>
      <w:r>
        <w:t>.</w:t>
      </w:r>
      <w:r>
        <w:rPr>
          <w:rStyle w:val="FootnoteReference"/>
        </w:rPr>
        <w:footnoteReference w:id="6"/>
      </w:r>
    </w:p>
    <w:p w:rsidR="00160928" w:rsidRDefault="000345E9" w:rsidP="00CD49D5">
      <w:r>
        <w:fldChar w:fldCharType="begin"/>
      </w:r>
      <w:r>
        <w:instrText xml:space="preserve"> REF _Ref416793771 \h </w:instrText>
      </w:r>
      <w:r>
        <w:fldChar w:fldCharType="separate"/>
      </w:r>
      <w:r w:rsidR="00AE6017">
        <w:t xml:space="preserve">Table </w:t>
      </w:r>
      <w:r w:rsidR="00AE6017">
        <w:rPr>
          <w:noProof/>
        </w:rPr>
        <w:t>11</w:t>
      </w:r>
      <w:r w:rsidR="00AE6017">
        <w:t>.</w:t>
      </w:r>
      <w:r w:rsidR="00AE6017">
        <w:rPr>
          <w:noProof/>
        </w:rPr>
        <w:t>1</w:t>
      </w:r>
      <w:r>
        <w:fldChar w:fldCharType="end"/>
      </w:r>
      <w:r>
        <w:t xml:space="preserve"> </w:t>
      </w:r>
      <w:r w:rsidR="00CD49D5" w:rsidRPr="000B05E8">
        <w:t xml:space="preserve">presents </w:t>
      </w:r>
      <w:r w:rsidR="00CD49D5">
        <w:t xml:space="preserve">our </w:t>
      </w:r>
      <w:r w:rsidR="00CD49D5" w:rsidRPr="000B05E8">
        <w:t xml:space="preserve">incentive rates to apply to </w:t>
      </w:r>
      <w:r w:rsidR="00C25632">
        <w:t>Ergon Energy</w:t>
      </w:r>
      <w:r w:rsidR="00CD49D5" w:rsidRPr="000B05E8">
        <w:t>'s SAIDI and SAIFI targets. The incentive rate</w:t>
      </w:r>
      <w:r w:rsidR="00CD49D5">
        <w:t>s</w:t>
      </w:r>
      <w:r w:rsidR="00CD49D5" w:rsidRPr="000B05E8">
        <w:t xml:space="preserve"> for the telephone answering parameter will be</w:t>
      </w:r>
      <w:r w:rsidR="00160928">
        <w:t xml:space="preserve"> -0.</w:t>
      </w:r>
      <w:r w:rsidR="00F75DD0">
        <w:t>0</w:t>
      </w:r>
      <w:r w:rsidR="00160928">
        <w:t>4</w:t>
      </w:r>
      <w:r w:rsidR="00D12A7B">
        <w:t xml:space="preserve"> </w:t>
      </w:r>
      <w:r w:rsidR="00CD49D5" w:rsidRPr="000B05E8">
        <w:t>per cent per unit of the telephone answering parameter.</w:t>
      </w:r>
      <w:r w:rsidR="00CD49D5">
        <w:t xml:space="preserve"> </w:t>
      </w:r>
      <w:r w:rsidR="00A42EC3">
        <w:fldChar w:fldCharType="begin"/>
      </w:r>
      <w:r w:rsidR="00A42EC3">
        <w:instrText xml:space="preserve"> REF _Ref414546899 \h </w:instrText>
      </w:r>
      <w:r w:rsidR="00A42EC3">
        <w:fldChar w:fldCharType="separate"/>
      </w:r>
      <w:r w:rsidR="00AE6017">
        <w:t xml:space="preserve">Table </w:t>
      </w:r>
      <w:r w:rsidR="00AE6017">
        <w:rPr>
          <w:noProof/>
        </w:rPr>
        <w:t>11</w:t>
      </w:r>
      <w:r w:rsidR="00AE6017">
        <w:t>.</w:t>
      </w:r>
      <w:r w:rsidR="00AE6017">
        <w:rPr>
          <w:noProof/>
        </w:rPr>
        <w:t>2</w:t>
      </w:r>
      <w:r w:rsidR="00A42EC3">
        <w:fldChar w:fldCharType="end"/>
      </w:r>
      <w:r w:rsidR="00A42EC3">
        <w:t xml:space="preserve"> </w:t>
      </w:r>
      <w:r w:rsidR="00CD49D5">
        <w:t>outline the VCR values that were used to derive the incentive rates.</w:t>
      </w:r>
    </w:p>
    <w:p w:rsidR="00CD49D5" w:rsidRDefault="00CD49D5" w:rsidP="00CD49D5"/>
    <w:p w:rsidR="00160928" w:rsidRDefault="00160928" w:rsidP="00CD49D5"/>
    <w:p w:rsidR="00160928" w:rsidRDefault="00160928" w:rsidP="00CD49D5"/>
    <w:p w:rsidR="00CD49D5" w:rsidRPr="00A946AA" w:rsidRDefault="000345E9" w:rsidP="000345E9">
      <w:pPr>
        <w:pStyle w:val="Caption"/>
      </w:pPr>
      <w:bookmarkStart w:id="15" w:name="_Ref416793771"/>
      <w:bookmarkStart w:id="16" w:name="_Ref414546269"/>
      <w:r>
        <w:lastRenderedPageBreak/>
        <w:t xml:space="preserve">Table </w:t>
      </w:r>
      <w:r w:rsidR="00D541C9">
        <w:fldChar w:fldCharType="begin"/>
      </w:r>
      <w:r w:rsidR="00D541C9">
        <w:instrText xml:space="preserve"> STYLEREF 1 \s </w:instrText>
      </w:r>
      <w:r w:rsidR="00D541C9">
        <w:fldChar w:fldCharType="separate"/>
      </w:r>
      <w:r w:rsidR="00AE6017">
        <w:rPr>
          <w:noProof/>
        </w:rPr>
        <w:t>11</w:t>
      </w:r>
      <w:r w:rsidR="00D541C9">
        <w:rPr>
          <w:noProof/>
        </w:rPr>
        <w:fldChar w:fldCharType="end"/>
      </w:r>
      <w:r>
        <w:t>.</w:t>
      </w:r>
      <w:r w:rsidR="00D541C9">
        <w:fldChar w:fldCharType="begin"/>
      </w:r>
      <w:r w:rsidR="00D541C9">
        <w:instrText xml:space="preserve"> SEQ Table \* ARABIC \s 1 </w:instrText>
      </w:r>
      <w:r w:rsidR="00D541C9">
        <w:fldChar w:fldCharType="separate"/>
      </w:r>
      <w:r w:rsidR="00AE6017">
        <w:rPr>
          <w:noProof/>
        </w:rPr>
        <w:t>1</w:t>
      </w:r>
      <w:r w:rsidR="00D541C9">
        <w:rPr>
          <w:noProof/>
        </w:rPr>
        <w:fldChar w:fldCharType="end"/>
      </w:r>
      <w:bookmarkEnd w:id="15"/>
      <w:r w:rsidR="00160928">
        <w:t>:</w:t>
      </w:r>
      <w:r w:rsidR="00590AE7">
        <w:t xml:space="preserve"> </w:t>
      </w:r>
      <w:r w:rsidR="00CD49D5">
        <w:t>Preliminary decision of i</w:t>
      </w:r>
      <w:r w:rsidR="00CD49D5" w:rsidRPr="00A946AA">
        <w:t xml:space="preserve">ncentive rates to apply to </w:t>
      </w:r>
      <w:r w:rsidR="00C25632">
        <w:t>Ergon Energy</w:t>
      </w:r>
      <w:r w:rsidR="00CD49D5" w:rsidRPr="00A946AA">
        <w:t>'s STPIS targets</w:t>
      </w:r>
      <w:bookmarkEnd w:id="16"/>
    </w:p>
    <w:tbl>
      <w:tblPr>
        <w:tblStyle w:val="AERtable-numbers"/>
        <w:tblW w:w="5000" w:type="pct"/>
        <w:tblLook w:val="04A0" w:firstRow="1" w:lastRow="0" w:firstColumn="1" w:lastColumn="0" w:noHBand="0" w:noVBand="1"/>
      </w:tblPr>
      <w:tblGrid>
        <w:gridCol w:w="2215"/>
        <w:gridCol w:w="2161"/>
        <w:gridCol w:w="2161"/>
        <w:gridCol w:w="2156"/>
      </w:tblGrid>
      <w:tr w:rsidR="00D75609" w:rsidRPr="00A946AA" w:rsidTr="00D756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hideMark/>
          </w:tcPr>
          <w:p w:rsidR="002369E4" w:rsidRPr="002369E4" w:rsidRDefault="002369E4" w:rsidP="002369E4">
            <w:pPr>
              <w:pStyle w:val="Tabletext-centred"/>
            </w:pPr>
            <w:r w:rsidRPr="00A946AA">
              <w:t> </w:t>
            </w:r>
          </w:p>
        </w:tc>
        <w:tc>
          <w:tcPr>
            <w:tcW w:w="1243" w:type="pct"/>
            <w:hideMark/>
          </w:tcPr>
          <w:p w:rsidR="002369E4" w:rsidRPr="002369E4" w:rsidRDefault="002369E4" w:rsidP="002369E4">
            <w:pPr>
              <w:pStyle w:val="AERtabletextleft"/>
              <w:cnfStyle w:val="100000000000" w:firstRow="1" w:lastRow="0" w:firstColumn="0" w:lastColumn="0" w:oddVBand="0" w:evenVBand="0" w:oddHBand="0" w:evenHBand="0" w:firstRowFirstColumn="0" w:firstRowLastColumn="0" w:lastRowFirstColumn="0" w:lastRowLastColumn="0"/>
            </w:pPr>
            <w:r w:rsidRPr="00A946AA">
              <w:t> </w:t>
            </w:r>
            <w:r w:rsidRPr="002369E4">
              <w:t>Urban</w:t>
            </w:r>
          </w:p>
        </w:tc>
        <w:tc>
          <w:tcPr>
            <w:tcW w:w="1243" w:type="pct"/>
            <w:hideMark/>
          </w:tcPr>
          <w:p w:rsidR="002369E4" w:rsidRPr="002369E4" w:rsidRDefault="002369E4" w:rsidP="002369E4">
            <w:pPr>
              <w:pStyle w:val="AERtabletextleft"/>
              <w:cnfStyle w:val="100000000000" w:firstRow="1" w:lastRow="0" w:firstColumn="0" w:lastColumn="0" w:oddVBand="0" w:evenVBand="0" w:oddHBand="0" w:evenHBand="0" w:firstRowFirstColumn="0" w:firstRowLastColumn="0" w:lastRowFirstColumn="0" w:lastRowLastColumn="0"/>
            </w:pPr>
            <w:r>
              <w:t>Short rural</w:t>
            </w:r>
          </w:p>
        </w:tc>
        <w:tc>
          <w:tcPr>
            <w:tcW w:w="1240" w:type="pct"/>
            <w:hideMark/>
          </w:tcPr>
          <w:p w:rsidR="002369E4" w:rsidRPr="002369E4" w:rsidRDefault="002369E4" w:rsidP="002369E4">
            <w:pPr>
              <w:pStyle w:val="AERtabletextleft"/>
              <w:cnfStyle w:val="100000000000" w:firstRow="1" w:lastRow="0" w:firstColumn="0" w:lastColumn="0" w:oddVBand="0" w:evenVBand="0" w:oddHBand="0" w:evenHBand="0" w:firstRowFirstColumn="0" w:firstRowLastColumn="0" w:lastRowFirstColumn="0" w:lastRowLastColumn="0"/>
            </w:pPr>
            <w:r>
              <w:t>Long rural</w:t>
            </w:r>
          </w:p>
        </w:tc>
      </w:tr>
      <w:tr w:rsidR="0038075F" w:rsidRPr="00A946AA" w:rsidTr="0044404B">
        <w:trPr>
          <w:trHeight w:val="465"/>
        </w:trPr>
        <w:tc>
          <w:tcPr>
            <w:cnfStyle w:val="001000000000" w:firstRow="0" w:lastRow="0" w:firstColumn="1" w:lastColumn="0" w:oddVBand="0" w:evenVBand="0" w:oddHBand="0" w:evenHBand="0" w:firstRowFirstColumn="0" w:firstRowLastColumn="0" w:lastRowFirstColumn="0" w:lastRowLastColumn="0"/>
            <w:tcW w:w="1274" w:type="pct"/>
            <w:hideMark/>
          </w:tcPr>
          <w:p w:rsidR="0038075F" w:rsidRPr="0038075F" w:rsidRDefault="0038075F" w:rsidP="0038075F">
            <w:pPr>
              <w:pStyle w:val="AERtabletextleft"/>
            </w:pPr>
            <w:r w:rsidRPr="0038075F">
              <w:t>SAIDI</w:t>
            </w:r>
          </w:p>
        </w:tc>
        <w:tc>
          <w:tcPr>
            <w:tcW w:w="1243" w:type="pct"/>
          </w:tcPr>
          <w:p w:rsidR="0038075F" w:rsidRPr="0038075F" w:rsidRDefault="0038075F" w:rsidP="0038075F">
            <w:pPr>
              <w:pStyle w:val="AERtabletextright"/>
              <w:cnfStyle w:val="000000000000" w:firstRow="0" w:lastRow="0" w:firstColumn="0" w:lastColumn="0" w:oddVBand="0" w:evenVBand="0" w:oddHBand="0" w:evenHBand="0" w:firstRowFirstColumn="0" w:firstRowLastColumn="0" w:lastRowFirstColumn="0" w:lastRowLastColumn="0"/>
            </w:pPr>
            <w:r w:rsidRPr="0038075F">
              <w:t>0.0154</w:t>
            </w:r>
            <w:r w:rsidR="00AE6017">
              <w:t>1</w:t>
            </w:r>
          </w:p>
        </w:tc>
        <w:tc>
          <w:tcPr>
            <w:tcW w:w="1243" w:type="pct"/>
          </w:tcPr>
          <w:p w:rsidR="0038075F" w:rsidRPr="0038075F" w:rsidRDefault="0038075F" w:rsidP="00AE6017">
            <w:pPr>
              <w:pStyle w:val="AERtabletextright"/>
              <w:cnfStyle w:val="000000000000" w:firstRow="0" w:lastRow="0" w:firstColumn="0" w:lastColumn="0" w:oddVBand="0" w:evenVBand="0" w:oddHBand="0" w:evenHBand="0" w:firstRowFirstColumn="0" w:firstRowLastColumn="0" w:lastRowFirstColumn="0" w:lastRowLastColumn="0"/>
            </w:pPr>
            <w:r w:rsidRPr="0038075F">
              <w:t>0.015</w:t>
            </w:r>
            <w:r w:rsidR="00AE6017">
              <w:t>38</w:t>
            </w:r>
          </w:p>
        </w:tc>
        <w:tc>
          <w:tcPr>
            <w:tcW w:w="1240" w:type="pct"/>
          </w:tcPr>
          <w:p w:rsidR="0038075F" w:rsidRPr="0038075F" w:rsidRDefault="0038075F" w:rsidP="0038075F">
            <w:pPr>
              <w:pStyle w:val="AERtabletextright"/>
              <w:cnfStyle w:val="000000000000" w:firstRow="0" w:lastRow="0" w:firstColumn="0" w:lastColumn="0" w:oddVBand="0" w:evenVBand="0" w:oddHBand="0" w:evenHBand="0" w:firstRowFirstColumn="0" w:firstRowLastColumn="0" w:lastRowFirstColumn="0" w:lastRowLastColumn="0"/>
            </w:pPr>
            <w:r w:rsidRPr="0038075F">
              <w:t>0.0033</w:t>
            </w:r>
            <w:r w:rsidR="00AE6017">
              <w:t>2</w:t>
            </w:r>
          </w:p>
        </w:tc>
      </w:tr>
      <w:tr w:rsidR="0038075F" w:rsidRPr="00A946AA" w:rsidTr="00122033">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4" w:type="pct"/>
          </w:tcPr>
          <w:p w:rsidR="0038075F" w:rsidRPr="0038075F" w:rsidRDefault="0038075F" w:rsidP="0038075F">
            <w:pPr>
              <w:pStyle w:val="AERtabletextleft"/>
            </w:pPr>
            <w:r w:rsidRPr="0038075F">
              <w:t>SAIFI</w:t>
            </w:r>
          </w:p>
        </w:tc>
        <w:tc>
          <w:tcPr>
            <w:tcW w:w="1243" w:type="pct"/>
          </w:tcPr>
          <w:p w:rsidR="0038075F" w:rsidRPr="0038075F" w:rsidRDefault="0038075F" w:rsidP="0038075F">
            <w:pPr>
              <w:pStyle w:val="AERtabletextright"/>
              <w:cnfStyle w:val="000000010000" w:firstRow="0" w:lastRow="0" w:firstColumn="0" w:lastColumn="0" w:oddVBand="0" w:evenVBand="0" w:oddHBand="0" w:evenHBand="1" w:firstRowFirstColumn="0" w:firstRowLastColumn="0" w:lastRowFirstColumn="0" w:lastRowLastColumn="0"/>
            </w:pPr>
            <w:r w:rsidRPr="0038075F">
              <w:t>1.3396</w:t>
            </w:r>
            <w:r w:rsidR="00AE6017">
              <w:t>4</w:t>
            </w:r>
          </w:p>
        </w:tc>
        <w:tc>
          <w:tcPr>
            <w:tcW w:w="1243" w:type="pct"/>
          </w:tcPr>
          <w:p w:rsidR="0038075F" w:rsidRPr="0038075F" w:rsidRDefault="0038075F" w:rsidP="0038075F">
            <w:pPr>
              <w:pStyle w:val="AERtabletextright"/>
              <w:cnfStyle w:val="000000010000" w:firstRow="0" w:lastRow="0" w:firstColumn="0" w:lastColumn="0" w:oddVBand="0" w:evenVBand="0" w:oddHBand="0" w:evenHBand="1" w:firstRowFirstColumn="0" w:firstRowLastColumn="0" w:lastRowFirstColumn="0" w:lastRowLastColumn="0"/>
            </w:pPr>
            <w:r w:rsidRPr="0038075F">
              <w:t>1.7554</w:t>
            </w:r>
            <w:r w:rsidR="00AE6017">
              <w:t>3</w:t>
            </w:r>
          </w:p>
        </w:tc>
        <w:tc>
          <w:tcPr>
            <w:tcW w:w="1240" w:type="pct"/>
          </w:tcPr>
          <w:p w:rsidR="0038075F" w:rsidRPr="0038075F" w:rsidRDefault="0038075F" w:rsidP="0038075F">
            <w:pPr>
              <w:pStyle w:val="AERtabletextright"/>
              <w:cnfStyle w:val="000000010000" w:firstRow="0" w:lastRow="0" w:firstColumn="0" w:lastColumn="0" w:oddVBand="0" w:evenVBand="0" w:oddHBand="0" w:evenHBand="1" w:firstRowFirstColumn="0" w:firstRowLastColumn="0" w:lastRowFirstColumn="0" w:lastRowLastColumn="0"/>
            </w:pPr>
            <w:r w:rsidRPr="0038075F">
              <w:t>0.5007</w:t>
            </w:r>
            <w:r w:rsidR="00AE6017">
              <w:t>2</w:t>
            </w:r>
          </w:p>
        </w:tc>
      </w:tr>
    </w:tbl>
    <w:p w:rsidR="00CD49D5" w:rsidRPr="00C25632" w:rsidRDefault="00CD49D5" w:rsidP="00C25632">
      <w:pPr>
        <w:pStyle w:val="AERtablesource"/>
      </w:pPr>
      <w:r w:rsidRPr="00C25632">
        <w:t>Source</w:t>
      </w:r>
      <w:proofErr w:type="gramStart"/>
      <w:r w:rsidRPr="00C25632">
        <w:t>:</w:t>
      </w:r>
      <w:r w:rsidRPr="00C25632">
        <w:tab/>
      </w:r>
      <w:r w:rsidRPr="00C25632">
        <w:rPr>
          <w:rStyle w:val="EndnoteReference"/>
          <w:vertAlign w:val="baseline"/>
        </w:rPr>
        <w:t>AER Analysis</w:t>
      </w:r>
      <w:r w:rsidR="008F504A">
        <w:t>.</w:t>
      </w:r>
      <w:proofErr w:type="gramEnd"/>
    </w:p>
    <w:p w:rsidR="00CD49D5" w:rsidRPr="00A946AA" w:rsidRDefault="00A42EC3" w:rsidP="00CD49D5">
      <w:pPr>
        <w:pStyle w:val="Caption"/>
      </w:pPr>
      <w:bookmarkStart w:id="17" w:name="_Ref414546899"/>
      <w:proofErr w:type="gramStart"/>
      <w:r>
        <w:t xml:space="preserve">Table </w:t>
      </w:r>
      <w:r w:rsidR="00D541C9">
        <w:fldChar w:fldCharType="begin"/>
      </w:r>
      <w:r w:rsidR="00D541C9">
        <w:instrText xml:space="preserve"> STYLEREF 1 \s </w:instrText>
      </w:r>
      <w:r w:rsidR="00D541C9">
        <w:fldChar w:fldCharType="separate"/>
      </w:r>
      <w:r w:rsidR="00AE6017">
        <w:rPr>
          <w:noProof/>
        </w:rPr>
        <w:t>11</w:t>
      </w:r>
      <w:r w:rsidR="00D541C9">
        <w:rPr>
          <w:noProof/>
        </w:rPr>
        <w:fldChar w:fldCharType="end"/>
      </w:r>
      <w:r w:rsidR="000345E9">
        <w:t>.</w:t>
      </w:r>
      <w:proofErr w:type="gramEnd"/>
      <w:r w:rsidR="008F504A">
        <w:fldChar w:fldCharType="begin"/>
      </w:r>
      <w:r w:rsidR="008F504A">
        <w:instrText xml:space="preserve"> SEQ Table \* ARABIC \s 1 </w:instrText>
      </w:r>
      <w:r w:rsidR="008F504A">
        <w:fldChar w:fldCharType="separate"/>
      </w:r>
      <w:r w:rsidR="00AE6017">
        <w:rPr>
          <w:noProof/>
        </w:rPr>
        <w:t>2</w:t>
      </w:r>
      <w:r w:rsidR="008F504A">
        <w:rPr>
          <w:noProof/>
        </w:rPr>
        <w:fldChar w:fldCharType="end"/>
      </w:r>
      <w:bookmarkEnd w:id="17"/>
      <w:r w:rsidR="00160928">
        <w:t>:</w:t>
      </w:r>
      <w:r>
        <w:t xml:space="preserve"> </w:t>
      </w:r>
      <w:r w:rsidR="00CD49D5">
        <w:t>Value of customer reliability</w:t>
      </w:r>
    </w:p>
    <w:tbl>
      <w:tblPr>
        <w:tblStyle w:val="AERtable-numbers"/>
        <w:tblW w:w="5000" w:type="pct"/>
        <w:tblLook w:val="04A0" w:firstRow="1" w:lastRow="0" w:firstColumn="1" w:lastColumn="0" w:noHBand="0" w:noVBand="1"/>
      </w:tblPr>
      <w:tblGrid>
        <w:gridCol w:w="2215"/>
        <w:gridCol w:w="2161"/>
        <w:gridCol w:w="2161"/>
        <w:gridCol w:w="2156"/>
      </w:tblGrid>
      <w:tr w:rsidR="002369E4" w:rsidRPr="00A946AA" w:rsidTr="00D756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tcPr>
          <w:p w:rsidR="002369E4" w:rsidRPr="00CD49D5" w:rsidRDefault="002369E4" w:rsidP="002369E4">
            <w:pPr>
              <w:pStyle w:val="AERtabletextright"/>
            </w:pPr>
          </w:p>
        </w:tc>
        <w:tc>
          <w:tcPr>
            <w:tcW w:w="1243" w:type="pct"/>
          </w:tcPr>
          <w:p w:rsidR="002369E4" w:rsidRPr="002369E4" w:rsidRDefault="002369E4" w:rsidP="002369E4">
            <w:pPr>
              <w:pStyle w:val="AERtabletextright"/>
              <w:cnfStyle w:val="100000000000" w:firstRow="1" w:lastRow="0" w:firstColumn="0" w:lastColumn="0" w:oddVBand="0" w:evenVBand="0" w:oddHBand="0" w:evenHBand="0" w:firstRowFirstColumn="0" w:firstRowLastColumn="0" w:lastRowFirstColumn="0" w:lastRowLastColumn="0"/>
            </w:pPr>
            <w:r w:rsidRPr="00A946AA">
              <w:t> </w:t>
            </w:r>
            <w:r w:rsidRPr="002369E4">
              <w:t>Urban</w:t>
            </w:r>
          </w:p>
        </w:tc>
        <w:tc>
          <w:tcPr>
            <w:tcW w:w="1243" w:type="pct"/>
          </w:tcPr>
          <w:p w:rsidR="002369E4" w:rsidRPr="002369E4" w:rsidRDefault="002369E4" w:rsidP="002369E4">
            <w:pPr>
              <w:pStyle w:val="AERtabletextright"/>
              <w:cnfStyle w:val="100000000000" w:firstRow="1" w:lastRow="0" w:firstColumn="0" w:lastColumn="0" w:oddVBand="0" w:evenVBand="0" w:oddHBand="0" w:evenHBand="0" w:firstRowFirstColumn="0" w:firstRowLastColumn="0" w:lastRowFirstColumn="0" w:lastRowLastColumn="0"/>
            </w:pPr>
            <w:r>
              <w:t>Short rural</w:t>
            </w:r>
          </w:p>
        </w:tc>
        <w:tc>
          <w:tcPr>
            <w:tcW w:w="1240" w:type="pct"/>
          </w:tcPr>
          <w:p w:rsidR="002369E4" w:rsidRPr="002369E4" w:rsidRDefault="002369E4" w:rsidP="002369E4">
            <w:pPr>
              <w:pStyle w:val="AERtabletextright"/>
              <w:cnfStyle w:val="100000000000" w:firstRow="1" w:lastRow="0" w:firstColumn="0" w:lastColumn="0" w:oddVBand="0" w:evenVBand="0" w:oddHBand="0" w:evenHBand="0" w:firstRowFirstColumn="0" w:firstRowLastColumn="0" w:lastRowFirstColumn="0" w:lastRowLastColumn="0"/>
            </w:pPr>
            <w:r>
              <w:t>Long rural</w:t>
            </w:r>
          </w:p>
        </w:tc>
      </w:tr>
      <w:tr w:rsidR="002369E4" w:rsidRPr="00A946AA" w:rsidTr="00D75609">
        <w:trPr>
          <w:trHeight w:val="465"/>
        </w:trPr>
        <w:tc>
          <w:tcPr>
            <w:cnfStyle w:val="001000000000" w:firstRow="0" w:lastRow="0" w:firstColumn="1" w:lastColumn="0" w:oddVBand="0" w:evenVBand="0" w:oddHBand="0" w:evenHBand="0" w:firstRowFirstColumn="0" w:firstRowLastColumn="0" w:lastRowFirstColumn="0" w:lastRowLastColumn="0"/>
            <w:tcW w:w="1274" w:type="pct"/>
            <w:hideMark/>
          </w:tcPr>
          <w:p w:rsidR="002369E4" w:rsidRPr="002369E4" w:rsidRDefault="002369E4" w:rsidP="002369E4">
            <w:pPr>
              <w:pStyle w:val="AERtabletextleft"/>
            </w:pPr>
            <w:r>
              <w:t>VCR</w:t>
            </w:r>
          </w:p>
        </w:tc>
        <w:tc>
          <w:tcPr>
            <w:tcW w:w="1243" w:type="pct"/>
            <w:hideMark/>
          </w:tcPr>
          <w:p w:rsidR="002369E4" w:rsidRPr="002369E4" w:rsidRDefault="002369E4" w:rsidP="00603C32">
            <w:pPr>
              <w:pStyle w:val="AERtabletextright"/>
              <w:cnfStyle w:val="000000000000" w:firstRow="0" w:lastRow="0" w:firstColumn="0" w:lastColumn="0" w:oddVBand="0" w:evenVBand="0" w:oddHBand="0" w:evenHBand="0" w:firstRowFirstColumn="0" w:firstRowLastColumn="0" w:lastRowFirstColumn="0" w:lastRowLastColumn="0"/>
            </w:pPr>
            <w:r>
              <w:t>$</w:t>
            </w:r>
            <w:r w:rsidR="001738E5">
              <w:t>40,20</w:t>
            </w:r>
            <w:r w:rsidR="00603C32">
              <w:t>6</w:t>
            </w:r>
          </w:p>
        </w:tc>
        <w:tc>
          <w:tcPr>
            <w:tcW w:w="1243" w:type="pct"/>
            <w:hideMark/>
          </w:tcPr>
          <w:p w:rsidR="002369E4" w:rsidRPr="002369E4" w:rsidRDefault="001738E5" w:rsidP="00603C32">
            <w:pPr>
              <w:pStyle w:val="AERtabletextright"/>
              <w:cnfStyle w:val="000000000000" w:firstRow="0" w:lastRow="0" w:firstColumn="0" w:lastColumn="0" w:oddVBand="0" w:evenVBand="0" w:oddHBand="0" w:evenHBand="0" w:firstRowFirstColumn="0" w:firstRowLastColumn="0" w:lastRowFirstColumn="0" w:lastRowLastColumn="0"/>
            </w:pPr>
            <w:r>
              <w:t>$</w:t>
            </w:r>
            <w:r w:rsidRPr="001738E5">
              <w:t>40,20</w:t>
            </w:r>
            <w:r w:rsidR="00603C32">
              <w:t>6</w:t>
            </w:r>
          </w:p>
        </w:tc>
        <w:tc>
          <w:tcPr>
            <w:tcW w:w="1240" w:type="pct"/>
            <w:hideMark/>
          </w:tcPr>
          <w:p w:rsidR="002369E4" w:rsidRPr="002369E4" w:rsidRDefault="001738E5" w:rsidP="002369E4">
            <w:pPr>
              <w:pStyle w:val="AERtabletextright"/>
              <w:cnfStyle w:val="000000000000" w:firstRow="0" w:lastRow="0" w:firstColumn="0" w:lastColumn="0" w:oddVBand="0" w:evenVBand="0" w:oddHBand="0" w:evenHBand="0" w:firstRowFirstColumn="0" w:firstRowLastColumn="0" w:lastRowFirstColumn="0" w:lastRowLastColumn="0"/>
            </w:pPr>
            <w:r>
              <w:t>$</w:t>
            </w:r>
            <w:r w:rsidRPr="001738E5">
              <w:t>40,20</w:t>
            </w:r>
            <w:r w:rsidR="00603C32">
              <w:t>6</w:t>
            </w:r>
          </w:p>
        </w:tc>
      </w:tr>
    </w:tbl>
    <w:p w:rsidR="00CD49D5" w:rsidRPr="00C25632" w:rsidRDefault="00CD49D5" w:rsidP="002369E4">
      <w:pPr>
        <w:pStyle w:val="AERtablesource"/>
      </w:pPr>
      <w:r w:rsidRPr="00C25632">
        <w:t>Source:</w:t>
      </w:r>
      <w:r w:rsidRPr="00C25632">
        <w:tab/>
      </w:r>
      <w:r w:rsidRPr="00C25632">
        <w:rPr>
          <w:rStyle w:val="EndnoteReference"/>
          <w:vertAlign w:val="baseline"/>
        </w:rPr>
        <w:t>A</w:t>
      </w:r>
      <w:r w:rsidR="002369E4">
        <w:rPr>
          <w:rStyle w:val="EndnoteReference"/>
          <w:vertAlign w:val="baseline"/>
        </w:rPr>
        <w:t xml:space="preserve">EMO, </w:t>
      </w:r>
      <w:r w:rsidR="002369E4" w:rsidRPr="002369E4">
        <w:t>V</w:t>
      </w:r>
      <w:r w:rsidR="002369E4">
        <w:t xml:space="preserve">alue of customer reliability review, final report, </w:t>
      </w:r>
      <w:r w:rsidR="002369E4" w:rsidRPr="002369E4">
        <w:t>September 2014</w:t>
      </w:r>
      <w:r w:rsidR="002369E4">
        <w:t>, p. 30.</w:t>
      </w:r>
      <w:r w:rsidR="00165357">
        <w:t xml:space="preserve"> </w:t>
      </w:r>
      <w:r w:rsidR="00A6745F">
        <w:t>VCR values have been e</w:t>
      </w:r>
      <w:r w:rsidR="00165357">
        <w:t>scalated to the March 2015 quarter.</w:t>
      </w:r>
    </w:p>
    <w:p w:rsidR="00CD49D5" w:rsidRPr="000D12B9" w:rsidRDefault="00CD49D5" w:rsidP="00CD49D5">
      <w:pPr>
        <w:pStyle w:val="Heading3"/>
      </w:pPr>
      <w:bookmarkStart w:id="18" w:name="_Toc417638584"/>
      <w:r w:rsidRPr="00F955D3">
        <w:t>Performance targets</w:t>
      </w:r>
      <w:r w:rsidRPr="000D12B9">
        <w:rPr>
          <w:rStyle w:val="FootnoteReference"/>
        </w:rPr>
        <w:footnoteReference w:id="7"/>
      </w:r>
      <w:bookmarkEnd w:id="18"/>
    </w:p>
    <w:p w:rsidR="00FF4C65" w:rsidRPr="00FF4C65" w:rsidRDefault="00FF4C65" w:rsidP="00FF4C65">
      <w:r w:rsidRPr="00FF4C65">
        <w:t>We will apply the System Average Interruption Duration Index (SAIDI) and System Average Interruption Frequency Index (SAIFI) reliability of supply parameters.</w:t>
      </w:r>
      <w:r w:rsidR="00456C53">
        <w:t xml:space="preserve"> The targets will be set by reference to Ergon Energy's reliability performance in the previous regulatory </w:t>
      </w:r>
      <w:r w:rsidR="00CD528E">
        <w:t xml:space="preserve">control </w:t>
      </w:r>
      <w:r w:rsidR="00456C53">
        <w:t>period.</w:t>
      </w:r>
    </w:p>
    <w:p w:rsidR="00FF4C65" w:rsidRPr="00FF4C65" w:rsidRDefault="00FF4C65" w:rsidP="00FF4C65">
      <w:r w:rsidRPr="00FF4C65">
        <w:t>We will also apply the telephone answering parameter, but not the STPIS Guaranteed Service Level (GSL) scheme. This is because Ergon Energy must comply with the existing jurisdictional GSL scheme.</w:t>
      </w:r>
      <w:r w:rsidRPr="00FF4C65">
        <w:rPr>
          <w:rStyle w:val="FootnoteReference"/>
        </w:rPr>
        <w:footnoteReference w:id="8"/>
      </w:r>
      <w:r w:rsidRPr="00FF4C65">
        <w:t xml:space="preserve"> </w:t>
      </w:r>
    </w:p>
    <w:p w:rsidR="00CD49D5" w:rsidRPr="000B05E8" w:rsidRDefault="00CD49D5" w:rsidP="00CD49D5">
      <w:r>
        <w:t xml:space="preserve">Our preliminary </w:t>
      </w:r>
      <w:r w:rsidRPr="000B05E8">
        <w:t xml:space="preserve">determination on the performance targets for </w:t>
      </w:r>
      <w:r w:rsidR="00C25632">
        <w:t>Ergon Energy</w:t>
      </w:r>
      <w:r w:rsidRPr="000B05E8">
        <w:t>'s STPIS parameters</w:t>
      </w:r>
      <w:r w:rsidR="0044404B">
        <w:t xml:space="preserve"> based on our calculation results</w:t>
      </w:r>
      <w:r>
        <w:t xml:space="preserve"> are presented on </w:t>
      </w:r>
      <w:r w:rsidR="000345E9">
        <w:fldChar w:fldCharType="begin"/>
      </w:r>
      <w:r w:rsidR="000345E9">
        <w:instrText xml:space="preserve"> REF  _Ref414546814 \* FirstCap \h </w:instrText>
      </w:r>
      <w:r w:rsidR="000345E9">
        <w:fldChar w:fldCharType="separate"/>
      </w:r>
      <w:r w:rsidR="00AE6017">
        <w:t xml:space="preserve">Table </w:t>
      </w:r>
      <w:r w:rsidR="00AE6017">
        <w:rPr>
          <w:noProof/>
        </w:rPr>
        <w:t>11</w:t>
      </w:r>
      <w:r w:rsidR="00AE6017">
        <w:t>.</w:t>
      </w:r>
      <w:r w:rsidR="00AE6017">
        <w:rPr>
          <w:noProof/>
        </w:rPr>
        <w:t>3</w:t>
      </w:r>
      <w:r w:rsidR="000345E9">
        <w:fldChar w:fldCharType="end"/>
      </w:r>
      <w:r w:rsidR="00A42EC3">
        <w:t>.</w:t>
      </w:r>
    </w:p>
    <w:p w:rsidR="00CD49D5" w:rsidRPr="000D12B9" w:rsidRDefault="00590AE7" w:rsidP="00590AE7">
      <w:pPr>
        <w:pStyle w:val="Caption"/>
      </w:pPr>
      <w:bookmarkStart w:id="19" w:name="_Ref414546814"/>
      <w:bookmarkStart w:id="20" w:name="_Ref321144991"/>
      <w:r>
        <w:t xml:space="preserve">Table </w:t>
      </w:r>
      <w:r w:rsidR="00D541C9">
        <w:fldChar w:fldCharType="begin"/>
      </w:r>
      <w:r w:rsidR="00D541C9">
        <w:instrText xml:space="preserve"> STYLEREF 1 \s </w:instrText>
      </w:r>
      <w:r w:rsidR="00D541C9">
        <w:fldChar w:fldCharType="separate"/>
      </w:r>
      <w:r w:rsidR="00AE6017">
        <w:rPr>
          <w:noProof/>
        </w:rPr>
        <w:t>11</w:t>
      </w:r>
      <w:r w:rsidR="00D541C9">
        <w:rPr>
          <w:noProof/>
        </w:rPr>
        <w:fldChar w:fldCharType="end"/>
      </w:r>
      <w:r w:rsidR="000345E9">
        <w:t>.</w:t>
      </w:r>
      <w:r w:rsidR="00D541C9">
        <w:fldChar w:fldCharType="begin"/>
      </w:r>
      <w:r w:rsidR="00D541C9">
        <w:instrText xml:space="preserve"> SEQ Table \* ARABIC \s 1 </w:instrText>
      </w:r>
      <w:r w:rsidR="00D541C9">
        <w:fldChar w:fldCharType="separate"/>
      </w:r>
      <w:r w:rsidR="00AE6017">
        <w:rPr>
          <w:noProof/>
        </w:rPr>
        <w:t>3</w:t>
      </w:r>
      <w:r w:rsidR="00D541C9">
        <w:rPr>
          <w:noProof/>
        </w:rPr>
        <w:fldChar w:fldCharType="end"/>
      </w:r>
      <w:bookmarkEnd w:id="19"/>
      <w:r w:rsidR="000345E9">
        <w:t>:</w:t>
      </w:r>
      <w:r>
        <w:tab/>
      </w:r>
      <w:r w:rsidR="00CD49D5">
        <w:t>Preliminary decision o</w:t>
      </w:r>
      <w:r w:rsidR="00CD49D5" w:rsidRPr="000D12B9">
        <w:t xml:space="preserve">f </w:t>
      </w:r>
      <w:r w:rsidR="00C25632">
        <w:t>Ergon Energy</w:t>
      </w:r>
      <w:r w:rsidR="00CD49D5" w:rsidRPr="000D12B9">
        <w:t>'s SAIDI and SAIFI targets</w:t>
      </w:r>
      <w:bookmarkEnd w:id="20"/>
    </w:p>
    <w:tbl>
      <w:tblPr>
        <w:tblStyle w:val="AERtable-numbers"/>
        <w:tblW w:w="5000" w:type="pct"/>
        <w:tblLook w:val="04A0" w:firstRow="1" w:lastRow="0" w:firstColumn="1" w:lastColumn="0" w:noHBand="0" w:noVBand="1"/>
      </w:tblPr>
      <w:tblGrid>
        <w:gridCol w:w="1267"/>
        <w:gridCol w:w="1238"/>
        <w:gridCol w:w="1238"/>
        <w:gridCol w:w="1238"/>
        <w:gridCol w:w="1238"/>
        <w:gridCol w:w="1238"/>
        <w:gridCol w:w="1236"/>
      </w:tblGrid>
      <w:tr w:rsidR="00CD49D5" w:rsidRPr="00A946AA" w:rsidTr="0044404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9" w:type="pct"/>
            <w:hideMark/>
          </w:tcPr>
          <w:p w:rsidR="00CD49D5" w:rsidRPr="00CD49D5" w:rsidRDefault="00CD49D5" w:rsidP="00CD49D5">
            <w:pPr>
              <w:pStyle w:val="AERtabletextright"/>
            </w:pPr>
            <w:r w:rsidRPr="0049622C">
              <w:t> </w:t>
            </w:r>
          </w:p>
        </w:tc>
        <w:tc>
          <w:tcPr>
            <w:tcW w:w="2136" w:type="pct"/>
            <w:gridSpan w:val="3"/>
            <w:tcBorders>
              <w:right w:val="single" w:sz="4" w:space="0" w:color="auto"/>
            </w:tcBorders>
            <w:hideMark/>
          </w:tcPr>
          <w:p w:rsidR="00CD49D5" w:rsidRPr="00CD49D5" w:rsidRDefault="00CD49D5" w:rsidP="00CD49D5">
            <w:pPr>
              <w:pStyle w:val="Tabletext-centred"/>
              <w:cnfStyle w:val="100000000000" w:firstRow="1" w:lastRow="0" w:firstColumn="0" w:lastColumn="0" w:oddVBand="0" w:evenVBand="0" w:oddHBand="0" w:evenHBand="0" w:firstRowFirstColumn="0" w:firstRowLastColumn="0" w:lastRowFirstColumn="0" w:lastRowLastColumn="0"/>
            </w:pPr>
            <w:r w:rsidRPr="0049622C">
              <w:t xml:space="preserve">SAIDI (Minutes p.a.) </w:t>
            </w:r>
          </w:p>
        </w:tc>
        <w:tc>
          <w:tcPr>
            <w:tcW w:w="2135" w:type="pct"/>
            <w:gridSpan w:val="3"/>
            <w:tcBorders>
              <w:left w:val="single" w:sz="4" w:space="0" w:color="auto"/>
            </w:tcBorders>
            <w:hideMark/>
          </w:tcPr>
          <w:p w:rsidR="00CD49D5" w:rsidRPr="00CD49D5" w:rsidRDefault="00CD49D5" w:rsidP="00CD49D5">
            <w:pPr>
              <w:pStyle w:val="Tabletext-centred"/>
              <w:cnfStyle w:val="100000000000" w:firstRow="1" w:lastRow="0" w:firstColumn="0" w:lastColumn="0" w:oddVBand="0" w:evenVBand="0" w:oddHBand="0" w:evenHBand="0" w:firstRowFirstColumn="0" w:firstRowLastColumn="0" w:lastRowFirstColumn="0" w:lastRowLastColumn="0"/>
            </w:pPr>
            <w:r w:rsidRPr="0049622C">
              <w:t>SAIFI (Interruptions p.a.)</w:t>
            </w:r>
          </w:p>
        </w:tc>
      </w:tr>
      <w:tr w:rsidR="002369E4" w:rsidRPr="00A946AA" w:rsidTr="0044404B">
        <w:trPr>
          <w:trHeight w:val="300"/>
        </w:trPr>
        <w:tc>
          <w:tcPr>
            <w:cnfStyle w:val="001000000000" w:firstRow="0" w:lastRow="0" w:firstColumn="1" w:lastColumn="0" w:oddVBand="0" w:evenVBand="0" w:oddHBand="0" w:evenHBand="0" w:firstRowFirstColumn="0" w:firstRowLastColumn="0" w:lastRowFirstColumn="0" w:lastRowLastColumn="0"/>
            <w:tcW w:w="729" w:type="pct"/>
            <w:hideMark/>
          </w:tcPr>
          <w:p w:rsidR="002369E4" w:rsidRPr="002369E4" w:rsidRDefault="002369E4" w:rsidP="002369E4">
            <w:pPr>
              <w:pStyle w:val="Tabletext-centred"/>
            </w:pPr>
            <w:r w:rsidRPr="0049622C">
              <w:t> </w:t>
            </w:r>
          </w:p>
        </w:tc>
        <w:tc>
          <w:tcPr>
            <w:tcW w:w="712" w:type="pct"/>
            <w:hideMark/>
          </w:tcPr>
          <w:p w:rsidR="002369E4" w:rsidRPr="002369E4" w:rsidRDefault="002369E4" w:rsidP="002369E4">
            <w:pPr>
              <w:pStyle w:val="AERtabletextright"/>
              <w:cnfStyle w:val="000000000000" w:firstRow="0" w:lastRow="0" w:firstColumn="0" w:lastColumn="0" w:oddVBand="0" w:evenVBand="0" w:oddHBand="0" w:evenHBand="0" w:firstRowFirstColumn="0" w:firstRowLastColumn="0" w:lastRowFirstColumn="0" w:lastRowLastColumn="0"/>
            </w:pPr>
            <w:r w:rsidRPr="00A946AA">
              <w:t> </w:t>
            </w:r>
            <w:r w:rsidRPr="002369E4">
              <w:t>Urban</w:t>
            </w:r>
          </w:p>
        </w:tc>
        <w:tc>
          <w:tcPr>
            <w:tcW w:w="712" w:type="pct"/>
            <w:hideMark/>
          </w:tcPr>
          <w:p w:rsidR="002369E4" w:rsidRPr="002369E4" w:rsidRDefault="002369E4" w:rsidP="002369E4">
            <w:pPr>
              <w:pStyle w:val="AERtabletextright"/>
              <w:cnfStyle w:val="000000000000" w:firstRow="0" w:lastRow="0" w:firstColumn="0" w:lastColumn="0" w:oddVBand="0" w:evenVBand="0" w:oddHBand="0" w:evenHBand="0" w:firstRowFirstColumn="0" w:firstRowLastColumn="0" w:lastRowFirstColumn="0" w:lastRowLastColumn="0"/>
            </w:pPr>
            <w:r>
              <w:t>Short rural</w:t>
            </w:r>
          </w:p>
        </w:tc>
        <w:tc>
          <w:tcPr>
            <w:tcW w:w="712" w:type="pct"/>
            <w:tcBorders>
              <w:right w:val="single" w:sz="4" w:space="0" w:color="auto"/>
            </w:tcBorders>
            <w:hideMark/>
          </w:tcPr>
          <w:p w:rsidR="002369E4" w:rsidRPr="002369E4" w:rsidRDefault="002369E4" w:rsidP="002369E4">
            <w:pPr>
              <w:pStyle w:val="AERtabletextright"/>
              <w:cnfStyle w:val="000000000000" w:firstRow="0" w:lastRow="0" w:firstColumn="0" w:lastColumn="0" w:oddVBand="0" w:evenVBand="0" w:oddHBand="0" w:evenHBand="0" w:firstRowFirstColumn="0" w:firstRowLastColumn="0" w:lastRowFirstColumn="0" w:lastRowLastColumn="0"/>
            </w:pPr>
            <w:r>
              <w:t>Long rural</w:t>
            </w:r>
          </w:p>
        </w:tc>
        <w:tc>
          <w:tcPr>
            <w:tcW w:w="712" w:type="pct"/>
            <w:tcBorders>
              <w:left w:val="single" w:sz="4" w:space="0" w:color="auto"/>
            </w:tcBorders>
            <w:hideMark/>
          </w:tcPr>
          <w:p w:rsidR="002369E4" w:rsidRPr="002369E4" w:rsidRDefault="002369E4" w:rsidP="002369E4">
            <w:pPr>
              <w:pStyle w:val="AERtabletextright"/>
              <w:cnfStyle w:val="000000000000" w:firstRow="0" w:lastRow="0" w:firstColumn="0" w:lastColumn="0" w:oddVBand="0" w:evenVBand="0" w:oddHBand="0" w:evenHBand="0" w:firstRowFirstColumn="0" w:firstRowLastColumn="0" w:lastRowFirstColumn="0" w:lastRowLastColumn="0"/>
            </w:pPr>
            <w:r w:rsidRPr="00A946AA">
              <w:t> </w:t>
            </w:r>
            <w:r w:rsidRPr="002369E4">
              <w:t>Urban</w:t>
            </w:r>
          </w:p>
        </w:tc>
        <w:tc>
          <w:tcPr>
            <w:tcW w:w="712" w:type="pct"/>
            <w:hideMark/>
          </w:tcPr>
          <w:p w:rsidR="002369E4" w:rsidRPr="002369E4" w:rsidRDefault="002369E4" w:rsidP="002369E4">
            <w:pPr>
              <w:pStyle w:val="AERtabletextright"/>
              <w:cnfStyle w:val="000000000000" w:firstRow="0" w:lastRow="0" w:firstColumn="0" w:lastColumn="0" w:oddVBand="0" w:evenVBand="0" w:oddHBand="0" w:evenHBand="0" w:firstRowFirstColumn="0" w:firstRowLastColumn="0" w:lastRowFirstColumn="0" w:lastRowLastColumn="0"/>
            </w:pPr>
            <w:r>
              <w:t>Short rural</w:t>
            </w:r>
          </w:p>
        </w:tc>
        <w:tc>
          <w:tcPr>
            <w:tcW w:w="711" w:type="pct"/>
            <w:hideMark/>
          </w:tcPr>
          <w:p w:rsidR="002369E4" w:rsidRPr="002369E4" w:rsidRDefault="002369E4" w:rsidP="002369E4">
            <w:pPr>
              <w:pStyle w:val="AERtabletextright"/>
              <w:cnfStyle w:val="000000000000" w:firstRow="0" w:lastRow="0" w:firstColumn="0" w:lastColumn="0" w:oddVBand="0" w:evenVBand="0" w:oddHBand="0" w:evenHBand="0" w:firstRowFirstColumn="0" w:firstRowLastColumn="0" w:lastRowFirstColumn="0" w:lastRowLastColumn="0"/>
            </w:pPr>
            <w:r>
              <w:t>Long rural</w:t>
            </w:r>
          </w:p>
        </w:tc>
      </w:tr>
      <w:tr w:rsidR="002968EA" w:rsidRPr="00A946AA" w:rsidTr="0044404B">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29" w:type="pct"/>
            <w:hideMark/>
          </w:tcPr>
          <w:p w:rsidR="002968EA" w:rsidRPr="002968EA" w:rsidRDefault="002968EA" w:rsidP="002968EA">
            <w:pPr>
              <w:pStyle w:val="AERtabletextleft"/>
            </w:pPr>
            <w:r w:rsidRPr="002968EA">
              <w:t>Preliminary  decision</w:t>
            </w:r>
          </w:p>
        </w:tc>
        <w:tc>
          <w:tcPr>
            <w:tcW w:w="712" w:type="pct"/>
          </w:tcPr>
          <w:p w:rsidR="002968EA" w:rsidRPr="002968EA" w:rsidRDefault="002968EA" w:rsidP="002968EA">
            <w:pPr>
              <w:pStyle w:val="AERtabletextright"/>
              <w:cnfStyle w:val="000000010000" w:firstRow="0" w:lastRow="0" w:firstColumn="0" w:lastColumn="0" w:oddVBand="0" w:evenVBand="0" w:oddHBand="0" w:evenHBand="1" w:firstRowFirstColumn="0" w:firstRowLastColumn="0" w:lastRowFirstColumn="0" w:lastRowLastColumn="0"/>
            </w:pPr>
            <w:r w:rsidRPr="002968EA">
              <w:t>126.73</w:t>
            </w:r>
          </w:p>
        </w:tc>
        <w:tc>
          <w:tcPr>
            <w:tcW w:w="712" w:type="pct"/>
          </w:tcPr>
          <w:p w:rsidR="002968EA" w:rsidRPr="002968EA" w:rsidRDefault="002968EA" w:rsidP="002968EA">
            <w:pPr>
              <w:pStyle w:val="AERtabletextright"/>
              <w:cnfStyle w:val="000000010000" w:firstRow="0" w:lastRow="0" w:firstColumn="0" w:lastColumn="0" w:oddVBand="0" w:evenVBand="0" w:oddHBand="0" w:evenHBand="1" w:firstRowFirstColumn="0" w:firstRowLastColumn="0" w:lastRowFirstColumn="0" w:lastRowLastColumn="0"/>
            </w:pPr>
            <w:r w:rsidRPr="002968EA">
              <w:t>317.06</w:t>
            </w:r>
          </w:p>
        </w:tc>
        <w:tc>
          <w:tcPr>
            <w:tcW w:w="712" w:type="pct"/>
            <w:tcBorders>
              <w:right w:val="single" w:sz="4" w:space="0" w:color="auto"/>
            </w:tcBorders>
          </w:tcPr>
          <w:p w:rsidR="002968EA" w:rsidRPr="002968EA" w:rsidRDefault="002968EA" w:rsidP="002968EA">
            <w:pPr>
              <w:pStyle w:val="AERtabletextright"/>
              <w:cnfStyle w:val="000000010000" w:firstRow="0" w:lastRow="0" w:firstColumn="0" w:lastColumn="0" w:oddVBand="0" w:evenVBand="0" w:oddHBand="0" w:evenHBand="1" w:firstRowFirstColumn="0" w:firstRowLastColumn="0" w:lastRowFirstColumn="0" w:lastRowLastColumn="0"/>
            </w:pPr>
            <w:r w:rsidRPr="002968EA">
              <w:t>742.47</w:t>
            </w:r>
          </w:p>
        </w:tc>
        <w:tc>
          <w:tcPr>
            <w:tcW w:w="712" w:type="pct"/>
            <w:tcBorders>
              <w:left w:val="single" w:sz="4" w:space="0" w:color="auto"/>
            </w:tcBorders>
          </w:tcPr>
          <w:p w:rsidR="002968EA" w:rsidRPr="002968EA" w:rsidRDefault="002968EA" w:rsidP="002968EA">
            <w:pPr>
              <w:pStyle w:val="AERtabletextright"/>
              <w:cnfStyle w:val="000000010000" w:firstRow="0" w:lastRow="0" w:firstColumn="0" w:lastColumn="0" w:oddVBand="0" w:evenVBand="0" w:oddHBand="0" w:evenHBand="1" w:firstRowFirstColumn="0" w:firstRowLastColumn="0" w:lastRowFirstColumn="0" w:lastRowLastColumn="0"/>
            </w:pPr>
            <w:r w:rsidRPr="002968EA">
              <w:t>1.503</w:t>
            </w:r>
          </w:p>
        </w:tc>
        <w:tc>
          <w:tcPr>
            <w:tcW w:w="712" w:type="pct"/>
          </w:tcPr>
          <w:p w:rsidR="002968EA" w:rsidRPr="002968EA" w:rsidRDefault="002968EA" w:rsidP="002968EA">
            <w:pPr>
              <w:pStyle w:val="AERtabletextright"/>
              <w:cnfStyle w:val="000000010000" w:firstRow="0" w:lastRow="0" w:firstColumn="0" w:lastColumn="0" w:oddVBand="0" w:evenVBand="0" w:oddHBand="0" w:evenHBand="1" w:firstRowFirstColumn="0" w:firstRowLastColumn="0" w:lastRowFirstColumn="0" w:lastRowLastColumn="0"/>
            </w:pPr>
            <w:r w:rsidRPr="002968EA">
              <w:t>3.019</w:t>
            </w:r>
          </w:p>
        </w:tc>
        <w:tc>
          <w:tcPr>
            <w:tcW w:w="711" w:type="pct"/>
          </w:tcPr>
          <w:p w:rsidR="002968EA" w:rsidRPr="002968EA" w:rsidRDefault="002968EA" w:rsidP="002968EA">
            <w:pPr>
              <w:pStyle w:val="AERtabletextright"/>
              <w:cnfStyle w:val="000000010000" w:firstRow="0" w:lastRow="0" w:firstColumn="0" w:lastColumn="0" w:oddVBand="0" w:evenVBand="0" w:oddHBand="0" w:evenHBand="1" w:firstRowFirstColumn="0" w:firstRowLastColumn="0" w:lastRowFirstColumn="0" w:lastRowLastColumn="0"/>
            </w:pPr>
            <w:r w:rsidRPr="002968EA">
              <w:t>5.348</w:t>
            </w:r>
          </w:p>
        </w:tc>
      </w:tr>
    </w:tbl>
    <w:p w:rsidR="00CD49D5" w:rsidRDefault="00CD49D5" w:rsidP="00CD49D5">
      <w:pPr>
        <w:pStyle w:val="AERtablesource"/>
      </w:pPr>
      <w:r>
        <w:t xml:space="preserve">Source: </w:t>
      </w:r>
      <w:r>
        <w:tab/>
        <w:t>AER analysis.</w:t>
      </w:r>
    </w:p>
    <w:p w:rsidR="00CD49D5" w:rsidRPr="00494DFA" w:rsidRDefault="00CD49D5" w:rsidP="00494DFA">
      <w:pPr>
        <w:pStyle w:val="HeadingBoldItalic"/>
      </w:pPr>
      <w:r w:rsidRPr="00494DFA">
        <w:lastRenderedPageBreak/>
        <w:t>Telephone answering</w:t>
      </w:r>
    </w:p>
    <w:p w:rsidR="00CD49D5" w:rsidRDefault="00CD49D5" w:rsidP="00CD49D5">
      <w:r w:rsidRPr="001F1259">
        <w:t xml:space="preserve">We will apply the telephone answering parameter to </w:t>
      </w:r>
      <w:r w:rsidR="00C25632">
        <w:t>Ergon Energy</w:t>
      </w:r>
      <w:r w:rsidRPr="001F1259">
        <w:t xml:space="preserve">. We accept </w:t>
      </w:r>
      <w:r w:rsidR="00C25632">
        <w:t>Ergon Energy</w:t>
      </w:r>
      <w:r w:rsidRPr="001F1259">
        <w:t>'s pro</w:t>
      </w:r>
      <w:r w:rsidR="002369E4">
        <w:t>posed performance target that 77.3</w:t>
      </w:r>
      <w:r w:rsidRPr="001F1259">
        <w:t xml:space="preserve"> per cent of calls will be answered within 30 seconds</w:t>
      </w:r>
      <w:r>
        <w:t>.</w:t>
      </w:r>
      <w:r>
        <w:rPr>
          <w:rStyle w:val="FootnoteReference"/>
        </w:rPr>
        <w:footnoteReference w:id="9"/>
      </w:r>
    </w:p>
    <w:p w:rsidR="00F73E84" w:rsidRPr="00494DFA" w:rsidRDefault="00C25632" w:rsidP="00494DFA">
      <w:pPr>
        <w:pStyle w:val="HeadingBoldItalic"/>
      </w:pPr>
      <w:r w:rsidRPr="00494DFA">
        <w:t>Ergon Energy</w:t>
      </w:r>
      <w:r w:rsidR="00CD49D5" w:rsidRPr="00494DFA">
        <w:t>'s historical performance against the AER's targets</w:t>
      </w:r>
    </w:p>
    <w:p w:rsidR="00F73E84" w:rsidRDefault="00CD528E" w:rsidP="00F73E84">
      <w:r>
        <w:fldChar w:fldCharType="begin"/>
      </w:r>
      <w:r>
        <w:instrText xml:space="preserve"> REF _Ref416788618 \h </w:instrText>
      </w:r>
      <w:r>
        <w:fldChar w:fldCharType="separate"/>
      </w:r>
      <w:r w:rsidR="00AE6017">
        <w:t xml:space="preserve">Figure </w:t>
      </w:r>
      <w:r w:rsidR="00AE6017">
        <w:rPr>
          <w:noProof/>
        </w:rPr>
        <w:t>11</w:t>
      </w:r>
      <w:r w:rsidR="00AE6017">
        <w:t>.</w:t>
      </w:r>
      <w:r w:rsidR="00AE6017">
        <w:rPr>
          <w:noProof/>
        </w:rPr>
        <w:t>1</w:t>
      </w:r>
      <w:r>
        <w:fldChar w:fldCharType="end"/>
      </w:r>
      <w:r>
        <w:t xml:space="preserve"> </w:t>
      </w:r>
      <w:r w:rsidR="00F73E84">
        <w:t>show</w:t>
      </w:r>
      <w:r w:rsidR="004B6A03">
        <w:t xml:space="preserve">s that </w:t>
      </w:r>
      <w:r w:rsidR="00F73E84">
        <w:t xml:space="preserve">Ergon Energy's </w:t>
      </w:r>
      <w:r w:rsidR="00F73E84" w:rsidRPr="00F73E84">
        <w:t xml:space="preserve">network performance in </w:t>
      </w:r>
      <w:r w:rsidR="00F73E84">
        <w:t xml:space="preserve">the current regulatory period </w:t>
      </w:r>
      <w:r w:rsidR="00F73E84" w:rsidRPr="00F73E84">
        <w:t xml:space="preserve">has been </w:t>
      </w:r>
      <w:r w:rsidR="00CB0711">
        <w:t xml:space="preserve">better than </w:t>
      </w:r>
      <w:r w:rsidR="00F73E84" w:rsidRPr="00F73E84">
        <w:t>the STPIS targets</w:t>
      </w:r>
      <w:r w:rsidR="00F73E84">
        <w:t xml:space="preserve">. This has </w:t>
      </w:r>
      <w:r w:rsidR="00F73E84" w:rsidRPr="00F73E84">
        <w:t xml:space="preserve">resulted in </w:t>
      </w:r>
      <w:r w:rsidR="00F73E84">
        <w:t xml:space="preserve">a </w:t>
      </w:r>
      <w:r w:rsidR="00F73E84" w:rsidRPr="00F73E84">
        <w:t>net positive revenue adjustment under the STPIS.</w:t>
      </w:r>
      <w:r w:rsidR="00F73E84">
        <w:t xml:space="preserve"> Ergon Energy stated that t</w:t>
      </w:r>
      <w:r w:rsidR="00F73E84" w:rsidRPr="00F73E84">
        <w:t>he favourable network performance is attributed to a sustained period of benign weather.</w:t>
      </w:r>
      <w:r w:rsidR="00F73E84">
        <w:rPr>
          <w:rStyle w:val="FootnoteReference"/>
        </w:rPr>
        <w:footnoteReference w:id="10"/>
      </w:r>
    </w:p>
    <w:p w:rsidR="00926934" w:rsidRDefault="00926934" w:rsidP="00F73E84">
      <w:r>
        <w:t>The STPIS targets for the next regulatory period have been adjusted to reflect Ergon Energy's performance. That is</w:t>
      </w:r>
      <w:r w:rsidR="00D12A7B">
        <w:t>,</w:t>
      </w:r>
      <w:r>
        <w:t xml:space="preserve"> the STPIS targets have been tightened </w:t>
      </w:r>
      <w:r w:rsidR="00C23655">
        <w:t xml:space="preserve">in accordance with the scheme </w:t>
      </w:r>
      <w:r>
        <w:t xml:space="preserve">to reflect Ergon Energy's </w:t>
      </w:r>
      <w:r w:rsidR="00D12A7B">
        <w:t xml:space="preserve">historical </w:t>
      </w:r>
      <w:r>
        <w:t>performance.</w:t>
      </w:r>
      <w:r w:rsidR="00CB0711">
        <w:rPr>
          <w:rStyle w:val="FootnoteReference"/>
        </w:rPr>
        <w:footnoteReference w:id="11"/>
      </w:r>
    </w:p>
    <w:p w:rsidR="00A91590" w:rsidRDefault="00A91590">
      <w:pPr>
        <w:spacing w:line="240" w:lineRule="auto"/>
        <w:rPr>
          <w:rFonts w:eastAsiaTheme="majorEastAsia" w:cstheme="majorBidi"/>
          <w:b/>
          <w:color w:val="170017" w:themeColor="accent1" w:themeShade="7F"/>
        </w:rPr>
      </w:pPr>
      <w:r>
        <w:br w:type="page"/>
      </w:r>
    </w:p>
    <w:p w:rsidR="004B6A03" w:rsidRDefault="00CD528E" w:rsidP="00CD528E">
      <w:pPr>
        <w:pStyle w:val="Caption"/>
      </w:pPr>
      <w:bookmarkStart w:id="21" w:name="_Ref416788618"/>
      <w:r>
        <w:lastRenderedPageBreak/>
        <w:t xml:space="preserve">Figure </w:t>
      </w:r>
      <w:r w:rsidR="00D541C9">
        <w:fldChar w:fldCharType="begin"/>
      </w:r>
      <w:r w:rsidR="00D541C9">
        <w:instrText xml:space="preserve"> STYLEREF 1 \s </w:instrText>
      </w:r>
      <w:r w:rsidR="00D541C9">
        <w:fldChar w:fldCharType="separate"/>
      </w:r>
      <w:r w:rsidR="00AE6017">
        <w:rPr>
          <w:noProof/>
        </w:rPr>
        <w:t>11</w:t>
      </w:r>
      <w:r w:rsidR="00D541C9">
        <w:rPr>
          <w:noProof/>
        </w:rPr>
        <w:fldChar w:fldCharType="end"/>
      </w:r>
      <w:r>
        <w:t>.</w:t>
      </w:r>
      <w:r w:rsidR="00D541C9">
        <w:fldChar w:fldCharType="begin"/>
      </w:r>
      <w:r w:rsidR="00D541C9">
        <w:instrText xml:space="preserve"> SEQ Figure \* ARABIC \s 1 </w:instrText>
      </w:r>
      <w:r w:rsidR="00D541C9">
        <w:fldChar w:fldCharType="separate"/>
      </w:r>
      <w:r w:rsidR="00AE6017">
        <w:rPr>
          <w:noProof/>
        </w:rPr>
        <w:t>1</w:t>
      </w:r>
      <w:r w:rsidR="00D541C9">
        <w:rPr>
          <w:noProof/>
        </w:rPr>
        <w:fldChar w:fldCharType="end"/>
      </w:r>
      <w:bookmarkEnd w:id="21"/>
      <w:r>
        <w:t xml:space="preserve">: </w:t>
      </w:r>
      <w:r w:rsidR="004B6A03">
        <w:t>Ergon Energy</w:t>
      </w:r>
      <w:r w:rsidR="008A2D0C">
        <w:t>'s</w:t>
      </w:r>
      <w:r w:rsidR="004B6A03">
        <w:t xml:space="preserve"> historical </w:t>
      </w:r>
      <w:r w:rsidR="008A2D0C">
        <w:t xml:space="preserve">outcomes against the performance </w:t>
      </w:r>
    </w:p>
    <w:p w:rsidR="00DE563D" w:rsidRDefault="009F2BA5" w:rsidP="00DE563D">
      <w:r>
        <w:rPr>
          <w:noProof/>
          <w:lang w:eastAsia="en-AU"/>
        </w:rPr>
        <w:drawing>
          <wp:inline distT="0" distB="0" distL="0" distR="0" wp14:anchorId="79C17C13" wp14:editId="0EC1D85F">
            <wp:extent cx="2658675" cy="1723756"/>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054" cy="1724001"/>
                    </a:xfrm>
                    <a:prstGeom prst="rect">
                      <a:avLst/>
                    </a:prstGeom>
                    <a:noFill/>
                  </pic:spPr>
                </pic:pic>
              </a:graphicData>
            </a:graphic>
          </wp:inline>
        </w:drawing>
      </w:r>
      <w:r>
        <w:rPr>
          <w:noProof/>
          <w:lang w:eastAsia="en-AU"/>
        </w:rPr>
        <w:drawing>
          <wp:inline distT="0" distB="0" distL="0" distR="0" wp14:anchorId="3D96648B" wp14:editId="4D9BEC88">
            <wp:extent cx="2658675" cy="1709666"/>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9054" cy="1709909"/>
                    </a:xfrm>
                    <a:prstGeom prst="rect">
                      <a:avLst/>
                    </a:prstGeom>
                    <a:noFill/>
                  </pic:spPr>
                </pic:pic>
              </a:graphicData>
            </a:graphic>
          </wp:inline>
        </w:drawing>
      </w:r>
    </w:p>
    <w:p w:rsidR="009F2BA5" w:rsidRDefault="009F2BA5" w:rsidP="00DE563D">
      <w:r>
        <w:rPr>
          <w:noProof/>
          <w:lang w:eastAsia="en-AU"/>
        </w:rPr>
        <w:drawing>
          <wp:inline distT="0" distB="0" distL="0" distR="0" wp14:anchorId="71CDF48C" wp14:editId="052B8238">
            <wp:extent cx="2474259" cy="16041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4613" cy="1604419"/>
                    </a:xfrm>
                    <a:prstGeom prst="rect">
                      <a:avLst/>
                    </a:prstGeom>
                    <a:noFill/>
                  </pic:spPr>
                </pic:pic>
              </a:graphicData>
            </a:graphic>
          </wp:inline>
        </w:drawing>
      </w:r>
      <w:r>
        <w:rPr>
          <w:noProof/>
          <w:lang w:eastAsia="en-AU"/>
        </w:rPr>
        <w:drawing>
          <wp:inline distT="0" distB="0" distL="0" distR="0" wp14:anchorId="712F4C46" wp14:editId="3E8E0088">
            <wp:extent cx="2528047" cy="162566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5761" cy="1630626"/>
                    </a:xfrm>
                    <a:prstGeom prst="rect">
                      <a:avLst/>
                    </a:prstGeom>
                    <a:noFill/>
                  </pic:spPr>
                </pic:pic>
              </a:graphicData>
            </a:graphic>
          </wp:inline>
        </w:drawing>
      </w:r>
    </w:p>
    <w:p w:rsidR="002369E4" w:rsidRDefault="009F2BA5" w:rsidP="00DE563D">
      <w:r>
        <w:rPr>
          <w:noProof/>
          <w:lang w:eastAsia="en-AU"/>
        </w:rPr>
        <w:drawing>
          <wp:inline distT="0" distB="0" distL="0" distR="0" wp14:anchorId="68B738D8" wp14:editId="580CB5B2">
            <wp:extent cx="2551099" cy="1654009"/>
            <wp:effectExtent l="0" t="0" r="190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1462" cy="1654244"/>
                    </a:xfrm>
                    <a:prstGeom prst="rect">
                      <a:avLst/>
                    </a:prstGeom>
                    <a:noFill/>
                  </pic:spPr>
                </pic:pic>
              </a:graphicData>
            </a:graphic>
          </wp:inline>
        </w:drawing>
      </w:r>
      <w:r>
        <w:rPr>
          <w:noProof/>
          <w:lang w:eastAsia="en-AU"/>
        </w:rPr>
        <w:drawing>
          <wp:inline distT="0" distB="0" distL="0" distR="0" wp14:anchorId="7AA357D6" wp14:editId="676D9557">
            <wp:extent cx="2535731" cy="1630606"/>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6092" cy="1630838"/>
                    </a:xfrm>
                    <a:prstGeom prst="rect">
                      <a:avLst/>
                    </a:prstGeom>
                    <a:noFill/>
                  </pic:spPr>
                </pic:pic>
              </a:graphicData>
            </a:graphic>
          </wp:inline>
        </w:drawing>
      </w:r>
    </w:p>
    <w:p w:rsidR="00CB0711" w:rsidRDefault="00CB0711" w:rsidP="00160928">
      <w:pPr>
        <w:pStyle w:val="AERtablesource"/>
      </w:pPr>
      <w:r>
        <w:t>Source: AER analysis</w:t>
      </w:r>
      <w:r w:rsidR="008F504A">
        <w:t>.</w:t>
      </w:r>
    </w:p>
    <w:p w:rsidR="00DE563D" w:rsidRPr="006F7D3C" w:rsidRDefault="001201F1" w:rsidP="006F7D3C">
      <w:pPr>
        <w:pStyle w:val="Heading2"/>
      </w:pPr>
      <w:bookmarkStart w:id="22" w:name="_Toc403144137"/>
      <w:bookmarkStart w:id="23" w:name="_Toc417638585"/>
      <w:r w:rsidRPr="006F7D3C">
        <w:t>E</w:t>
      </w:r>
      <w:r w:rsidR="00E57429" w:rsidRPr="006F7D3C">
        <w:t>rgon Energy's</w:t>
      </w:r>
      <w:r w:rsidR="00DE563D" w:rsidRPr="006F7D3C">
        <w:t xml:space="preserve"> proposal</w:t>
      </w:r>
      <w:bookmarkEnd w:id="22"/>
      <w:bookmarkEnd w:id="23"/>
    </w:p>
    <w:p w:rsidR="00DE563D" w:rsidRDefault="00CD49D5" w:rsidP="00DE563D">
      <w:r>
        <w:t>Ergon Energy</w:t>
      </w:r>
      <w:r w:rsidR="008A2D0C">
        <w:t>'s</w:t>
      </w:r>
      <w:r>
        <w:t xml:space="preserve"> </w:t>
      </w:r>
      <w:r w:rsidR="00513BAC">
        <w:t>regulatory proposal supported</w:t>
      </w:r>
      <w:r>
        <w:t xml:space="preserve"> our </w:t>
      </w:r>
      <w:r w:rsidR="00BE76DF">
        <w:t>f</w:t>
      </w:r>
      <w:r>
        <w:t xml:space="preserve">ramework and </w:t>
      </w:r>
      <w:r w:rsidR="00BE76DF">
        <w:t>a</w:t>
      </w:r>
      <w:r>
        <w:t>pproach proposal to continue to apply the national STPIS for the 2015/16 to 2019/20 regulatory control period.</w:t>
      </w:r>
      <w:r>
        <w:rPr>
          <w:rStyle w:val="FootnoteReference"/>
        </w:rPr>
        <w:footnoteReference w:id="12"/>
      </w:r>
    </w:p>
    <w:p w:rsidR="00834894" w:rsidRDefault="00277752" w:rsidP="00DE563D">
      <w:r>
        <w:t xml:space="preserve">Ergon </w:t>
      </w:r>
      <w:r w:rsidR="00E6483C">
        <w:t xml:space="preserve">Energy </w:t>
      </w:r>
      <w:r>
        <w:t xml:space="preserve">proposed to </w:t>
      </w:r>
      <w:r w:rsidR="00834894">
        <w:t>set</w:t>
      </w:r>
      <w:r>
        <w:t xml:space="preserve"> </w:t>
      </w:r>
      <w:r w:rsidR="00834894">
        <w:t xml:space="preserve">its performance targets based on </w:t>
      </w:r>
      <w:r w:rsidR="00BA7473">
        <w:t>historical</w:t>
      </w:r>
      <w:r w:rsidR="00834894">
        <w:t xml:space="preserve"> average performance</w:t>
      </w:r>
      <w:r w:rsidR="001219D6">
        <w:t xml:space="preserve">. It </w:t>
      </w:r>
      <w:r w:rsidR="00B81A22">
        <w:t xml:space="preserve">initially </w:t>
      </w:r>
      <w:r w:rsidR="001219D6">
        <w:t xml:space="preserve">proposed to adjust these </w:t>
      </w:r>
      <w:r w:rsidR="00834894">
        <w:t>performance targets</w:t>
      </w:r>
      <w:r w:rsidR="001219D6">
        <w:t xml:space="preserve"> to reflect the benefits that will be realised from its additional investment from </w:t>
      </w:r>
      <w:r w:rsidR="00B81A22">
        <w:t>reliability improvement</w:t>
      </w:r>
      <w:r w:rsidR="001219D6">
        <w:t xml:space="preserve"> </w:t>
      </w:r>
      <w:r w:rsidR="001219D6">
        <w:lastRenderedPageBreak/>
        <w:t>capex</w:t>
      </w:r>
      <w:r w:rsidR="00B81A22">
        <w:t>. Ergon Energy subsequently withdrew its proposal to adjust the performance targets for the next regulatory control period because the STPIS does not require it to modify these targets for additional investment in reliability improvement capex</w:t>
      </w:r>
      <w:r w:rsidR="001219D6">
        <w:t>.</w:t>
      </w:r>
      <w:r w:rsidR="00B81A22">
        <w:t xml:space="preserve"> Our discussions about adjustments can be found in section </w:t>
      </w:r>
      <w:r w:rsidR="002C242F">
        <w:fldChar w:fldCharType="begin"/>
      </w:r>
      <w:r w:rsidR="002C242F">
        <w:instrText xml:space="preserve"> REF  elevenpointfourpointtwo \h \r </w:instrText>
      </w:r>
      <w:r w:rsidR="002C242F">
        <w:fldChar w:fldCharType="separate"/>
      </w:r>
      <w:r w:rsidR="002C242F">
        <w:t>11.4.2</w:t>
      </w:r>
      <w:r w:rsidR="002C242F">
        <w:fldChar w:fldCharType="end"/>
      </w:r>
      <w:r w:rsidR="00B81A22">
        <w:t xml:space="preserve"> below.</w:t>
      </w:r>
      <w:r w:rsidR="00B81A22">
        <w:rPr>
          <w:rStyle w:val="FootnoteReference"/>
        </w:rPr>
        <w:footnoteReference w:id="13"/>
      </w:r>
      <w:r w:rsidR="00B81A22">
        <w:t xml:space="preserve"> </w:t>
      </w:r>
    </w:p>
    <w:p w:rsidR="00DE563D" w:rsidRPr="006F7D3C" w:rsidRDefault="00DE563D" w:rsidP="006F7D3C">
      <w:pPr>
        <w:pStyle w:val="Heading2"/>
      </w:pPr>
      <w:bookmarkStart w:id="24" w:name="_Toc403144138"/>
      <w:bookmarkStart w:id="25" w:name="_Toc417638586"/>
      <w:r w:rsidRPr="006F7D3C">
        <w:t>AER’s assessment approach</w:t>
      </w:r>
      <w:bookmarkEnd w:id="24"/>
      <w:bookmarkEnd w:id="25"/>
    </w:p>
    <w:p w:rsidR="00BE76DF" w:rsidRPr="00BE76DF" w:rsidRDefault="005F31E4" w:rsidP="00CD528E">
      <w:r>
        <w:t>We are required to make a decision on how the STPIS is to apply to Ergon Energy.</w:t>
      </w:r>
      <w:r>
        <w:rPr>
          <w:rStyle w:val="FootnoteReference"/>
        </w:rPr>
        <w:footnoteReference w:id="14"/>
      </w:r>
      <w:r>
        <w:t xml:space="preserve"> </w:t>
      </w:r>
      <w:r w:rsidR="005539D3">
        <w:t xml:space="preserve">When </w:t>
      </w:r>
      <w:r>
        <w:t xml:space="preserve">making a distribution determination, </w:t>
      </w:r>
      <w:r w:rsidR="005539D3">
        <w:t xml:space="preserve">the STPIS requires us </w:t>
      </w:r>
      <w:r>
        <w:t xml:space="preserve">to </w:t>
      </w:r>
      <w:r w:rsidR="00BE76DF" w:rsidRPr="00543215">
        <w:t>determine</w:t>
      </w:r>
      <w:r w:rsidR="00BE76DF" w:rsidRPr="00BE76DF">
        <w:t xml:space="preserve"> all performance targets, incentive rates, revenue at risk and other parameters required to apply the scheme</w:t>
      </w:r>
      <w:r>
        <w:t>.</w:t>
      </w:r>
      <w:r w:rsidR="00BE76DF" w:rsidRPr="00BE76DF">
        <w:rPr>
          <w:rStyle w:val="FootnoteReference"/>
        </w:rPr>
        <w:footnoteReference w:id="15"/>
      </w:r>
    </w:p>
    <w:p w:rsidR="00BE76DF" w:rsidRDefault="00BE76DF" w:rsidP="00BE76DF">
      <w:r>
        <w:t>We</w:t>
      </w:r>
      <w:r w:rsidRPr="00543215">
        <w:t xml:space="preserve"> outlined </w:t>
      </w:r>
      <w:r>
        <w:t xml:space="preserve">our </w:t>
      </w:r>
      <w:r w:rsidR="005F31E4">
        <w:t xml:space="preserve">proposed </w:t>
      </w:r>
      <w:r w:rsidRPr="00543215">
        <w:t xml:space="preserve">approach </w:t>
      </w:r>
      <w:r w:rsidR="005F31E4">
        <w:t xml:space="preserve">to, </w:t>
      </w:r>
      <w:r>
        <w:t xml:space="preserve">and justification </w:t>
      </w:r>
      <w:r w:rsidR="005F31E4">
        <w:t xml:space="preserve">for, </w:t>
      </w:r>
      <w:r w:rsidRPr="00543215">
        <w:t xml:space="preserve">the application of the STPIS in </w:t>
      </w:r>
      <w:r>
        <w:t>our</w:t>
      </w:r>
      <w:r w:rsidRPr="00543215">
        <w:t xml:space="preserve"> framework and approach paper for </w:t>
      </w:r>
      <w:r>
        <w:t>Energex and Ergon Energy</w:t>
      </w:r>
      <w:r w:rsidRPr="00543215">
        <w:t xml:space="preserve">. </w:t>
      </w:r>
      <w:r>
        <w:t xml:space="preserve">Our preliminary decision </w:t>
      </w:r>
      <w:r w:rsidRPr="00543215">
        <w:t xml:space="preserve">has adopted the position in the framework and approach paper, unless new information has become available or new arguments have been </w:t>
      </w:r>
      <w:r w:rsidR="005F31E4">
        <w:t xml:space="preserve">put </w:t>
      </w:r>
      <w:r w:rsidRPr="00543215">
        <w:t xml:space="preserve">forward which warrant a reconsideration of this position. </w:t>
      </w:r>
      <w:r w:rsidR="005539D3">
        <w:t>We have considered material submitted to us by Ergon Energy and by stakeholders</w:t>
      </w:r>
      <w:r w:rsidR="005539D3" w:rsidRPr="00543215">
        <w:t>.</w:t>
      </w:r>
      <w:r w:rsidRPr="00543215">
        <w:t xml:space="preserve"> </w:t>
      </w:r>
    </w:p>
    <w:p w:rsidR="00D0609F" w:rsidRDefault="00D0609F" w:rsidP="00D40EEE">
      <w:pPr>
        <w:pStyle w:val="Heading3"/>
      </w:pPr>
      <w:bookmarkStart w:id="26" w:name="_Ref415585970"/>
      <w:bookmarkStart w:id="27" w:name="_Toc417638587"/>
      <w:r>
        <w:t>Interrelationship</w:t>
      </w:r>
      <w:r w:rsidR="002204A1">
        <w:t xml:space="preserve"> with other incentive schemes</w:t>
      </w:r>
      <w:bookmarkEnd w:id="26"/>
      <w:bookmarkEnd w:id="27"/>
    </w:p>
    <w:p w:rsidR="002204A1" w:rsidRPr="002204A1" w:rsidRDefault="002204A1" w:rsidP="002204A1">
      <w:pPr>
        <w:rPr>
          <w:rStyle w:val="AERbody"/>
        </w:rPr>
      </w:pPr>
      <w:r w:rsidRPr="002204A1">
        <w:rPr>
          <w:rStyle w:val="AERbody"/>
        </w:rPr>
        <w:t>In applying the STPIS we must consider any other incentives available to the distributor under the NER or relevant distribution determination.</w:t>
      </w:r>
      <w:r w:rsidR="00907CE9">
        <w:rPr>
          <w:rStyle w:val="FootnoteReference"/>
        </w:rPr>
        <w:footnoteReference w:id="16"/>
      </w:r>
      <w:r w:rsidR="00907CE9" w:rsidRPr="002204A1">
        <w:rPr>
          <w:rStyle w:val="AERbody"/>
        </w:rPr>
        <w:t xml:space="preserve"> </w:t>
      </w:r>
      <w:r w:rsidRPr="002204A1">
        <w:rPr>
          <w:rStyle w:val="AERbody"/>
        </w:rPr>
        <w:t xml:space="preserve">One of the objectives of the STPIS is to ensure that the incentives are sufficient to offset any financial incentives the </w:t>
      </w:r>
      <w:r w:rsidR="00E47342">
        <w:rPr>
          <w:rStyle w:val="AERbody"/>
        </w:rPr>
        <w:t>distributor</w:t>
      </w:r>
      <w:r w:rsidRPr="002204A1">
        <w:rPr>
          <w:rStyle w:val="AERbody"/>
        </w:rPr>
        <w:t xml:space="preserve"> may have to reduce costs at the expense of service levels.</w:t>
      </w:r>
      <w:r w:rsidR="00907CE9">
        <w:rPr>
          <w:rStyle w:val="FootnoteReference"/>
        </w:rPr>
        <w:footnoteReference w:id="17"/>
      </w:r>
      <w:r w:rsidR="00907CE9" w:rsidRPr="002204A1">
        <w:rPr>
          <w:rStyle w:val="AERbody"/>
        </w:rPr>
        <w:t xml:space="preserve"> </w:t>
      </w:r>
      <w:r w:rsidRPr="002204A1">
        <w:rPr>
          <w:rStyle w:val="AERbody"/>
        </w:rPr>
        <w:t xml:space="preserve"> For the 2015–</w:t>
      </w:r>
      <w:r w:rsidR="00EA776F">
        <w:rPr>
          <w:rStyle w:val="AERbody"/>
        </w:rPr>
        <w:t>20</w:t>
      </w:r>
      <w:r w:rsidRPr="002204A1">
        <w:rPr>
          <w:rStyle w:val="AERbody"/>
        </w:rPr>
        <w:t xml:space="preserve"> regulatory control period, the STPIS will interact with the Capital Expenditure Sharing Scheme (CESS)</w:t>
      </w:r>
      <w:r w:rsidR="00C23655">
        <w:rPr>
          <w:rStyle w:val="AERbody"/>
        </w:rPr>
        <w:t xml:space="preserve">.  However, for this period we will not apply </w:t>
      </w:r>
      <w:r w:rsidRPr="002204A1">
        <w:rPr>
          <w:rStyle w:val="AERbody"/>
        </w:rPr>
        <w:t>the opex Expenditure Benefit Sharing Scheme (EBSS).</w:t>
      </w:r>
    </w:p>
    <w:p w:rsidR="002204A1" w:rsidRPr="002204A1" w:rsidRDefault="002204A1" w:rsidP="002204A1">
      <w:pPr>
        <w:rPr>
          <w:rStyle w:val="AERbody"/>
        </w:rPr>
      </w:pPr>
      <w:r w:rsidRPr="002204A1">
        <w:rPr>
          <w:rStyle w:val="AERbody"/>
        </w:rPr>
        <w:t xml:space="preserve">The rewards and penalties amounts under STPIS are determined based on the average customer value </w:t>
      </w:r>
      <w:r w:rsidR="00E47342">
        <w:rPr>
          <w:rStyle w:val="AERbody"/>
        </w:rPr>
        <w:t>for</w:t>
      </w:r>
      <w:r w:rsidRPr="002204A1">
        <w:rPr>
          <w:rStyle w:val="AERbody"/>
        </w:rPr>
        <w:t xml:space="preserve"> the improvement, or otherwise, to supply reliability (the VCR). This </w:t>
      </w:r>
      <w:r w:rsidR="005173E1">
        <w:rPr>
          <w:rStyle w:val="AERbody"/>
        </w:rPr>
        <w:t xml:space="preserve">is aimed at </w:t>
      </w:r>
      <w:r w:rsidRPr="002204A1">
        <w:rPr>
          <w:rStyle w:val="AERbody"/>
        </w:rPr>
        <w:t>ensur</w:t>
      </w:r>
      <w:r w:rsidR="005173E1">
        <w:rPr>
          <w:rStyle w:val="AERbody"/>
        </w:rPr>
        <w:t>ing</w:t>
      </w:r>
      <w:r w:rsidRPr="002204A1">
        <w:rPr>
          <w:rStyle w:val="AERbody"/>
        </w:rPr>
        <w:t xml:space="preserve"> that the distributor’s operational and investment strategies are consistent with customers’ value </w:t>
      </w:r>
      <w:r w:rsidR="00E47342">
        <w:rPr>
          <w:rStyle w:val="AERbody"/>
        </w:rPr>
        <w:t>for</w:t>
      </w:r>
      <w:r w:rsidRPr="002204A1">
        <w:rPr>
          <w:rStyle w:val="AERbody"/>
        </w:rPr>
        <w:t xml:space="preserve"> the service</w:t>
      </w:r>
      <w:r w:rsidR="00E47342">
        <w:rPr>
          <w:rStyle w:val="AERbody"/>
        </w:rPr>
        <w:t>s that are offered</w:t>
      </w:r>
      <w:r w:rsidRPr="002204A1">
        <w:rPr>
          <w:rStyle w:val="AERbody"/>
        </w:rPr>
        <w:t xml:space="preserve"> </w:t>
      </w:r>
      <w:r w:rsidR="00E47342">
        <w:rPr>
          <w:rStyle w:val="AERbody"/>
        </w:rPr>
        <w:t>to them.</w:t>
      </w:r>
    </w:p>
    <w:p w:rsidR="00F70D6F" w:rsidRDefault="00F70D6F" w:rsidP="00E47342">
      <w:pPr>
        <w:rPr>
          <w:rStyle w:val="AERbody"/>
        </w:rPr>
      </w:pPr>
      <w:r>
        <w:rPr>
          <w:rStyle w:val="AERbody"/>
        </w:rPr>
        <w:t>Our</w:t>
      </w:r>
      <w:r w:rsidR="002204A1" w:rsidRPr="002204A1">
        <w:rPr>
          <w:rStyle w:val="AERbody"/>
        </w:rPr>
        <w:t xml:space="preserve"> capex and opex allowances are</w:t>
      </w:r>
      <w:r w:rsidR="00E47342">
        <w:rPr>
          <w:rStyle w:val="AERbody"/>
        </w:rPr>
        <w:t xml:space="preserve"> </w:t>
      </w:r>
      <w:r w:rsidR="00E47342" w:rsidRPr="00E47342">
        <w:t xml:space="preserve">to </w:t>
      </w:r>
      <w:r w:rsidR="008C6BE9">
        <w:t xml:space="preserve">be set so as to reasonably </w:t>
      </w:r>
      <w:r w:rsidR="00E47342" w:rsidRPr="00E47342">
        <w:t>reflect the expenditures required by a</w:t>
      </w:r>
      <w:r w:rsidR="008C6BE9">
        <w:t xml:space="preserve"> prudent and</w:t>
      </w:r>
      <w:r w:rsidR="00E47342" w:rsidRPr="00E47342">
        <w:t xml:space="preserve"> efficient business to </w:t>
      </w:r>
      <w:r w:rsidR="008C6BE9">
        <w:t>achieve the capex and opex objectives</w:t>
      </w:r>
      <w:r w:rsidR="005A6BC6">
        <w:t xml:space="preserve">.  These </w:t>
      </w:r>
      <w:r w:rsidR="008C6BE9">
        <w:t xml:space="preserve">include complying with </w:t>
      </w:r>
      <w:r w:rsidR="005A6BC6">
        <w:t xml:space="preserve">all applicable </w:t>
      </w:r>
      <w:r w:rsidR="008C6BE9">
        <w:t xml:space="preserve">regulatory </w:t>
      </w:r>
      <w:r w:rsidR="00E47342" w:rsidRPr="00E47342">
        <w:t>obligations</w:t>
      </w:r>
      <w:r w:rsidR="005A6BC6">
        <w:t xml:space="preserve"> and requirements and, in the absence of such obligations, </w:t>
      </w:r>
      <w:r w:rsidR="00E47342" w:rsidRPr="00E47342">
        <w:t xml:space="preserve">maintaining </w:t>
      </w:r>
      <w:r w:rsidR="005A6BC6">
        <w:t xml:space="preserve">quality, </w:t>
      </w:r>
      <w:r w:rsidR="00E47342" w:rsidRPr="00E47342">
        <w:t>reliability, and security outcomes</w:t>
      </w:r>
      <w:r w:rsidR="00E47342">
        <w:t>.</w:t>
      </w:r>
      <w:r w:rsidR="002204A1" w:rsidRPr="002204A1">
        <w:rPr>
          <w:rStyle w:val="AERbody"/>
        </w:rPr>
        <w:t xml:space="preserve"> </w:t>
      </w:r>
    </w:p>
    <w:p w:rsidR="002204A1" w:rsidRPr="002204A1" w:rsidRDefault="00F70D6F" w:rsidP="00E47342">
      <w:pPr>
        <w:rPr>
          <w:rStyle w:val="AERbody"/>
        </w:rPr>
      </w:pPr>
      <w:r>
        <w:rPr>
          <w:rStyle w:val="AERbody"/>
        </w:rPr>
        <w:lastRenderedPageBreak/>
        <w:t>T</w:t>
      </w:r>
      <w:r w:rsidR="002204A1" w:rsidRPr="002204A1">
        <w:rPr>
          <w:rStyle w:val="AERbody"/>
        </w:rPr>
        <w:t xml:space="preserve">he STPIS </w:t>
      </w:r>
      <w:r>
        <w:rPr>
          <w:rStyle w:val="AERbody"/>
        </w:rPr>
        <w:t xml:space="preserve">on the </w:t>
      </w:r>
      <w:r w:rsidR="00CF4B99">
        <w:rPr>
          <w:rStyle w:val="AERbody"/>
        </w:rPr>
        <w:t xml:space="preserve">other </w:t>
      </w:r>
      <w:r>
        <w:rPr>
          <w:rStyle w:val="AERbody"/>
        </w:rPr>
        <w:t xml:space="preserve">hand provides an incentive for distributors to invest in further reliability improvements (via additional capex or opex) where customers are willing to pay for it.  </w:t>
      </w:r>
      <w:r w:rsidR="00E30F9A">
        <w:rPr>
          <w:rStyle w:val="AERbody"/>
        </w:rPr>
        <w:t>Conversely, t</w:t>
      </w:r>
      <w:r>
        <w:rPr>
          <w:rStyle w:val="AERbody"/>
        </w:rPr>
        <w:t xml:space="preserve">he STPIS penalises distributors where they let reliability deteriorate. </w:t>
      </w:r>
      <w:r w:rsidRPr="002204A1">
        <w:rPr>
          <w:rStyle w:val="AERbody"/>
        </w:rPr>
        <w:t>Importantly</w:t>
      </w:r>
      <w:r w:rsidR="002204A1" w:rsidRPr="002204A1">
        <w:rPr>
          <w:rStyle w:val="AERbody"/>
        </w:rPr>
        <w:t>, the distributor will only receive a financial reward</w:t>
      </w:r>
      <w:r>
        <w:rPr>
          <w:rStyle w:val="AERbody"/>
        </w:rPr>
        <w:t xml:space="preserve"> </w:t>
      </w:r>
      <w:r w:rsidR="002204A1" w:rsidRPr="002204A1">
        <w:rPr>
          <w:rStyle w:val="AERbody"/>
        </w:rPr>
        <w:t xml:space="preserve">after actual improvements are delivered to the customers. </w:t>
      </w:r>
    </w:p>
    <w:p w:rsidR="002204A1" w:rsidRPr="002204A1" w:rsidRDefault="002204A1" w:rsidP="002204A1">
      <w:pPr>
        <w:rPr>
          <w:rStyle w:val="AERbody"/>
        </w:rPr>
      </w:pPr>
      <w:r w:rsidRPr="002204A1">
        <w:rPr>
          <w:rStyle w:val="AERbody"/>
        </w:rPr>
        <w:t xml:space="preserve">In conjunction with CESS, the </w:t>
      </w:r>
      <w:r w:rsidR="00F70D6F">
        <w:rPr>
          <w:rStyle w:val="AERbody"/>
        </w:rPr>
        <w:t>STPIS</w:t>
      </w:r>
      <w:r w:rsidRPr="002204A1">
        <w:rPr>
          <w:rStyle w:val="AERbody"/>
        </w:rPr>
        <w:t xml:space="preserve"> will ensure that:</w:t>
      </w:r>
    </w:p>
    <w:p w:rsidR="002204A1" w:rsidRPr="002204A1" w:rsidRDefault="002204A1" w:rsidP="002204A1">
      <w:pPr>
        <w:pStyle w:val="AERbulletlistfirststyle"/>
        <w:rPr>
          <w:rStyle w:val="AERbody"/>
        </w:rPr>
      </w:pPr>
      <w:r w:rsidRPr="002204A1">
        <w:rPr>
          <w:rStyle w:val="AERbody"/>
        </w:rPr>
        <w:tab/>
        <w:t>any additional investment</w:t>
      </w:r>
      <w:r w:rsidR="00CF4B99">
        <w:rPr>
          <w:rStyle w:val="AERbody"/>
        </w:rPr>
        <w:t>s</w:t>
      </w:r>
      <w:r w:rsidRPr="002204A1">
        <w:rPr>
          <w:rStyle w:val="AERbody"/>
        </w:rPr>
        <w:t xml:space="preserve"> to improve reliability are based on </w:t>
      </w:r>
      <w:r w:rsidR="00270710">
        <w:rPr>
          <w:rStyle w:val="AERbody"/>
        </w:rPr>
        <w:t xml:space="preserve">prudent </w:t>
      </w:r>
      <w:r w:rsidRPr="002204A1">
        <w:rPr>
          <w:rStyle w:val="AERbody"/>
        </w:rPr>
        <w:t>economic decisions</w:t>
      </w:r>
    </w:p>
    <w:p w:rsidR="002204A1" w:rsidRPr="002204A1" w:rsidRDefault="002204A1" w:rsidP="002204A1">
      <w:pPr>
        <w:pStyle w:val="AERbulletlistfirststyle"/>
        <w:rPr>
          <w:rStyle w:val="AERbody"/>
        </w:rPr>
      </w:pPr>
      <w:r w:rsidRPr="002204A1">
        <w:rPr>
          <w:rStyle w:val="AERbody"/>
        </w:rPr>
        <w:tab/>
        <w:t xml:space="preserve">reductions </w:t>
      </w:r>
      <w:r w:rsidR="00CF4B99">
        <w:rPr>
          <w:rStyle w:val="AERbody"/>
        </w:rPr>
        <w:t>i</w:t>
      </w:r>
      <w:r w:rsidRPr="002204A1">
        <w:rPr>
          <w:rStyle w:val="AERbody"/>
        </w:rPr>
        <w:t>n c</w:t>
      </w:r>
      <w:r w:rsidR="00F70D6F">
        <w:rPr>
          <w:rStyle w:val="AERbody"/>
        </w:rPr>
        <w:t>apex</w:t>
      </w:r>
      <w:r w:rsidRPr="002204A1">
        <w:rPr>
          <w:rStyle w:val="AERbody"/>
        </w:rPr>
        <w:t xml:space="preserve"> are achieved </w:t>
      </w:r>
      <w:r w:rsidR="00F70D6F">
        <w:rPr>
          <w:rStyle w:val="AERbody"/>
        </w:rPr>
        <w:t>efficiently</w:t>
      </w:r>
      <w:r w:rsidRPr="002204A1">
        <w:rPr>
          <w:rStyle w:val="AERbody"/>
        </w:rPr>
        <w:t>, rather than at the expense of service levels to customers.</w:t>
      </w:r>
    </w:p>
    <w:p w:rsidR="00BE76DF" w:rsidRPr="00B34302" w:rsidRDefault="00BE76DF" w:rsidP="00BE76DF">
      <w:pPr>
        <w:pStyle w:val="Heading2"/>
      </w:pPr>
      <w:bookmarkStart w:id="28" w:name="_Toc403144140"/>
      <w:bookmarkStart w:id="29" w:name="_Toc408408231"/>
      <w:bookmarkStart w:id="30" w:name="_Toc417638588"/>
      <w:r w:rsidRPr="00B34302">
        <w:t>Reasons for preliminary decision</w:t>
      </w:r>
      <w:bookmarkEnd w:id="28"/>
      <w:bookmarkEnd w:id="29"/>
      <w:bookmarkEnd w:id="30"/>
      <w:r w:rsidRPr="00B34302">
        <w:t xml:space="preserve"> </w:t>
      </w:r>
    </w:p>
    <w:p w:rsidR="00BE76DF" w:rsidRDefault="00BE76DF" w:rsidP="00BE76DF">
      <w:r w:rsidRPr="009C0D52">
        <w:t xml:space="preserve">The following section sets out our </w:t>
      </w:r>
      <w:r w:rsidR="005539D3">
        <w:t xml:space="preserve">detailed </w:t>
      </w:r>
      <w:r w:rsidRPr="009C0D52">
        <w:t xml:space="preserve">consideration in applying the STPIS to </w:t>
      </w:r>
      <w:r>
        <w:t>Ergon Energy</w:t>
      </w:r>
      <w:r w:rsidRPr="009C0D52">
        <w:t xml:space="preserve"> for the 2015–</w:t>
      </w:r>
      <w:r>
        <w:t>20</w:t>
      </w:r>
      <w:r w:rsidRPr="009C0D52">
        <w:t xml:space="preserve"> regulatory control period.</w:t>
      </w:r>
    </w:p>
    <w:p w:rsidR="00BE76DF" w:rsidRPr="009C0D52" w:rsidRDefault="00BE76DF" w:rsidP="00BE76DF">
      <w:pPr>
        <w:pStyle w:val="Heading3"/>
      </w:pPr>
      <w:bookmarkStart w:id="31" w:name="_Toc417638589"/>
      <w:r w:rsidRPr="009C0D52">
        <w:t>Revenue at risk</w:t>
      </w:r>
      <w:bookmarkEnd w:id="31"/>
    </w:p>
    <w:p w:rsidR="00807F5A" w:rsidRDefault="00807F5A" w:rsidP="00BE76DF">
      <w:r>
        <w:t>Ergon Energy's</w:t>
      </w:r>
      <w:r w:rsidRPr="009C0D52">
        <w:t xml:space="preserve"> revenue at risk for each regulatory year of the 2015–</w:t>
      </w:r>
      <w:r>
        <w:t>20</w:t>
      </w:r>
      <w:r w:rsidRPr="009C0D52">
        <w:t xml:space="preserve"> regulatory control period will be capped at ±2.</w:t>
      </w:r>
      <w:r>
        <w:t>0</w:t>
      </w:r>
      <w:r w:rsidRPr="009C0D52">
        <w:t xml:space="preserve"> per cent. Within this there will be a cap of ±</w:t>
      </w:r>
      <w:r>
        <w:t>1.</w:t>
      </w:r>
      <w:r w:rsidR="00CD528E">
        <w:t>8</w:t>
      </w:r>
      <w:r w:rsidRPr="009C0D52">
        <w:t xml:space="preserve"> per cent for the reliability of supply component and ±0.</w:t>
      </w:r>
      <w:r w:rsidR="00CD528E">
        <w:t>2</w:t>
      </w:r>
      <w:r w:rsidRPr="009C0D52">
        <w:t xml:space="preserve"> per cent for the customer service component.</w:t>
      </w:r>
    </w:p>
    <w:p w:rsidR="00BE76DF" w:rsidRDefault="00BE76DF" w:rsidP="00BE76DF">
      <w:r w:rsidRPr="009C0D52">
        <w:t xml:space="preserve">Revenue at risk caps the potential rewards and penalties </w:t>
      </w:r>
      <w:r w:rsidR="00E6483C">
        <w:t>for</w:t>
      </w:r>
      <w:r w:rsidRPr="009C0D52">
        <w:t xml:space="preserve"> </w:t>
      </w:r>
      <w:r>
        <w:t xml:space="preserve">Ergon Energy </w:t>
      </w:r>
      <w:r w:rsidRPr="009C0D52">
        <w:t xml:space="preserve">under the </w:t>
      </w:r>
      <w:r>
        <w:t>STPIS</w:t>
      </w:r>
      <w:r w:rsidRPr="009C0D52">
        <w:t xml:space="preserve">. We consider </w:t>
      </w:r>
      <w:r w:rsidR="00E6483C">
        <w:t xml:space="preserve">an </w:t>
      </w:r>
      <w:r w:rsidRPr="009C0D52">
        <w:t>incentive</w:t>
      </w:r>
      <w:r w:rsidR="00E6483C">
        <w:t xml:space="preserve"> of two per cent</w:t>
      </w:r>
      <w:r w:rsidRPr="009C0D52">
        <w:t xml:space="preserve"> </w:t>
      </w:r>
      <w:r w:rsidR="00E6483C">
        <w:t xml:space="preserve">of maximum allowable revenue </w:t>
      </w:r>
      <w:r w:rsidRPr="009C0D52">
        <w:t xml:space="preserve">would balance the risk to both consumers and </w:t>
      </w:r>
      <w:r>
        <w:t>Ergon Energy</w:t>
      </w:r>
      <w:r w:rsidRPr="009C0D52">
        <w:t xml:space="preserve"> and thus better meet the objectives of the STPIS.</w:t>
      </w:r>
      <w:r>
        <w:t xml:space="preserve"> This rate is consistent with our framework and approach paper position.</w:t>
      </w:r>
      <w:r w:rsidR="00807F5A">
        <w:t xml:space="preserve"> </w:t>
      </w:r>
    </w:p>
    <w:p w:rsidR="00432754" w:rsidRPr="00432754" w:rsidRDefault="00432754" w:rsidP="00494DFA">
      <w:pPr>
        <w:pStyle w:val="HeadingBoldItalic"/>
      </w:pPr>
      <w:r w:rsidRPr="00432754">
        <w:t xml:space="preserve">Revenue at risk </w:t>
      </w:r>
      <w:r w:rsidR="00015C5A">
        <w:t>for 2015-16 and 2016-17</w:t>
      </w:r>
    </w:p>
    <w:p w:rsidR="004B6A03" w:rsidRPr="006F572F" w:rsidRDefault="004B6A03" w:rsidP="004B6A03">
      <w:pPr>
        <w:rPr>
          <w:rStyle w:val="AERbody"/>
        </w:rPr>
      </w:pPr>
      <w:r w:rsidRPr="006F572F">
        <w:rPr>
          <w:rStyle w:val="AERbody"/>
        </w:rP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targets. Distributors are either rewarded or penalised via network charges two years after the end of each regulatory year because audited performance data would only be available after the regulatory year is completed––hence, the earliest time </w:t>
      </w:r>
      <w:r w:rsidR="008A2D0C" w:rsidRPr="006F572F">
        <w:rPr>
          <w:rStyle w:val="AERbody"/>
        </w:rPr>
        <w:t xml:space="preserve">that </w:t>
      </w:r>
      <w:r w:rsidRPr="006F572F">
        <w:rPr>
          <w:rStyle w:val="AERbody"/>
        </w:rPr>
        <w:t xml:space="preserve">the </w:t>
      </w:r>
      <w:r w:rsidR="008A2D0C" w:rsidRPr="006F572F">
        <w:rPr>
          <w:rStyle w:val="AERbody"/>
        </w:rPr>
        <w:t>S</w:t>
      </w:r>
      <w:r w:rsidR="001A2FDB">
        <w:rPr>
          <w:rStyle w:val="AERbody"/>
        </w:rPr>
        <w:t>–</w:t>
      </w:r>
      <w:r w:rsidRPr="006F572F">
        <w:rPr>
          <w:rStyle w:val="AERbody"/>
        </w:rPr>
        <w:t xml:space="preserve">factor can </w:t>
      </w:r>
      <w:r w:rsidR="008A2D0C" w:rsidRPr="006F572F">
        <w:rPr>
          <w:rStyle w:val="AERbody"/>
        </w:rPr>
        <w:t xml:space="preserve">be </w:t>
      </w:r>
      <w:r w:rsidRPr="006F572F">
        <w:rPr>
          <w:rStyle w:val="AERbody"/>
        </w:rPr>
        <w:t>appl</w:t>
      </w:r>
      <w:r w:rsidR="008A2D0C" w:rsidRPr="006F572F">
        <w:rPr>
          <w:rStyle w:val="AERbody"/>
        </w:rPr>
        <w:t>ied</w:t>
      </w:r>
      <w:r w:rsidRPr="006F572F">
        <w:rPr>
          <w:rStyle w:val="AERbody"/>
        </w:rPr>
        <w:t xml:space="preserve">  is the year following </w:t>
      </w:r>
      <w:r w:rsidR="008A2D0C" w:rsidRPr="006F572F">
        <w:rPr>
          <w:rStyle w:val="AERbody"/>
        </w:rPr>
        <w:t xml:space="preserve">the </w:t>
      </w:r>
      <w:r w:rsidRPr="006F572F">
        <w:rPr>
          <w:rStyle w:val="AERbody"/>
        </w:rPr>
        <w:t xml:space="preserve">performance </w:t>
      </w:r>
      <w:r w:rsidR="008A2D0C" w:rsidRPr="006F572F">
        <w:rPr>
          <w:rStyle w:val="AERbody"/>
        </w:rPr>
        <w:t>data</w:t>
      </w:r>
      <w:r w:rsidRPr="006F572F">
        <w:rPr>
          <w:rStyle w:val="AERbody"/>
        </w:rPr>
        <w:t xml:space="preserve"> availab</w:t>
      </w:r>
      <w:r w:rsidR="008A2D0C" w:rsidRPr="006F572F">
        <w:rPr>
          <w:rStyle w:val="AERbody"/>
        </w:rPr>
        <w:t>ility</w:t>
      </w:r>
      <w:r w:rsidRPr="006F572F">
        <w:rPr>
          <w:rStyle w:val="AERbody"/>
        </w:rPr>
        <w:t xml:space="preserve">.  </w:t>
      </w:r>
    </w:p>
    <w:p w:rsidR="00B23E7A" w:rsidRDefault="00B23E7A" w:rsidP="001B6FB9">
      <w:r>
        <w:t>Consequently,</w:t>
      </w:r>
      <w:r w:rsidR="00015C5A">
        <w:t xml:space="preserve"> the </w:t>
      </w:r>
      <w:r>
        <w:t>S-</w:t>
      </w:r>
      <w:r w:rsidR="00015C5A">
        <w:t>factor outcomes of 2013-14 and 2015-14 will apply to price</w:t>
      </w:r>
      <w:r>
        <w:t>s</w:t>
      </w:r>
      <w:r w:rsidR="00015C5A">
        <w:t xml:space="preserve"> </w:t>
      </w:r>
      <w:r>
        <w:t xml:space="preserve">for the </w:t>
      </w:r>
      <w:r w:rsidR="00015C5A">
        <w:t xml:space="preserve">2015-16 and 2016-17 regulatory years respectively. </w:t>
      </w:r>
    </w:p>
    <w:p w:rsidR="001B6FB9" w:rsidRDefault="00B23E7A" w:rsidP="001B6FB9">
      <w:r w:rsidRPr="00432754">
        <w:t>As stated above</w:t>
      </w:r>
      <w:r w:rsidR="00D40EEE">
        <w:t>,</w:t>
      </w:r>
      <w:r w:rsidRPr="00432754">
        <w:t xml:space="preserve"> t</w:t>
      </w:r>
      <w:r w:rsidRPr="00432754">
        <w:rPr>
          <w:rStyle w:val="AERbody"/>
        </w:rPr>
        <w:t>he revenue at risk caps the risk of the STPIS to Ergon Energy</w:t>
      </w:r>
      <w:r>
        <w:rPr>
          <w:rStyle w:val="AERbody"/>
        </w:rPr>
        <w:t xml:space="preserve"> at two per cent</w:t>
      </w:r>
      <w:r w:rsidRPr="00432754">
        <w:rPr>
          <w:rStyle w:val="AERbody"/>
        </w:rPr>
        <w:t xml:space="preserve">. </w:t>
      </w:r>
      <w:r w:rsidR="006C01EE">
        <w:rPr>
          <w:rStyle w:val="AERbody"/>
        </w:rPr>
        <w:t xml:space="preserve">However, distributors may exceed this cap where there are increases or decreases to the amount of maximum allowable revenue that they can recover between regulatory control periods. </w:t>
      </w:r>
      <w:r w:rsidR="007A4CAE">
        <w:t>T</w:t>
      </w:r>
      <w:r w:rsidR="00015C5A">
        <w:t>he</w:t>
      </w:r>
      <w:r w:rsidR="001B6FB9">
        <w:t xml:space="preserve"> </w:t>
      </w:r>
      <w:r w:rsidR="00015C5A">
        <w:t>ST</w:t>
      </w:r>
      <w:r w:rsidR="00C250DD">
        <w:t>P</w:t>
      </w:r>
      <w:r w:rsidR="00015C5A">
        <w:t xml:space="preserve">IS scheme </w:t>
      </w:r>
      <w:r w:rsidR="007A4CAE">
        <w:t>accounts for th</w:t>
      </w:r>
      <w:r w:rsidR="001D42C3">
        <w:t>e</w:t>
      </w:r>
      <w:r w:rsidR="007A4CAE">
        <w:t xml:space="preserve"> difference</w:t>
      </w:r>
      <w:r w:rsidR="001D42C3">
        <w:t>s</w:t>
      </w:r>
      <w:r w:rsidR="007A4CAE">
        <w:t xml:space="preserve"> </w:t>
      </w:r>
      <w:r w:rsidR="001D42C3">
        <w:t>to</w:t>
      </w:r>
      <w:r w:rsidR="007A4CAE">
        <w:t xml:space="preserve"> </w:t>
      </w:r>
      <w:r w:rsidR="007A4CAE">
        <w:lastRenderedPageBreak/>
        <w:t xml:space="preserve">maximum allowable revenue </w:t>
      </w:r>
      <w:r w:rsidR="001D42C3">
        <w:t xml:space="preserve">recoverable </w:t>
      </w:r>
      <w:r w:rsidR="00D40EEE">
        <w:t>between regulatory control periods</w:t>
      </w:r>
      <w:r w:rsidR="007A4CAE">
        <w:t xml:space="preserve"> by </w:t>
      </w:r>
      <w:r w:rsidR="00015C5A">
        <w:t>mak</w:t>
      </w:r>
      <w:r w:rsidR="007A4CAE">
        <w:t>ing</w:t>
      </w:r>
      <w:r w:rsidR="00015C5A">
        <w:t xml:space="preserve"> </w:t>
      </w:r>
      <w:r w:rsidR="006C01EE">
        <w:t xml:space="preserve">an </w:t>
      </w:r>
      <w:r w:rsidR="00015C5A">
        <w:t xml:space="preserve">adjustment </w:t>
      </w:r>
      <w:r w:rsidR="001B6FB9">
        <w:t>to the "raw"</w:t>
      </w:r>
      <w:r w:rsidR="006C01EE">
        <w:rPr>
          <w:rStyle w:val="FootnoteReference"/>
        </w:rPr>
        <w:footnoteReference w:id="18"/>
      </w:r>
      <w:r w:rsidR="001B6FB9">
        <w:t xml:space="preserve"> </w:t>
      </w:r>
      <w:r w:rsidR="006C01EE">
        <w:t>S-</w:t>
      </w:r>
      <w:r w:rsidR="001B6FB9">
        <w:t xml:space="preserve">factor </w:t>
      </w:r>
      <w:r w:rsidR="00015C5A">
        <w:t>for the</w:t>
      </w:r>
      <w:r w:rsidR="001B6FB9">
        <w:t xml:space="preserve"> </w:t>
      </w:r>
      <w:r w:rsidR="001B6FB9" w:rsidRPr="001B6FB9">
        <w:t>last and second last</w:t>
      </w:r>
      <w:r w:rsidR="001B6FB9">
        <w:t xml:space="preserve"> </w:t>
      </w:r>
      <w:r w:rsidR="001B6FB9" w:rsidRPr="001B6FB9">
        <w:t xml:space="preserve">regulatory years of the </w:t>
      </w:r>
      <w:r w:rsidR="007A4CAE">
        <w:t>current</w:t>
      </w:r>
      <w:r w:rsidR="001B6FB9">
        <w:t xml:space="preserve"> </w:t>
      </w:r>
      <w:r w:rsidR="001B6FB9" w:rsidRPr="001B6FB9">
        <w:t>regulatory control period (which is applied in the first and</w:t>
      </w:r>
      <w:r w:rsidR="001B6FB9">
        <w:t xml:space="preserve"> </w:t>
      </w:r>
      <w:r w:rsidR="001B6FB9" w:rsidRPr="001B6FB9">
        <w:t>second</w:t>
      </w:r>
      <w:r w:rsidR="001B6FB9">
        <w:t xml:space="preserve"> </w:t>
      </w:r>
      <w:r w:rsidR="001B6FB9" w:rsidRPr="001B6FB9">
        <w:t xml:space="preserve">regulatory years of the next regulatory control period) </w:t>
      </w:r>
      <w:r w:rsidR="001B6FB9">
        <w:t xml:space="preserve">by adjusting the raw </w:t>
      </w:r>
      <w:r w:rsidR="00C250DD">
        <w:t>S-</w:t>
      </w:r>
      <w:r w:rsidR="001B6FB9">
        <w:t>factor value based on:</w:t>
      </w:r>
    </w:p>
    <w:p w:rsidR="001B6FB9" w:rsidRDefault="001B6FB9" w:rsidP="00D40EEE">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19"/>
      </w:r>
    </w:p>
    <w:p w:rsidR="001B6FB9" w:rsidRPr="001B6FB9" w:rsidRDefault="001B6FB9" w:rsidP="001B6FB9">
      <w:r>
        <w:t xml:space="preserve">Hence, the revenue at risk cap for the first two years of the next regulatory control </w:t>
      </w:r>
      <w:r w:rsidR="00C250DD">
        <w:t xml:space="preserve">period </w:t>
      </w:r>
      <w:r>
        <w:t>should be adjusted based on the approved revenue at risk cap of the previous regulatory control period.</w:t>
      </w:r>
    </w:p>
    <w:p w:rsidR="00BE76DF" w:rsidRPr="00B82706" w:rsidRDefault="00BE76DF" w:rsidP="00BE76DF">
      <w:pPr>
        <w:pStyle w:val="Heading3"/>
      </w:pPr>
      <w:bookmarkStart w:id="32" w:name="elevenpointfourpointtwo"/>
      <w:bookmarkStart w:id="33" w:name="_Toc417638590"/>
      <w:bookmarkEnd w:id="32"/>
      <w:r w:rsidRPr="00B82706">
        <w:t>Reliability of supply component</w:t>
      </w:r>
      <w:bookmarkEnd w:id="33"/>
    </w:p>
    <w:p w:rsidR="00BE76DF" w:rsidRDefault="00C639D9" w:rsidP="002C242F">
      <w:pPr>
        <w:pStyle w:val="HeadingBoldBlue"/>
      </w:pPr>
      <w:bookmarkStart w:id="34" w:name="_Toc417638530"/>
      <w:bookmarkStart w:id="35" w:name="_Toc417638591"/>
      <w:r>
        <w:t>Applica</w:t>
      </w:r>
      <w:r w:rsidR="00CC0E55">
        <w:t>ble</w:t>
      </w:r>
      <w:r>
        <w:t xml:space="preserve"> components and parameters</w:t>
      </w:r>
      <w:bookmarkEnd w:id="34"/>
      <w:bookmarkEnd w:id="35"/>
      <w:r w:rsidR="00BE76DF" w:rsidRPr="000F19F9">
        <w:t xml:space="preserve"> </w:t>
      </w:r>
    </w:p>
    <w:p w:rsidR="002B40D9" w:rsidRDefault="00BE76DF" w:rsidP="00BE76DF">
      <w:r w:rsidRPr="00B82706">
        <w:t>We will apply unplanned SAIDI and unplanned SAIFI parameters</w:t>
      </w:r>
      <w:r w:rsidR="005173E1">
        <w:t xml:space="preserve"> </w:t>
      </w:r>
      <w:r w:rsidRPr="00B82706">
        <w:t xml:space="preserve">under the reliability of supply component to </w:t>
      </w:r>
      <w:r>
        <w:t>Ergon Energy</w:t>
      </w:r>
      <w:r w:rsidR="006F572F">
        <w:t>'s</w:t>
      </w:r>
      <w:r>
        <w:t xml:space="preserve"> </w:t>
      </w:r>
      <w:r w:rsidR="005173E1">
        <w:t xml:space="preserve">urban, short rural and long rural feeders </w:t>
      </w:r>
      <w:r w:rsidRPr="00B82706">
        <w:t>for the 2015–</w:t>
      </w:r>
      <w:r>
        <w:t>20</w:t>
      </w:r>
      <w:r w:rsidRPr="00B82706">
        <w:t xml:space="preserve"> regulatory control period.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BE76DF" w:rsidRPr="00B82706" w:rsidRDefault="00BE76DF" w:rsidP="002C242F">
      <w:pPr>
        <w:pStyle w:val="HeadingBoldBlue"/>
      </w:pPr>
      <w:bookmarkStart w:id="36" w:name="_Toc417638531"/>
      <w:bookmarkStart w:id="37" w:name="_Toc417638592"/>
      <w:r>
        <w:t>E</w:t>
      </w:r>
      <w:r w:rsidRPr="00B82706">
        <w:t>xclusions</w:t>
      </w:r>
      <w:bookmarkEnd w:id="36"/>
      <w:bookmarkEnd w:id="37"/>
    </w:p>
    <w:p w:rsidR="00BE76DF" w:rsidRPr="00B82706" w:rsidRDefault="00BE76DF" w:rsidP="00BE76DF">
      <w:r w:rsidRPr="00B82706">
        <w:t xml:space="preserve">The STPIS allows certain events to be excluded from the calculation of the </w:t>
      </w:r>
      <w:r>
        <w:t>S</w:t>
      </w:r>
      <w:r w:rsidRPr="00B82706">
        <w:t xml:space="preserve">-factor revenue adjustment. These exclusions include the events that are beyond the control of </w:t>
      </w:r>
      <w:r>
        <w:t>Ergon Energy</w:t>
      </w:r>
      <w:r w:rsidRPr="00B82706">
        <w:t xml:space="preserve">, such as the effects of transmission network outages and other upstream events. They also exclude the effects of extreme weather events that have the potential to significantly affect </w:t>
      </w:r>
      <w:r>
        <w:t>Ergon Energy</w:t>
      </w:r>
      <w:r w:rsidRPr="00B82706">
        <w:t xml:space="preserve">'s STPIS performance. </w:t>
      </w:r>
    </w:p>
    <w:p w:rsidR="00BE76DF" w:rsidRPr="00B82706" w:rsidRDefault="00BE76DF" w:rsidP="00BE76DF">
      <w:r>
        <w:t xml:space="preserve">Ergon Energy </w:t>
      </w:r>
      <w:r w:rsidRPr="00B82706">
        <w:t xml:space="preserve">proposed to calculate </w:t>
      </w:r>
      <w:r w:rsidR="001D42C3">
        <w:t xml:space="preserve">the </w:t>
      </w:r>
      <w:r w:rsidR="002706DA">
        <w:t>major event day (</w:t>
      </w:r>
      <w:r w:rsidRPr="00B82706">
        <w:t>MED</w:t>
      </w:r>
      <w:r w:rsidR="002706DA">
        <w:t>)</w:t>
      </w:r>
      <w:r w:rsidRPr="00B82706">
        <w:t xml:space="preserve"> thresholds using 2.5 beta method in accordance with appendix D of the STPIS</w:t>
      </w:r>
      <w:r>
        <w:t xml:space="preserve"> and our framework and approach paper</w:t>
      </w:r>
      <w:r w:rsidRPr="00B82706">
        <w:t xml:space="preserve">. We will apply the exclusions as proposed by </w:t>
      </w:r>
      <w:r>
        <w:t>Ergon Energy</w:t>
      </w:r>
      <w:r w:rsidRPr="00B82706">
        <w:t xml:space="preserve"> and have incorporated our calculation of exclusions into the setting of STPIS targets for this </w:t>
      </w:r>
      <w:r>
        <w:t xml:space="preserve">preliminary </w:t>
      </w:r>
      <w:r w:rsidRPr="00B82706">
        <w:t xml:space="preserve">decision. </w:t>
      </w:r>
      <w:r w:rsidR="000345E9">
        <w:fldChar w:fldCharType="begin"/>
      </w:r>
      <w:r w:rsidR="000345E9">
        <w:instrText xml:space="preserve"> REF _Ref416793873 \h </w:instrText>
      </w:r>
      <w:r w:rsidR="000345E9">
        <w:fldChar w:fldCharType="separate"/>
      </w:r>
      <w:r w:rsidR="00AE6017">
        <w:t xml:space="preserve">Table </w:t>
      </w:r>
      <w:r w:rsidR="00AE6017">
        <w:rPr>
          <w:noProof/>
        </w:rPr>
        <w:t>11</w:t>
      </w:r>
      <w:r w:rsidR="00AE6017">
        <w:t>.</w:t>
      </w:r>
      <w:r w:rsidR="00AE6017">
        <w:rPr>
          <w:noProof/>
        </w:rPr>
        <w:t>4</w:t>
      </w:r>
      <w:r w:rsidR="000345E9">
        <w:fldChar w:fldCharType="end"/>
      </w:r>
      <w:r w:rsidR="000345E9">
        <w:t xml:space="preserve"> </w:t>
      </w:r>
      <w:r w:rsidRPr="00B82706">
        <w:t>sets out our calculated MED thresholds calculated in accordance with Appendix D of the STPIS.</w:t>
      </w:r>
      <w:r w:rsidR="005173E1">
        <w:rPr>
          <w:rStyle w:val="FootnoteReference"/>
        </w:rPr>
        <w:footnoteReference w:id="20"/>
      </w:r>
    </w:p>
    <w:p w:rsidR="00BE76DF" w:rsidRDefault="00926E29" w:rsidP="00926E29">
      <w:pPr>
        <w:pStyle w:val="Caption"/>
      </w:pPr>
      <w:bookmarkStart w:id="38" w:name="_Ref416793873"/>
      <w:r>
        <w:lastRenderedPageBreak/>
        <w:t xml:space="preserve">Table </w:t>
      </w:r>
      <w:r w:rsidR="00D541C9">
        <w:fldChar w:fldCharType="begin"/>
      </w:r>
      <w:r w:rsidR="00D541C9">
        <w:instrText xml:space="preserve"> STYLEREF 1 \s </w:instrText>
      </w:r>
      <w:r w:rsidR="00D541C9">
        <w:fldChar w:fldCharType="separate"/>
      </w:r>
      <w:r w:rsidR="00AE6017">
        <w:rPr>
          <w:noProof/>
        </w:rPr>
        <w:t>11</w:t>
      </w:r>
      <w:r w:rsidR="00D541C9">
        <w:rPr>
          <w:noProof/>
        </w:rPr>
        <w:fldChar w:fldCharType="end"/>
      </w:r>
      <w:r w:rsidR="000345E9">
        <w:t>.</w:t>
      </w:r>
      <w:r w:rsidR="00D541C9">
        <w:fldChar w:fldCharType="begin"/>
      </w:r>
      <w:r w:rsidR="00D541C9">
        <w:instrText xml:space="preserve"> SEQ Table \* ARABIC \s 1 </w:instrText>
      </w:r>
      <w:r w:rsidR="00D541C9">
        <w:fldChar w:fldCharType="separate"/>
      </w:r>
      <w:r w:rsidR="00AE6017">
        <w:rPr>
          <w:noProof/>
        </w:rPr>
        <w:t>4</w:t>
      </w:r>
      <w:r w:rsidR="00D541C9">
        <w:rPr>
          <w:noProof/>
        </w:rPr>
        <w:fldChar w:fldCharType="end"/>
      </w:r>
      <w:bookmarkEnd w:id="38"/>
      <w:r>
        <w:t>:</w:t>
      </w:r>
      <w:r>
        <w:tab/>
      </w:r>
      <w:r w:rsidR="00BE76DF">
        <w:t>Our calculated MED thresholds (T</w:t>
      </w:r>
      <w:r w:rsidR="00BE76DF" w:rsidRPr="00D853BE">
        <w:rPr>
          <w:rStyle w:val="AERsubscript"/>
        </w:rPr>
        <w:t>MED</w:t>
      </w:r>
      <w:r w:rsidR="00BE76DF">
        <w:t>)</w:t>
      </w:r>
      <w:r w:rsidR="00E6483C">
        <w:t xml:space="preserve"> for Ergon Energy</w:t>
      </w:r>
    </w:p>
    <w:tbl>
      <w:tblPr>
        <w:tblStyle w:val="AERtable-numbers"/>
        <w:tblW w:w="0" w:type="auto"/>
        <w:tblLook w:val="04A0" w:firstRow="1" w:lastRow="0" w:firstColumn="1" w:lastColumn="0" w:noHBand="0" w:noVBand="1"/>
      </w:tblPr>
      <w:tblGrid>
        <w:gridCol w:w="4380"/>
        <w:gridCol w:w="4313"/>
      </w:tblGrid>
      <w:tr w:rsidR="00BE76DF" w:rsidTr="00A16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Pr>
          <w:p w:rsidR="00BE76DF" w:rsidRPr="00BE76DF" w:rsidRDefault="00BE76DF" w:rsidP="00BE76DF">
            <w:r w:rsidRPr="00D74827">
              <w:t>Regulatory year</w:t>
            </w:r>
          </w:p>
        </w:tc>
        <w:tc>
          <w:tcPr>
            <w:tcW w:w="4313" w:type="dxa"/>
          </w:tcPr>
          <w:p w:rsidR="00BE76DF" w:rsidRPr="00BE76DF" w:rsidRDefault="00BE76DF" w:rsidP="00BE76DF">
            <w:pPr>
              <w:cnfStyle w:val="100000000000" w:firstRow="1" w:lastRow="0" w:firstColumn="0" w:lastColumn="0" w:oddVBand="0" w:evenVBand="0" w:oddHBand="0" w:evenHBand="0" w:firstRowFirstColumn="0" w:firstRowLastColumn="0" w:lastRowFirstColumn="0" w:lastRowLastColumn="0"/>
            </w:pPr>
            <w:r w:rsidRPr="00D74827">
              <w:t>T</w:t>
            </w:r>
            <w:r w:rsidRPr="00BE76DF">
              <w:rPr>
                <w:rStyle w:val="AERsubscript"/>
              </w:rPr>
              <w:t>MED</w:t>
            </w:r>
          </w:p>
        </w:tc>
      </w:tr>
      <w:tr w:rsidR="005173E1" w:rsidTr="00A16CA8">
        <w:tc>
          <w:tcPr>
            <w:cnfStyle w:val="001000000000" w:firstRow="0" w:lastRow="0" w:firstColumn="1" w:lastColumn="0" w:oddVBand="0" w:evenVBand="0" w:oddHBand="0" w:evenHBand="0" w:firstRowFirstColumn="0" w:firstRowLastColumn="0" w:lastRowFirstColumn="0" w:lastRowLastColumn="0"/>
            <w:tcW w:w="4380" w:type="dxa"/>
          </w:tcPr>
          <w:p w:rsidR="005173E1" w:rsidRPr="005173E1" w:rsidRDefault="005173E1" w:rsidP="005173E1">
            <w:pPr>
              <w:pStyle w:val="AERtabletextleft"/>
            </w:pPr>
            <w:r w:rsidRPr="005173E1">
              <w:t xml:space="preserve">2010/11 </w:t>
            </w:r>
          </w:p>
        </w:tc>
        <w:tc>
          <w:tcPr>
            <w:tcW w:w="4313" w:type="dxa"/>
          </w:tcPr>
          <w:p w:rsidR="005173E1" w:rsidRPr="005173E1" w:rsidRDefault="005173E1" w:rsidP="005173E1">
            <w:pPr>
              <w:pStyle w:val="AERtabletextleft"/>
              <w:cnfStyle w:val="000000000000" w:firstRow="0" w:lastRow="0" w:firstColumn="0" w:lastColumn="0" w:oddVBand="0" w:evenVBand="0" w:oddHBand="0" w:evenHBand="0" w:firstRowFirstColumn="0" w:firstRowLastColumn="0" w:lastRowFirstColumn="0" w:lastRowLastColumn="0"/>
            </w:pPr>
            <w:r w:rsidRPr="005173E1">
              <w:t>8.27</w:t>
            </w:r>
          </w:p>
        </w:tc>
      </w:tr>
      <w:tr w:rsidR="005173E1" w:rsidTr="00A16C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Pr>
          <w:p w:rsidR="005173E1" w:rsidRPr="005173E1" w:rsidRDefault="005173E1" w:rsidP="005173E1">
            <w:pPr>
              <w:pStyle w:val="AERtabletextleft"/>
            </w:pPr>
            <w:r w:rsidRPr="005173E1">
              <w:t xml:space="preserve">2011/12 </w:t>
            </w:r>
          </w:p>
        </w:tc>
        <w:tc>
          <w:tcPr>
            <w:tcW w:w="4313" w:type="dxa"/>
          </w:tcPr>
          <w:p w:rsidR="005173E1" w:rsidRPr="005173E1" w:rsidRDefault="005173E1" w:rsidP="005173E1">
            <w:pPr>
              <w:pStyle w:val="AERtabletextleft"/>
              <w:cnfStyle w:val="000000010000" w:firstRow="0" w:lastRow="0" w:firstColumn="0" w:lastColumn="0" w:oddVBand="0" w:evenVBand="0" w:oddHBand="0" w:evenHBand="1" w:firstRowFirstColumn="0" w:firstRowLastColumn="0" w:lastRowFirstColumn="0" w:lastRowLastColumn="0"/>
            </w:pPr>
            <w:r w:rsidRPr="005173E1">
              <w:t>8.39</w:t>
            </w:r>
          </w:p>
        </w:tc>
      </w:tr>
      <w:tr w:rsidR="005173E1" w:rsidTr="00A16CA8">
        <w:tc>
          <w:tcPr>
            <w:cnfStyle w:val="001000000000" w:firstRow="0" w:lastRow="0" w:firstColumn="1" w:lastColumn="0" w:oddVBand="0" w:evenVBand="0" w:oddHBand="0" w:evenHBand="0" w:firstRowFirstColumn="0" w:firstRowLastColumn="0" w:lastRowFirstColumn="0" w:lastRowLastColumn="0"/>
            <w:tcW w:w="4380" w:type="dxa"/>
          </w:tcPr>
          <w:p w:rsidR="005173E1" w:rsidRPr="005173E1" w:rsidRDefault="005173E1" w:rsidP="005173E1">
            <w:pPr>
              <w:pStyle w:val="AERtabletextleft"/>
            </w:pPr>
            <w:r w:rsidRPr="005173E1">
              <w:t xml:space="preserve">2012/13 </w:t>
            </w:r>
          </w:p>
        </w:tc>
        <w:tc>
          <w:tcPr>
            <w:tcW w:w="4313" w:type="dxa"/>
          </w:tcPr>
          <w:p w:rsidR="005173E1" w:rsidRPr="005173E1" w:rsidRDefault="005173E1" w:rsidP="005173E1">
            <w:pPr>
              <w:pStyle w:val="AERtabletextleft"/>
              <w:cnfStyle w:val="000000000000" w:firstRow="0" w:lastRow="0" w:firstColumn="0" w:lastColumn="0" w:oddVBand="0" w:evenVBand="0" w:oddHBand="0" w:evenHBand="0" w:firstRowFirstColumn="0" w:firstRowLastColumn="0" w:lastRowFirstColumn="0" w:lastRowLastColumn="0"/>
            </w:pPr>
            <w:r w:rsidRPr="005173E1">
              <w:t>8.53</w:t>
            </w:r>
          </w:p>
        </w:tc>
      </w:tr>
      <w:tr w:rsidR="005173E1" w:rsidTr="00A16C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Pr>
          <w:p w:rsidR="005173E1" w:rsidRPr="005173E1" w:rsidRDefault="005173E1" w:rsidP="005173E1">
            <w:pPr>
              <w:pStyle w:val="AERtabletextleft"/>
            </w:pPr>
            <w:r w:rsidRPr="005173E1">
              <w:t xml:space="preserve">2013/14 </w:t>
            </w:r>
          </w:p>
        </w:tc>
        <w:tc>
          <w:tcPr>
            <w:tcW w:w="4313" w:type="dxa"/>
          </w:tcPr>
          <w:p w:rsidR="005173E1" w:rsidRPr="005173E1" w:rsidRDefault="005173E1" w:rsidP="005173E1">
            <w:pPr>
              <w:pStyle w:val="AERtabletextleft"/>
              <w:cnfStyle w:val="000000010000" w:firstRow="0" w:lastRow="0" w:firstColumn="0" w:lastColumn="0" w:oddVBand="0" w:evenVBand="0" w:oddHBand="0" w:evenHBand="1" w:firstRowFirstColumn="0" w:firstRowLastColumn="0" w:lastRowFirstColumn="0" w:lastRowLastColumn="0"/>
            </w:pPr>
            <w:r w:rsidRPr="005173E1">
              <w:t>8.34</w:t>
            </w:r>
          </w:p>
        </w:tc>
      </w:tr>
      <w:tr w:rsidR="005173E1" w:rsidTr="00A16CA8">
        <w:tc>
          <w:tcPr>
            <w:cnfStyle w:val="001000000000" w:firstRow="0" w:lastRow="0" w:firstColumn="1" w:lastColumn="0" w:oddVBand="0" w:evenVBand="0" w:oddHBand="0" w:evenHBand="0" w:firstRowFirstColumn="0" w:firstRowLastColumn="0" w:lastRowFirstColumn="0" w:lastRowLastColumn="0"/>
            <w:tcW w:w="4380" w:type="dxa"/>
          </w:tcPr>
          <w:p w:rsidR="005173E1" w:rsidRPr="005173E1" w:rsidRDefault="005173E1" w:rsidP="005173E1">
            <w:pPr>
              <w:pStyle w:val="AERtabletextleft"/>
            </w:pPr>
            <w:r w:rsidRPr="005173E1">
              <w:t xml:space="preserve">2014/15 </w:t>
            </w:r>
          </w:p>
        </w:tc>
        <w:tc>
          <w:tcPr>
            <w:tcW w:w="4313" w:type="dxa"/>
          </w:tcPr>
          <w:p w:rsidR="005173E1" w:rsidRPr="005173E1" w:rsidRDefault="005173E1" w:rsidP="005173E1">
            <w:pPr>
              <w:pStyle w:val="AERtabletextleft"/>
              <w:cnfStyle w:val="000000000000" w:firstRow="0" w:lastRow="0" w:firstColumn="0" w:lastColumn="0" w:oddVBand="0" w:evenVBand="0" w:oddHBand="0" w:evenHBand="0" w:firstRowFirstColumn="0" w:firstRowLastColumn="0" w:lastRowFirstColumn="0" w:lastRowLastColumn="0"/>
            </w:pPr>
            <w:r w:rsidRPr="005173E1">
              <w:t>8.25</w:t>
            </w:r>
          </w:p>
        </w:tc>
      </w:tr>
    </w:tbl>
    <w:p w:rsidR="00BE76DF" w:rsidRDefault="00BE76DF" w:rsidP="00BE76DF">
      <w:pPr>
        <w:pStyle w:val="AERtablesource"/>
      </w:pPr>
      <w:r w:rsidRPr="00B82706">
        <w:t xml:space="preserve">Source: </w:t>
      </w:r>
      <w:r w:rsidRPr="00B82706">
        <w:tab/>
        <w:t>AER analysis</w:t>
      </w:r>
      <w:r w:rsidR="008F504A">
        <w:t>.</w:t>
      </w:r>
    </w:p>
    <w:p w:rsidR="00C639D9" w:rsidRPr="00B82706" w:rsidRDefault="00C639D9" w:rsidP="002C242F">
      <w:pPr>
        <w:pStyle w:val="HeadingBoldBlue"/>
      </w:pPr>
      <w:bookmarkStart w:id="39" w:name="_Ref415579110"/>
      <w:bookmarkStart w:id="40" w:name="_Toc417638532"/>
      <w:bookmarkStart w:id="41" w:name="_Toc417638593"/>
      <w:r>
        <w:t>Performance target</w:t>
      </w:r>
      <w:r w:rsidRPr="00B82706">
        <w:t>s</w:t>
      </w:r>
      <w:bookmarkEnd w:id="39"/>
      <w:bookmarkEnd w:id="40"/>
      <w:bookmarkEnd w:id="41"/>
    </w:p>
    <w:p w:rsidR="00C639D9" w:rsidRPr="00C639D9" w:rsidRDefault="000A1C5A" w:rsidP="00C639D9">
      <w:r>
        <w:t>T</w:t>
      </w:r>
      <w:r w:rsidR="00C639D9" w:rsidRPr="00B82706">
        <w:t xml:space="preserve">he STPIS </w:t>
      </w:r>
      <w:r w:rsidR="00C639D9">
        <w:t xml:space="preserve">specifies that the performance targets should be based on the </w:t>
      </w:r>
      <w:r w:rsidR="00C639D9" w:rsidRPr="00C639D9">
        <w:t>average performance over the past five</w:t>
      </w:r>
      <w:r w:rsidR="00C639D9">
        <w:t xml:space="preserve"> </w:t>
      </w:r>
      <w:r w:rsidR="00C639D9" w:rsidRPr="00C639D9">
        <w:t>regulatory years</w:t>
      </w:r>
      <w:r>
        <w:t>. It also states that the performance target must be</w:t>
      </w:r>
      <w:r w:rsidR="00C639D9">
        <w:t xml:space="preserve"> </w:t>
      </w:r>
      <w:r w:rsidR="00C12954">
        <w:t xml:space="preserve">modified </w:t>
      </w:r>
      <w:r w:rsidR="00C639D9">
        <w:t xml:space="preserve">for </w:t>
      </w:r>
      <w:r w:rsidR="00C639D9" w:rsidRPr="00C639D9">
        <w:t>any reliability improvements completed or planned where the planned</w:t>
      </w:r>
      <w:r w:rsidR="00C639D9">
        <w:t xml:space="preserve"> </w:t>
      </w:r>
      <w:r w:rsidR="00C639D9" w:rsidRPr="00C639D9">
        <w:t>reliability improvements are:</w:t>
      </w:r>
      <w:r w:rsidR="00D21B2F">
        <w:rPr>
          <w:rStyle w:val="FootnoteReference"/>
        </w:rPr>
        <w:footnoteReference w:id="21"/>
      </w:r>
    </w:p>
    <w:p w:rsidR="00C639D9" w:rsidRPr="00C639D9" w:rsidRDefault="00C639D9" w:rsidP="00D40EEE">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C639D9" w:rsidRDefault="00C639D9" w:rsidP="00D40EEE">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rsidR="000A1C5A">
        <w:t>distributor's</w:t>
      </w:r>
      <w:r w:rsidRPr="00C639D9">
        <w:t xml:space="preserve"> previous regulatory</w:t>
      </w:r>
      <w:r>
        <w:t xml:space="preserve"> </w:t>
      </w:r>
      <w:r w:rsidRPr="00C639D9">
        <w:t>proposal or regulatory submission</w:t>
      </w:r>
      <w:r>
        <w:t>.</w:t>
      </w:r>
    </w:p>
    <w:p w:rsidR="00CD4E89" w:rsidRDefault="00CD4E89" w:rsidP="00C639D9">
      <w:r>
        <w:t>Ergon Energy proposed to set the performance targets based on historical averages as per the scheme guideline</w:t>
      </w:r>
      <w:r w:rsidR="001219D6">
        <w:t>s</w:t>
      </w:r>
      <w:r>
        <w:t xml:space="preserve">. We </w:t>
      </w:r>
      <w:r w:rsidR="001219D6">
        <w:t xml:space="preserve">accept </w:t>
      </w:r>
      <w:r>
        <w:t>this approach</w:t>
      </w:r>
      <w:r w:rsidR="00AA7F3B">
        <w:t xml:space="preserve"> </w:t>
      </w:r>
      <w:r w:rsidR="00DA3E3A">
        <w:t xml:space="preserve">as the capex allowance under this decision does not </w:t>
      </w:r>
      <w:r w:rsidR="00127E2E">
        <w:t>result in any material increases in reliability performance</w:t>
      </w:r>
      <w:r>
        <w:t>.</w:t>
      </w:r>
    </w:p>
    <w:p w:rsidR="00CD4E89" w:rsidRPr="000F19F9" w:rsidRDefault="00CD4E89" w:rsidP="00494DFA">
      <w:pPr>
        <w:pStyle w:val="HeadingBoldItalic"/>
      </w:pPr>
      <w:r w:rsidRPr="000F19F9">
        <w:t xml:space="preserve">Adjustments for </w:t>
      </w:r>
      <w:r>
        <w:t xml:space="preserve">historical </w:t>
      </w:r>
      <w:r w:rsidRPr="000F19F9">
        <w:t>reliability improvement expenditure</w:t>
      </w:r>
    </w:p>
    <w:p w:rsidR="00B81A22" w:rsidRDefault="00ED7D1C" w:rsidP="00F75DD0">
      <w:r>
        <w:t xml:space="preserve">Ergon </w:t>
      </w:r>
      <w:r w:rsidR="00ED54E6">
        <w:t xml:space="preserve">Energy's </w:t>
      </w:r>
      <w:r>
        <w:t xml:space="preserve">regulatory proposal submitted performance targets that were based on its </w:t>
      </w:r>
      <w:r w:rsidR="00CD4E89">
        <w:t xml:space="preserve">5-year average </w:t>
      </w:r>
      <w:r>
        <w:t xml:space="preserve">historical </w:t>
      </w:r>
      <w:r w:rsidR="00CD4E89">
        <w:t>performance</w:t>
      </w:r>
      <w:r>
        <w:t xml:space="preserve">. These targets were adjusted to account </w:t>
      </w:r>
      <w:r w:rsidR="00CD4E89">
        <w:t xml:space="preserve">for the expected </w:t>
      </w:r>
      <w:r>
        <w:t xml:space="preserve">reliability outcomes </w:t>
      </w:r>
      <w:r w:rsidR="00CD4E89">
        <w:t>of its</w:t>
      </w:r>
      <w:r w:rsidR="00CD4E89" w:rsidRPr="00CD4E89">
        <w:t xml:space="preserve"> </w:t>
      </w:r>
      <w:r w:rsidR="00CD4E89">
        <w:t>automatic circuit reclosers and remote control switch</w:t>
      </w:r>
      <w:r>
        <w:t xml:space="preserve"> capex </w:t>
      </w:r>
      <w:r w:rsidR="00CD4E89">
        <w:t xml:space="preserve">programs </w:t>
      </w:r>
      <w:r w:rsidR="00AA7F3B">
        <w:t xml:space="preserve">in the current </w:t>
      </w:r>
      <w:r w:rsidR="00CD4E89">
        <w:t>regulatory period.</w:t>
      </w:r>
      <w:r w:rsidR="007005DB">
        <w:t xml:space="preserve"> It subsequently </w:t>
      </w:r>
      <w:r w:rsidR="00B81A22">
        <w:t xml:space="preserve">withdrew </w:t>
      </w:r>
      <w:r w:rsidR="007005DB">
        <w:t xml:space="preserve">this proposal to </w:t>
      </w:r>
      <w:r w:rsidR="00B81A22">
        <w:t>adjust the STPIS performance</w:t>
      </w:r>
      <w:r w:rsidR="007005DB">
        <w:t xml:space="preserve"> targets</w:t>
      </w:r>
      <w:r w:rsidR="00B81A22">
        <w:t xml:space="preserve"> </w:t>
      </w:r>
      <w:r w:rsidR="007005DB">
        <w:t>because the STPIS guideline only requires an adjustment if the expenditure was a part of the reliability improvement capex allowance</w:t>
      </w:r>
      <w:r w:rsidR="00B81A22">
        <w:t>.</w:t>
      </w:r>
      <w:r w:rsidR="008B234F">
        <w:rPr>
          <w:rStyle w:val="FootnoteReference"/>
        </w:rPr>
        <w:footnoteReference w:id="22"/>
      </w:r>
    </w:p>
    <w:p w:rsidR="00840BC8" w:rsidRDefault="00CD4E89" w:rsidP="00CD4E89">
      <w:r>
        <w:t xml:space="preserve">Ergon Energy's performance targets </w:t>
      </w:r>
      <w:r w:rsidR="00ED7D1C">
        <w:t>in</w:t>
      </w:r>
      <w:r>
        <w:t xml:space="preserve"> the current regulatory control period </w:t>
      </w:r>
      <w:r w:rsidR="00D40EEE">
        <w:t xml:space="preserve">have been established </w:t>
      </w:r>
      <w:r w:rsidR="00DA3E3A">
        <w:t xml:space="preserve">based on the previously approved capex. </w:t>
      </w:r>
      <w:r w:rsidR="00736994">
        <w:t>We consider</w:t>
      </w:r>
      <w:r w:rsidR="00DA3E3A">
        <w:t xml:space="preserve"> further </w:t>
      </w:r>
      <w:r w:rsidR="00736994">
        <w:lastRenderedPageBreak/>
        <w:t>modifications</w:t>
      </w:r>
      <w:r w:rsidR="00AA7F3B">
        <w:t xml:space="preserve"> </w:t>
      </w:r>
      <w:r w:rsidR="00ED7D1C">
        <w:t xml:space="preserve">to the next regulatory control period's performance targets are not required </w:t>
      </w:r>
      <w:r w:rsidR="00840BC8">
        <w:t xml:space="preserve">under the STPIS </w:t>
      </w:r>
      <w:r w:rsidR="00ED7D1C">
        <w:t>because they have already been adjusted for in the current performance target</w:t>
      </w:r>
      <w:r w:rsidR="00DA3E3A">
        <w:t>.</w:t>
      </w:r>
      <w:r w:rsidR="00B94D7B">
        <w:t xml:space="preserve"> </w:t>
      </w:r>
      <w:r w:rsidR="00840BC8">
        <w:t>Furthermore the STPIS does not require Ergon Energy to modify the performance targets to take into account additional reliability improvement capex</w:t>
      </w:r>
      <w:r w:rsidR="00127E2E">
        <w:t xml:space="preserve"> in the current period</w:t>
      </w:r>
      <w:r w:rsidR="00840BC8">
        <w:t xml:space="preserve">. </w:t>
      </w:r>
      <w:r w:rsidR="00CC39A6">
        <w:t xml:space="preserve">As explained in section </w:t>
      </w:r>
      <w:r w:rsidR="00CC39A6">
        <w:fldChar w:fldCharType="begin"/>
      </w:r>
      <w:r w:rsidR="00CC39A6">
        <w:instrText xml:space="preserve"> REF _Ref415585970 \r \h </w:instrText>
      </w:r>
      <w:r w:rsidR="00CC39A6">
        <w:fldChar w:fldCharType="separate"/>
      </w:r>
      <w:r w:rsidR="00AE6017">
        <w:t>11.3.1</w:t>
      </w:r>
      <w:r w:rsidR="00CC39A6">
        <w:fldChar w:fldCharType="end"/>
      </w:r>
      <w:r w:rsidR="00CC39A6">
        <w:t xml:space="preserve">, </w:t>
      </w:r>
      <w:r w:rsidR="00840BC8">
        <w:t>the STPIS rewards Ergon Energy for reliability improvements if it chose to invest beyond its quality improvement capex allowance to increase reliability</w:t>
      </w:r>
      <w:r w:rsidR="00CC39A6">
        <w:t>; and Ergon Energy can only receive a return after actual improvement is delivered to customers.</w:t>
      </w:r>
    </w:p>
    <w:p w:rsidR="009F2BA5" w:rsidRPr="009F2BA5" w:rsidRDefault="009F2BA5" w:rsidP="009F2BA5">
      <w:pPr>
        <w:rPr>
          <w:lang w:eastAsia="en-AU"/>
        </w:rPr>
      </w:pPr>
      <w:r w:rsidRPr="009F2BA5">
        <w:t xml:space="preserve">Our </w:t>
      </w:r>
      <w:r>
        <w:t>f</w:t>
      </w:r>
      <w:r w:rsidRPr="009F2BA5">
        <w:t xml:space="preserve">inal decision </w:t>
      </w:r>
      <w:r>
        <w:t xml:space="preserve">on the distributors </w:t>
      </w:r>
      <w:r w:rsidRPr="009F2BA5">
        <w:t>service target performance incentive scheme</w:t>
      </w:r>
      <w:r>
        <w:t xml:space="preserve"> in </w:t>
      </w:r>
      <w:r w:rsidRPr="009F2BA5">
        <w:t>June 2008, also explained the intent the scheme</w:t>
      </w:r>
      <w:r>
        <w:t>. It states that</w:t>
      </w:r>
      <w:r w:rsidRPr="009F2BA5">
        <w:t xml:space="preserve">: </w:t>
      </w:r>
    </w:p>
    <w:p w:rsidR="009F2BA5" w:rsidRPr="009F2BA5" w:rsidRDefault="009F2BA5" w:rsidP="009F2BA5">
      <w:pPr>
        <w:pStyle w:val="AERquoteindent3"/>
      </w:pPr>
      <w:r w:rsidRPr="009F2BA5">
        <w:t>In practice this means that where a distributor's actual cost of undertaking works to improve service performance is less than the reward provided through the scheme the distributor has an incentive to carry out the works and achieve the desired performance level. In this way the scheme can act as an additional cost-recovery mechanism for service performance improvements, where these improvements are over and above those being funded through the revenue allowed in a distribution determination.</w:t>
      </w:r>
      <w:r>
        <w:rPr>
          <w:rStyle w:val="FootnoteReference"/>
        </w:rPr>
        <w:footnoteReference w:id="23"/>
      </w:r>
      <w:r w:rsidRPr="009F2BA5">
        <w:t xml:space="preserve"> </w:t>
      </w:r>
    </w:p>
    <w:p w:rsidR="00127E2E" w:rsidRDefault="00B94D7B" w:rsidP="00CD4E89">
      <w:r>
        <w:t>Having said this, the expected benefits from Ergon Energy's capex</w:t>
      </w:r>
      <w:r w:rsidR="00127E2E">
        <w:t xml:space="preserve"> improvement</w:t>
      </w:r>
      <w:r>
        <w:t xml:space="preserve"> program</w:t>
      </w:r>
      <w:r w:rsidR="00127E2E">
        <w:t>s</w:t>
      </w:r>
      <w:r>
        <w:t xml:space="preserve"> in the next regulatory control period, may result in tighter performance targets being applied in the 2020–2025 regulatory period.</w:t>
      </w:r>
    </w:p>
    <w:p w:rsidR="00CD4E89" w:rsidRDefault="00127E2E" w:rsidP="00CD4E89">
      <w:r>
        <w:t>In essence</w:t>
      </w:r>
      <w:r w:rsidR="000E1DC1">
        <w:t>,</w:t>
      </w:r>
      <w:r>
        <w:t xml:space="preserve"> the STPIS is designed so that an improving performance trend will automatically tighten </w:t>
      </w:r>
      <w:r w:rsidR="000E1DC1">
        <w:t xml:space="preserve">performance </w:t>
      </w:r>
      <w:r>
        <w:t>targets to ensure continuous reliability improvements. A further adjustment occurs where distributors are funded for reliability improvement capex that would lead to a material outcome in reliability imp</w:t>
      </w:r>
      <w:r w:rsidR="000E1DC1">
        <w:t>r</w:t>
      </w:r>
      <w:r>
        <w:t xml:space="preserve">ovement.  </w:t>
      </w:r>
      <w:r w:rsidR="00ED7D1C">
        <w:t xml:space="preserve">  </w:t>
      </w:r>
    </w:p>
    <w:p w:rsidR="004B6A03" w:rsidRPr="00494DFA" w:rsidRDefault="004B6A03" w:rsidP="00494DFA">
      <w:pPr>
        <w:pStyle w:val="HeadingBoldItalic"/>
      </w:pPr>
      <w:r w:rsidRPr="00494DFA">
        <w:t>Adjustment for new expenditures</w:t>
      </w:r>
    </w:p>
    <w:p w:rsidR="004B6A03" w:rsidRDefault="004B6A03" w:rsidP="004B6A03">
      <w:r>
        <w:t>For the next regulatory period, t</w:t>
      </w:r>
      <w:r w:rsidRPr="000F6F3B">
        <w:t>his preliminary decision include</w:t>
      </w:r>
      <w:r>
        <w:t>s</w:t>
      </w:r>
      <w:r w:rsidR="007638C5">
        <w:t xml:space="preserve"> $5.5 million capex</w:t>
      </w:r>
      <w:r w:rsidRPr="000F6F3B">
        <w:t xml:space="preserve"> to improve the reliability of worst performing feeders. </w:t>
      </w:r>
      <w:r w:rsidRPr="000F6F3B">
        <w:rPr>
          <w:rStyle w:val="AERbody"/>
        </w:rPr>
        <w:t xml:space="preserve">We consider the impact on reliability outcome of these </w:t>
      </w:r>
      <w:r w:rsidR="00A91590" w:rsidRPr="000F6F3B">
        <w:rPr>
          <w:rStyle w:val="AERbody"/>
        </w:rPr>
        <w:t>activities</w:t>
      </w:r>
      <w:r w:rsidRPr="000F6F3B">
        <w:rPr>
          <w:rStyle w:val="AERbody"/>
        </w:rPr>
        <w:t xml:space="preserve"> is small as </w:t>
      </w:r>
      <w:r w:rsidR="007638C5">
        <w:rPr>
          <w:rStyle w:val="AERbody"/>
        </w:rPr>
        <w:t xml:space="preserve">$5.5 million </w:t>
      </w:r>
      <w:r w:rsidRPr="000F6F3B">
        <w:rPr>
          <w:rStyle w:val="AERbody"/>
        </w:rPr>
        <w:t xml:space="preserve">represents less than </w:t>
      </w:r>
      <w:r w:rsidR="007638C5">
        <w:rPr>
          <w:rStyle w:val="AERbody"/>
        </w:rPr>
        <w:t>0.</w:t>
      </w:r>
      <w:r w:rsidR="003E64F7">
        <w:rPr>
          <w:rStyle w:val="AERbody"/>
        </w:rPr>
        <w:t>05</w:t>
      </w:r>
      <w:r w:rsidR="007638C5">
        <w:rPr>
          <w:rStyle w:val="AERbody"/>
        </w:rPr>
        <w:t xml:space="preserve"> per cent </w:t>
      </w:r>
      <w:r w:rsidRPr="000F6F3B">
        <w:rPr>
          <w:rStyle w:val="AERbody"/>
        </w:rPr>
        <w:t xml:space="preserve">of </w:t>
      </w:r>
      <w:r>
        <w:rPr>
          <w:rStyle w:val="AERbody"/>
        </w:rPr>
        <w:t>Ergon Energy</w:t>
      </w:r>
      <w:r w:rsidRPr="000F6F3B">
        <w:rPr>
          <w:rStyle w:val="AERbody"/>
        </w:rPr>
        <w:t xml:space="preserve">'s regulatory asset base. The impact of this investment is essentially not material compared to the weather impact on historical performance. </w:t>
      </w:r>
      <w:r w:rsidR="008A2D0C">
        <w:rPr>
          <w:rStyle w:val="AERbody"/>
        </w:rPr>
        <w:t>T</w:t>
      </w:r>
      <w:r w:rsidRPr="000F6F3B">
        <w:rPr>
          <w:rStyle w:val="AERbody"/>
        </w:rPr>
        <w:t>he STPIS requires performance targets to be modified by reliability improvement</w:t>
      </w:r>
      <w:r w:rsidR="008A2D0C">
        <w:rPr>
          <w:rStyle w:val="AERbody"/>
        </w:rPr>
        <w:t xml:space="preserve"> capex </w:t>
      </w:r>
      <w:r>
        <w:rPr>
          <w:rStyle w:val="AERbody"/>
        </w:rPr>
        <w:t>planned for</w:t>
      </w:r>
      <w:r w:rsidRPr="000F6F3B">
        <w:rPr>
          <w:rStyle w:val="AERbody"/>
        </w:rPr>
        <w:t xml:space="preserve"> the </w:t>
      </w:r>
      <w:r>
        <w:rPr>
          <w:rStyle w:val="AERbody"/>
        </w:rPr>
        <w:t xml:space="preserve">next </w:t>
      </w:r>
      <w:r w:rsidRPr="000F6F3B">
        <w:rPr>
          <w:rStyle w:val="AERbody"/>
        </w:rPr>
        <w:t xml:space="preserve">regulatory period </w:t>
      </w:r>
      <w:r w:rsidR="00E020FB">
        <w:rPr>
          <w:rStyle w:val="AERbody"/>
        </w:rPr>
        <w:t xml:space="preserve">if </w:t>
      </w:r>
      <w:r w:rsidR="008A2D0C">
        <w:rPr>
          <w:rStyle w:val="AERbody"/>
        </w:rPr>
        <w:t xml:space="preserve">it </w:t>
      </w:r>
      <w:r w:rsidRPr="000F6F3B">
        <w:rPr>
          <w:rStyle w:val="AERbody"/>
        </w:rPr>
        <w:t>result</w:t>
      </w:r>
      <w:r w:rsidR="008A2D0C">
        <w:rPr>
          <w:rStyle w:val="AERbody"/>
        </w:rPr>
        <w:t>s</w:t>
      </w:r>
      <w:r w:rsidRPr="000F6F3B">
        <w:rPr>
          <w:rStyle w:val="AERbody"/>
        </w:rPr>
        <w:t xml:space="preserve"> in a material improvement in </w:t>
      </w:r>
      <w:r w:rsidR="008A2D0C">
        <w:rPr>
          <w:rStyle w:val="AERbody"/>
        </w:rPr>
        <w:t xml:space="preserve">network </w:t>
      </w:r>
      <w:r w:rsidRPr="000F6F3B">
        <w:rPr>
          <w:rStyle w:val="AERbody"/>
        </w:rPr>
        <w:t>reliability</w:t>
      </w:r>
      <w:r w:rsidR="008A2D0C">
        <w:rPr>
          <w:rStyle w:val="AERbody"/>
        </w:rPr>
        <w:t xml:space="preserve">. </w:t>
      </w:r>
      <w:r>
        <w:t xml:space="preserve">Our above assessment is consistent with Ergon </w:t>
      </w:r>
      <w:r w:rsidR="00A91590">
        <w:t>Energy's</w:t>
      </w:r>
      <w:r>
        <w:t xml:space="preserve"> advice that:</w:t>
      </w:r>
      <w:r>
        <w:rPr>
          <w:rStyle w:val="FootnoteReference"/>
        </w:rPr>
        <w:footnoteReference w:id="24"/>
      </w:r>
    </w:p>
    <w:p w:rsidR="00CE673E" w:rsidRDefault="00CE673E" w:rsidP="00160928">
      <w:pPr>
        <w:pStyle w:val="AERquoteindent3"/>
      </w:pPr>
      <w:r w:rsidRPr="00CE673E">
        <w:t>The distribution feeders that would be assessed for improvement opportunity under this investment</w:t>
      </w:r>
      <w:r>
        <w:t xml:space="preserve"> </w:t>
      </w:r>
      <w:r w:rsidRPr="00CE673E">
        <w:t>category, supply approximately 1.4% of the Whole of Network customer base. The level of investment</w:t>
      </w:r>
      <w:r>
        <w:t xml:space="preserve"> </w:t>
      </w:r>
      <w:r w:rsidRPr="00CE673E">
        <w:t>forecast is limited and as such will in most cases not make a significant change to the reliability of supply</w:t>
      </w:r>
      <w:r>
        <w:t xml:space="preserve"> </w:t>
      </w:r>
      <w:r w:rsidRPr="00CE673E">
        <w:t xml:space="preserve">outcomes for the customers. From </w:t>
      </w:r>
      <w:r w:rsidRPr="00CE673E">
        <w:lastRenderedPageBreak/>
        <w:t>our past experience feeders that are consistently poor performing are</w:t>
      </w:r>
      <w:r>
        <w:t xml:space="preserve"> </w:t>
      </w:r>
      <w:r w:rsidRPr="00CE673E">
        <w:t>so because achieving a significant change is impractical or cost prohibitive. Not all feeders will present a</w:t>
      </w:r>
      <w:r>
        <w:t xml:space="preserve"> </w:t>
      </w:r>
      <w:r w:rsidRPr="00CE673E">
        <w:t>prudent opportunity to invest and those investments that are applied will impact on a very small portion</w:t>
      </w:r>
      <w:r>
        <w:t xml:space="preserve"> </w:t>
      </w:r>
      <w:r w:rsidRPr="00CE673E">
        <w:t>of Ergon Energy’s total customer base. It is therefore our expectation that this investment category will</w:t>
      </w:r>
      <w:r>
        <w:t xml:space="preserve"> </w:t>
      </w:r>
      <w:r w:rsidRPr="00CE673E">
        <w:t>have a negligible impact on the reliability of supply performance under the STPIS.</w:t>
      </w:r>
      <w:r>
        <w:rPr>
          <w:rStyle w:val="FootnoteReference"/>
        </w:rPr>
        <w:footnoteReference w:id="25"/>
      </w:r>
    </w:p>
    <w:p w:rsidR="008A16C1" w:rsidRPr="00574E96" w:rsidRDefault="008A16C1" w:rsidP="008A16C1">
      <w:pPr>
        <w:pStyle w:val="Heading2"/>
      </w:pPr>
      <w:bookmarkStart w:id="42" w:name="_Toc417638594"/>
      <w:r w:rsidRPr="00574E96">
        <w:t>Customer service component</w:t>
      </w:r>
      <w:bookmarkEnd w:id="42"/>
    </w:p>
    <w:p w:rsidR="008A16C1" w:rsidRPr="00574E96" w:rsidRDefault="008A16C1" w:rsidP="008A16C1">
      <w:r>
        <w:t xml:space="preserve">The </w:t>
      </w:r>
      <w:r w:rsidR="00EA15DF">
        <w:t>n</w:t>
      </w:r>
      <w:r>
        <w:t>ational</w:t>
      </w:r>
      <w:r w:rsidRPr="00574E96">
        <w:t xml:space="preserve"> STPIS customer service target applicable to</w:t>
      </w:r>
      <w:r>
        <w:t xml:space="preserve"> Ergon Energy </w:t>
      </w:r>
      <w:r w:rsidRPr="00574E96">
        <w:t>is telephone response measured as the number of</w:t>
      </w:r>
      <w:r>
        <w:t xml:space="preserve"> </w:t>
      </w:r>
      <w:r w:rsidRPr="00574E96">
        <w:t>telephone calls answered within 30 seconds.</w:t>
      </w:r>
      <w:r w:rsidR="0019561A" w:rsidRPr="0019561A">
        <w:rPr>
          <w:rStyle w:val="FootnoteReference"/>
        </w:rPr>
        <w:t xml:space="preserve"> </w:t>
      </w:r>
      <w:r w:rsidR="0019561A">
        <w:rPr>
          <w:rStyle w:val="FootnoteReference"/>
        </w:rPr>
        <w:footnoteReference w:id="26"/>
      </w:r>
      <w:r w:rsidRPr="00574E96">
        <w:t xml:space="preserve"> This measure</w:t>
      </w:r>
      <w:r>
        <w:t xml:space="preserve"> </w:t>
      </w:r>
      <w:r w:rsidRPr="00574E96">
        <w:t>is referred to as the telephone Grade of Service (GOS).</w:t>
      </w:r>
    </w:p>
    <w:p w:rsidR="008A16C1" w:rsidRPr="00EB5C4F" w:rsidRDefault="008A16C1" w:rsidP="008A16C1">
      <w:r>
        <w:t>We accept Ergon Energy</w:t>
      </w:r>
      <w:r w:rsidR="00E020FB">
        <w:t>'s</w:t>
      </w:r>
      <w:r>
        <w:t xml:space="preserve"> proposed customer service targets </w:t>
      </w:r>
      <w:r w:rsidR="00E020FB">
        <w:t xml:space="preserve">as </w:t>
      </w:r>
      <w:r>
        <w:t xml:space="preserve">it has applied a 5 year's historical average to derived them for the next regulatory control period. This is consistent with our </w:t>
      </w:r>
      <w:r w:rsidR="00EA15DF">
        <w:t>n</w:t>
      </w:r>
      <w:r>
        <w:t>ational STPIS.</w:t>
      </w:r>
      <w:r>
        <w:rPr>
          <w:rStyle w:val="FootnoteReference"/>
        </w:rPr>
        <w:footnoteReference w:id="27"/>
      </w:r>
    </w:p>
    <w:p w:rsidR="00BE76DF" w:rsidRPr="007D3DEA" w:rsidRDefault="00BE76DF" w:rsidP="00BE76DF">
      <w:pPr>
        <w:pStyle w:val="Heading2"/>
      </w:pPr>
      <w:r w:rsidRPr="007D3DEA">
        <w:tab/>
      </w:r>
      <w:bookmarkStart w:id="43" w:name="_Toc417638595"/>
      <w:r w:rsidRPr="007D3DEA">
        <w:t>Incentive rates</w:t>
      </w:r>
      <w:bookmarkEnd w:id="43"/>
    </w:p>
    <w:p w:rsidR="00E51231" w:rsidRDefault="00E51231" w:rsidP="00E51231">
      <w:r w:rsidRPr="00E51231">
        <w:t xml:space="preserve">The </w:t>
      </w:r>
      <w:r w:rsidR="00CE25A7">
        <w:t>incentive rates applicable to Ergon Energy</w:t>
      </w:r>
      <w:r w:rsidRPr="00E51231">
        <w:t xml:space="preserve"> for the reliability of supply performance parameters of the STPIS have been calculated in accordance with clause 3.2.2 and using the formulae provided as Appendix B of the National STPIS.</w:t>
      </w:r>
      <w:r w:rsidR="001D42C3">
        <w:t xml:space="preserve"> Our preliminary decision o</w:t>
      </w:r>
      <w:r w:rsidR="00D215ED">
        <w:t>n</w:t>
      </w:r>
      <w:r w:rsidR="001D42C3">
        <w:t xml:space="preserve"> Ergon Energy's incentive rate</w:t>
      </w:r>
      <w:r w:rsidR="002F40C8">
        <w:t>s</w:t>
      </w:r>
      <w:r w:rsidR="001D42C3">
        <w:t xml:space="preserve"> are at </w:t>
      </w:r>
      <w:r w:rsidR="00A82245">
        <w:fldChar w:fldCharType="begin"/>
      </w:r>
      <w:r w:rsidR="00A82245">
        <w:instrText xml:space="preserve"> REF  _Ref415041157 \* Lower \h </w:instrText>
      </w:r>
      <w:r w:rsidR="00A82245">
        <w:fldChar w:fldCharType="separate"/>
      </w:r>
      <w:r w:rsidR="00AE6017">
        <w:t xml:space="preserve">table </w:t>
      </w:r>
      <w:r w:rsidR="00AE6017">
        <w:rPr>
          <w:noProof/>
        </w:rPr>
        <w:t>11</w:t>
      </w:r>
      <w:r w:rsidR="00AE6017">
        <w:t>.</w:t>
      </w:r>
      <w:r w:rsidR="00AE6017">
        <w:rPr>
          <w:noProof/>
        </w:rPr>
        <w:t>5</w:t>
      </w:r>
      <w:r w:rsidR="00A82245">
        <w:fldChar w:fldCharType="end"/>
      </w:r>
      <w:r w:rsidR="001D42C3">
        <w:t>.</w:t>
      </w:r>
      <w:r w:rsidR="00F75DD0">
        <w:t xml:space="preserve"> </w:t>
      </w:r>
      <w:r w:rsidR="00F75DD0" w:rsidRPr="000B05E8">
        <w:t>The incentive rate</w:t>
      </w:r>
      <w:r w:rsidR="00F75DD0">
        <w:t>s</w:t>
      </w:r>
      <w:r w:rsidR="00F75DD0" w:rsidRPr="000B05E8">
        <w:t xml:space="preserve"> for the </w:t>
      </w:r>
      <w:r w:rsidR="00B25824">
        <w:t>customer service component</w:t>
      </w:r>
      <w:r w:rsidR="00F75DD0" w:rsidRPr="000B05E8">
        <w:t xml:space="preserve"> will be</w:t>
      </w:r>
      <w:r w:rsidR="00F75DD0">
        <w:t xml:space="preserve"> -0.04 </w:t>
      </w:r>
      <w:r w:rsidR="00F75DD0" w:rsidRPr="000B05E8">
        <w:t>per cent per unit of the telephone answering parameter.</w:t>
      </w:r>
      <w:r w:rsidR="00F75DD0">
        <w:rPr>
          <w:rStyle w:val="FootnoteReference"/>
        </w:rPr>
        <w:footnoteReference w:id="28"/>
      </w:r>
      <w:r w:rsidR="00F75DD0">
        <w:t xml:space="preserve">   </w:t>
      </w:r>
    </w:p>
    <w:p w:rsidR="00E51231" w:rsidRPr="00E51231" w:rsidRDefault="00926E29" w:rsidP="00926E29">
      <w:pPr>
        <w:pStyle w:val="Caption"/>
      </w:pPr>
      <w:bookmarkStart w:id="44" w:name="_Ref415041157"/>
      <w:r>
        <w:t xml:space="preserve">Table </w:t>
      </w:r>
      <w:r w:rsidR="00D541C9">
        <w:fldChar w:fldCharType="begin"/>
      </w:r>
      <w:r w:rsidR="00D541C9">
        <w:instrText xml:space="preserve"> STYLEREF 1 \s </w:instrText>
      </w:r>
      <w:r w:rsidR="00D541C9">
        <w:fldChar w:fldCharType="separate"/>
      </w:r>
      <w:r w:rsidR="00AE6017">
        <w:rPr>
          <w:noProof/>
        </w:rPr>
        <w:t>11</w:t>
      </w:r>
      <w:r w:rsidR="00D541C9">
        <w:rPr>
          <w:noProof/>
        </w:rPr>
        <w:fldChar w:fldCharType="end"/>
      </w:r>
      <w:r w:rsidR="000345E9">
        <w:t>.</w:t>
      </w:r>
      <w:r w:rsidR="00D541C9">
        <w:fldChar w:fldCharType="begin"/>
      </w:r>
      <w:r w:rsidR="00D541C9">
        <w:instrText xml:space="preserve"> SEQ Table \* ARABIC \s 1 </w:instrText>
      </w:r>
      <w:r w:rsidR="00D541C9">
        <w:fldChar w:fldCharType="separate"/>
      </w:r>
      <w:r w:rsidR="00AE6017">
        <w:rPr>
          <w:noProof/>
        </w:rPr>
        <w:t>5</w:t>
      </w:r>
      <w:r w:rsidR="00D541C9">
        <w:rPr>
          <w:noProof/>
        </w:rPr>
        <w:fldChar w:fldCharType="end"/>
      </w:r>
      <w:bookmarkEnd w:id="44"/>
      <w:r>
        <w:t>:</w:t>
      </w:r>
      <w:r>
        <w:tab/>
      </w:r>
      <w:r w:rsidR="00E51231" w:rsidRPr="00E51231">
        <w:t>Preliminary decision o</w:t>
      </w:r>
      <w:r w:rsidR="00D215ED">
        <w:t>n</w:t>
      </w:r>
      <w:r w:rsidR="00E51231" w:rsidRPr="00E51231">
        <w:t xml:space="preserve"> incentive rates to apply to Ergon Energy's STPIS targets</w:t>
      </w:r>
    </w:p>
    <w:tbl>
      <w:tblPr>
        <w:tblStyle w:val="AERtable-numbers"/>
        <w:tblW w:w="5000" w:type="pct"/>
        <w:tblLook w:val="04A0" w:firstRow="1" w:lastRow="0" w:firstColumn="1" w:lastColumn="0" w:noHBand="0" w:noVBand="1"/>
      </w:tblPr>
      <w:tblGrid>
        <w:gridCol w:w="2215"/>
        <w:gridCol w:w="2161"/>
        <w:gridCol w:w="2161"/>
        <w:gridCol w:w="2156"/>
      </w:tblGrid>
      <w:tr w:rsidR="00E51231" w:rsidRPr="00A946AA" w:rsidTr="00EE01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hideMark/>
          </w:tcPr>
          <w:p w:rsidR="00E51231" w:rsidRPr="00E51231" w:rsidRDefault="00E51231" w:rsidP="00E51231">
            <w:pPr>
              <w:pStyle w:val="Tabletext-centred"/>
            </w:pPr>
            <w:r w:rsidRPr="00E51231">
              <w:t> </w:t>
            </w:r>
          </w:p>
        </w:tc>
        <w:tc>
          <w:tcPr>
            <w:tcW w:w="1243" w:type="pct"/>
            <w:hideMark/>
          </w:tcPr>
          <w:p w:rsidR="00E51231" w:rsidRPr="00E51231" w:rsidRDefault="00E51231" w:rsidP="00E51231">
            <w:pPr>
              <w:pStyle w:val="AERtabletextleft"/>
              <w:cnfStyle w:val="100000000000" w:firstRow="1" w:lastRow="0" w:firstColumn="0" w:lastColumn="0" w:oddVBand="0" w:evenVBand="0" w:oddHBand="0" w:evenHBand="0" w:firstRowFirstColumn="0" w:firstRowLastColumn="0" w:lastRowFirstColumn="0" w:lastRowLastColumn="0"/>
            </w:pPr>
            <w:r w:rsidRPr="00E51231">
              <w:t> Urban</w:t>
            </w:r>
          </w:p>
        </w:tc>
        <w:tc>
          <w:tcPr>
            <w:tcW w:w="1243" w:type="pct"/>
            <w:hideMark/>
          </w:tcPr>
          <w:p w:rsidR="00E51231" w:rsidRPr="00E51231" w:rsidRDefault="00E51231" w:rsidP="00E51231">
            <w:pPr>
              <w:pStyle w:val="AERtabletextleft"/>
              <w:cnfStyle w:val="100000000000" w:firstRow="1" w:lastRow="0" w:firstColumn="0" w:lastColumn="0" w:oddVBand="0" w:evenVBand="0" w:oddHBand="0" w:evenHBand="0" w:firstRowFirstColumn="0" w:firstRowLastColumn="0" w:lastRowFirstColumn="0" w:lastRowLastColumn="0"/>
            </w:pPr>
            <w:r w:rsidRPr="00E51231">
              <w:t>Short rural</w:t>
            </w:r>
          </w:p>
        </w:tc>
        <w:tc>
          <w:tcPr>
            <w:tcW w:w="1240" w:type="pct"/>
            <w:hideMark/>
          </w:tcPr>
          <w:p w:rsidR="00E51231" w:rsidRPr="00E51231" w:rsidRDefault="00E51231" w:rsidP="00E51231">
            <w:pPr>
              <w:pStyle w:val="AERtabletextleft"/>
              <w:cnfStyle w:val="100000000000" w:firstRow="1" w:lastRow="0" w:firstColumn="0" w:lastColumn="0" w:oddVBand="0" w:evenVBand="0" w:oddHBand="0" w:evenHBand="0" w:firstRowFirstColumn="0" w:firstRowLastColumn="0" w:lastRowFirstColumn="0" w:lastRowLastColumn="0"/>
            </w:pPr>
            <w:r w:rsidRPr="00E51231">
              <w:t>Long rural</w:t>
            </w:r>
          </w:p>
        </w:tc>
      </w:tr>
      <w:tr w:rsidR="0038075F" w:rsidRPr="00A946AA" w:rsidTr="0044404B">
        <w:trPr>
          <w:trHeight w:val="465"/>
        </w:trPr>
        <w:tc>
          <w:tcPr>
            <w:cnfStyle w:val="001000000000" w:firstRow="0" w:lastRow="0" w:firstColumn="1" w:lastColumn="0" w:oddVBand="0" w:evenVBand="0" w:oddHBand="0" w:evenHBand="0" w:firstRowFirstColumn="0" w:firstRowLastColumn="0" w:lastRowFirstColumn="0" w:lastRowLastColumn="0"/>
            <w:tcW w:w="1274" w:type="pct"/>
            <w:hideMark/>
          </w:tcPr>
          <w:p w:rsidR="0038075F" w:rsidRPr="0038075F" w:rsidRDefault="0038075F" w:rsidP="0038075F">
            <w:pPr>
              <w:pStyle w:val="AERtabletextleft"/>
            </w:pPr>
            <w:r w:rsidRPr="0038075F">
              <w:t>SAIDI</w:t>
            </w:r>
          </w:p>
        </w:tc>
        <w:tc>
          <w:tcPr>
            <w:tcW w:w="1243" w:type="pct"/>
          </w:tcPr>
          <w:p w:rsidR="0038075F" w:rsidRPr="0038075F" w:rsidRDefault="0038075F" w:rsidP="0038075F">
            <w:pPr>
              <w:pStyle w:val="AERtabletextright"/>
              <w:cnfStyle w:val="000000000000" w:firstRow="0" w:lastRow="0" w:firstColumn="0" w:lastColumn="0" w:oddVBand="0" w:evenVBand="0" w:oddHBand="0" w:evenHBand="0" w:firstRowFirstColumn="0" w:firstRowLastColumn="0" w:lastRowFirstColumn="0" w:lastRowLastColumn="0"/>
            </w:pPr>
            <w:r w:rsidRPr="0038075F">
              <w:t>0.0154</w:t>
            </w:r>
            <w:r w:rsidR="00AE6017">
              <w:t>1</w:t>
            </w:r>
          </w:p>
        </w:tc>
        <w:tc>
          <w:tcPr>
            <w:tcW w:w="1243" w:type="pct"/>
          </w:tcPr>
          <w:p w:rsidR="0038075F" w:rsidRPr="0038075F" w:rsidRDefault="0038075F" w:rsidP="00AE6017">
            <w:pPr>
              <w:pStyle w:val="AERtabletextright"/>
              <w:cnfStyle w:val="000000000000" w:firstRow="0" w:lastRow="0" w:firstColumn="0" w:lastColumn="0" w:oddVBand="0" w:evenVBand="0" w:oddHBand="0" w:evenHBand="0" w:firstRowFirstColumn="0" w:firstRowLastColumn="0" w:lastRowFirstColumn="0" w:lastRowLastColumn="0"/>
            </w:pPr>
            <w:r w:rsidRPr="0038075F">
              <w:t>0.015</w:t>
            </w:r>
            <w:r w:rsidR="00AE6017">
              <w:t>38</w:t>
            </w:r>
          </w:p>
        </w:tc>
        <w:tc>
          <w:tcPr>
            <w:tcW w:w="1240" w:type="pct"/>
          </w:tcPr>
          <w:p w:rsidR="0038075F" w:rsidRPr="0038075F" w:rsidRDefault="0038075F" w:rsidP="0038075F">
            <w:pPr>
              <w:pStyle w:val="AERtabletextright"/>
              <w:cnfStyle w:val="000000000000" w:firstRow="0" w:lastRow="0" w:firstColumn="0" w:lastColumn="0" w:oddVBand="0" w:evenVBand="0" w:oddHBand="0" w:evenHBand="0" w:firstRowFirstColumn="0" w:firstRowLastColumn="0" w:lastRowFirstColumn="0" w:lastRowLastColumn="0"/>
            </w:pPr>
            <w:r w:rsidRPr="0038075F">
              <w:t>0.0033</w:t>
            </w:r>
            <w:r w:rsidR="00AE6017">
              <w:t>2</w:t>
            </w:r>
          </w:p>
        </w:tc>
      </w:tr>
      <w:tr w:rsidR="0038075F" w:rsidRPr="00A946AA" w:rsidTr="00CC5FE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4" w:type="pct"/>
          </w:tcPr>
          <w:p w:rsidR="0038075F" w:rsidRPr="0038075F" w:rsidRDefault="0038075F" w:rsidP="0038075F">
            <w:pPr>
              <w:pStyle w:val="AERtabletextleft"/>
            </w:pPr>
            <w:r w:rsidRPr="0038075F">
              <w:t>SAIFI</w:t>
            </w:r>
          </w:p>
        </w:tc>
        <w:tc>
          <w:tcPr>
            <w:tcW w:w="1243" w:type="pct"/>
          </w:tcPr>
          <w:p w:rsidR="0038075F" w:rsidRPr="0038075F" w:rsidRDefault="0038075F" w:rsidP="0038075F">
            <w:pPr>
              <w:pStyle w:val="AERtabletextright"/>
              <w:cnfStyle w:val="000000010000" w:firstRow="0" w:lastRow="0" w:firstColumn="0" w:lastColumn="0" w:oddVBand="0" w:evenVBand="0" w:oddHBand="0" w:evenHBand="1" w:firstRowFirstColumn="0" w:firstRowLastColumn="0" w:lastRowFirstColumn="0" w:lastRowLastColumn="0"/>
            </w:pPr>
            <w:r w:rsidRPr="0038075F">
              <w:t>1.3396</w:t>
            </w:r>
            <w:r w:rsidR="00AE6017">
              <w:t>4</w:t>
            </w:r>
          </w:p>
        </w:tc>
        <w:tc>
          <w:tcPr>
            <w:tcW w:w="1243" w:type="pct"/>
          </w:tcPr>
          <w:p w:rsidR="0038075F" w:rsidRPr="0038075F" w:rsidRDefault="0038075F" w:rsidP="0038075F">
            <w:pPr>
              <w:pStyle w:val="AERtabletextright"/>
              <w:cnfStyle w:val="000000010000" w:firstRow="0" w:lastRow="0" w:firstColumn="0" w:lastColumn="0" w:oddVBand="0" w:evenVBand="0" w:oddHBand="0" w:evenHBand="1" w:firstRowFirstColumn="0" w:firstRowLastColumn="0" w:lastRowFirstColumn="0" w:lastRowLastColumn="0"/>
            </w:pPr>
            <w:r w:rsidRPr="0038075F">
              <w:t>1.7554</w:t>
            </w:r>
            <w:r w:rsidR="00AE6017">
              <w:t>3</w:t>
            </w:r>
          </w:p>
        </w:tc>
        <w:tc>
          <w:tcPr>
            <w:tcW w:w="1240" w:type="pct"/>
          </w:tcPr>
          <w:p w:rsidR="0038075F" w:rsidRPr="0038075F" w:rsidRDefault="0038075F" w:rsidP="0038075F">
            <w:pPr>
              <w:pStyle w:val="AERtabletextright"/>
              <w:cnfStyle w:val="000000010000" w:firstRow="0" w:lastRow="0" w:firstColumn="0" w:lastColumn="0" w:oddVBand="0" w:evenVBand="0" w:oddHBand="0" w:evenHBand="1" w:firstRowFirstColumn="0" w:firstRowLastColumn="0" w:lastRowFirstColumn="0" w:lastRowLastColumn="0"/>
            </w:pPr>
            <w:r w:rsidRPr="0038075F">
              <w:t>0.5007</w:t>
            </w:r>
            <w:r w:rsidR="00AE6017">
              <w:t>2</w:t>
            </w:r>
          </w:p>
        </w:tc>
      </w:tr>
    </w:tbl>
    <w:p w:rsidR="00E51231" w:rsidRPr="00A16CA8" w:rsidRDefault="00E51231" w:rsidP="00A16CA8">
      <w:pPr>
        <w:pStyle w:val="AERtablesource"/>
      </w:pPr>
      <w:r w:rsidRPr="00A16CA8">
        <w:t>Source</w:t>
      </w:r>
      <w:proofErr w:type="gramStart"/>
      <w:r w:rsidRPr="00A16CA8">
        <w:t>:</w:t>
      </w:r>
      <w:r w:rsidRPr="00A16CA8">
        <w:tab/>
      </w:r>
      <w:r w:rsidRPr="00A16CA8">
        <w:rPr>
          <w:rStyle w:val="EndnoteReference"/>
          <w:vertAlign w:val="baseline"/>
        </w:rPr>
        <w:t>AER Analysis</w:t>
      </w:r>
      <w:r w:rsidR="008F504A">
        <w:t>.</w:t>
      </w:r>
      <w:proofErr w:type="gramEnd"/>
    </w:p>
    <w:p w:rsidR="00DE563D" w:rsidRDefault="0039307D" w:rsidP="0039307D">
      <w:pPr>
        <w:pStyle w:val="Heading2"/>
      </w:pPr>
      <w:bookmarkStart w:id="45" w:name="_Toc417638596"/>
      <w:r>
        <w:t xml:space="preserve">Stakeholders </w:t>
      </w:r>
      <w:r w:rsidR="001D42C3">
        <w:t xml:space="preserve">submissions </w:t>
      </w:r>
      <w:r>
        <w:t xml:space="preserve">on the </w:t>
      </w:r>
      <w:r w:rsidR="001D42C3">
        <w:t>STPIS</w:t>
      </w:r>
      <w:bookmarkEnd w:id="45"/>
    </w:p>
    <w:p w:rsidR="002F40C8" w:rsidRDefault="0039307D" w:rsidP="0039307D">
      <w:pPr>
        <w:rPr>
          <w:rStyle w:val="AERbody"/>
        </w:rPr>
      </w:pPr>
      <w:r w:rsidRPr="0039307D">
        <w:rPr>
          <w:rStyle w:val="AERbody"/>
        </w:rPr>
        <w:t>This section addresses stakeholders' submissions about the</w:t>
      </w:r>
      <w:r w:rsidR="001D42C3">
        <w:rPr>
          <w:rStyle w:val="AERbody"/>
        </w:rPr>
        <w:t xml:space="preserve"> application of the STPIS to Ergon Energy</w:t>
      </w:r>
      <w:r w:rsidRPr="0039307D">
        <w:rPr>
          <w:rStyle w:val="AERbody"/>
        </w:rPr>
        <w:t xml:space="preserve">. </w:t>
      </w:r>
    </w:p>
    <w:p w:rsidR="00E928A1" w:rsidRPr="00494DFA" w:rsidRDefault="00E928A1" w:rsidP="00494DFA">
      <w:pPr>
        <w:pStyle w:val="HeadingBoldItalic"/>
      </w:pPr>
      <w:r w:rsidRPr="00494DFA">
        <w:rPr>
          <w:rStyle w:val="AERbody"/>
          <w:color w:val="51626F"/>
          <w:sz w:val="24"/>
        </w:rPr>
        <w:lastRenderedPageBreak/>
        <w:t>The Alliance of Electricity Consumers</w:t>
      </w:r>
    </w:p>
    <w:p w:rsidR="0039307D" w:rsidRDefault="0039307D" w:rsidP="0039307D">
      <w:pPr>
        <w:rPr>
          <w:rStyle w:val="AERbody"/>
        </w:rPr>
      </w:pPr>
      <w:r w:rsidRPr="0039307D">
        <w:rPr>
          <w:rStyle w:val="AERbody"/>
        </w:rPr>
        <w:t>The Alliance of Electricity Consumers</w:t>
      </w:r>
      <w:r>
        <w:rPr>
          <w:rStyle w:val="AERbody"/>
        </w:rPr>
        <w:t xml:space="preserve"> </w:t>
      </w:r>
      <w:r w:rsidRPr="0039307D">
        <w:rPr>
          <w:rStyle w:val="AERbody"/>
        </w:rPr>
        <w:t xml:space="preserve">submitted that Ergon Energy should not be rewarded for meeting its legislative level of service. As such, the AER should revoke the </w:t>
      </w:r>
      <w:r w:rsidR="00EA15DF">
        <w:rPr>
          <w:rStyle w:val="AERbody"/>
        </w:rPr>
        <w:t xml:space="preserve">STPIS </w:t>
      </w:r>
      <w:r w:rsidRPr="0039307D">
        <w:rPr>
          <w:rStyle w:val="AERbody"/>
        </w:rPr>
        <w:t>payment</w:t>
      </w:r>
      <w:r w:rsidR="00EA15DF">
        <w:rPr>
          <w:rStyle w:val="AERbody"/>
        </w:rPr>
        <w:t>s</w:t>
      </w:r>
      <w:r w:rsidRPr="0039307D">
        <w:rPr>
          <w:rStyle w:val="AERbody"/>
        </w:rPr>
        <w:t xml:space="preserve"> Ergon</w:t>
      </w:r>
      <w:r w:rsidR="00432754">
        <w:rPr>
          <w:rStyle w:val="AERbody"/>
        </w:rPr>
        <w:t xml:space="preserve"> Energy</w:t>
      </w:r>
      <w:r w:rsidR="00EA15DF">
        <w:rPr>
          <w:rStyle w:val="AERbody"/>
        </w:rPr>
        <w:t xml:space="preserve"> is seeking to recover in the next regulatory control period</w:t>
      </w:r>
      <w:r w:rsidRPr="0039307D">
        <w:rPr>
          <w:rStyle w:val="AERbody"/>
        </w:rPr>
        <w:t>.</w:t>
      </w:r>
      <w:r w:rsidR="001D42C3">
        <w:rPr>
          <w:rStyle w:val="FootnoteReference"/>
        </w:rPr>
        <w:footnoteReference w:id="29"/>
      </w:r>
    </w:p>
    <w:p w:rsidR="00D0609F" w:rsidRDefault="00AA7F3B" w:rsidP="00E928A1">
      <w:pPr>
        <w:rPr>
          <w:rStyle w:val="AERbody"/>
        </w:rPr>
      </w:pPr>
      <w:r>
        <w:t>The</w:t>
      </w:r>
      <w:r w:rsidR="00D0609F">
        <w:t xml:space="preserve"> </w:t>
      </w:r>
      <w:r w:rsidR="00D0609F" w:rsidRPr="0039307D">
        <w:rPr>
          <w:rStyle w:val="AERbody"/>
        </w:rPr>
        <w:t>Alliance of Electricity Consumers</w:t>
      </w:r>
      <w:r w:rsidR="00D0609F">
        <w:rPr>
          <w:rStyle w:val="AERbody"/>
        </w:rPr>
        <w:t xml:space="preserve"> </w:t>
      </w:r>
      <w:r>
        <w:rPr>
          <w:rStyle w:val="AERbody"/>
        </w:rPr>
        <w:t xml:space="preserve">may be </w:t>
      </w:r>
      <w:r w:rsidR="00D0609F">
        <w:rPr>
          <w:rStyle w:val="AERbody"/>
        </w:rPr>
        <w:t>referr</w:t>
      </w:r>
      <w:r>
        <w:rPr>
          <w:rStyle w:val="AERbody"/>
        </w:rPr>
        <w:t>ing</w:t>
      </w:r>
      <w:r w:rsidR="00D0609F">
        <w:rPr>
          <w:rStyle w:val="AERbody"/>
        </w:rPr>
        <w:t xml:space="preserve"> to the deterministic "N-1" planning standard for supply security. </w:t>
      </w:r>
      <w:r w:rsidR="00D215ED">
        <w:rPr>
          <w:rStyle w:val="AERbody"/>
        </w:rPr>
        <w:t>The d</w:t>
      </w:r>
      <w:r w:rsidR="00D0609F">
        <w:rPr>
          <w:rStyle w:val="AERbody"/>
        </w:rPr>
        <w:t>eterministic "N-1" planning standard is no long</w:t>
      </w:r>
      <w:r w:rsidR="00E020FB">
        <w:rPr>
          <w:rStyle w:val="AERbody"/>
        </w:rPr>
        <w:t>er</w:t>
      </w:r>
      <w:r w:rsidR="00D0609F">
        <w:rPr>
          <w:rStyle w:val="AERbody"/>
        </w:rPr>
        <w:t xml:space="preserve"> enforced and has been replaced with cost/benefit trade-off "probabilistic" planning approach. </w:t>
      </w:r>
      <w:r w:rsidR="0005035F">
        <w:rPr>
          <w:rStyle w:val="AERbody"/>
        </w:rPr>
        <w:t xml:space="preserve">Both deterministic and </w:t>
      </w:r>
      <w:r w:rsidR="00E020FB" w:rsidRPr="00E020FB">
        <w:rPr>
          <w:rStyle w:val="AERbody"/>
        </w:rPr>
        <w:t xml:space="preserve">probabilistic </w:t>
      </w:r>
      <w:r w:rsidR="00D0609F">
        <w:rPr>
          <w:rStyle w:val="AERbody"/>
        </w:rPr>
        <w:t>planning standard</w:t>
      </w:r>
      <w:r w:rsidR="0005035F">
        <w:rPr>
          <w:rStyle w:val="AERbody"/>
        </w:rPr>
        <w:t>s</w:t>
      </w:r>
      <w:r w:rsidR="00D0609F">
        <w:rPr>
          <w:rStyle w:val="AERbody"/>
        </w:rPr>
        <w:t xml:space="preserve"> mainly address capacity shortfalls rather than reliability outcomes.</w:t>
      </w:r>
      <w:r w:rsidR="002F40C8">
        <w:rPr>
          <w:rStyle w:val="FootnoteReference"/>
        </w:rPr>
        <w:footnoteReference w:id="30"/>
      </w:r>
    </w:p>
    <w:p w:rsidR="00E928A1" w:rsidRPr="00E928A1" w:rsidRDefault="00E928A1" w:rsidP="00E928A1">
      <w:r w:rsidRPr="00E928A1">
        <w:t xml:space="preserve">The STPIS </w:t>
      </w:r>
      <w:r>
        <w:t>on the other hand</w:t>
      </w:r>
      <w:r w:rsidR="00531369">
        <w:t xml:space="preserve"> </w:t>
      </w:r>
      <w:r w:rsidR="00A245BE">
        <w:t xml:space="preserve">has a different purpose. It </w:t>
      </w:r>
      <w:r w:rsidR="00531369">
        <w:t xml:space="preserve">is an outcome </w:t>
      </w:r>
      <w:r w:rsidR="00D0609F">
        <w:t xml:space="preserve">focused mechanism </w:t>
      </w:r>
      <w:r w:rsidRPr="00E928A1">
        <w:t xml:space="preserve">intended to balance incentives to reduce expenditure with the need to maintain or improve service quality. It achieves this by providing financial incentives to </w:t>
      </w:r>
      <w:r>
        <w:t xml:space="preserve">Ergon Energy </w:t>
      </w:r>
      <w:r w:rsidRPr="00E928A1">
        <w:t xml:space="preserve">to maintain and improve service performance where customers are willing to pay for these improvements. </w:t>
      </w:r>
    </w:p>
    <w:p w:rsidR="00E928A1" w:rsidRDefault="00E928A1" w:rsidP="00E928A1">
      <w:r>
        <w:t xml:space="preserve">Ergon Energy was rewarded under the STPIS in the current regulatory </w:t>
      </w:r>
      <w:r w:rsidR="00D215ED">
        <w:t xml:space="preserve">control period </w:t>
      </w:r>
      <w:r>
        <w:t xml:space="preserve">because it met it reliability targets </w:t>
      </w:r>
      <w:r w:rsidR="00531369">
        <w:t xml:space="preserve">or the intended outcome </w:t>
      </w:r>
      <w:r>
        <w:t>which was set above the reliability standard.</w:t>
      </w:r>
      <w:r w:rsidR="00531369">
        <w:t xml:space="preserve"> </w:t>
      </w:r>
    </w:p>
    <w:p w:rsidR="00E928A1" w:rsidRPr="00494DFA" w:rsidRDefault="00494DFA" w:rsidP="00494DFA">
      <w:pPr>
        <w:pStyle w:val="HeadingBoldItalic"/>
      </w:pPr>
      <w:r w:rsidRPr="00494DFA">
        <w:rPr>
          <w:rStyle w:val="AERbody"/>
          <w:color w:val="51626F"/>
          <w:sz w:val="24"/>
        </w:rPr>
        <w:t>Cumming E</w:t>
      </w:r>
      <w:r w:rsidR="00E72AC9" w:rsidRPr="00494DFA">
        <w:rPr>
          <w:rStyle w:val="AERbody"/>
          <w:color w:val="51626F"/>
          <w:sz w:val="24"/>
        </w:rPr>
        <w:t>conomics</w:t>
      </w:r>
    </w:p>
    <w:p w:rsidR="0039307D" w:rsidRDefault="00494DFA" w:rsidP="0039307D">
      <w:pPr>
        <w:rPr>
          <w:rStyle w:val="AERbody"/>
        </w:rPr>
      </w:pPr>
      <w:r>
        <w:rPr>
          <w:rStyle w:val="AERbody"/>
        </w:rPr>
        <w:t>Cumming E</w:t>
      </w:r>
      <w:r w:rsidR="0039307D" w:rsidRPr="0039307D">
        <w:rPr>
          <w:rStyle w:val="AERbody"/>
        </w:rPr>
        <w:t>conomics submitted that the STPIS is at a high level and does not take into account ground reliability levels. That is, businesses and households that experience reliability concerns are lost in state wide averages.</w:t>
      </w:r>
      <w:r w:rsidR="001D42C3">
        <w:rPr>
          <w:rStyle w:val="FootnoteReference"/>
        </w:rPr>
        <w:footnoteReference w:id="31"/>
      </w:r>
    </w:p>
    <w:p w:rsidR="00BA7473" w:rsidRDefault="00C61976" w:rsidP="0039307D">
      <w:pPr>
        <w:rPr>
          <w:rStyle w:val="AERbody"/>
        </w:rPr>
      </w:pPr>
      <w:r>
        <w:rPr>
          <w:rStyle w:val="AERbody"/>
        </w:rPr>
        <w:t>We consider that t</w:t>
      </w:r>
      <w:r w:rsidR="00AA7F3B">
        <w:rPr>
          <w:rStyle w:val="AERbody"/>
        </w:rPr>
        <w:t xml:space="preserve">he submission </w:t>
      </w:r>
      <w:r w:rsidR="00D0609F">
        <w:rPr>
          <w:rStyle w:val="AERbody"/>
        </w:rPr>
        <w:t xml:space="preserve">relates </w:t>
      </w:r>
      <w:r>
        <w:rPr>
          <w:rStyle w:val="AERbody"/>
        </w:rPr>
        <w:t xml:space="preserve">primarily </w:t>
      </w:r>
      <w:r w:rsidR="00D0609F">
        <w:rPr>
          <w:rStyle w:val="AERbody"/>
        </w:rPr>
        <w:t>to the design of the STPIS scheme</w:t>
      </w:r>
      <w:r w:rsidR="00BA7473">
        <w:rPr>
          <w:rStyle w:val="AERbody"/>
        </w:rPr>
        <w:t xml:space="preserve"> and should be considered when we review the scheme. </w:t>
      </w:r>
    </w:p>
    <w:p w:rsidR="00E72AC9" w:rsidRPr="0039307D" w:rsidRDefault="00E72AC9" w:rsidP="00BA7473">
      <w:pPr>
        <w:rPr>
          <w:rStyle w:val="AERbody"/>
        </w:rPr>
      </w:pPr>
    </w:p>
    <w:sectPr w:rsidR="00E72AC9" w:rsidRPr="0039307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28" w:rsidRPr="00290C63" w:rsidRDefault="00160928" w:rsidP="00290C63">
      <w:r>
        <w:separator/>
      </w:r>
    </w:p>
    <w:p w:rsidR="00160928" w:rsidRDefault="00160928"/>
  </w:endnote>
  <w:endnote w:type="continuationSeparator" w:id="0">
    <w:p w:rsidR="00160928" w:rsidRPr="00290C63" w:rsidRDefault="00160928" w:rsidP="00290C63">
      <w:r>
        <w:continuationSeparator/>
      </w:r>
    </w:p>
    <w:p w:rsidR="00160928" w:rsidRDefault="0016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28" w:rsidRPr="00290C63" w:rsidRDefault="0016092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60928" w:rsidRDefault="00160928"/>
  <w:p w:rsidR="00160928" w:rsidRDefault="00160928"/>
  <w:p w:rsidR="00160928" w:rsidRDefault="00160928"/>
  <w:p w:rsidR="00160928" w:rsidRDefault="00160928"/>
  <w:p w:rsidR="00160928" w:rsidRDefault="00160928"/>
  <w:p w:rsidR="00160928" w:rsidRDefault="00160928"/>
  <w:p w:rsidR="00160928" w:rsidRDefault="001609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160928" w:rsidRDefault="00160928">
        <w:pPr>
          <w:pStyle w:val="Footer"/>
        </w:pPr>
        <w:r>
          <w:t>11-</w:t>
        </w:r>
        <w:r>
          <w:fldChar w:fldCharType="begin"/>
        </w:r>
        <w:r>
          <w:instrText xml:space="preserve"> PAGE   \* MERGEFORMAT </w:instrText>
        </w:r>
        <w:r>
          <w:fldChar w:fldCharType="separate"/>
        </w:r>
        <w:r w:rsidR="00D541C9">
          <w:rPr>
            <w:noProof/>
          </w:rPr>
          <w:t>7</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Ergon Energy</w:t>
        </w:r>
        <w:r>
          <w:rPr>
            <w:rFonts w:cs="Gautami"/>
            <w:noProof/>
          </w:rPr>
          <w:t xml:space="preserve"> determination 2015–20</w:t>
        </w:r>
      </w:p>
    </w:sdtContent>
  </w:sdt>
  <w:p w:rsidR="00160928" w:rsidRDefault="00160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28" w:rsidRPr="00290C63" w:rsidRDefault="0016092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60928" w:rsidRDefault="00160928">
    <w:pPr>
      <w:pStyle w:val="Footer"/>
    </w:pPr>
  </w:p>
  <w:p w:rsidR="00160928" w:rsidRDefault="00160928"/>
  <w:p w:rsidR="00160928" w:rsidRDefault="00160928"/>
  <w:p w:rsidR="00160928" w:rsidRDefault="00160928"/>
  <w:p w:rsidR="00160928" w:rsidRDefault="00160928"/>
  <w:p w:rsidR="00160928" w:rsidRDefault="00160928"/>
  <w:p w:rsidR="00160928" w:rsidRDefault="00160928"/>
  <w:p w:rsidR="00160928" w:rsidRDefault="001609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28" w:rsidRPr="00290C63" w:rsidRDefault="00160928" w:rsidP="00290C63">
      <w:r>
        <w:separator/>
      </w:r>
    </w:p>
    <w:p w:rsidR="00160928" w:rsidRDefault="00160928"/>
  </w:footnote>
  <w:footnote w:type="continuationSeparator" w:id="0">
    <w:p w:rsidR="00160928" w:rsidRPr="00290C63" w:rsidRDefault="00160928" w:rsidP="00290C63">
      <w:r>
        <w:continuationSeparator/>
      </w:r>
    </w:p>
    <w:p w:rsidR="00160928" w:rsidRDefault="00160928"/>
  </w:footnote>
  <w:footnote w:id="1">
    <w:p w:rsidR="00160928" w:rsidRDefault="00160928" w:rsidP="00CD49D5">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160928" w:rsidRDefault="00160928" w:rsidP="00CD49D5">
      <w:pPr>
        <w:pStyle w:val="FootnoteText"/>
      </w:pPr>
      <w:r>
        <w:rPr>
          <w:rStyle w:val="FootnoteReference"/>
        </w:rPr>
        <w:footnoteRef/>
      </w:r>
      <w:r>
        <w:t xml:space="preserve"> </w:t>
      </w:r>
      <w:r>
        <w:tab/>
        <w:t xml:space="preserve">AER, </w:t>
      </w:r>
      <w:r w:rsidRPr="003D6AD9">
        <w:rPr>
          <w:rStyle w:val="AERtextitalic"/>
        </w:rPr>
        <w:t>Final Framework and approach for Energex and Ergon Energy Regulatory control period commencing 1 July 2015</w:t>
      </w:r>
      <w:r>
        <w:t xml:space="preserve">, </w:t>
      </w:r>
      <w:r w:rsidRPr="003D6AD9">
        <w:t>April 2014</w:t>
      </w:r>
      <w:r>
        <w:t>, p. 70-71.</w:t>
      </w:r>
    </w:p>
  </w:footnote>
  <w:footnote w:id="3">
    <w:p w:rsidR="00160928" w:rsidRDefault="00160928" w:rsidP="00CD49D5">
      <w:pPr>
        <w:pStyle w:val="FootnoteText"/>
      </w:pPr>
      <w:r>
        <w:rPr>
          <w:rStyle w:val="FootnoteReference"/>
        </w:rPr>
        <w:footnoteRef/>
      </w:r>
      <w:r>
        <w:t xml:space="preserve"> </w:t>
      </w:r>
      <w:r>
        <w:tab/>
      </w:r>
      <w:r w:rsidRPr="00C91158">
        <w:t xml:space="preserve">AER, </w:t>
      </w:r>
      <w:r w:rsidRPr="00C91158">
        <w:rPr>
          <w:rStyle w:val="AERtextitalic"/>
        </w:rPr>
        <w:t>STPIS</w:t>
      </w:r>
      <w:r w:rsidRPr="00C91158">
        <w:t>, November 2009, cl</w:t>
      </w:r>
      <w:r w:rsidR="00CD528E">
        <w:t>.</w:t>
      </w:r>
      <w:r w:rsidRPr="00C91158">
        <w:t xml:space="preserve"> 2.1(d)(2).</w:t>
      </w:r>
    </w:p>
  </w:footnote>
  <w:footnote w:id="4">
    <w:p w:rsidR="00160928" w:rsidRDefault="00160928" w:rsidP="00CD49D5">
      <w:pPr>
        <w:pStyle w:val="FootnoteText"/>
      </w:pPr>
      <w:r>
        <w:rPr>
          <w:rStyle w:val="FootnoteReference"/>
        </w:rPr>
        <w:footnoteRef/>
      </w:r>
      <w:r>
        <w:t xml:space="preserve"> </w:t>
      </w:r>
      <w:r>
        <w:tab/>
        <w:t xml:space="preserve">AER, </w:t>
      </w:r>
      <w:r w:rsidRPr="00682A8C">
        <w:rPr>
          <w:rStyle w:val="AERtextitalic"/>
        </w:rPr>
        <w:t>STPIS</w:t>
      </w:r>
      <w:r>
        <w:t>, November 2009, cl</w:t>
      </w:r>
      <w:r w:rsidR="00CD528E">
        <w:t>.</w:t>
      </w:r>
      <w:r>
        <w:t xml:space="preserve"> 2.1(d)(3).</w:t>
      </w:r>
    </w:p>
  </w:footnote>
  <w:footnote w:id="5">
    <w:p w:rsidR="00160928" w:rsidRDefault="00160928">
      <w:pPr>
        <w:pStyle w:val="FootnoteText"/>
      </w:pPr>
      <w:r>
        <w:rPr>
          <w:rStyle w:val="FootnoteReference"/>
        </w:rPr>
        <w:footnoteRef/>
      </w:r>
      <w:r>
        <w:t xml:space="preserve"> </w:t>
      </w:r>
      <w:r>
        <w:tab/>
      </w:r>
      <w:r w:rsidRPr="00926E29">
        <w:t>The VCR represents, in dollar terms, the willingness of customers to pay for the reliable supply of electricity.  The values produced are used as a proxy in this way, and can be applied for use in revenue regulation, planning and operational purposes in the NEM. In network planning, the VCR is used by AEMO to assess the economic merits of carrying out additional investment in the electricity network. It is therefore important the VCR figures accurately reflect the value of reliability across a range of customers.</w:t>
      </w:r>
      <w:r>
        <w:t xml:space="preserve"> </w:t>
      </w:r>
    </w:p>
  </w:footnote>
  <w:footnote w:id="6">
    <w:p w:rsidR="00160928" w:rsidRDefault="00160928" w:rsidP="00CD49D5">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7">
    <w:p w:rsidR="00160928" w:rsidRDefault="00160928" w:rsidP="00CD49D5">
      <w:pPr>
        <w:pStyle w:val="FootnoteText"/>
      </w:pPr>
      <w:r>
        <w:rPr>
          <w:rStyle w:val="FootnoteReference"/>
        </w:rPr>
        <w:footnoteRef/>
      </w:r>
      <w:r>
        <w:tab/>
        <w:t xml:space="preserve">AER, </w:t>
      </w:r>
      <w:r w:rsidRPr="00682A8C">
        <w:rPr>
          <w:rStyle w:val="AERtextitalic"/>
        </w:rPr>
        <w:t>STPIS</w:t>
      </w:r>
      <w:r>
        <w:t>, November 2009, clause 2.1(d)(4).</w:t>
      </w:r>
    </w:p>
  </w:footnote>
  <w:footnote w:id="8">
    <w:p w:rsidR="00160928" w:rsidRDefault="00160928" w:rsidP="00FF4C65">
      <w:pPr>
        <w:pStyle w:val="FootnoteText"/>
      </w:pPr>
      <w:r>
        <w:rPr>
          <w:rStyle w:val="FootnoteReference"/>
        </w:rPr>
        <w:footnoteRef/>
      </w:r>
      <w:r>
        <w:t xml:space="preserve"> </w:t>
      </w:r>
      <w:r>
        <w:tab/>
      </w:r>
      <w:r w:rsidRPr="00CD49D5">
        <w:t>Ergon</w:t>
      </w:r>
      <w:r>
        <w:t xml:space="preserve"> Energy</w:t>
      </w:r>
      <w:r w:rsidRPr="00CD49D5">
        <w:t xml:space="preserve">, </w:t>
      </w:r>
      <w:r w:rsidRPr="00CD49D5">
        <w:rPr>
          <w:rStyle w:val="AERtextitalic"/>
        </w:rPr>
        <w:t>Proposed Application of STPIS for the 2015/16 to 2019/20 Regulatory Control Period</w:t>
      </w:r>
      <w:r w:rsidRPr="00CD49D5">
        <w:t>, 22 October 2014</w:t>
      </w:r>
      <w:r>
        <w:t xml:space="preserve">, </w:t>
      </w:r>
      <w:r w:rsidRPr="00CD49D5">
        <w:t xml:space="preserve">p. </w:t>
      </w:r>
      <w:r>
        <w:t>6</w:t>
      </w:r>
      <w:r w:rsidRPr="00CD49D5">
        <w:t>.</w:t>
      </w:r>
    </w:p>
  </w:footnote>
  <w:footnote w:id="9">
    <w:p w:rsidR="00160928" w:rsidRDefault="00160928" w:rsidP="00CD49D5">
      <w:pPr>
        <w:pStyle w:val="FootnoteText"/>
      </w:pPr>
      <w:r>
        <w:rPr>
          <w:rStyle w:val="FootnoteReference"/>
        </w:rPr>
        <w:footnoteRef/>
      </w:r>
      <w:r>
        <w:t xml:space="preserve"> </w:t>
      </w:r>
      <w:r>
        <w:tab/>
      </w:r>
      <w:r w:rsidRPr="002369E4">
        <w:t>Ergon</w:t>
      </w:r>
      <w:r>
        <w:t xml:space="preserve"> Energy</w:t>
      </w:r>
      <w:r w:rsidRPr="002369E4">
        <w:t xml:space="preserve">, </w:t>
      </w:r>
      <w:r w:rsidRPr="000A1C5A">
        <w:rPr>
          <w:rStyle w:val="AERtextitalic"/>
        </w:rPr>
        <w:t>Proposed Application of STPIS for the 2015/16 to 2019/20 Regulatory Control Period</w:t>
      </w:r>
      <w:r w:rsidRPr="002369E4">
        <w:t>, 22 October 2014</w:t>
      </w:r>
      <w:r>
        <w:t xml:space="preserve">, </w:t>
      </w:r>
      <w:r w:rsidRPr="002369E4">
        <w:t>p</w:t>
      </w:r>
      <w:r>
        <w:t>p</w:t>
      </w:r>
      <w:r w:rsidRPr="002369E4">
        <w:t xml:space="preserve">. </w:t>
      </w:r>
      <w:r>
        <w:t>16–17.</w:t>
      </w:r>
    </w:p>
  </w:footnote>
  <w:footnote w:id="10">
    <w:p w:rsidR="00160928" w:rsidRDefault="00160928">
      <w:pPr>
        <w:pStyle w:val="FootnoteText"/>
      </w:pPr>
      <w:r>
        <w:rPr>
          <w:rStyle w:val="FootnoteReference"/>
        </w:rPr>
        <w:footnoteRef/>
      </w:r>
      <w:r>
        <w:t xml:space="preserve"> </w:t>
      </w:r>
      <w:r>
        <w:tab/>
      </w:r>
      <w:r w:rsidRPr="00F73E84">
        <w:t>Ergon</w:t>
      </w:r>
      <w:r>
        <w:t xml:space="preserve"> Energy</w:t>
      </w:r>
      <w:r w:rsidRPr="00F73E84">
        <w:t xml:space="preserve">, </w:t>
      </w:r>
      <w:r w:rsidRPr="000A1C5A">
        <w:rPr>
          <w:rStyle w:val="AERtextitalic"/>
        </w:rPr>
        <w:t>Proposed Application of STPIS for the 2015/16 to 2019/20 Regulatory Control Period</w:t>
      </w:r>
      <w:r w:rsidRPr="00F73E84">
        <w:t>, 22 October 2014,</w:t>
      </w:r>
      <w:r>
        <w:t xml:space="preserve"> p. 11. </w:t>
      </w:r>
    </w:p>
  </w:footnote>
  <w:footnote w:id="11">
    <w:p w:rsidR="00160928" w:rsidRDefault="00160928">
      <w:pPr>
        <w:pStyle w:val="FootnoteText"/>
      </w:pPr>
      <w:r>
        <w:rPr>
          <w:rStyle w:val="FootnoteReference"/>
        </w:rPr>
        <w:footnoteRef/>
      </w:r>
      <w:r>
        <w:t xml:space="preserve"> </w:t>
      </w:r>
      <w:r>
        <w:tab/>
      </w:r>
      <w:r w:rsidRPr="00CB0711">
        <w:t xml:space="preserve">AER, </w:t>
      </w:r>
      <w:r w:rsidRPr="00160928">
        <w:rPr>
          <w:rStyle w:val="AERtextitalic"/>
        </w:rPr>
        <w:t>STPIS</w:t>
      </w:r>
      <w:r w:rsidRPr="00CB0711">
        <w:t>, cl</w:t>
      </w:r>
      <w:r w:rsidR="00CD528E">
        <w:t>.</w:t>
      </w:r>
      <w:r w:rsidRPr="00CB0711">
        <w:t xml:space="preserve"> </w:t>
      </w:r>
      <w:r>
        <w:t>3.2.1(a)</w:t>
      </w:r>
      <w:r w:rsidRPr="00CB0711">
        <w:t>.</w:t>
      </w:r>
    </w:p>
  </w:footnote>
  <w:footnote w:id="12">
    <w:p w:rsidR="00160928" w:rsidRDefault="00160928" w:rsidP="00CD49D5">
      <w:pPr>
        <w:pStyle w:val="FootnoteText"/>
      </w:pPr>
      <w:r>
        <w:rPr>
          <w:rStyle w:val="FootnoteReference"/>
        </w:rPr>
        <w:footnoteRef/>
      </w:r>
      <w:r>
        <w:t xml:space="preserve"> </w:t>
      </w:r>
      <w:r>
        <w:tab/>
      </w:r>
      <w:r w:rsidRPr="00CD49D5">
        <w:t>E</w:t>
      </w:r>
      <w:r>
        <w:t xml:space="preserve">rgon Energy, </w:t>
      </w:r>
      <w:r w:rsidRPr="000A1C5A">
        <w:rPr>
          <w:rStyle w:val="AERtextitalic"/>
        </w:rPr>
        <w:t>Proposed Application of STPIS for the 2015/16 to 2019/20 Regulatory Control Period</w:t>
      </w:r>
      <w:r>
        <w:t xml:space="preserve">, </w:t>
      </w:r>
      <w:r w:rsidRPr="00CD49D5">
        <w:t>22 October 2014</w:t>
      </w:r>
      <w:r>
        <w:t xml:space="preserve">, </w:t>
      </w:r>
      <w:r w:rsidRPr="00CD49D5">
        <w:t>p.</w:t>
      </w:r>
      <w:r>
        <w:t xml:space="preserve">  4</w:t>
      </w:r>
      <w:r w:rsidRPr="00CD49D5">
        <w:t>.</w:t>
      </w:r>
    </w:p>
  </w:footnote>
  <w:footnote w:id="13">
    <w:p w:rsidR="00160928" w:rsidRDefault="00160928" w:rsidP="00CB0711">
      <w:pPr>
        <w:pStyle w:val="FootnoteText"/>
      </w:pPr>
      <w:r>
        <w:rPr>
          <w:rStyle w:val="FootnoteReference"/>
        </w:rPr>
        <w:footnoteRef/>
      </w:r>
      <w:r>
        <w:t xml:space="preserve"> </w:t>
      </w:r>
      <w:r>
        <w:tab/>
        <w:t xml:space="preserve">Ergon Energy, </w:t>
      </w:r>
      <w:r w:rsidRPr="00160928">
        <w:rPr>
          <w:rStyle w:val="AERtextitalic"/>
        </w:rPr>
        <w:t>Proposed Application of STPIS for the 2015/16 to 2019/20 Regulatory Control Period (revised</w:t>
      </w:r>
      <w:r>
        <w:t xml:space="preserve">), </w:t>
      </w:r>
      <w:r w:rsidR="00CD528E">
        <w:t xml:space="preserve">9 April 2015. </w:t>
      </w:r>
    </w:p>
  </w:footnote>
  <w:footnote w:id="14">
    <w:p w:rsidR="00160928" w:rsidRDefault="00160928">
      <w:pPr>
        <w:pStyle w:val="FootnoteText"/>
      </w:pPr>
      <w:r>
        <w:rPr>
          <w:rStyle w:val="FootnoteReference"/>
        </w:rPr>
        <w:footnoteRef/>
      </w:r>
      <w:r>
        <w:t xml:space="preserve"> </w:t>
      </w:r>
      <w:r>
        <w:tab/>
        <w:t>NER, cl. 6.12.1(a).</w:t>
      </w:r>
    </w:p>
  </w:footnote>
  <w:footnote w:id="15">
    <w:p w:rsidR="00160928" w:rsidRDefault="00160928" w:rsidP="00BE76DF">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rsidR="00CD528E">
        <w:t>.</w:t>
      </w:r>
      <w:r w:rsidRPr="00E20BA5">
        <w:t xml:space="preserve"> 2.1(d).</w:t>
      </w:r>
    </w:p>
  </w:footnote>
  <w:footnote w:id="16">
    <w:p w:rsidR="00160928" w:rsidRDefault="00160928" w:rsidP="00907CE9">
      <w:pPr>
        <w:pStyle w:val="FootnoteText"/>
      </w:pPr>
      <w:r>
        <w:rPr>
          <w:rStyle w:val="FootnoteReference"/>
        </w:rPr>
        <w:footnoteRef/>
      </w:r>
      <w:r>
        <w:t xml:space="preserve"> </w:t>
      </w:r>
      <w:r>
        <w:tab/>
        <w:t>NER, cl. 6.6.2(b)(3)(iv).</w:t>
      </w:r>
    </w:p>
  </w:footnote>
  <w:footnote w:id="17">
    <w:p w:rsidR="00160928" w:rsidRDefault="00160928" w:rsidP="00907CE9">
      <w:pPr>
        <w:pStyle w:val="FootnoteText"/>
      </w:pPr>
      <w:r>
        <w:rPr>
          <w:rStyle w:val="FootnoteReference"/>
        </w:rPr>
        <w:footnoteRef/>
      </w:r>
      <w:r>
        <w:t xml:space="preserve"> </w:t>
      </w:r>
      <w:r>
        <w:tab/>
        <w:t xml:space="preserve">AER, </w:t>
      </w:r>
      <w:r w:rsidRPr="00CD528E">
        <w:rPr>
          <w:rStyle w:val="AERtextitalic"/>
        </w:rPr>
        <w:t>STPIS</w:t>
      </w:r>
      <w:r>
        <w:t>,</w:t>
      </w:r>
      <w:r w:rsidR="00CD528E">
        <w:t xml:space="preserve"> November,</w:t>
      </w:r>
      <w:r>
        <w:t xml:space="preserve"> cl</w:t>
      </w:r>
      <w:r w:rsidR="00CD528E">
        <w:t>.</w:t>
      </w:r>
      <w:r>
        <w:t>1.5(b)(5).</w:t>
      </w:r>
    </w:p>
  </w:footnote>
  <w:footnote w:id="18">
    <w:p w:rsidR="00160928" w:rsidRDefault="00160928">
      <w:pPr>
        <w:pStyle w:val="FootnoteText"/>
      </w:pPr>
      <w:r>
        <w:rPr>
          <w:rStyle w:val="FootnoteReference"/>
        </w:rPr>
        <w:footnoteRef/>
      </w:r>
      <w:r>
        <w:t xml:space="preserve"> </w:t>
      </w:r>
      <w:r>
        <w:tab/>
        <w:t>"Raw" refers to the S-factor prior to any adjustments.</w:t>
      </w:r>
    </w:p>
  </w:footnote>
  <w:footnote w:id="19">
    <w:p w:rsidR="00160928" w:rsidRDefault="00160928">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20">
    <w:p w:rsidR="00160928" w:rsidRDefault="00160928">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w:t>
      </w:r>
    </w:p>
  </w:footnote>
  <w:footnote w:id="21">
    <w:p w:rsidR="00160928" w:rsidRDefault="00160928">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cl</w:t>
      </w:r>
      <w:r w:rsidR="00F75DD0">
        <w:t>.</w:t>
      </w:r>
      <w:r>
        <w:t xml:space="preserve"> 3.2.1. </w:t>
      </w:r>
    </w:p>
  </w:footnote>
  <w:footnote w:id="22">
    <w:p w:rsidR="00160928" w:rsidRDefault="00160928">
      <w:pPr>
        <w:pStyle w:val="FootnoteText"/>
      </w:pPr>
      <w:r>
        <w:rPr>
          <w:rStyle w:val="FootnoteReference"/>
        </w:rPr>
        <w:footnoteRef/>
      </w:r>
      <w:r>
        <w:t xml:space="preserve"> </w:t>
      </w:r>
      <w:r>
        <w:tab/>
        <w:t xml:space="preserve">Ergon Energy, </w:t>
      </w:r>
      <w:r w:rsidRPr="00363F2F">
        <w:rPr>
          <w:rStyle w:val="AERtextitalic"/>
        </w:rPr>
        <w:t>Letter to the AER_revised STPIS Targets</w:t>
      </w:r>
      <w:r>
        <w:t xml:space="preserve">, </w:t>
      </w:r>
      <w:r w:rsidRPr="009F2BA5">
        <w:t>9</w:t>
      </w:r>
      <w:r>
        <w:t xml:space="preserve"> </w:t>
      </w:r>
      <w:r w:rsidRPr="009F2BA5">
        <w:t>April2015</w:t>
      </w:r>
      <w:r>
        <w:t>.</w:t>
      </w:r>
    </w:p>
  </w:footnote>
  <w:footnote w:id="23">
    <w:p w:rsidR="00160928" w:rsidRDefault="00160928" w:rsidP="009F2BA5">
      <w:pPr>
        <w:pStyle w:val="FootnoteText"/>
      </w:pPr>
      <w:r>
        <w:rPr>
          <w:rStyle w:val="FootnoteReference"/>
        </w:rPr>
        <w:footnoteRef/>
      </w:r>
      <w:r>
        <w:t xml:space="preserve"> </w:t>
      </w:r>
      <w:r>
        <w:tab/>
        <w:t>AER</w:t>
      </w:r>
      <w:r w:rsidRPr="009F2BA5">
        <w:rPr>
          <w:rStyle w:val="AERtextitalic"/>
        </w:rPr>
        <w:t>, Final decision, Electricity distribution network service providers Service target performance incentive scheme</w:t>
      </w:r>
      <w:r>
        <w:t xml:space="preserve">, </w:t>
      </w:r>
      <w:r w:rsidRPr="009F2BA5">
        <w:t>June 2008</w:t>
      </w:r>
      <w:r>
        <w:t>, p. 6.</w:t>
      </w:r>
    </w:p>
  </w:footnote>
  <w:footnote w:id="24">
    <w:p w:rsidR="00160928" w:rsidRDefault="00160928" w:rsidP="004B6A03">
      <w:pPr>
        <w:pStyle w:val="FootnoteText"/>
      </w:pPr>
      <w:r>
        <w:rPr>
          <w:rStyle w:val="FootnoteReference"/>
        </w:rPr>
        <w:footnoteRef/>
      </w:r>
      <w:r>
        <w:t xml:space="preserve"> </w:t>
      </w:r>
      <w:r>
        <w:tab/>
        <w:t xml:space="preserve">Ergon Energy, </w:t>
      </w:r>
      <w:r w:rsidRPr="007005DB">
        <w:rPr>
          <w:rStyle w:val="AERtextitalic"/>
        </w:rPr>
        <w:t>AER Ergon 067 – worst performing feeder performance</w:t>
      </w:r>
      <w:r>
        <w:t>, March 2015, pp. 1–2.</w:t>
      </w:r>
      <w:r w:rsidRPr="003F26FC">
        <w:t xml:space="preserve"> </w:t>
      </w:r>
    </w:p>
  </w:footnote>
  <w:footnote w:id="25">
    <w:p w:rsidR="00160928" w:rsidRDefault="00160928">
      <w:pPr>
        <w:pStyle w:val="FootnoteText"/>
      </w:pPr>
      <w:r>
        <w:rPr>
          <w:rStyle w:val="FootnoteReference"/>
        </w:rPr>
        <w:footnoteRef/>
      </w:r>
      <w:r>
        <w:t xml:space="preserve"> </w:t>
      </w:r>
      <w:r>
        <w:tab/>
        <w:t xml:space="preserve">Ergon Energy, </w:t>
      </w:r>
      <w:r w:rsidRPr="00CE673E">
        <w:rPr>
          <w:rStyle w:val="AERtextitalic"/>
        </w:rPr>
        <w:t>Response to AER information request: AER Ergon 067 – worst performing feeder performance</w:t>
      </w:r>
      <w:r>
        <w:t>, March 2015, p. 1.</w:t>
      </w:r>
    </w:p>
  </w:footnote>
  <w:footnote w:id="26">
    <w:p w:rsidR="00160928" w:rsidRDefault="00160928" w:rsidP="00E020FB">
      <w:pPr>
        <w:pStyle w:val="FootnoteText"/>
      </w:pPr>
      <w:r>
        <w:rPr>
          <w:rStyle w:val="FootnoteReference"/>
        </w:rPr>
        <w:footnoteRef/>
      </w:r>
      <w:r>
        <w:t xml:space="preserve"> </w:t>
      </w:r>
      <w:r>
        <w:tab/>
      </w:r>
      <w:r w:rsidRPr="00755F8E">
        <w:t xml:space="preserve">AER, </w:t>
      </w:r>
      <w:r w:rsidRPr="00F75DD0">
        <w:rPr>
          <w:rStyle w:val="AERtextitalic"/>
        </w:rPr>
        <w:t>STPIS</w:t>
      </w:r>
      <w:r>
        <w:t xml:space="preserve">, November 2009, cl 5.1(a) and (b); see also </w:t>
      </w:r>
      <w:r w:rsidRPr="00E020FB">
        <w:t>Appendix A: Performance incentive scheme</w:t>
      </w:r>
      <w:r w:rsidR="00A82245">
        <w:t xml:space="preserve"> </w:t>
      </w:r>
      <w:r w:rsidRPr="00E020FB">
        <w:t>parameters—standard definitions</w:t>
      </w:r>
    </w:p>
  </w:footnote>
  <w:footnote w:id="27">
    <w:p w:rsidR="00160928" w:rsidRDefault="00160928" w:rsidP="008A16C1">
      <w:pPr>
        <w:pStyle w:val="FootnoteText"/>
      </w:pPr>
      <w:r>
        <w:rPr>
          <w:rStyle w:val="FootnoteReference"/>
        </w:rPr>
        <w:footnoteRef/>
      </w:r>
      <w:r>
        <w:t xml:space="preserve"> </w:t>
      </w:r>
      <w:r>
        <w:tab/>
      </w:r>
      <w:r w:rsidRPr="00755F8E">
        <w:t xml:space="preserve">AER, </w:t>
      </w:r>
      <w:r w:rsidRPr="00F75DD0">
        <w:rPr>
          <w:rStyle w:val="AERtextitalic"/>
        </w:rPr>
        <w:t>STPIS</w:t>
      </w:r>
      <w:r>
        <w:t>, November 2009, cl 5.31(a).</w:t>
      </w:r>
      <w:r w:rsidR="00F75DD0">
        <w:t xml:space="preserve"> </w:t>
      </w:r>
    </w:p>
  </w:footnote>
  <w:footnote w:id="28">
    <w:p w:rsidR="00F75DD0" w:rsidRDefault="00F75DD0">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29">
    <w:p w:rsidR="00160928" w:rsidRDefault="00160928" w:rsidP="002F40C8">
      <w:pPr>
        <w:pStyle w:val="FootnoteText"/>
      </w:pPr>
      <w:r>
        <w:rPr>
          <w:rStyle w:val="FootnoteReference"/>
        </w:rPr>
        <w:footnoteRef/>
      </w:r>
      <w:r>
        <w:t xml:space="preserve"> </w:t>
      </w:r>
      <w:r>
        <w:tab/>
      </w:r>
      <w:r w:rsidRPr="002F40C8">
        <w:t>Alliance</w:t>
      </w:r>
      <w:r>
        <w:t xml:space="preserve"> </w:t>
      </w:r>
      <w:r w:rsidRPr="002F40C8">
        <w:t>of</w:t>
      </w:r>
      <w:r>
        <w:t xml:space="preserve"> </w:t>
      </w:r>
      <w:r w:rsidRPr="002F40C8">
        <w:t>Electricity</w:t>
      </w:r>
      <w:r>
        <w:t xml:space="preserve"> </w:t>
      </w:r>
      <w:r w:rsidRPr="002F40C8">
        <w:t>Consumers</w:t>
      </w:r>
      <w:r>
        <w:t xml:space="preserve">, </w:t>
      </w:r>
      <w:r w:rsidRPr="002F40C8">
        <w:rPr>
          <w:rStyle w:val="AERtextitalic"/>
        </w:rPr>
        <w:t>Submission on Ergon Energy’s Regulatory Proposal 2015–2020</w:t>
      </w:r>
      <w:r>
        <w:t>, 30 January 2015, p. 29.</w:t>
      </w:r>
    </w:p>
  </w:footnote>
  <w:footnote w:id="30">
    <w:p w:rsidR="00160928" w:rsidRDefault="00160928">
      <w:pPr>
        <w:pStyle w:val="FootnoteText"/>
      </w:pPr>
      <w:r>
        <w:rPr>
          <w:rStyle w:val="FootnoteReference"/>
        </w:rPr>
        <w:footnoteRef/>
      </w:r>
      <w:r>
        <w:t xml:space="preserve"> </w:t>
      </w:r>
      <w:r>
        <w:tab/>
      </w:r>
      <w:r w:rsidRPr="002F40C8">
        <w:t xml:space="preserve">Alliance of Electricity Consumers, </w:t>
      </w:r>
      <w:r w:rsidRPr="002F40C8">
        <w:rPr>
          <w:rStyle w:val="AERtextitalic"/>
        </w:rPr>
        <w:t>Submission on Ergon Energy’s Regulatory Proposal 2015–2020</w:t>
      </w:r>
      <w:r w:rsidRPr="002F40C8">
        <w:t>, 30 January 2015, p. 29</w:t>
      </w:r>
      <w:r w:rsidR="008F504A">
        <w:t>.</w:t>
      </w:r>
    </w:p>
  </w:footnote>
  <w:footnote w:id="31">
    <w:p w:rsidR="00160928" w:rsidRDefault="00160928" w:rsidP="002F40C8">
      <w:pPr>
        <w:pStyle w:val="FootnoteText"/>
      </w:pPr>
      <w:r>
        <w:rPr>
          <w:rStyle w:val="FootnoteReference"/>
        </w:rPr>
        <w:footnoteRef/>
      </w:r>
      <w:r>
        <w:t xml:space="preserve"> </w:t>
      </w:r>
      <w:r>
        <w:tab/>
        <w:t xml:space="preserve">Cummings Economics, </w:t>
      </w:r>
      <w:r w:rsidRPr="002F40C8">
        <w:rPr>
          <w:rStyle w:val="AERtextitalic"/>
        </w:rPr>
        <w:t>Submission to Australian Energy Regulator by Cummings Economics on behalf of a Network of Electricity Users in Far North Queensland</w:t>
      </w:r>
      <w:r>
        <w:t xml:space="preserve">, 30 January 2015, pp. 23–25.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B37243D"/>
    <w:multiLevelType w:val="hybridMultilevel"/>
    <w:tmpl w:val="BE52D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7A31CCD"/>
    <w:multiLevelType w:val="multilevel"/>
    <w:tmpl w:val="950A1C52"/>
    <w:numStyleLink w:val="AERHeadings"/>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E0BC09B4"/>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2"/>
  </w:num>
  <w:num w:numId="16">
    <w:abstractNumId w:val="26"/>
  </w:num>
  <w:num w:numId="17">
    <w:abstractNumId w:val="9"/>
  </w:num>
  <w:num w:numId="18">
    <w:abstractNumId w:val="16"/>
  </w:num>
  <w:num w:numId="19">
    <w:abstractNumId w:val="27"/>
  </w:num>
  <w:num w:numId="20">
    <w:abstractNumId w:val="34"/>
  </w:num>
  <w:num w:numId="21">
    <w:abstractNumId w:val="13"/>
  </w:num>
  <w:num w:numId="22">
    <w:abstractNumId w:val="30"/>
  </w:num>
  <w:num w:numId="23">
    <w:abstractNumId w:val="28"/>
  </w:num>
  <w:num w:numId="24">
    <w:abstractNumId w:val="19"/>
  </w:num>
  <w:num w:numId="25">
    <w:abstractNumId w:val="29"/>
  </w:num>
  <w:num w:numId="26">
    <w:abstractNumId w:val="31"/>
  </w:num>
  <w:num w:numId="27">
    <w:abstractNumId w:val="20"/>
  </w:num>
  <w:num w:numId="28">
    <w:abstractNumId w:val="17"/>
  </w:num>
  <w:num w:numId="29">
    <w:abstractNumId w:val="15"/>
  </w:num>
  <w:num w:numId="30">
    <w:abstractNumId w:val="35"/>
  </w:num>
  <w:num w:numId="31">
    <w:abstractNumId w:val="14"/>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1"/>
  </w:num>
  <w:num w:numId="38">
    <w:abstractNumId w:val="8"/>
    <w:lvlOverride w:ilvl="0">
      <w:startOverride w:val="1"/>
    </w:lvlOverride>
  </w:num>
  <w:num w:numId="39">
    <w:abstractNumId w:val="8"/>
    <w:lvlOverride w:ilvl="0">
      <w:startOverride w:val="1"/>
    </w:lvlOverride>
  </w:num>
  <w:num w:numId="40">
    <w:abstractNumId w:val="18"/>
  </w:num>
  <w:num w:numId="41">
    <w:abstractNumId w:val="25"/>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eU3OECvzygpJN41k1asPuI7ZGsW8KLaz7oK1aKS86s=" w:saltValue="Z4X5Zbo8Uk9KVVQU3G/ZmA==" w:algorithmName="SHA-256"/>
  <w:defaultTabStop w:val="34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vulam\AppData\Local\Microsoft\Windows\Temporary Internet Files\Content.Outlook\RK0F0GGU\RLU - Ergon - prelim decision - Attach 11 - STPIS.docx"/>
  </w:docVars>
  <w:rsids>
    <w:rsidRoot w:val="00961A4A"/>
    <w:rsid w:val="00015C5A"/>
    <w:rsid w:val="00016B20"/>
    <w:rsid w:val="00021202"/>
    <w:rsid w:val="0002517F"/>
    <w:rsid w:val="000345E9"/>
    <w:rsid w:val="0003578C"/>
    <w:rsid w:val="00041D9B"/>
    <w:rsid w:val="0005035F"/>
    <w:rsid w:val="00063247"/>
    <w:rsid w:val="00070F9F"/>
    <w:rsid w:val="0007137B"/>
    <w:rsid w:val="00085663"/>
    <w:rsid w:val="00085EBF"/>
    <w:rsid w:val="0009730A"/>
    <w:rsid w:val="000A1C5A"/>
    <w:rsid w:val="000A3020"/>
    <w:rsid w:val="000A309C"/>
    <w:rsid w:val="000A6C7B"/>
    <w:rsid w:val="000C6488"/>
    <w:rsid w:val="000D122C"/>
    <w:rsid w:val="000E1819"/>
    <w:rsid w:val="000E1DC1"/>
    <w:rsid w:val="000E4821"/>
    <w:rsid w:val="000E6C72"/>
    <w:rsid w:val="00116EB2"/>
    <w:rsid w:val="001201F1"/>
    <w:rsid w:val="001219D6"/>
    <w:rsid w:val="00124609"/>
    <w:rsid w:val="00126A4C"/>
    <w:rsid w:val="00127E2E"/>
    <w:rsid w:val="0014573B"/>
    <w:rsid w:val="001573E4"/>
    <w:rsid w:val="00160756"/>
    <w:rsid w:val="00160928"/>
    <w:rsid w:val="00165357"/>
    <w:rsid w:val="0017232E"/>
    <w:rsid w:val="001738E5"/>
    <w:rsid w:val="00174102"/>
    <w:rsid w:val="00180157"/>
    <w:rsid w:val="00185CB9"/>
    <w:rsid w:val="00186F77"/>
    <w:rsid w:val="001926A4"/>
    <w:rsid w:val="00192AD5"/>
    <w:rsid w:val="0019561A"/>
    <w:rsid w:val="001A2FDB"/>
    <w:rsid w:val="001B45A0"/>
    <w:rsid w:val="001B6FB9"/>
    <w:rsid w:val="001D055E"/>
    <w:rsid w:val="001D42C3"/>
    <w:rsid w:val="001F492E"/>
    <w:rsid w:val="001F6DA3"/>
    <w:rsid w:val="002010BC"/>
    <w:rsid w:val="00202E03"/>
    <w:rsid w:val="0020492C"/>
    <w:rsid w:val="002204A1"/>
    <w:rsid w:val="00224DB9"/>
    <w:rsid w:val="00233775"/>
    <w:rsid w:val="00233F47"/>
    <w:rsid w:val="00236360"/>
    <w:rsid w:val="002369E4"/>
    <w:rsid w:val="00251745"/>
    <w:rsid w:val="00263AC0"/>
    <w:rsid w:val="00264264"/>
    <w:rsid w:val="0026772D"/>
    <w:rsid w:val="002706DA"/>
    <w:rsid w:val="00270710"/>
    <w:rsid w:val="00274382"/>
    <w:rsid w:val="00275A10"/>
    <w:rsid w:val="00277752"/>
    <w:rsid w:val="00286874"/>
    <w:rsid w:val="00290C63"/>
    <w:rsid w:val="002968EA"/>
    <w:rsid w:val="00296B65"/>
    <w:rsid w:val="002A7DEF"/>
    <w:rsid w:val="002B40D9"/>
    <w:rsid w:val="002C242F"/>
    <w:rsid w:val="002E7B22"/>
    <w:rsid w:val="002F40C8"/>
    <w:rsid w:val="002F7986"/>
    <w:rsid w:val="00301B40"/>
    <w:rsid w:val="003029EE"/>
    <w:rsid w:val="00305CC8"/>
    <w:rsid w:val="00306DF6"/>
    <w:rsid w:val="00307F6D"/>
    <w:rsid w:val="003177A2"/>
    <w:rsid w:val="003271B5"/>
    <w:rsid w:val="00327A1E"/>
    <w:rsid w:val="00331264"/>
    <w:rsid w:val="00334C8D"/>
    <w:rsid w:val="0034298D"/>
    <w:rsid w:val="00343A18"/>
    <w:rsid w:val="003518B3"/>
    <w:rsid w:val="00363F2F"/>
    <w:rsid w:val="00370C3C"/>
    <w:rsid w:val="0038075F"/>
    <w:rsid w:val="003846F1"/>
    <w:rsid w:val="003848D6"/>
    <w:rsid w:val="00393065"/>
    <w:rsid w:val="0039307D"/>
    <w:rsid w:val="00396EB8"/>
    <w:rsid w:val="003B484F"/>
    <w:rsid w:val="003E64F7"/>
    <w:rsid w:val="003F174D"/>
    <w:rsid w:val="003F26FC"/>
    <w:rsid w:val="00401C73"/>
    <w:rsid w:val="00413535"/>
    <w:rsid w:val="00432754"/>
    <w:rsid w:val="00440D7C"/>
    <w:rsid w:val="0044404B"/>
    <w:rsid w:val="00456C53"/>
    <w:rsid w:val="0045777E"/>
    <w:rsid w:val="00480B4B"/>
    <w:rsid w:val="00485DC4"/>
    <w:rsid w:val="00491F41"/>
    <w:rsid w:val="00494DFA"/>
    <w:rsid w:val="004A43D1"/>
    <w:rsid w:val="004A7C6D"/>
    <w:rsid w:val="004B1924"/>
    <w:rsid w:val="004B4412"/>
    <w:rsid w:val="004B6A03"/>
    <w:rsid w:val="004C348C"/>
    <w:rsid w:val="004D2C3E"/>
    <w:rsid w:val="004D55BA"/>
    <w:rsid w:val="004E22EC"/>
    <w:rsid w:val="004E7FA9"/>
    <w:rsid w:val="00505934"/>
    <w:rsid w:val="005063B8"/>
    <w:rsid w:val="00513BAC"/>
    <w:rsid w:val="005173E1"/>
    <w:rsid w:val="00530128"/>
    <w:rsid w:val="00531369"/>
    <w:rsid w:val="00532467"/>
    <w:rsid w:val="005539D3"/>
    <w:rsid w:val="00564A4D"/>
    <w:rsid w:val="00567BA5"/>
    <w:rsid w:val="00571B35"/>
    <w:rsid w:val="00571D57"/>
    <w:rsid w:val="0057267F"/>
    <w:rsid w:val="005766DB"/>
    <w:rsid w:val="00577A09"/>
    <w:rsid w:val="005829C2"/>
    <w:rsid w:val="00584D8F"/>
    <w:rsid w:val="00590AE7"/>
    <w:rsid w:val="005A404D"/>
    <w:rsid w:val="005A6BC6"/>
    <w:rsid w:val="005B1E3C"/>
    <w:rsid w:val="005B5807"/>
    <w:rsid w:val="005C26CC"/>
    <w:rsid w:val="005D7BA2"/>
    <w:rsid w:val="005E36C2"/>
    <w:rsid w:val="005E419E"/>
    <w:rsid w:val="005F31E4"/>
    <w:rsid w:val="00601E84"/>
    <w:rsid w:val="00603C32"/>
    <w:rsid w:val="00615C6B"/>
    <w:rsid w:val="00621DCE"/>
    <w:rsid w:val="00630E4D"/>
    <w:rsid w:val="00632D6D"/>
    <w:rsid w:val="00642C3E"/>
    <w:rsid w:val="00643BA4"/>
    <w:rsid w:val="00644B38"/>
    <w:rsid w:val="0066104A"/>
    <w:rsid w:val="00663DAD"/>
    <w:rsid w:val="00675E20"/>
    <w:rsid w:val="00676679"/>
    <w:rsid w:val="00681393"/>
    <w:rsid w:val="00683C89"/>
    <w:rsid w:val="00685D63"/>
    <w:rsid w:val="006B2395"/>
    <w:rsid w:val="006B4CF9"/>
    <w:rsid w:val="006B55BA"/>
    <w:rsid w:val="006B7AC8"/>
    <w:rsid w:val="006C01EE"/>
    <w:rsid w:val="006D550F"/>
    <w:rsid w:val="006E5865"/>
    <w:rsid w:val="006F572F"/>
    <w:rsid w:val="006F7D3C"/>
    <w:rsid w:val="007005DB"/>
    <w:rsid w:val="00701CAB"/>
    <w:rsid w:val="00707563"/>
    <w:rsid w:val="00721C7C"/>
    <w:rsid w:val="0072348C"/>
    <w:rsid w:val="00724A37"/>
    <w:rsid w:val="007303C3"/>
    <w:rsid w:val="00736994"/>
    <w:rsid w:val="007429BE"/>
    <w:rsid w:val="00743223"/>
    <w:rsid w:val="00746E01"/>
    <w:rsid w:val="007475FA"/>
    <w:rsid w:val="00757BDF"/>
    <w:rsid w:val="007638C5"/>
    <w:rsid w:val="00763E5D"/>
    <w:rsid w:val="00767740"/>
    <w:rsid w:val="00777EE6"/>
    <w:rsid w:val="00782EEA"/>
    <w:rsid w:val="007A4CAE"/>
    <w:rsid w:val="007B2C72"/>
    <w:rsid w:val="007C1C53"/>
    <w:rsid w:val="007C6052"/>
    <w:rsid w:val="007C74BB"/>
    <w:rsid w:val="007E4904"/>
    <w:rsid w:val="007E4CB5"/>
    <w:rsid w:val="007F066B"/>
    <w:rsid w:val="008033C4"/>
    <w:rsid w:val="00806C88"/>
    <w:rsid w:val="00807F5A"/>
    <w:rsid w:val="0081034E"/>
    <w:rsid w:val="008344F6"/>
    <w:rsid w:val="00834894"/>
    <w:rsid w:val="0083510F"/>
    <w:rsid w:val="00840BC8"/>
    <w:rsid w:val="008432D7"/>
    <w:rsid w:val="00851209"/>
    <w:rsid w:val="008837AC"/>
    <w:rsid w:val="00892BB3"/>
    <w:rsid w:val="008A16C1"/>
    <w:rsid w:val="008A2D0C"/>
    <w:rsid w:val="008A587D"/>
    <w:rsid w:val="008B234F"/>
    <w:rsid w:val="008B35CD"/>
    <w:rsid w:val="008B5FCC"/>
    <w:rsid w:val="008C5486"/>
    <w:rsid w:val="008C6BE9"/>
    <w:rsid w:val="008D1661"/>
    <w:rsid w:val="008E7031"/>
    <w:rsid w:val="008E77DE"/>
    <w:rsid w:val="008F07A3"/>
    <w:rsid w:val="008F504A"/>
    <w:rsid w:val="00900E1B"/>
    <w:rsid w:val="00907CE9"/>
    <w:rsid w:val="009231D3"/>
    <w:rsid w:val="009233EE"/>
    <w:rsid w:val="00926934"/>
    <w:rsid w:val="00926E29"/>
    <w:rsid w:val="00927CEC"/>
    <w:rsid w:val="00930633"/>
    <w:rsid w:val="009460AA"/>
    <w:rsid w:val="00951978"/>
    <w:rsid w:val="00961A4A"/>
    <w:rsid w:val="009661DE"/>
    <w:rsid w:val="00983C25"/>
    <w:rsid w:val="009856B7"/>
    <w:rsid w:val="00985C86"/>
    <w:rsid w:val="009A5FC3"/>
    <w:rsid w:val="009B74B0"/>
    <w:rsid w:val="009D6B46"/>
    <w:rsid w:val="009F2BA5"/>
    <w:rsid w:val="009F4940"/>
    <w:rsid w:val="009F5BA1"/>
    <w:rsid w:val="00A02A88"/>
    <w:rsid w:val="00A0562E"/>
    <w:rsid w:val="00A0726D"/>
    <w:rsid w:val="00A16CA8"/>
    <w:rsid w:val="00A245BE"/>
    <w:rsid w:val="00A32FBB"/>
    <w:rsid w:val="00A428EE"/>
    <w:rsid w:val="00A42EC3"/>
    <w:rsid w:val="00A4478A"/>
    <w:rsid w:val="00A44852"/>
    <w:rsid w:val="00A57D04"/>
    <w:rsid w:val="00A60A26"/>
    <w:rsid w:val="00A61598"/>
    <w:rsid w:val="00A6745F"/>
    <w:rsid w:val="00A7561A"/>
    <w:rsid w:val="00A82245"/>
    <w:rsid w:val="00A84A99"/>
    <w:rsid w:val="00A84F46"/>
    <w:rsid w:val="00A871F4"/>
    <w:rsid w:val="00A91590"/>
    <w:rsid w:val="00A96ECE"/>
    <w:rsid w:val="00AA7F3B"/>
    <w:rsid w:val="00AC1B2C"/>
    <w:rsid w:val="00AC3264"/>
    <w:rsid w:val="00AC685F"/>
    <w:rsid w:val="00AE1BF1"/>
    <w:rsid w:val="00AE3D19"/>
    <w:rsid w:val="00AE6017"/>
    <w:rsid w:val="00AF0DD2"/>
    <w:rsid w:val="00B13048"/>
    <w:rsid w:val="00B1716D"/>
    <w:rsid w:val="00B17A1D"/>
    <w:rsid w:val="00B207A0"/>
    <w:rsid w:val="00B23E7A"/>
    <w:rsid w:val="00B25824"/>
    <w:rsid w:val="00B514DD"/>
    <w:rsid w:val="00B52AF0"/>
    <w:rsid w:val="00B561BD"/>
    <w:rsid w:val="00B56E03"/>
    <w:rsid w:val="00B8080B"/>
    <w:rsid w:val="00B81A22"/>
    <w:rsid w:val="00B87BA5"/>
    <w:rsid w:val="00B87C39"/>
    <w:rsid w:val="00B94419"/>
    <w:rsid w:val="00B94D7B"/>
    <w:rsid w:val="00B95040"/>
    <w:rsid w:val="00BA4665"/>
    <w:rsid w:val="00BA7473"/>
    <w:rsid w:val="00BB2FB2"/>
    <w:rsid w:val="00BB3304"/>
    <w:rsid w:val="00BD3446"/>
    <w:rsid w:val="00BD3FFE"/>
    <w:rsid w:val="00BE1F1B"/>
    <w:rsid w:val="00BE47B5"/>
    <w:rsid w:val="00BE76DF"/>
    <w:rsid w:val="00BF6C11"/>
    <w:rsid w:val="00C01C0F"/>
    <w:rsid w:val="00C076E7"/>
    <w:rsid w:val="00C12954"/>
    <w:rsid w:val="00C23655"/>
    <w:rsid w:val="00C250DD"/>
    <w:rsid w:val="00C25632"/>
    <w:rsid w:val="00C25FA6"/>
    <w:rsid w:val="00C5057E"/>
    <w:rsid w:val="00C538A9"/>
    <w:rsid w:val="00C53B5A"/>
    <w:rsid w:val="00C54F5A"/>
    <w:rsid w:val="00C569B4"/>
    <w:rsid w:val="00C61976"/>
    <w:rsid w:val="00C639D9"/>
    <w:rsid w:val="00C67A92"/>
    <w:rsid w:val="00C86679"/>
    <w:rsid w:val="00CA489E"/>
    <w:rsid w:val="00CB0279"/>
    <w:rsid w:val="00CB0711"/>
    <w:rsid w:val="00CB666B"/>
    <w:rsid w:val="00CB74DC"/>
    <w:rsid w:val="00CC0E55"/>
    <w:rsid w:val="00CC39A6"/>
    <w:rsid w:val="00CC7F1D"/>
    <w:rsid w:val="00CD49D5"/>
    <w:rsid w:val="00CD4E89"/>
    <w:rsid w:val="00CD528E"/>
    <w:rsid w:val="00CE25A7"/>
    <w:rsid w:val="00CE673E"/>
    <w:rsid w:val="00CF0373"/>
    <w:rsid w:val="00CF31C5"/>
    <w:rsid w:val="00CF4B99"/>
    <w:rsid w:val="00D006AE"/>
    <w:rsid w:val="00D019B8"/>
    <w:rsid w:val="00D01CF0"/>
    <w:rsid w:val="00D0442A"/>
    <w:rsid w:val="00D0609F"/>
    <w:rsid w:val="00D12A7B"/>
    <w:rsid w:val="00D13030"/>
    <w:rsid w:val="00D159B3"/>
    <w:rsid w:val="00D215ED"/>
    <w:rsid w:val="00D21B2F"/>
    <w:rsid w:val="00D40EEE"/>
    <w:rsid w:val="00D42F5A"/>
    <w:rsid w:val="00D541C9"/>
    <w:rsid w:val="00D61388"/>
    <w:rsid w:val="00D61A54"/>
    <w:rsid w:val="00D64DEA"/>
    <w:rsid w:val="00D6741A"/>
    <w:rsid w:val="00D7168E"/>
    <w:rsid w:val="00D71E57"/>
    <w:rsid w:val="00D75609"/>
    <w:rsid w:val="00D80893"/>
    <w:rsid w:val="00D84854"/>
    <w:rsid w:val="00D92575"/>
    <w:rsid w:val="00D92CF1"/>
    <w:rsid w:val="00D92D38"/>
    <w:rsid w:val="00D950F5"/>
    <w:rsid w:val="00DA3E3A"/>
    <w:rsid w:val="00DA4752"/>
    <w:rsid w:val="00DA61F3"/>
    <w:rsid w:val="00DB0F93"/>
    <w:rsid w:val="00DB1A67"/>
    <w:rsid w:val="00DB5074"/>
    <w:rsid w:val="00DB568C"/>
    <w:rsid w:val="00DC7981"/>
    <w:rsid w:val="00DE1093"/>
    <w:rsid w:val="00DE4EFA"/>
    <w:rsid w:val="00DE5520"/>
    <w:rsid w:val="00DE563D"/>
    <w:rsid w:val="00DF326D"/>
    <w:rsid w:val="00E020FB"/>
    <w:rsid w:val="00E04818"/>
    <w:rsid w:val="00E06442"/>
    <w:rsid w:val="00E21E23"/>
    <w:rsid w:val="00E23993"/>
    <w:rsid w:val="00E25B8C"/>
    <w:rsid w:val="00E27FA4"/>
    <w:rsid w:val="00E30F9A"/>
    <w:rsid w:val="00E3212E"/>
    <w:rsid w:val="00E44801"/>
    <w:rsid w:val="00E47342"/>
    <w:rsid w:val="00E51231"/>
    <w:rsid w:val="00E57429"/>
    <w:rsid w:val="00E626E6"/>
    <w:rsid w:val="00E63D2F"/>
    <w:rsid w:val="00E6483C"/>
    <w:rsid w:val="00E65C85"/>
    <w:rsid w:val="00E66199"/>
    <w:rsid w:val="00E72AC9"/>
    <w:rsid w:val="00E755EC"/>
    <w:rsid w:val="00E7624D"/>
    <w:rsid w:val="00E928A1"/>
    <w:rsid w:val="00EA15DF"/>
    <w:rsid w:val="00EA3D42"/>
    <w:rsid w:val="00EA6B1B"/>
    <w:rsid w:val="00EA776F"/>
    <w:rsid w:val="00EC7CD8"/>
    <w:rsid w:val="00ED54E6"/>
    <w:rsid w:val="00ED7323"/>
    <w:rsid w:val="00ED7D1C"/>
    <w:rsid w:val="00EE01A3"/>
    <w:rsid w:val="00EE28F3"/>
    <w:rsid w:val="00EF5110"/>
    <w:rsid w:val="00F10411"/>
    <w:rsid w:val="00F15882"/>
    <w:rsid w:val="00F171E0"/>
    <w:rsid w:val="00F20BD3"/>
    <w:rsid w:val="00F31574"/>
    <w:rsid w:val="00F373A5"/>
    <w:rsid w:val="00F47559"/>
    <w:rsid w:val="00F50C11"/>
    <w:rsid w:val="00F64C7B"/>
    <w:rsid w:val="00F6537B"/>
    <w:rsid w:val="00F676DD"/>
    <w:rsid w:val="00F70D6F"/>
    <w:rsid w:val="00F73E84"/>
    <w:rsid w:val="00F75A26"/>
    <w:rsid w:val="00F75DD0"/>
    <w:rsid w:val="00F76706"/>
    <w:rsid w:val="00F83FAD"/>
    <w:rsid w:val="00F91DC4"/>
    <w:rsid w:val="00F91F8B"/>
    <w:rsid w:val="00F952A0"/>
    <w:rsid w:val="00FA200A"/>
    <w:rsid w:val="00FA3C7F"/>
    <w:rsid w:val="00FB74E2"/>
    <w:rsid w:val="00FC10C4"/>
    <w:rsid w:val="00FD0017"/>
    <w:rsid w:val="00FD5614"/>
    <w:rsid w:val="00FE0BE1"/>
    <w:rsid w:val="00FE1DE9"/>
    <w:rsid w:val="00FE3547"/>
    <w:rsid w:val="00FE36AF"/>
    <w:rsid w:val="00FE39C2"/>
    <w:rsid w:val="00FE3C32"/>
    <w:rsid w:val="00FE64AE"/>
    <w:rsid w:val="00FF4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F037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F037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557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490816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149282">
      <w:bodyDiv w:val="1"/>
      <w:marLeft w:val="0"/>
      <w:marRight w:val="0"/>
      <w:marTop w:val="0"/>
      <w:marBottom w:val="0"/>
      <w:divBdr>
        <w:top w:val="none" w:sz="0" w:space="0" w:color="auto"/>
        <w:left w:val="none" w:sz="0" w:space="0" w:color="auto"/>
        <w:bottom w:val="none" w:sz="0" w:space="0" w:color="auto"/>
        <w:right w:val="none" w:sz="0" w:space="0" w:color="auto"/>
      </w:divBdr>
    </w:div>
    <w:div w:id="1154495517">
      <w:bodyDiv w:val="1"/>
      <w:marLeft w:val="0"/>
      <w:marRight w:val="0"/>
      <w:marTop w:val="0"/>
      <w:marBottom w:val="0"/>
      <w:divBdr>
        <w:top w:val="none" w:sz="0" w:space="0" w:color="auto"/>
        <w:left w:val="none" w:sz="0" w:space="0" w:color="auto"/>
        <w:bottom w:val="none" w:sz="0" w:space="0" w:color="auto"/>
        <w:right w:val="none" w:sz="0" w:space="0" w:color="auto"/>
      </w:divBdr>
    </w:div>
    <w:div w:id="17479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AERInquiry@aer.gov.a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148BA181</Template>
  <TotalTime>0</TotalTime>
  <Pages>18</Pages>
  <Words>4115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2015-04-27T05:51:00Z</dcterms:created>
  <dcterms:modified xsi:type="dcterms:W3CDTF">2015-04-27T05:51:00Z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8355466</vt:lpwstr>
  </property>
</Properties>
</file>