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3F927E71" wp14:editId="72099C73">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DA4752" w:rsidP="008F07A3">
          <w:pPr>
            <w:pStyle w:val="ReportSubtitle"/>
          </w:pPr>
          <w:r>
            <w:t>PRELIMINARY DECISION</w:t>
          </w:r>
        </w:p>
        <w:p w:rsidR="000A6C7B" w:rsidRDefault="001201F1" w:rsidP="008F07A3">
          <w:pPr>
            <w:pStyle w:val="ReportSubtitle"/>
          </w:pPr>
          <w:r>
            <w:t>E</w:t>
          </w:r>
          <w:r w:rsidR="00E57429">
            <w:t>rgon Energy</w:t>
          </w:r>
          <w:r w:rsidR="00DA4752">
            <w:t xml:space="preserve"> 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DA4752" w:rsidP="008F07A3">
          <w:pPr>
            <w:pStyle w:val="ReportSubtitle"/>
          </w:pPr>
          <w:r>
            <w:t>Attachment 1</w:t>
          </w:r>
          <w:r w:rsidR="00B3265D">
            <w:t>5</w:t>
          </w:r>
          <w:r>
            <w:t xml:space="preserve"> </w:t>
          </w:r>
          <w:r>
            <w:rPr>
              <w:rFonts w:cs="Arial"/>
            </w:rPr>
            <w:t>−</w:t>
          </w:r>
          <w:r>
            <w:t xml:space="preserve"> </w:t>
          </w:r>
          <w:r w:rsidR="00B3265D">
            <w:t>Pass through events</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0" w:history="1">
        <w:r w:rsidRPr="00D64888">
          <w:rPr>
            <w:rStyle w:val="Hyperlink"/>
          </w:rPr>
          <w:t>AERInquiry@aer.gov.au</w:t>
        </w:r>
      </w:hyperlink>
      <w:r w:rsidR="00951978">
        <w:rPr>
          <w:rStyle w:val="Hyperlink"/>
        </w:rPr>
        <w:br/>
      </w:r>
    </w:p>
    <w:p w:rsidR="008F07A3" w:rsidRDefault="008F07A3" w:rsidP="008F07A3"/>
    <w:p w:rsidR="001201F1" w:rsidRDefault="001201F1">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17536938"/>
      <w:r>
        <w:lastRenderedPageBreak/>
        <w:t>N</w:t>
      </w:r>
      <w:r w:rsidR="008F07A3">
        <w:t>ote</w:t>
      </w:r>
      <w:bookmarkEnd w:id="1"/>
      <w:bookmarkEnd w:id="2"/>
      <w:bookmarkEnd w:id="3"/>
      <w:bookmarkEnd w:id="4"/>
      <w:bookmarkEnd w:id="5"/>
    </w:p>
    <w:p w:rsidR="008F07A3" w:rsidRDefault="008F07A3" w:rsidP="008F07A3">
      <w:pPr>
        <w:numPr>
          <w:ilvl w:val="0"/>
          <w:numId w:val="25"/>
        </w:numPr>
      </w:pPr>
      <w:r>
        <w:t xml:space="preserve">This attachment forms part of the AER's preliminary decision on </w:t>
      </w:r>
      <w:r w:rsidR="00E57429">
        <w:t>Ergon Energy</w:t>
      </w:r>
      <w:r w:rsidR="001201F1">
        <w:t>'s</w:t>
      </w:r>
      <w:r>
        <w:t xml:space="preserve"> 2015–20 distribution determination. It should be read with </w:t>
      </w:r>
      <w:r w:rsidR="00A66407">
        <w:t xml:space="preserve">all </w:t>
      </w:r>
      <w:r>
        <w:t>other parts of the preliminary decision.</w:t>
      </w:r>
    </w:p>
    <w:p w:rsidR="008F07A3" w:rsidRDefault="008F07A3" w:rsidP="008F07A3">
      <w:pPr>
        <w:numPr>
          <w:ilvl w:val="0"/>
          <w:numId w:val="25"/>
        </w:numPr>
      </w:pPr>
      <w:r>
        <w:t>The preliminary decision includes the following documents:</w:t>
      </w:r>
    </w:p>
    <w:p w:rsidR="008F07A3" w:rsidRDefault="008F07A3" w:rsidP="008F07A3">
      <w:pPr>
        <w:numPr>
          <w:ilvl w:val="0"/>
          <w:numId w:val="25"/>
        </w:numPr>
      </w:pPr>
      <w:r>
        <w:t>Overview</w:t>
      </w:r>
    </w:p>
    <w:p w:rsidR="008F07A3" w:rsidRDefault="008F07A3" w:rsidP="008F07A3">
      <w:pPr>
        <w:numPr>
          <w:ilvl w:val="0"/>
          <w:numId w:val="25"/>
        </w:numPr>
      </w:pPr>
      <w:r>
        <w:t>Attachment 1 – Annual revenue requirement</w:t>
      </w:r>
    </w:p>
    <w:p w:rsidR="008F07A3" w:rsidRDefault="008F07A3" w:rsidP="008F07A3">
      <w:pPr>
        <w:numPr>
          <w:ilvl w:val="0"/>
          <w:numId w:val="25"/>
        </w:numPr>
      </w:pPr>
      <w:r>
        <w:t>Attachment 2 – Regulatory asset base</w:t>
      </w:r>
    </w:p>
    <w:p w:rsidR="008F07A3" w:rsidRDefault="008F07A3" w:rsidP="008F07A3">
      <w:pPr>
        <w:numPr>
          <w:ilvl w:val="0"/>
          <w:numId w:val="25"/>
        </w:numPr>
      </w:pPr>
      <w:r>
        <w:t>Attachment 3 – Rate of return</w:t>
      </w:r>
    </w:p>
    <w:p w:rsidR="008F07A3" w:rsidRDefault="008F07A3" w:rsidP="008F07A3">
      <w:pPr>
        <w:numPr>
          <w:ilvl w:val="0"/>
          <w:numId w:val="25"/>
        </w:numPr>
      </w:pPr>
      <w:r>
        <w:t>Attachment 4 – Value of imputation credits</w:t>
      </w:r>
    </w:p>
    <w:p w:rsidR="008F07A3" w:rsidRDefault="008F07A3" w:rsidP="008F07A3">
      <w:pPr>
        <w:numPr>
          <w:ilvl w:val="0"/>
          <w:numId w:val="25"/>
        </w:numPr>
      </w:pPr>
      <w:r>
        <w:t>Attachment 5 – Regulatory depreciation</w:t>
      </w:r>
    </w:p>
    <w:p w:rsidR="008F07A3" w:rsidRDefault="008F07A3" w:rsidP="008F07A3">
      <w:pPr>
        <w:numPr>
          <w:ilvl w:val="0"/>
          <w:numId w:val="25"/>
        </w:numPr>
      </w:pPr>
      <w:r>
        <w:t xml:space="preserve">Attachment 6 – Capital expenditure </w:t>
      </w:r>
    </w:p>
    <w:p w:rsidR="008F07A3" w:rsidRDefault="008F07A3" w:rsidP="008F07A3">
      <w:pPr>
        <w:numPr>
          <w:ilvl w:val="0"/>
          <w:numId w:val="25"/>
        </w:numPr>
      </w:pPr>
      <w:r>
        <w:t>Attachment 7 – Operating expenditure</w:t>
      </w:r>
    </w:p>
    <w:p w:rsidR="008F07A3" w:rsidRDefault="008F07A3" w:rsidP="008F07A3">
      <w:pPr>
        <w:numPr>
          <w:ilvl w:val="0"/>
          <w:numId w:val="25"/>
        </w:numPr>
      </w:pPr>
      <w:r>
        <w:t>Attachment 8 – Corporate income tax</w:t>
      </w:r>
    </w:p>
    <w:p w:rsidR="008F07A3" w:rsidRDefault="008F07A3" w:rsidP="008F07A3">
      <w:pPr>
        <w:numPr>
          <w:ilvl w:val="0"/>
          <w:numId w:val="25"/>
        </w:numPr>
      </w:pPr>
      <w:r>
        <w:t>Attachment 9 – Efficiency benefit sharing scheme</w:t>
      </w:r>
    </w:p>
    <w:p w:rsidR="008F07A3" w:rsidRDefault="008F07A3" w:rsidP="008F07A3">
      <w:pPr>
        <w:numPr>
          <w:ilvl w:val="0"/>
          <w:numId w:val="25"/>
        </w:numPr>
      </w:pPr>
      <w:r>
        <w:t>Attachment 10 – Capital expenditure sharing scheme</w:t>
      </w:r>
    </w:p>
    <w:p w:rsidR="008F07A3" w:rsidRDefault="008F07A3" w:rsidP="008F07A3">
      <w:pPr>
        <w:numPr>
          <w:ilvl w:val="0"/>
          <w:numId w:val="25"/>
        </w:numPr>
      </w:pPr>
      <w:r>
        <w:t>Attachment 11 – Service target performance incentive scheme</w:t>
      </w:r>
    </w:p>
    <w:p w:rsidR="008F07A3" w:rsidRDefault="008F07A3" w:rsidP="008F07A3">
      <w:pPr>
        <w:numPr>
          <w:ilvl w:val="0"/>
          <w:numId w:val="25"/>
        </w:numPr>
      </w:pPr>
      <w:r>
        <w:t>Attachment 12 – Demand management incentive scheme</w:t>
      </w:r>
    </w:p>
    <w:p w:rsidR="008F07A3" w:rsidRDefault="008F07A3" w:rsidP="008F07A3">
      <w:pPr>
        <w:numPr>
          <w:ilvl w:val="0"/>
          <w:numId w:val="25"/>
        </w:numPr>
      </w:pPr>
      <w:r>
        <w:t>Attachment 13 – Classification of services</w:t>
      </w:r>
    </w:p>
    <w:p w:rsidR="008F07A3" w:rsidRDefault="008F07A3" w:rsidP="008F07A3">
      <w:pPr>
        <w:numPr>
          <w:ilvl w:val="0"/>
          <w:numId w:val="25"/>
        </w:numPr>
      </w:pPr>
      <w:r>
        <w:t>Attachment 14 – Control mechanism</w:t>
      </w:r>
    </w:p>
    <w:p w:rsidR="008F07A3" w:rsidRDefault="008F07A3" w:rsidP="008F07A3">
      <w:pPr>
        <w:numPr>
          <w:ilvl w:val="0"/>
          <w:numId w:val="25"/>
        </w:numPr>
      </w:pPr>
      <w:r>
        <w:t>Attachment 15 – Pass through events</w:t>
      </w:r>
    </w:p>
    <w:p w:rsidR="008F07A3" w:rsidRDefault="008F07A3" w:rsidP="008F07A3">
      <w:pPr>
        <w:numPr>
          <w:ilvl w:val="0"/>
          <w:numId w:val="25"/>
        </w:numPr>
      </w:pPr>
      <w:r>
        <w:t>Attachment 16 – Alternative control services</w:t>
      </w:r>
    </w:p>
    <w:p w:rsidR="008F07A3" w:rsidRDefault="008F07A3" w:rsidP="008F07A3">
      <w:pPr>
        <w:numPr>
          <w:ilvl w:val="0"/>
          <w:numId w:val="25"/>
        </w:numPr>
      </w:pPr>
      <w:r>
        <w:t>Attachment 17 – Negotiated services framework and criteria</w:t>
      </w:r>
    </w:p>
    <w:p w:rsidR="009D4E48" w:rsidRPr="009D4E48" w:rsidRDefault="008F07A3" w:rsidP="009D4E48">
      <w:pPr>
        <w:numPr>
          <w:ilvl w:val="0"/>
          <w:numId w:val="25"/>
        </w:numPr>
      </w:pPr>
      <w:r>
        <w:t xml:space="preserve">Attachment 18 – Connection </w:t>
      </w:r>
      <w:r w:rsidR="009D4E48" w:rsidRPr="009D4E48">
        <w:t>policy</w:t>
      </w:r>
    </w:p>
    <w:p w:rsidR="008F07A3" w:rsidRPr="008F07A3" w:rsidRDefault="008F07A3" w:rsidP="008F07A3">
      <w:pPr>
        <w:numPr>
          <w:ilvl w:val="0"/>
          <w:numId w:val="25"/>
        </w:numPr>
        <w:sectPr w:rsidR="008F07A3" w:rsidRPr="008F07A3" w:rsidSect="00DE563D">
          <w:footerReference w:type="even" r:id="rId11"/>
          <w:footerReference w:type="default" r:id="rId12"/>
          <w:footerReference w:type="first" r:id="rId13"/>
          <w:pgSz w:w="11906" w:h="16838" w:code="9"/>
          <w:pgMar w:top="1440" w:right="1700" w:bottom="1582" w:left="1729" w:header="720" w:footer="0" w:gutter="0"/>
          <w:pgNumType w:start="0"/>
          <w:cols w:space="720"/>
          <w:docGrid w:linePitch="326"/>
        </w:sectPr>
      </w:pPr>
    </w:p>
    <w:p w:rsidR="00DE563D" w:rsidRPr="00A72B34" w:rsidRDefault="00DE563D" w:rsidP="00DE563D">
      <w:pPr>
        <w:pStyle w:val="UnnumberedHeading"/>
        <w:numPr>
          <w:ilvl w:val="0"/>
          <w:numId w:val="24"/>
        </w:numPr>
      </w:pPr>
      <w:bookmarkStart w:id="6" w:name="_Toc403144133"/>
      <w:bookmarkStart w:id="7" w:name="_Toc417536939"/>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sdtContent>
        <w:p w:rsidR="0092023F" w:rsidRDefault="00DE563D">
          <w:pPr>
            <w:pStyle w:val="TOC1"/>
            <w:rPr>
              <w:rFonts w:asciiTheme="minorHAnsi" w:eastAsiaTheme="minorEastAsia" w:hAnsiTheme="minorHAnsi"/>
              <w:b w:val="0"/>
              <w:color w:val="auto"/>
              <w:sz w:val="22"/>
              <w:lang w:val="en-AU" w:eastAsia="en-AU"/>
            </w:rPr>
          </w:pPr>
          <w:r>
            <w:rPr>
              <w:color w:val="auto"/>
              <w:sz w:val="22"/>
            </w:rPr>
            <w:fldChar w:fldCharType="begin"/>
          </w:r>
          <w:r>
            <w:instrText xml:space="preserve"> TOC \o \h \z \u </w:instrText>
          </w:r>
          <w:r>
            <w:rPr>
              <w:color w:val="auto"/>
              <w:sz w:val="22"/>
            </w:rPr>
            <w:fldChar w:fldCharType="separate"/>
          </w:r>
          <w:hyperlink w:anchor="_Toc417536938" w:history="1">
            <w:r w:rsidR="0092023F" w:rsidRPr="00206A9A">
              <w:rPr>
                <w:rStyle w:val="Hyperlink"/>
              </w:rPr>
              <w:t>Note</w:t>
            </w:r>
            <w:r w:rsidR="0092023F">
              <w:rPr>
                <w:webHidden/>
              </w:rPr>
              <w:tab/>
            </w:r>
            <w:r w:rsidR="00A66407">
              <w:rPr>
                <w:webHidden/>
              </w:rPr>
              <w:t>15-</w:t>
            </w:r>
            <w:r w:rsidR="0092023F">
              <w:rPr>
                <w:webHidden/>
              </w:rPr>
              <w:fldChar w:fldCharType="begin"/>
            </w:r>
            <w:r w:rsidR="0092023F">
              <w:rPr>
                <w:webHidden/>
              </w:rPr>
              <w:instrText xml:space="preserve"> PAGEREF _Toc417536938 \h </w:instrText>
            </w:r>
            <w:r w:rsidR="0092023F">
              <w:rPr>
                <w:webHidden/>
              </w:rPr>
            </w:r>
            <w:r w:rsidR="0092023F">
              <w:rPr>
                <w:webHidden/>
              </w:rPr>
              <w:fldChar w:fldCharType="separate"/>
            </w:r>
            <w:r w:rsidR="0092023F">
              <w:rPr>
                <w:webHidden/>
              </w:rPr>
              <w:t>2</w:t>
            </w:r>
            <w:r w:rsidR="0092023F">
              <w:rPr>
                <w:webHidden/>
              </w:rPr>
              <w:fldChar w:fldCharType="end"/>
            </w:r>
          </w:hyperlink>
        </w:p>
        <w:p w:rsidR="0092023F" w:rsidRDefault="005C0DDD">
          <w:pPr>
            <w:pStyle w:val="TOC1"/>
            <w:rPr>
              <w:rFonts w:asciiTheme="minorHAnsi" w:eastAsiaTheme="minorEastAsia" w:hAnsiTheme="minorHAnsi"/>
              <w:b w:val="0"/>
              <w:color w:val="auto"/>
              <w:sz w:val="22"/>
              <w:lang w:val="en-AU" w:eastAsia="en-AU"/>
            </w:rPr>
          </w:pPr>
          <w:hyperlink w:anchor="_Toc417536939" w:history="1">
            <w:r w:rsidR="0092023F" w:rsidRPr="00206A9A">
              <w:rPr>
                <w:rStyle w:val="Hyperlink"/>
              </w:rPr>
              <w:t>Contents</w:t>
            </w:r>
            <w:r w:rsidR="0092023F">
              <w:rPr>
                <w:webHidden/>
              </w:rPr>
              <w:tab/>
            </w:r>
            <w:r w:rsidR="00A66407">
              <w:rPr>
                <w:webHidden/>
              </w:rPr>
              <w:t>15-</w:t>
            </w:r>
            <w:r w:rsidR="0092023F">
              <w:rPr>
                <w:webHidden/>
              </w:rPr>
              <w:fldChar w:fldCharType="begin"/>
            </w:r>
            <w:r w:rsidR="0092023F">
              <w:rPr>
                <w:webHidden/>
              </w:rPr>
              <w:instrText xml:space="preserve"> PAGEREF _Toc417536939 \h </w:instrText>
            </w:r>
            <w:r w:rsidR="0092023F">
              <w:rPr>
                <w:webHidden/>
              </w:rPr>
            </w:r>
            <w:r w:rsidR="0092023F">
              <w:rPr>
                <w:webHidden/>
              </w:rPr>
              <w:fldChar w:fldCharType="separate"/>
            </w:r>
            <w:r w:rsidR="0092023F">
              <w:rPr>
                <w:webHidden/>
              </w:rPr>
              <w:t>3</w:t>
            </w:r>
            <w:r w:rsidR="0092023F">
              <w:rPr>
                <w:webHidden/>
              </w:rPr>
              <w:fldChar w:fldCharType="end"/>
            </w:r>
          </w:hyperlink>
        </w:p>
        <w:p w:rsidR="0092023F" w:rsidRDefault="005C0DDD">
          <w:pPr>
            <w:pStyle w:val="TOC1"/>
            <w:rPr>
              <w:rFonts w:asciiTheme="minorHAnsi" w:eastAsiaTheme="minorEastAsia" w:hAnsiTheme="minorHAnsi"/>
              <w:b w:val="0"/>
              <w:color w:val="auto"/>
              <w:sz w:val="22"/>
              <w:lang w:val="en-AU" w:eastAsia="en-AU"/>
            </w:rPr>
          </w:pPr>
          <w:hyperlink w:anchor="_Toc417536940" w:history="1">
            <w:r w:rsidR="0092023F" w:rsidRPr="00206A9A">
              <w:rPr>
                <w:rStyle w:val="Hyperlink"/>
              </w:rPr>
              <w:t>Shortened forms</w:t>
            </w:r>
            <w:r w:rsidR="0092023F">
              <w:rPr>
                <w:webHidden/>
              </w:rPr>
              <w:tab/>
            </w:r>
            <w:r w:rsidR="00A66407">
              <w:rPr>
                <w:webHidden/>
              </w:rPr>
              <w:t>15-</w:t>
            </w:r>
            <w:r w:rsidR="0092023F">
              <w:rPr>
                <w:webHidden/>
              </w:rPr>
              <w:fldChar w:fldCharType="begin"/>
            </w:r>
            <w:r w:rsidR="0092023F">
              <w:rPr>
                <w:webHidden/>
              </w:rPr>
              <w:instrText xml:space="preserve"> PAGEREF _Toc417536940 \h </w:instrText>
            </w:r>
            <w:r w:rsidR="0092023F">
              <w:rPr>
                <w:webHidden/>
              </w:rPr>
            </w:r>
            <w:r w:rsidR="0092023F">
              <w:rPr>
                <w:webHidden/>
              </w:rPr>
              <w:fldChar w:fldCharType="separate"/>
            </w:r>
            <w:r w:rsidR="0092023F">
              <w:rPr>
                <w:webHidden/>
              </w:rPr>
              <w:t>4</w:t>
            </w:r>
            <w:r w:rsidR="0092023F">
              <w:rPr>
                <w:webHidden/>
              </w:rPr>
              <w:fldChar w:fldCharType="end"/>
            </w:r>
          </w:hyperlink>
        </w:p>
        <w:p w:rsidR="0092023F" w:rsidRDefault="005C0DDD">
          <w:pPr>
            <w:pStyle w:val="TOC1"/>
            <w:rPr>
              <w:rFonts w:asciiTheme="minorHAnsi" w:eastAsiaTheme="minorEastAsia" w:hAnsiTheme="minorHAnsi"/>
              <w:b w:val="0"/>
              <w:color w:val="auto"/>
              <w:sz w:val="22"/>
              <w:lang w:val="en-AU" w:eastAsia="en-AU"/>
            </w:rPr>
          </w:pPr>
          <w:hyperlink w:anchor="_Toc417536941" w:history="1">
            <w:r w:rsidR="0092023F" w:rsidRPr="00206A9A">
              <w:rPr>
                <w:rStyle w:val="Hyperlink"/>
              </w:rPr>
              <w:t>15</w:t>
            </w:r>
            <w:r w:rsidR="0092023F">
              <w:rPr>
                <w:rFonts w:asciiTheme="minorHAnsi" w:eastAsiaTheme="minorEastAsia" w:hAnsiTheme="minorHAnsi"/>
                <w:b w:val="0"/>
                <w:color w:val="auto"/>
                <w:sz w:val="22"/>
                <w:lang w:val="en-AU" w:eastAsia="en-AU"/>
              </w:rPr>
              <w:tab/>
            </w:r>
            <w:r w:rsidR="0092023F" w:rsidRPr="00206A9A">
              <w:rPr>
                <w:rStyle w:val="Hyperlink"/>
              </w:rPr>
              <w:t>Pass through events</w:t>
            </w:r>
            <w:r w:rsidR="0092023F">
              <w:rPr>
                <w:webHidden/>
              </w:rPr>
              <w:tab/>
            </w:r>
            <w:r w:rsidR="00A66407">
              <w:rPr>
                <w:webHidden/>
              </w:rPr>
              <w:t>15-</w:t>
            </w:r>
            <w:r w:rsidR="0092023F">
              <w:rPr>
                <w:webHidden/>
              </w:rPr>
              <w:fldChar w:fldCharType="begin"/>
            </w:r>
            <w:r w:rsidR="0092023F">
              <w:rPr>
                <w:webHidden/>
              </w:rPr>
              <w:instrText xml:space="preserve"> PAGEREF _Toc417536941 \h </w:instrText>
            </w:r>
            <w:r w:rsidR="0092023F">
              <w:rPr>
                <w:webHidden/>
              </w:rPr>
            </w:r>
            <w:r w:rsidR="0092023F">
              <w:rPr>
                <w:webHidden/>
              </w:rPr>
              <w:fldChar w:fldCharType="separate"/>
            </w:r>
            <w:r w:rsidR="0092023F">
              <w:rPr>
                <w:webHidden/>
              </w:rPr>
              <w:t>6</w:t>
            </w:r>
            <w:r w:rsidR="0092023F">
              <w:rPr>
                <w:webHidden/>
              </w:rPr>
              <w:fldChar w:fldCharType="end"/>
            </w:r>
          </w:hyperlink>
        </w:p>
        <w:p w:rsidR="0092023F" w:rsidRDefault="005C0DDD">
          <w:pPr>
            <w:pStyle w:val="TOC2"/>
            <w:tabs>
              <w:tab w:val="left" w:pos="1276"/>
            </w:tabs>
            <w:rPr>
              <w:rFonts w:asciiTheme="minorHAnsi" w:eastAsiaTheme="minorEastAsia" w:hAnsiTheme="minorHAnsi"/>
              <w:b w:val="0"/>
              <w:color w:val="auto"/>
              <w:sz w:val="22"/>
              <w:lang w:eastAsia="en-AU"/>
            </w:rPr>
          </w:pPr>
          <w:hyperlink w:anchor="_Toc417536942" w:history="1">
            <w:r w:rsidR="0092023F" w:rsidRPr="00206A9A">
              <w:rPr>
                <w:rStyle w:val="Hyperlink"/>
              </w:rPr>
              <w:t>15.1</w:t>
            </w:r>
            <w:r w:rsidR="0092023F">
              <w:rPr>
                <w:rFonts w:asciiTheme="minorHAnsi" w:eastAsiaTheme="minorEastAsia" w:hAnsiTheme="minorHAnsi"/>
                <w:b w:val="0"/>
                <w:color w:val="auto"/>
                <w:sz w:val="22"/>
                <w:lang w:eastAsia="en-AU"/>
              </w:rPr>
              <w:tab/>
            </w:r>
            <w:r w:rsidR="0092023F" w:rsidRPr="00206A9A">
              <w:rPr>
                <w:rStyle w:val="Hyperlink"/>
              </w:rPr>
              <w:t>Preliminary decision</w:t>
            </w:r>
            <w:r w:rsidR="0092023F">
              <w:rPr>
                <w:webHidden/>
              </w:rPr>
              <w:tab/>
            </w:r>
            <w:r w:rsidR="00A66407">
              <w:rPr>
                <w:webHidden/>
              </w:rPr>
              <w:t>15-</w:t>
            </w:r>
            <w:r w:rsidR="0092023F">
              <w:rPr>
                <w:webHidden/>
              </w:rPr>
              <w:fldChar w:fldCharType="begin"/>
            </w:r>
            <w:r w:rsidR="0092023F">
              <w:rPr>
                <w:webHidden/>
              </w:rPr>
              <w:instrText xml:space="preserve"> PAGEREF _Toc417536942 \h </w:instrText>
            </w:r>
            <w:r w:rsidR="0092023F">
              <w:rPr>
                <w:webHidden/>
              </w:rPr>
            </w:r>
            <w:r w:rsidR="0092023F">
              <w:rPr>
                <w:webHidden/>
              </w:rPr>
              <w:fldChar w:fldCharType="separate"/>
            </w:r>
            <w:r w:rsidR="0092023F">
              <w:rPr>
                <w:webHidden/>
              </w:rPr>
              <w:t>6</w:t>
            </w:r>
            <w:r w:rsidR="0092023F">
              <w:rPr>
                <w:webHidden/>
              </w:rPr>
              <w:fldChar w:fldCharType="end"/>
            </w:r>
          </w:hyperlink>
        </w:p>
        <w:p w:rsidR="0092023F" w:rsidRDefault="005C0DDD">
          <w:pPr>
            <w:pStyle w:val="TOC2"/>
            <w:tabs>
              <w:tab w:val="left" w:pos="1276"/>
            </w:tabs>
            <w:rPr>
              <w:rFonts w:asciiTheme="minorHAnsi" w:eastAsiaTheme="minorEastAsia" w:hAnsiTheme="minorHAnsi"/>
              <w:b w:val="0"/>
              <w:color w:val="auto"/>
              <w:sz w:val="22"/>
              <w:lang w:eastAsia="en-AU"/>
            </w:rPr>
          </w:pPr>
          <w:hyperlink w:anchor="_Toc417536943" w:history="1">
            <w:r w:rsidR="0092023F" w:rsidRPr="00206A9A">
              <w:rPr>
                <w:rStyle w:val="Hyperlink"/>
              </w:rPr>
              <w:t>15.2</w:t>
            </w:r>
            <w:r w:rsidR="0092023F">
              <w:rPr>
                <w:rFonts w:asciiTheme="minorHAnsi" w:eastAsiaTheme="minorEastAsia" w:hAnsiTheme="minorHAnsi"/>
                <w:b w:val="0"/>
                <w:color w:val="auto"/>
                <w:sz w:val="22"/>
                <w:lang w:eastAsia="en-AU"/>
              </w:rPr>
              <w:tab/>
            </w:r>
            <w:r w:rsidR="0092023F" w:rsidRPr="00206A9A">
              <w:rPr>
                <w:rStyle w:val="Hyperlink"/>
              </w:rPr>
              <w:t>Ergon Energy's proposal</w:t>
            </w:r>
            <w:r w:rsidR="0092023F">
              <w:rPr>
                <w:webHidden/>
              </w:rPr>
              <w:tab/>
            </w:r>
            <w:r w:rsidR="00A66407">
              <w:rPr>
                <w:webHidden/>
              </w:rPr>
              <w:t>15-</w:t>
            </w:r>
            <w:r w:rsidR="0092023F">
              <w:rPr>
                <w:webHidden/>
              </w:rPr>
              <w:fldChar w:fldCharType="begin"/>
            </w:r>
            <w:r w:rsidR="0092023F">
              <w:rPr>
                <w:webHidden/>
              </w:rPr>
              <w:instrText xml:space="preserve"> PAGEREF _Toc417536943 \h </w:instrText>
            </w:r>
            <w:r w:rsidR="0092023F">
              <w:rPr>
                <w:webHidden/>
              </w:rPr>
            </w:r>
            <w:r w:rsidR="0092023F">
              <w:rPr>
                <w:webHidden/>
              </w:rPr>
              <w:fldChar w:fldCharType="separate"/>
            </w:r>
            <w:r w:rsidR="0092023F">
              <w:rPr>
                <w:webHidden/>
              </w:rPr>
              <w:t>6</w:t>
            </w:r>
            <w:r w:rsidR="0092023F">
              <w:rPr>
                <w:webHidden/>
              </w:rPr>
              <w:fldChar w:fldCharType="end"/>
            </w:r>
          </w:hyperlink>
        </w:p>
        <w:p w:rsidR="0092023F" w:rsidRDefault="005C0DDD">
          <w:pPr>
            <w:pStyle w:val="TOC2"/>
            <w:tabs>
              <w:tab w:val="left" w:pos="1276"/>
            </w:tabs>
            <w:rPr>
              <w:rFonts w:asciiTheme="minorHAnsi" w:eastAsiaTheme="minorEastAsia" w:hAnsiTheme="minorHAnsi"/>
              <w:b w:val="0"/>
              <w:color w:val="auto"/>
              <w:sz w:val="22"/>
              <w:lang w:eastAsia="en-AU"/>
            </w:rPr>
          </w:pPr>
          <w:hyperlink w:anchor="_Toc417536944" w:history="1">
            <w:r w:rsidR="0092023F" w:rsidRPr="00206A9A">
              <w:rPr>
                <w:rStyle w:val="Hyperlink"/>
              </w:rPr>
              <w:t>15.3</w:t>
            </w:r>
            <w:r w:rsidR="0092023F">
              <w:rPr>
                <w:rFonts w:asciiTheme="minorHAnsi" w:eastAsiaTheme="minorEastAsia" w:hAnsiTheme="minorHAnsi"/>
                <w:b w:val="0"/>
                <w:color w:val="auto"/>
                <w:sz w:val="22"/>
                <w:lang w:eastAsia="en-AU"/>
              </w:rPr>
              <w:tab/>
            </w:r>
            <w:r w:rsidR="0092023F" w:rsidRPr="00206A9A">
              <w:rPr>
                <w:rStyle w:val="Hyperlink"/>
              </w:rPr>
              <w:t>AER’s assessment approach</w:t>
            </w:r>
            <w:r w:rsidR="0092023F">
              <w:rPr>
                <w:webHidden/>
              </w:rPr>
              <w:tab/>
            </w:r>
            <w:r w:rsidR="00A66407">
              <w:rPr>
                <w:webHidden/>
              </w:rPr>
              <w:t>15-</w:t>
            </w:r>
            <w:r w:rsidR="0092023F">
              <w:rPr>
                <w:webHidden/>
              </w:rPr>
              <w:fldChar w:fldCharType="begin"/>
            </w:r>
            <w:r w:rsidR="0092023F">
              <w:rPr>
                <w:webHidden/>
              </w:rPr>
              <w:instrText xml:space="preserve"> PAGEREF _Toc417536944 \h </w:instrText>
            </w:r>
            <w:r w:rsidR="0092023F">
              <w:rPr>
                <w:webHidden/>
              </w:rPr>
            </w:r>
            <w:r w:rsidR="0092023F">
              <w:rPr>
                <w:webHidden/>
              </w:rPr>
              <w:fldChar w:fldCharType="separate"/>
            </w:r>
            <w:r w:rsidR="0092023F">
              <w:rPr>
                <w:webHidden/>
              </w:rPr>
              <w:t>8</w:t>
            </w:r>
            <w:r w:rsidR="0092023F">
              <w:rPr>
                <w:webHidden/>
              </w:rPr>
              <w:fldChar w:fldCharType="end"/>
            </w:r>
          </w:hyperlink>
        </w:p>
        <w:p w:rsidR="0092023F" w:rsidRDefault="005C0DDD">
          <w:pPr>
            <w:pStyle w:val="TOC3"/>
            <w:rPr>
              <w:rFonts w:asciiTheme="minorHAnsi" w:eastAsiaTheme="minorEastAsia" w:hAnsiTheme="minorHAnsi"/>
              <w:lang w:eastAsia="en-AU"/>
            </w:rPr>
          </w:pPr>
          <w:hyperlink w:anchor="_Toc417536945" w:history="1">
            <w:r w:rsidR="0092023F" w:rsidRPr="00206A9A">
              <w:rPr>
                <w:rStyle w:val="Hyperlink"/>
              </w:rPr>
              <w:t>15.3.1</w:t>
            </w:r>
            <w:r w:rsidR="0092023F">
              <w:rPr>
                <w:rFonts w:asciiTheme="minorHAnsi" w:eastAsiaTheme="minorEastAsia" w:hAnsiTheme="minorHAnsi"/>
                <w:lang w:eastAsia="en-AU"/>
              </w:rPr>
              <w:tab/>
            </w:r>
            <w:r w:rsidR="0092023F" w:rsidRPr="00206A9A">
              <w:rPr>
                <w:rStyle w:val="Hyperlink"/>
              </w:rPr>
              <w:t>Interrelationships</w:t>
            </w:r>
            <w:r w:rsidR="0092023F">
              <w:rPr>
                <w:webHidden/>
              </w:rPr>
              <w:tab/>
            </w:r>
            <w:r w:rsidR="00A66407">
              <w:rPr>
                <w:webHidden/>
              </w:rPr>
              <w:t>15-</w:t>
            </w:r>
            <w:r w:rsidR="0092023F">
              <w:rPr>
                <w:webHidden/>
              </w:rPr>
              <w:fldChar w:fldCharType="begin"/>
            </w:r>
            <w:r w:rsidR="0092023F">
              <w:rPr>
                <w:webHidden/>
              </w:rPr>
              <w:instrText xml:space="preserve"> PAGEREF _Toc417536945 \h </w:instrText>
            </w:r>
            <w:r w:rsidR="0092023F">
              <w:rPr>
                <w:webHidden/>
              </w:rPr>
            </w:r>
            <w:r w:rsidR="0092023F">
              <w:rPr>
                <w:webHidden/>
              </w:rPr>
              <w:fldChar w:fldCharType="separate"/>
            </w:r>
            <w:r w:rsidR="0092023F">
              <w:rPr>
                <w:webHidden/>
              </w:rPr>
              <w:t>10</w:t>
            </w:r>
            <w:r w:rsidR="0092023F">
              <w:rPr>
                <w:webHidden/>
              </w:rPr>
              <w:fldChar w:fldCharType="end"/>
            </w:r>
          </w:hyperlink>
        </w:p>
        <w:p w:rsidR="0092023F" w:rsidRDefault="005C0DDD">
          <w:pPr>
            <w:pStyle w:val="TOC2"/>
            <w:tabs>
              <w:tab w:val="left" w:pos="1276"/>
            </w:tabs>
            <w:rPr>
              <w:rFonts w:asciiTheme="minorHAnsi" w:eastAsiaTheme="minorEastAsia" w:hAnsiTheme="minorHAnsi"/>
              <w:b w:val="0"/>
              <w:color w:val="auto"/>
              <w:sz w:val="22"/>
              <w:lang w:eastAsia="en-AU"/>
            </w:rPr>
          </w:pPr>
          <w:hyperlink w:anchor="_Toc417536946" w:history="1">
            <w:r w:rsidR="0092023F" w:rsidRPr="00206A9A">
              <w:rPr>
                <w:rStyle w:val="Hyperlink"/>
              </w:rPr>
              <w:t>15.4</w:t>
            </w:r>
            <w:r w:rsidR="0092023F">
              <w:rPr>
                <w:rFonts w:asciiTheme="minorHAnsi" w:eastAsiaTheme="minorEastAsia" w:hAnsiTheme="minorHAnsi"/>
                <w:b w:val="0"/>
                <w:color w:val="auto"/>
                <w:sz w:val="22"/>
                <w:lang w:eastAsia="en-AU"/>
              </w:rPr>
              <w:tab/>
            </w:r>
            <w:r w:rsidR="0092023F" w:rsidRPr="00206A9A">
              <w:rPr>
                <w:rStyle w:val="Hyperlink"/>
              </w:rPr>
              <w:t>Reasons for preliminary decision</w:t>
            </w:r>
            <w:r w:rsidR="0092023F">
              <w:rPr>
                <w:webHidden/>
              </w:rPr>
              <w:tab/>
            </w:r>
            <w:r w:rsidR="00A66407">
              <w:rPr>
                <w:webHidden/>
              </w:rPr>
              <w:t>15-</w:t>
            </w:r>
            <w:r w:rsidR="0092023F">
              <w:rPr>
                <w:webHidden/>
              </w:rPr>
              <w:fldChar w:fldCharType="begin"/>
            </w:r>
            <w:r w:rsidR="0092023F">
              <w:rPr>
                <w:webHidden/>
              </w:rPr>
              <w:instrText xml:space="preserve"> PAGEREF _Toc417536946 \h </w:instrText>
            </w:r>
            <w:r w:rsidR="0092023F">
              <w:rPr>
                <w:webHidden/>
              </w:rPr>
            </w:r>
            <w:r w:rsidR="0092023F">
              <w:rPr>
                <w:webHidden/>
              </w:rPr>
              <w:fldChar w:fldCharType="separate"/>
            </w:r>
            <w:r w:rsidR="0092023F">
              <w:rPr>
                <w:webHidden/>
              </w:rPr>
              <w:t>10</w:t>
            </w:r>
            <w:r w:rsidR="0092023F">
              <w:rPr>
                <w:webHidden/>
              </w:rPr>
              <w:fldChar w:fldCharType="end"/>
            </w:r>
          </w:hyperlink>
        </w:p>
        <w:p w:rsidR="0092023F" w:rsidRDefault="005C0DDD">
          <w:pPr>
            <w:pStyle w:val="TOC3"/>
            <w:rPr>
              <w:rFonts w:asciiTheme="minorHAnsi" w:eastAsiaTheme="minorEastAsia" w:hAnsiTheme="minorHAnsi"/>
              <w:lang w:eastAsia="en-AU"/>
            </w:rPr>
          </w:pPr>
          <w:hyperlink w:anchor="_Toc417536947" w:history="1">
            <w:r w:rsidR="0092023F" w:rsidRPr="00206A9A">
              <w:rPr>
                <w:rStyle w:val="Hyperlink"/>
              </w:rPr>
              <w:t>15.4.1</w:t>
            </w:r>
            <w:r w:rsidR="0092023F">
              <w:rPr>
                <w:rFonts w:asciiTheme="minorHAnsi" w:eastAsiaTheme="minorEastAsia" w:hAnsiTheme="minorHAnsi"/>
                <w:lang w:eastAsia="en-AU"/>
              </w:rPr>
              <w:tab/>
            </w:r>
            <w:r w:rsidR="0092023F" w:rsidRPr="00206A9A">
              <w:rPr>
                <w:rStyle w:val="Hyperlink"/>
              </w:rPr>
              <w:t>Insurance cap event</w:t>
            </w:r>
            <w:r w:rsidR="0092023F">
              <w:rPr>
                <w:webHidden/>
              </w:rPr>
              <w:tab/>
            </w:r>
            <w:r w:rsidR="00A66407">
              <w:rPr>
                <w:webHidden/>
              </w:rPr>
              <w:t>15-</w:t>
            </w:r>
            <w:r w:rsidR="0092023F">
              <w:rPr>
                <w:webHidden/>
              </w:rPr>
              <w:fldChar w:fldCharType="begin"/>
            </w:r>
            <w:r w:rsidR="0092023F">
              <w:rPr>
                <w:webHidden/>
              </w:rPr>
              <w:instrText xml:space="preserve"> PAGEREF _Toc417536947 \h </w:instrText>
            </w:r>
            <w:r w:rsidR="0092023F">
              <w:rPr>
                <w:webHidden/>
              </w:rPr>
            </w:r>
            <w:r w:rsidR="0092023F">
              <w:rPr>
                <w:webHidden/>
              </w:rPr>
              <w:fldChar w:fldCharType="separate"/>
            </w:r>
            <w:r w:rsidR="0092023F">
              <w:rPr>
                <w:webHidden/>
              </w:rPr>
              <w:t>11</w:t>
            </w:r>
            <w:r w:rsidR="0092023F">
              <w:rPr>
                <w:webHidden/>
              </w:rPr>
              <w:fldChar w:fldCharType="end"/>
            </w:r>
          </w:hyperlink>
        </w:p>
        <w:p w:rsidR="0092023F" w:rsidRDefault="005C0DDD">
          <w:pPr>
            <w:pStyle w:val="TOC3"/>
            <w:rPr>
              <w:rFonts w:asciiTheme="minorHAnsi" w:eastAsiaTheme="minorEastAsia" w:hAnsiTheme="minorHAnsi"/>
              <w:lang w:eastAsia="en-AU"/>
            </w:rPr>
          </w:pPr>
          <w:hyperlink w:anchor="_Toc417536948" w:history="1">
            <w:r w:rsidR="0092023F" w:rsidRPr="00206A9A">
              <w:rPr>
                <w:rStyle w:val="Hyperlink"/>
              </w:rPr>
              <w:t>15.4.2</w:t>
            </w:r>
            <w:r w:rsidR="0092023F">
              <w:rPr>
                <w:rFonts w:asciiTheme="minorHAnsi" w:eastAsiaTheme="minorEastAsia" w:hAnsiTheme="minorHAnsi"/>
                <w:lang w:eastAsia="en-AU"/>
              </w:rPr>
              <w:tab/>
            </w:r>
            <w:r w:rsidR="0092023F" w:rsidRPr="00206A9A">
              <w:rPr>
                <w:rStyle w:val="Hyperlink"/>
              </w:rPr>
              <w:t>Natural disaster event</w:t>
            </w:r>
            <w:r w:rsidR="0092023F">
              <w:rPr>
                <w:webHidden/>
              </w:rPr>
              <w:tab/>
            </w:r>
            <w:r w:rsidR="00A66407">
              <w:rPr>
                <w:webHidden/>
              </w:rPr>
              <w:t>15-</w:t>
            </w:r>
            <w:r w:rsidR="0092023F">
              <w:rPr>
                <w:webHidden/>
              </w:rPr>
              <w:fldChar w:fldCharType="begin"/>
            </w:r>
            <w:r w:rsidR="0092023F">
              <w:rPr>
                <w:webHidden/>
              </w:rPr>
              <w:instrText xml:space="preserve"> PAGEREF _Toc417536948 \h </w:instrText>
            </w:r>
            <w:r w:rsidR="0092023F">
              <w:rPr>
                <w:webHidden/>
              </w:rPr>
            </w:r>
            <w:r w:rsidR="0092023F">
              <w:rPr>
                <w:webHidden/>
              </w:rPr>
              <w:fldChar w:fldCharType="separate"/>
            </w:r>
            <w:r w:rsidR="0092023F">
              <w:rPr>
                <w:webHidden/>
              </w:rPr>
              <w:t>13</w:t>
            </w:r>
            <w:r w:rsidR="0092023F">
              <w:rPr>
                <w:webHidden/>
              </w:rPr>
              <w:fldChar w:fldCharType="end"/>
            </w:r>
          </w:hyperlink>
        </w:p>
        <w:p w:rsidR="0092023F" w:rsidRDefault="005C0DDD">
          <w:pPr>
            <w:pStyle w:val="TOC3"/>
            <w:rPr>
              <w:rFonts w:asciiTheme="minorHAnsi" w:eastAsiaTheme="minorEastAsia" w:hAnsiTheme="minorHAnsi"/>
              <w:lang w:eastAsia="en-AU"/>
            </w:rPr>
          </w:pPr>
          <w:hyperlink w:anchor="_Toc417536949" w:history="1">
            <w:r w:rsidR="0092023F" w:rsidRPr="00206A9A">
              <w:rPr>
                <w:rStyle w:val="Hyperlink"/>
              </w:rPr>
              <w:t>15.4.3</w:t>
            </w:r>
            <w:r w:rsidR="0092023F">
              <w:rPr>
                <w:rFonts w:asciiTheme="minorHAnsi" w:eastAsiaTheme="minorEastAsia" w:hAnsiTheme="minorHAnsi"/>
                <w:lang w:eastAsia="en-AU"/>
              </w:rPr>
              <w:tab/>
            </w:r>
            <w:r w:rsidR="0092023F" w:rsidRPr="00206A9A">
              <w:rPr>
                <w:rStyle w:val="Hyperlink"/>
              </w:rPr>
              <w:t>Insurance event</w:t>
            </w:r>
            <w:r w:rsidR="0092023F">
              <w:rPr>
                <w:webHidden/>
              </w:rPr>
              <w:tab/>
            </w:r>
            <w:r w:rsidR="00A66407">
              <w:rPr>
                <w:webHidden/>
              </w:rPr>
              <w:t>15-</w:t>
            </w:r>
            <w:r w:rsidR="0092023F">
              <w:rPr>
                <w:webHidden/>
              </w:rPr>
              <w:fldChar w:fldCharType="begin"/>
            </w:r>
            <w:r w:rsidR="0092023F">
              <w:rPr>
                <w:webHidden/>
              </w:rPr>
              <w:instrText xml:space="preserve"> PAGEREF _Toc417536949 \h </w:instrText>
            </w:r>
            <w:r w:rsidR="0092023F">
              <w:rPr>
                <w:webHidden/>
              </w:rPr>
            </w:r>
            <w:r w:rsidR="0092023F">
              <w:rPr>
                <w:webHidden/>
              </w:rPr>
              <w:fldChar w:fldCharType="separate"/>
            </w:r>
            <w:r w:rsidR="0092023F">
              <w:rPr>
                <w:webHidden/>
              </w:rPr>
              <w:t>14</w:t>
            </w:r>
            <w:r w:rsidR="0092023F">
              <w:rPr>
                <w:webHidden/>
              </w:rPr>
              <w:fldChar w:fldCharType="end"/>
            </w:r>
          </w:hyperlink>
        </w:p>
        <w:p w:rsidR="0092023F" w:rsidRDefault="005C0DDD">
          <w:pPr>
            <w:pStyle w:val="TOC3"/>
            <w:rPr>
              <w:rFonts w:asciiTheme="minorHAnsi" w:eastAsiaTheme="minorEastAsia" w:hAnsiTheme="minorHAnsi"/>
              <w:lang w:eastAsia="en-AU"/>
            </w:rPr>
          </w:pPr>
          <w:hyperlink w:anchor="_Toc417536950" w:history="1">
            <w:r w:rsidR="0092023F" w:rsidRPr="00206A9A">
              <w:rPr>
                <w:rStyle w:val="Hyperlink"/>
              </w:rPr>
              <w:t>15.4.4</w:t>
            </w:r>
            <w:r w:rsidR="0092023F">
              <w:rPr>
                <w:rFonts w:asciiTheme="minorHAnsi" w:eastAsiaTheme="minorEastAsia" w:hAnsiTheme="minorHAnsi"/>
                <w:lang w:eastAsia="en-AU"/>
              </w:rPr>
              <w:tab/>
            </w:r>
            <w:r w:rsidR="0092023F" w:rsidRPr="00206A9A">
              <w:rPr>
                <w:rStyle w:val="Hyperlink"/>
              </w:rPr>
              <w:t>Retail separation event</w:t>
            </w:r>
            <w:r w:rsidR="0092023F">
              <w:rPr>
                <w:webHidden/>
              </w:rPr>
              <w:tab/>
            </w:r>
            <w:r w:rsidR="00A66407">
              <w:rPr>
                <w:webHidden/>
              </w:rPr>
              <w:t>15-</w:t>
            </w:r>
            <w:r w:rsidR="0092023F">
              <w:rPr>
                <w:webHidden/>
              </w:rPr>
              <w:fldChar w:fldCharType="begin"/>
            </w:r>
            <w:r w:rsidR="0092023F">
              <w:rPr>
                <w:webHidden/>
              </w:rPr>
              <w:instrText xml:space="preserve"> PAGEREF _Toc417536950 \h </w:instrText>
            </w:r>
            <w:r w:rsidR="0092023F">
              <w:rPr>
                <w:webHidden/>
              </w:rPr>
            </w:r>
            <w:r w:rsidR="0092023F">
              <w:rPr>
                <w:webHidden/>
              </w:rPr>
              <w:fldChar w:fldCharType="separate"/>
            </w:r>
            <w:r w:rsidR="0092023F">
              <w:rPr>
                <w:webHidden/>
              </w:rPr>
              <w:t>16</w:t>
            </w:r>
            <w:r w:rsidR="0092023F">
              <w:rPr>
                <w:webHidden/>
              </w:rPr>
              <w:fldChar w:fldCharType="end"/>
            </w:r>
          </w:hyperlink>
        </w:p>
        <w:p w:rsidR="0092023F" w:rsidRDefault="005C0DDD">
          <w:pPr>
            <w:pStyle w:val="TOC3"/>
            <w:rPr>
              <w:rFonts w:asciiTheme="minorHAnsi" w:eastAsiaTheme="minorEastAsia" w:hAnsiTheme="minorHAnsi"/>
              <w:lang w:eastAsia="en-AU"/>
            </w:rPr>
          </w:pPr>
          <w:hyperlink w:anchor="_Toc417536951" w:history="1">
            <w:r w:rsidR="0092023F" w:rsidRPr="00206A9A">
              <w:rPr>
                <w:rStyle w:val="Hyperlink"/>
              </w:rPr>
              <w:t>15.4.5</w:t>
            </w:r>
            <w:r w:rsidR="0092023F">
              <w:rPr>
                <w:rFonts w:asciiTheme="minorHAnsi" w:eastAsiaTheme="minorEastAsia" w:hAnsiTheme="minorHAnsi"/>
                <w:lang w:eastAsia="en-AU"/>
              </w:rPr>
              <w:tab/>
            </w:r>
            <w:r w:rsidR="0092023F" w:rsidRPr="00206A9A">
              <w:rPr>
                <w:rStyle w:val="Hyperlink"/>
              </w:rPr>
              <w:t>Isolated network separation event</w:t>
            </w:r>
            <w:r w:rsidR="0092023F">
              <w:rPr>
                <w:webHidden/>
              </w:rPr>
              <w:tab/>
            </w:r>
            <w:r w:rsidR="00A66407">
              <w:rPr>
                <w:webHidden/>
              </w:rPr>
              <w:t>15-</w:t>
            </w:r>
            <w:r w:rsidR="0092023F">
              <w:rPr>
                <w:webHidden/>
              </w:rPr>
              <w:fldChar w:fldCharType="begin"/>
            </w:r>
            <w:r w:rsidR="0092023F">
              <w:rPr>
                <w:webHidden/>
              </w:rPr>
              <w:instrText xml:space="preserve"> PAGEREF _Toc417536951 \h </w:instrText>
            </w:r>
            <w:r w:rsidR="0092023F">
              <w:rPr>
                <w:webHidden/>
              </w:rPr>
            </w:r>
            <w:r w:rsidR="0092023F">
              <w:rPr>
                <w:webHidden/>
              </w:rPr>
              <w:fldChar w:fldCharType="separate"/>
            </w:r>
            <w:r w:rsidR="0092023F">
              <w:rPr>
                <w:webHidden/>
              </w:rPr>
              <w:t>17</w:t>
            </w:r>
            <w:r w:rsidR="0092023F">
              <w:rPr>
                <w:webHidden/>
              </w:rPr>
              <w:fldChar w:fldCharType="end"/>
            </w:r>
          </w:hyperlink>
        </w:p>
        <w:p w:rsidR="00DE563D" w:rsidRDefault="00DE563D">
          <w:pPr>
            <w:spacing w:line="240" w:lineRule="auto"/>
          </w:pPr>
          <w: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8" w:name="_Toc404700925"/>
      <w:bookmarkStart w:id="9" w:name="_Toc417536940"/>
      <w:r>
        <w:lastRenderedPageBreak/>
        <w:t>Shortened forms</w:t>
      </w:r>
      <w:bookmarkEnd w:id="8"/>
      <w:bookmarkEnd w:id="9"/>
    </w:p>
    <w:tbl>
      <w:tblPr>
        <w:tblStyle w:val="AERtable-text0"/>
        <w:tblW w:w="0" w:type="auto"/>
        <w:tblLook w:val="04A0" w:firstRow="1" w:lastRow="0" w:firstColumn="1" w:lastColumn="0" w:noHBand="0" w:noVBand="1"/>
      </w:tblPr>
      <w:tblGrid>
        <w:gridCol w:w="4346"/>
        <w:gridCol w:w="4347"/>
      </w:tblGrid>
      <w:tr w:rsidR="00DE563D" w:rsidTr="00A66407">
        <w:trPr>
          <w:cnfStyle w:val="100000000000" w:firstRow="1" w:lastRow="0" w:firstColumn="0" w:lastColumn="0" w:oddVBand="0" w:evenVBand="0" w:oddHBand="0" w:evenHBand="0" w:firstRowFirstColumn="0" w:firstRowLastColumn="0" w:lastRowFirstColumn="0" w:lastRowLastColumn="0"/>
          <w:tblHeader/>
        </w:trPr>
        <w:tc>
          <w:tcPr>
            <w:tcW w:w="4346" w:type="dxa"/>
          </w:tcPr>
          <w:p w:rsidR="00DE563D" w:rsidRDefault="00DE563D" w:rsidP="00DE563D">
            <w:pPr>
              <w:pStyle w:val="AERtabletextleft"/>
            </w:pPr>
            <w:r>
              <w:t>Shortened form</w:t>
            </w:r>
          </w:p>
        </w:tc>
        <w:tc>
          <w:tcPr>
            <w:tcW w:w="4347" w:type="dxa"/>
          </w:tcPr>
          <w:p w:rsidR="00DE563D" w:rsidRDefault="00DE563D" w:rsidP="00DE563D">
            <w:pPr>
              <w:pStyle w:val="AERtabletextleft"/>
            </w:pPr>
            <w:r>
              <w:t>Extended form</w:t>
            </w:r>
          </w:p>
        </w:tc>
      </w:tr>
      <w:tr w:rsidR="00DE563D" w:rsidTr="00A66407">
        <w:tc>
          <w:tcPr>
            <w:tcW w:w="4346" w:type="dxa"/>
          </w:tcPr>
          <w:p w:rsidR="00DE563D" w:rsidRDefault="00DE563D" w:rsidP="00DE563D">
            <w:pPr>
              <w:pStyle w:val="AERtabletextleft"/>
            </w:pPr>
            <w:r>
              <w:t>AEMC</w:t>
            </w:r>
          </w:p>
        </w:tc>
        <w:tc>
          <w:tcPr>
            <w:tcW w:w="4347" w:type="dxa"/>
          </w:tcPr>
          <w:p w:rsidR="00DE563D" w:rsidRDefault="00DE563D" w:rsidP="00DE563D">
            <w:pPr>
              <w:pStyle w:val="AERtabletextleft"/>
            </w:pPr>
            <w:r>
              <w:t>Australian Energy Market Commission</w:t>
            </w:r>
          </w:p>
        </w:tc>
      </w:tr>
      <w:tr w:rsidR="00DE563D" w:rsidTr="00A66407">
        <w:trPr>
          <w:cnfStyle w:val="000000010000" w:firstRow="0" w:lastRow="0" w:firstColumn="0" w:lastColumn="0" w:oddVBand="0" w:evenVBand="0" w:oddHBand="0" w:evenHBand="1" w:firstRowFirstColumn="0" w:firstRowLastColumn="0" w:lastRowFirstColumn="0" w:lastRowLastColumn="0"/>
        </w:trPr>
        <w:tc>
          <w:tcPr>
            <w:tcW w:w="4346" w:type="dxa"/>
          </w:tcPr>
          <w:p w:rsidR="00DE563D" w:rsidRDefault="00DE563D" w:rsidP="00DE563D">
            <w:pPr>
              <w:pStyle w:val="AERtabletextleft"/>
            </w:pPr>
            <w:r>
              <w:t>AEMO</w:t>
            </w:r>
          </w:p>
        </w:tc>
        <w:tc>
          <w:tcPr>
            <w:tcW w:w="4347" w:type="dxa"/>
          </w:tcPr>
          <w:p w:rsidR="00DE563D" w:rsidRDefault="00DE563D" w:rsidP="00DE563D">
            <w:pPr>
              <w:pStyle w:val="AERtabletextleft"/>
            </w:pPr>
            <w:r>
              <w:t>Australian Energy Market Operator</w:t>
            </w:r>
          </w:p>
        </w:tc>
      </w:tr>
      <w:tr w:rsidR="00DE563D" w:rsidTr="00A66407">
        <w:tc>
          <w:tcPr>
            <w:tcW w:w="4346" w:type="dxa"/>
          </w:tcPr>
          <w:p w:rsidR="00DE563D" w:rsidRDefault="00DE563D" w:rsidP="00DE563D">
            <w:pPr>
              <w:pStyle w:val="AERtabletextleft"/>
            </w:pPr>
            <w:r>
              <w:t>AER</w:t>
            </w:r>
          </w:p>
        </w:tc>
        <w:tc>
          <w:tcPr>
            <w:tcW w:w="4347" w:type="dxa"/>
          </w:tcPr>
          <w:p w:rsidR="00DE563D" w:rsidRDefault="00DE563D" w:rsidP="00DE563D">
            <w:pPr>
              <w:pStyle w:val="AERtabletextleft"/>
            </w:pPr>
            <w:r>
              <w:t>Australian Energy Regulator</w:t>
            </w:r>
          </w:p>
        </w:tc>
      </w:tr>
      <w:tr w:rsidR="00DE563D" w:rsidTr="00A66407">
        <w:trPr>
          <w:cnfStyle w:val="000000010000" w:firstRow="0" w:lastRow="0" w:firstColumn="0" w:lastColumn="0" w:oddVBand="0" w:evenVBand="0" w:oddHBand="0" w:evenHBand="1" w:firstRowFirstColumn="0" w:firstRowLastColumn="0" w:lastRowFirstColumn="0" w:lastRowLastColumn="0"/>
        </w:trPr>
        <w:tc>
          <w:tcPr>
            <w:tcW w:w="4346" w:type="dxa"/>
          </w:tcPr>
          <w:p w:rsidR="00DE563D" w:rsidRDefault="00DE563D" w:rsidP="00DE563D">
            <w:pPr>
              <w:pStyle w:val="AERtabletextleft"/>
            </w:pPr>
            <w:r>
              <w:t>augex</w:t>
            </w:r>
          </w:p>
        </w:tc>
        <w:tc>
          <w:tcPr>
            <w:tcW w:w="4347" w:type="dxa"/>
          </w:tcPr>
          <w:p w:rsidR="00DE563D" w:rsidRDefault="00DE563D" w:rsidP="00DE563D">
            <w:pPr>
              <w:pStyle w:val="AERtabletextleft"/>
            </w:pPr>
            <w:r>
              <w:t>augmentation expenditure</w:t>
            </w:r>
          </w:p>
        </w:tc>
      </w:tr>
      <w:tr w:rsidR="00DE563D" w:rsidTr="00A66407">
        <w:tc>
          <w:tcPr>
            <w:tcW w:w="4346" w:type="dxa"/>
          </w:tcPr>
          <w:p w:rsidR="00DE563D" w:rsidRDefault="00DE563D" w:rsidP="00DE563D">
            <w:pPr>
              <w:pStyle w:val="AERtabletextleft"/>
            </w:pPr>
            <w:r>
              <w:t>capex</w:t>
            </w:r>
          </w:p>
        </w:tc>
        <w:tc>
          <w:tcPr>
            <w:tcW w:w="4347" w:type="dxa"/>
          </w:tcPr>
          <w:p w:rsidR="00DE563D" w:rsidRDefault="00DE563D" w:rsidP="00DE563D">
            <w:pPr>
              <w:pStyle w:val="AERtabletextleft"/>
            </w:pPr>
            <w:r>
              <w:t>capital expenditure</w:t>
            </w:r>
          </w:p>
        </w:tc>
      </w:tr>
      <w:tr w:rsidR="00DE563D" w:rsidTr="00A66407">
        <w:trPr>
          <w:cnfStyle w:val="000000010000" w:firstRow="0" w:lastRow="0" w:firstColumn="0" w:lastColumn="0" w:oddVBand="0" w:evenVBand="0" w:oddHBand="0" w:evenHBand="1" w:firstRowFirstColumn="0" w:firstRowLastColumn="0" w:lastRowFirstColumn="0" w:lastRowLastColumn="0"/>
        </w:trPr>
        <w:tc>
          <w:tcPr>
            <w:tcW w:w="4346" w:type="dxa"/>
          </w:tcPr>
          <w:p w:rsidR="00DE563D" w:rsidRDefault="00DE563D" w:rsidP="00DE563D">
            <w:pPr>
              <w:pStyle w:val="AERtabletextleft"/>
            </w:pPr>
            <w:r>
              <w:t>CCP</w:t>
            </w:r>
          </w:p>
        </w:tc>
        <w:tc>
          <w:tcPr>
            <w:tcW w:w="4347" w:type="dxa"/>
          </w:tcPr>
          <w:p w:rsidR="00DE563D" w:rsidRDefault="00DE563D" w:rsidP="00DE563D">
            <w:pPr>
              <w:pStyle w:val="AERtabletextleft"/>
            </w:pPr>
            <w:r>
              <w:t>Consumer Challenge Panel</w:t>
            </w:r>
          </w:p>
        </w:tc>
      </w:tr>
      <w:tr w:rsidR="00DE563D" w:rsidTr="00A66407">
        <w:tc>
          <w:tcPr>
            <w:tcW w:w="4346" w:type="dxa"/>
          </w:tcPr>
          <w:p w:rsidR="00DE563D" w:rsidRDefault="00DE563D" w:rsidP="00DE563D">
            <w:pPr>
              <w:pStyle w:val="AERtabletextleft"/>
            </w:pPr>
            <w:r>
              <w:t>CESS</w:t>
            </w:r>
          </w:p>
        </w:tc>
        <w:tc>
          <w:tcPr>
            <w:tcW w:w="4347" w:type="dxa"/>
          </w:tcPr>
          <w:p w:rsidR="00DE563D" w:rsidRDefault="00DE563D" w:rsidP="00DE563D">
            <w:pPr>
              <w:pStyle w:val="AERtabletextleft"/>
            </w:pPr>
            <w:r>
              <w:t>capital expenditure sharing scheme</w:t>
            </w:r>
          </w:p>
        </w:tc>
      </w:tr>
      <w:tr w:rsidR="00DE563D" w:rsidTr="00A66407">
        <w:trPr>
          <w:cnfStyle w:val="000000010000" w:firstRow="0" w:lastRow="0" w:firstColumn="0" w:lastColumn="0" w:oddVBand="0" w:evenVBand="0" w:oddHBand="0" w:evenHBand="1" w:firstRowFirstColumn="0" w:firstRowLastColumn="0" w:lastRowFirstColumn="0" w:lastRowLastColumn="0"/>
        </w:trPr>
        <w:tc>
          <w:tcPr>
            <w:tcW w:w="4346" w:type="dxa"/>
          </w:tcPr>
          <w:p w:rsidR="00DE563D" w:rsidRDefault="00DE563D" w:rsidP="00DE563D">
            <w:pPr>
              <w:pStyle w:val="AERtabletextleft"/>
            </w:pPr>
            <w:r>
              <w:t>CPI</w:t>
            </w:r>
          </w:p>
        </w:tc>
        <w:tc>
          <w:tcPr>
            <w:tcW w:w="4347" w:type="dxa"/>
          </w:tcPr>
          <w:p w:rsidR="00DE563D" w:rsidRDefault="00DE563D" w:rsidP="00DE563D">
            <w:pPr>
              <w:pStyle w:val="AERtabletextleft"/>
            </w:pPr>
            <w:r>
              <w:t>consumer price index</w:t>
            </w:r>
          </w:p>
        </w:tc>
      </w:tr>
      <w:tr w:rsidR="00DE563D" w:rsidTr="00A66407">
        <w:tc>
          <w:tcPr>
            <w:tcW w:w="4346" w:type="dxa"/>
          </w:tcPr>
          <w:p w:rsidR="00DE563D" w:rsidRDefault="00DE563D" w:rsidP="00DE563D">
            <w:pPr>
              <w:pStyle w:val="AERtabletextleft"/>
            </w:pPr>
            <w:r>
              <w:t>DRP</w:t>
            </w:r>
          </w:p>
        </w:tc>
        <w:tc>
          <w:tcPr>
            <w:tcW w:w="4347" w:type="dxa"/>
          </w:tcPr>
          <w:p w:rsidR="00DE563D" w:rsidRDefault="00DE563D" w:rsidP="00DE563D">
            <w:pPr>
              <w:pStyle w:val="AERtabletextleft"/>
            </w:pPr>
            <w:r>
              <w:t>debt risk premium</w:t>
            </w:r>
          </w:p>
        </w:tc>
      </w:tr>
      <w:tr w:rsidR="00DE563D" w:rsidTr="00A66407">
        <w:trPr>
          <w:cnfStyle w:val="000000010000" w:firstRow="0" w:lastRow="0" w:firstColumn="0" w:lastColumn="0" w:oddVBand="0" w:evenVBand="0" w:oddHBand="0" w:evenHBand="1" w:firstRowFirstColumn="0" w:firstRowLastColumn="0" w:lastRowFirstColumn="0" w:lastRowLastColumn="0"/>
        </w:trPr>
        <w:tc>
          <w:tcPr>
            <w:tcW w:w="4346" w:type="dxa"/>
          </w:tcPr>
          <w:p w:rsidR="00DE563D" w:rsidRDefault="00DE563D" w:rsidP="00DE563D">
            <w:pPr>
              <w:pStyle w:val="AERtabletextleft"/>
            </w:pPr>
            <w:r>
              <w:t>DMIA</w:t>
            </w:r>
          </w:p>
        </w:tc>
        <w:tc>
          <w:tcPr>
            <w:tcW w:w="4347" w:type="dxa"/>
          </w:tcPr>
          <w:p w:rsidR="00DE563D" w:rsidRDefault="00DE563D" w:rsidP="00DE563D">
            <w:pPr>
              <w:pStyle w:val="AERtabletextleft"/>
            </w:pPr>
            <w:r>
              <w:t>demand management innovation allowance</w:t>
            </w:r>
          </w:p>
        </w:tc>
      </w:tr>
      <w:tr w:rsidR="00DE563D" w:rsidTr="00A66407">
        <w:tc>
          <w:tcPr>
            <w:tcW w:w="4346" w:type="dxa"/>
          </w:tcPr>
          <w:p w:rsidR="00DE563D" w:rsidRDefault="00DE563D" w:rsidP="00DE563D">
            <w:pPr>
              <w:pStyle w:val="AERtabletextleft"/>
            </w:pPr>
            <w:r>
              <w:t>DMIS</w:t>
            </w:r>
          </w:p>
        </w:tc>
        <w:tc>
          <w:tcPr>
            <w:tcW w:w="4347" w:type="dxa"/>
          </w:tcPr>
          <w:p w:rsidR="00DE563D" w:rsidRDefault="00DE563D" w:rsidP="00DE563D">
            <w:pPr>
              <w:pStyle w:val="AERtabletextleft"/>
            </w:pPr>
            <w:r>
              <w:t>demand management incentive scheme</w:t>
            </w:r>
          </w:p>
        </w:tc>
      </w:tr>
      <w:tr w:rsidR="00DE563D" w:rsidTr="00A66407">
        <w:trPr>
          <w:cnfStyle w:val="000000010000" w:firstRow="0" w:lastRow="0" w:firstColumn="0" w:lastColumn="0" w:oddVBand="0" w:evenVBand="0" w:oddHBand="0" w:evenHBand="1" w:firstRowFirstColumn="0" w:firstRowLastColumn="0" w:lastRowFirstColumn="0" w:lastRowLastColumn="0"/>
        </w:trPr>
        <w:tc>
          <w:tcPr>
            <w:tcW w:w="4346" w:type="dxa"/>
          </w:tcPr>
          <w:p w:rsidR="00DE563D" w:rsidRDefault="00DE563D" w:rsidP="00DE563D">
            <w:pPr>
              <w:pStyle w:val="AERtabletextleft"/>
            </w:pPr>
            <w:r>
              <w:t>distributor</w:t>
            </w:r>
          </w:p>
        </w:tc>
        <w:tc>
          <w:tcPr>
            <w:tcW w:w="4347" w:type="dxa"/>
          </w:tcPr>
          <w:p w:rsidR="00DE563D" w:rsidRDefault="00DE563D" w:rsidP="00DE563D">
            <w:pPr>
              <w:pStyle w:val="AERtabletextleft"/>
            </w:pPr>
            <w:r>
              <w:t>distribution network service provider</w:t>
            </w:r>
          </w:p>
        </w:tc>
      </w:tr>
      <w:tr w:rsidR="00DE563D" w:rsidTr="00A66407">
        <w:tc>
          <w:tcPr>
            <w:tcW w:w="4346" w:type="dxa"/>
          </w:tcPr>
          <w:p w:rsidR="00DE563D" w:rsidRDefault="00DE563D" w:rsidP="00DE563D">
            <w:pPr>
              <w:pStyle w:val="AERtabletextleft"/>
            </w:pPr>
            <w:r>
              <w:t>DUoS</w:t>
            </w:r>
          </w:p>
        </w:tc>
        <w:tc>
          <w:tcPr>
            <w:tcW w:w="4347" w:type="dxa"/>
          </w:tcPr>
          <w:p w:rsidR="00DE563D" w:rsidRDefault="00DE563D" w:rsidP="00DE563D">
            <w:pPr>
              <w:pStyle w:val="AERtabletextleft"/>
            </w:pPr>
            <w:r>
              <w:t>distribution use of system</w:t>
            </w:r>
          </w:p>
        </w:tc>
      </w:tr>
      <w:tr w:rsidR="00DE563D" w:rsidTr="00A66407">
        <w:trPr>
          <w:cnfStyle w:val="000000010000" w:firstRow="0" w:lastRow="0" w:firstColumn="0" w:lastColumn="0" w:oddVBand="0" w:evenVBand="0" w:oddHBand="0" w:evenHBand="1" w:firstRowFirstColumn="0" w:firstRowLastColumn="0" w:lastRowFirstColumn="0" w:lastRowLastColumn="0"/>
        </w:trPr>
        <w:tc>
          <w:tcPr>
            <w:tcW w:w="4346" w:type="dxa"/>
          </w:tcPr>
          <w:p w:rsidR="00DE563D" w:rsidRDefault="00DE563D" w:rsidP="00DE563D">
            <w:pPr>
              <w:pStyle w:val="AERtabletextleft"/>
            </w:pPr>
            <w:r>
              <w:t>EBSS</w:t>
            </w:r>
          </w:p>
        </w:tc>
        <w:tc>
          <w:tcPr>
            <w:tcW w:w="4347" w:type="dxa"/>
          </w:tcPr>
          <w:p w:rsidR="00DE563D" w:rsidRDefault="00DE563D" w:rsidP="00DE563D">
            <w:pPr>
              <w:pStyle w:val="AERtabletextleft"/>
            </w:pPr>
            <w:r>
              <w:t>efficiency benefit sharing scheme</w:t>
            </w:r>
          </w:p>
        </w:tc>
      </w:tr>
      <w:tr w:rsidR="00DE563D" w:rsidTr="00A66407">
        <w:tc>
          <w:tcPr>
            <w:tcW w:w="4346" w:type="dxa"/>
          </w:tcPr>
          <w:p w:rsidR="00DE563D" w:rsidRDefault="00DE563D" w:rsidP="00DE563D">
            <w:pPr>
              <w:pStyle w:val="AERtabletextleft"/>
            </w:pPr>
            <w:r>
              <w:t>ERP</w:t>
            </w:r>
          </w:p>
        </w:tc>
        <w:tc>
          <w:tcPr>
            <w:tcW w:w="4347" w:type="dxa"/>
          </w:tcPr>
          <w:p w:rsidR="00DE563D" w:rsidRDefault="00DE563D" w:rsidP="00DE563D">
            <w:pPr>
              <w:pStyle w:val="AERtabletextleft"/>
            </w:pPr>
            <w:r>
              <w:t>equity risk premium</w:t>
            </w:r>
          </w:p>
        </w:tc>
      </w:tr>
      <w:tr w:rsidR="00DE563D" w:rsidTr="00A66407">
        <w:trPr>
          <w:cnfStyle w:val="000000010000" w:firstRow="0" w:lastRow="0" w:firstColumn="0" w:lastColumn="0" w:oddVBand="0" w:evenVBand="0" w:oddHBand="0" w:evenHBand="1" w:firstRowFirstColumn="0" w:firstRowLastColumn="0" w:lastRowFirstColumn="0" w:lastRowLastColumn="0"/>
        </w:trPr>
        <w:tc>
          <w:tcPr>
            <w:tcW w:w="4346" w:type="dxa"/>
          </w:tcPr>
          <w:p w:rsidR="00DE563D" w:rsidRDefault="009F6C99" w:rsidP="00DE563D">
            <w:pPr>
              <w:pStyle w:val="AERtabletextleft"/>
            </w:pPr>
            <w:r>
              <w:t>E</w:t>
            </w:r>
            <w:r w:rsidR="00DE563D">
              <w:t xml:space="preserve">xpenditure </w:t>
            </w:r>
            <w:r>
              <w:t>A</w:t>
            </w:r>
            <w:r w:rsidR="00DE563D">
              <w:t xml:space="preserve">ssessment </w:t>
            </w:r>
            <w:r>
              <w:t>G</w:t>
            </w:r>
            <w:r w:rsidR="00DE563D">
              <w:t>uideline</w:t>
            </w:r>
          </w:p>
        </w:tc>
        <w:tc>
          <w:tcPr>
            <w:tcW w:w="4347" w:type="dxa"/>
          </w:tcPr>
          <w:p w:rsidR="00DE563D" w:rsidRDefault="00A66407" w:rsidP="00DE563D">
            <w:pPr>
              <w:pStyle w:val="AERtabletextleft"/>
            </w:pPr>
            <w:r>
              <w:t>Expenditure Forecast A</w:t>
            </w:r>
            <w:r w:rsidR="00DE563D">
              <w:t xml:space="preserve">ssessment </w:t>
            </w:r>
            <w:r w:rsidR="009F6C99">
              <w:t>G</w:t>
            </w:r>
            <w:r w:rsidR="00DE563D">
              <w:t>uideline for electricity distribution</w:t>
            </w:r>
          </w:p>
        </w:tc>
      </w:tr>
      <w:tr w:rsidR="00DE563D" w:rsidTr="00A66407">
        <w:tc>
          <w:tcPr>
            <w:tcW w:w="4346" w:type="dxa"/>
          </w:tcPr>
          <w:p w:rsidR="00DE563D" w:rsidRDefault="00DE563D" w:rsidP="00DE563D">
            <w:pPr>
              <w:pStyle w:val="AERtabletextleft"/>
            </w:pPr>
            <w:r>
              <w:t>F&amp;A</w:t>
            </w:r>
          </w:p>
        </w:tc>
        <w:tc>
          <w:tcPr>
            <w:tcW w:w="4347" w:type="dxa"/>
          </w:tcPr>
          <w:p w:rsidR="00DE563D" w:rsidRDefault="00DE563D" w:rsidP="00DE563D">
            <w:pPr>
              <w:pStyle w:val="AERtabletextleft"/>
            </w:pPr>
            <w:r>
              <w:t>framework and approach</w:t>
            </w:r>
          </w:p>
        </w:tc>
      </w:tr>
      <w:tr w:rsidR="00DE563D" w:rsidTr="00A66407">
        <w:trPr>
          <w:cnfStyle w:val="000000010000" w:firstRow="0" w:lastRow="0" w:firstColumn="0" w:lastColumn="0" w:oddVBand="0" w:evenVBand="0" w:oddHBand="0" w:evenHBand="1" w:firstRowFirstColumn="0" w:firstRowLastColumn="0" w:lastRowFirstColumn="0" w:lastRowLastColumn="0"/>
        </w:trPr>
        <w:tc>
          <w:tcPr>
            <w:tcW w:w="4346" w:type="dxa"/>
          </w:tcPr>
          <w:p w:rsidR="00DE563D" w:rsidRDefault="00DE563D" w:rsidP="00DE563D">
            <w:pPr>
              <w:pStyle w:val="AERtabletextleft"/>
            </w:pPr>
            <w:r>
              <w:t>MRP</w:t>
            </w:r>
          </w:p>
        </w:tc>
        <w:tc>
          <w:tcPr>
            <w:tcW w:w="4347" w:type="dxa"/>
          </w:tcPr>
          <w:p w:rsidR="00DE563D" w:rsidRDefault="00DE563D" w:rsidP="00DE563D">
            <w:pPr>
              <w:pStyle w:val="AERtabletextleft"/>
            </w:pPr>
            <w:r>
              <w:t>market risk premium</w:t>
            </w:r>
          </w:p>
        </w:tc>
      </w:tr>
      <w:tr w:rsidR="00DE563D" w:rsidTr="00A66407">
        <w:tc>
          <w:tcPr>
            <w:tcW w:w="4346" w:type="dxa"/>
          </w:tcPr>
          <w:p w:rsidR="00DE563D" w:rsidRDefault="00DE563D" w:rsidP="00DE563D">
            <w:pPr>
              <w:pStyle w:val="AERtabletextleft"/>
            </w:pPr>
            <w:r>
              <w:t>NEL</w:t>
            </w:r>
          </w:p>
        </w:tc>
        <w:tc>
          <w:tcPr>
            <w:tcW w:w="4347" w:type="dxa"/>
          </w:tcPr>
          <w:p w:rsidR="00DE563D" w:rsidRDefault="00DE563D" w:rsidP="00DE563D">
            <w:pPr>
              <w:pStyle w:val="AERtabletextleft"/>
            </w:pPr>
            <w:r>
              <w:t>national electricity law</w:t>
            </w:r>
          </w:p>
        </w:tc>
      </w:tr>
      <w:tr w:rsidR="00DE563D" w:rsidTr="00A66407">
        <w:trPr>
          <w:cnfStyle w:val="000000010000" w:firstRow="0" w:lastRow="0" w:firstColumn="0" w:lastColumn="0" w:oddVBand="0" w:evenVBand="0" w:oddHBand="0" w:evenHBand="1" w:firstRowFirstColumn="0" w:firstRowLastColumn="0" w:lastRowFirstColumn="0" w:lastRowLastColumn="0"/>
        </w:trPr>
        <w:tc>
          <w:tcPr>
            <w:tcW w:w="4346" w:type="dxa"/>
          </w:tcPr>
          <w:p w:rsidR="00DE563D" w:rsidRDefault="00DE563D" w:rsidP="00DE563D">
            <w:pPr>
              <w:pStyle w:val="AERtabletextleft"/>
            </w:pPr>
            <w:r>
              <w:t>NEM</w:t>
            </w:r>
          </w:p>
        </w:tc>
        <w:tc>
          <w:tcPr>
            <w:tcW w:w="4347" w:type="dxa"/>
          </w:tcPr>
          <w:p w:rsidR="00DE563D" w:rsidRDefault="00DE563D" w:rsidP="00DE563D">
            <w:pPr>
              <w:pStyle w:val="AERtabletextleft"/>
            </w:pPr>
            <w:r>
              <w:t>national electricity market</w:t>
            </w:r>
          </w:p>
        </w:tc>
      </w:tr>
      <w:tr w:rsidR="00DE563D" w:rsidTr="00A66407">
        <w:tc>
          <w:tcPr>
            <w:tcW w:w="4346" w:type="dxa"/>
          </w:tcPr>
          <w:p w:rsidR="00DE563D" w:rsidRDefault="00DE563D" w:rsidP="00DE563D">
            <w:pPr>
              <w:pStyle w:val="AERtabletextleft"/>
            </w:pPr>
            <w:r>
              <w:t>NEO</w:t>
            </w:r>
          </w:p>
        </w:tc>
        <w:tc>
          <w:tcPr>
            <w:tcW w:w="4347" w:type="dxa"/>
          </w:tcPr>
          <w:p w:rsidR="00DE563D" w:rsidRDefault="00DE563D" w:rsidP="00DE563D">
            <w:pPr>
              <w:pStyle w:val="AERtabletextleft"/>
            </w:pPr>
            <w:r>
              <w:t>national electricity objective</w:t>
            </w:r>
          </w:p>
        </w:tc>
      </w:tr>
      <w:tr w:rsidR="00DE563D" w:rsidTr="00A66407">
        <w:trPr>
          <w:cnfStyle w:val="000000010000" w:firstRow="0" w:lastRow="0" w:firstColumn="0" w:lastColumn="0" w:oddVBand="0" w:evenVBand="0" w:oddHBand="0" w:evenHBand="1" w:firstRowFirstColumn="0" w:firstRowLastColumn="0" w:lastRowFirstColumn="0" w:lastRowLastColumn="0"/>
        </w:trPr>
        <w:tc>
          <w:tcPr>
            <w:tcW w:w="4346" w:type="dxa"/>
          </w:tcPr>
          <w:p w:rsidR="00DE563D" w:rsidRDefault="00DE563D" w:rsidP="00DE563D">
            <w:pPr>
              <w:pStyle w:val="AERtabletextleft"/>
            </w:pPr>
            <w:r>
              <w:t>NER</w:t>
            </w:r>
          </w:p>
        </w:tc>
        <w:tc>
          <w:tcPr>
            <w:tcW w:w="4347" w:type="dxa"/>
          </w:tcPr>
          <w:p w:rsidR="00DE563D" w:rsidRDefault="00DE563D" w:rsidP="00DE563D">
            <w:pPr>
              <w:pStyle w:val="AERtabletextleft"/>
            </w:pPr>
            <w:r>
              <w:t>national electricity rules</w:t>
            </w:r>
          </w:p>
        </w:tc>
      </w:tr>
      <w:tr w:rsidR="00DE563D" w:rsidTr="00A66407">
        <w:tc>
          <w:tcPr>
            <w:tcW w:w="4346" w:type="dxa"/>
          </w:tcPr>
          <w:p w:rsidR="00DE563D" w:rsidRDefault="00DE563D" w:rsidP="00DE563D">
            <w:pPr>
              <w:pStyle w:val="AERtabletextleft"/>
            </w:pPr>
            <w:r>
              <w:t>NSP</w:t>
            </w:r>
          </w:p>
        </w:tc>
        <w:tc>
          <w:tcPr>
            <w:tcW w:w="4347" w:type="dxa"/>
          </w:tcPr>
          <w:p w:rsidR="00DE563D" w:rsidRDefault="00DE563D" w:rsidP="00DE563D">
            <w:pPr>
              <w:pStyle w:val="AERtabletextleft"/>
            </w:pPr>
            <w:r>
              <w:t>network service provider</w:t>
            </w:r>
          </w:p>
        </w:tc>
      </w:tr>
      <w:tr w:rsidR="00DE563D" w:rsidTr="00A66407">
        <w:trPr>
          <w:cnfStyle w:val="000000010000" w:firstRow="0" w:lastRow="0" w:firstColumn="0" w:lastColumn="0" w:oddVBand="0" w:evenVBand="0" w:oddHBand="0" w:evenHBand="1" w:firstRowFirstColumn="0" w:firstRowLastColumn="0" w:lastRowFirstColumn="0" w:lastRowLastColumn="0"/>
        </w:trPr>
        <w:tc>
          <w:tcPr>
            <w:tcW w:w="4346" w:type="dxa"/>
          </w:tcPr>
          <w:p w:rsidR="00DE563D" w:rsidRDefault="00DE563D" w:rsidP="00DE563D">
            <w:pPr>
              <w:pStyle w:val="AERtabletextleft"/>
            </w:pPr>
            <w:r>
              <w:t>opex</w:t>
            </w:r>
          </w:p>
        </w:tc>
        <w:tc>
          <w:tcPr>
            <w:tcW w:w="4347" w:type="dxa"/>
          </w:tcPr>
          <w:p w:rsidR="00DE563D" w:rsidRDefault="00DE563D" w:rsidP="00DE563D">
            <w:pPr>
              <w:pStyle w:val="AERtabletextleft"/>
            </w:pPr>
            <w:r>
              <w:t>operating expenditure</w:t>
            </w:r>
          </w:p>
        </w:tc>
      </w:tr>
      <w:tr w:rsidR="00DE563D" w:rsidTr="00A66407">
        <w:tc>
          <w:tcPr>
            <w:tcW w:w="4346" w:type="dxa"/>
          </w:tcPr>
          <w:p w:rsidR="00DE563D" w:rsidRDefault="00DE563D" w:rsidP="00DE563D">
            <w:pPr>
              <w:pStyle w:val="AERtabletextleft"/>
            </w:pPr>
            <w:r>
              <w:t>PPI</w:t>
            </w:r>
          </w:p>
        </w:tc>
        <w:tc>
          <w:tcPr>
            <w:tcW w:w="4347" w:type="dxa"/>
          </w:tcPr>
          <w:p w:rsidR="00DE563D" w:rsidRDefault="00DE563D" w:rsidP="00DE563D">
            <w:pPr>
              <w:pStyle w:val="AERtabletextleft"/>
            </w:pPr>
            <w:r>
              <w:t>partial performance indicators</w:t>
            </w:r>
          </w:p>
        </w:tc>
      </w:tr>
      <w:tr w:rsidR="00DE563D" w:rsidTr="00A66407">
        <w:trPr>
          <w:cnfStyle w:val="000000010000" w:firstRow="0" w:lastRow="0" w:firstColumn="0" w:lastColumn="0" w:oddVBand="0" w:evenVBand="0" w:oddHBand="0" w:evenHBand="1" w:firstRowFirstColumn="0" w:firstRowLastColumn="0" w:lastRowFirstColumn="0" w:lastRowLastColumn="0"/>
        </w:trPr>
        <w:tc>
          <w:tcPr>
            <w:tcW w:w="4346" w:type="dxa"/>
          </w:tcPr>
          <w:p w:rsidR="00DE563D" w:rsidRDefault="00DE563D" w:rsidP="00DE563D">
            <w:pPr>
              <w:pStyle w:val="AERtabletextleft"/>
            </w:pPr>
            <w:r>
              <w:lastRenderedPageBreak/>
              <w:t>PTRM</w:t>
            </w:r>
          </w:p>
        </w:tc>
        <w:tc>
          <w:tcPr>
            <w:tcW w:w="4347" w:type="dxa"/>
          </w:tcPr>
          <w:p w:rsidR="00DE563D" w:rsidRDefault="00DE563D" w:rsidP="00DE563D">
            <w:pPr>
              <w:pStyle w:val="AERtabletextleft"/>
            </w:pPr>
            <w:r>
              <w:t>post-tax revenue model</w:t>
            </w:r>
          </w:p>
        </w:tc>
      </w:tr>
      <w:tr w:rsidR="00DE563D" w:rsidTr="00A66407">
        <w:tc>
          <w:tcPr>
            <w:tcW w:w="4346" w:type="dxa"/>
          </w:tcPr>
          <w:p w:rsidR="00DE563D" w:rsidRDefault="00DE563D" w:rsidP="00DE563D">
            <w:pPr>
              <w:pStyle w:val="AERtabletextleft"/>
            </w:pPr>
            <w:r>
              <w:t>RAB</w:t>
            </w:r>
          </w:p>
        </w:tc>
        <w:tc>
          <w:tcPr>
            <w:tcW w:w="4347" w:type="dxa"/>
          </w:tcPr>
          <w:p w:rsidR="00DE563D" w:rsidRDefault="00DE563D" w:rsidP="00DE563D">
            <w:pPr>
              <w:pStyle w:val="AERtabletextleft"/>
            </w:pPr>
            <w:r>
              <w:t>regulatory asset base</w:t>
            </w:r>
          </w:p>
        </w:tc>
      </w:tr>
      <w:tr w:rsidR="00DE563D" w:rsidTr="00A66407">
        <w:trPr>
          <w:cnfStyle w:val="000000010000" w:firstRow="0" w:lastRow="0" w:firstColumn="0" w:lastColumn="0" w:oddVBand="0" w:evenVBand="0" w:oddHBand="0" w:evenHBand="1" w:firstRowFirstColumn="0" w:firstRowLastColumn="0" w:lastRowFirstColumn="0" w:lastRowLastColumn="0"/>
        </w:trPr>
        <w:tc>
          <w:tcPr>
            <w:tcW w:w="4346" w:type="dxa"/>
          </w:tcPr>
          <w:p w:rsidR="00DE563D" w:rsidRDefault="00DE563D" w:rsidP="00DE563D">
            <w:pPr>
              <w:pStyle w:val="AERtabletextleft"/>
            </w:pPr>
            <w:r>
              <w:t>RBA</w:t>
            </w:r>
          </w:p>
        </w:tc>
        <w:tc>
          <w:tcPr>
            <w:tcW w:w="4347" w:type="dxa"/>
          </w:tcPr>
          <w:p w:rsidR="00DE563D" w:rsidRDefault="00DE563D" w:rsidP="00DE563D">
            <w:pPr>
              <w:pStyle w:val="AERtabletextleft"/>
            </w:pPr>
            <w:r>
              <w:t>Reserve Bank of Australia</w:t>
            </w:r>
          </w:p>
        </w:tc>
      </w:tr>
      <w:tr w:rsidR="00DE563D" w:rsidTr="00A66407">
        <w:tc>
          <w:tcPr>
            <w:tcW w:w="4346" w:type="dxa"/>
          </w:tcPr>
          <w:p w:rsidR="00DE563D" w:rsidRDefault="00DE563D" w:rsidP="00DE563D">
            <w:pPr>
              <w:pStyle w:val="AERtabletextleft"/>
            </w:pPr>
            <w:r>
              <w:t>repex</w:t>
            </w:r>
          </w:p>
        </w:tc>
        <w:tc>
          <w:tcPr>
            <w:tcW w:w="4347" w:type="dxa"/>
          </w:tcPr>
          <w:p w:rsidR="00DE563D" w:rsidRDefault="00DE563D" w:rsidP="00DE563D">
            <w:pPr>
              <w:pStyle w:val="AERtabletextleft"/>
            </w:pPr>
            <w:r>
              <w:t>replacement expenditure</w:t>
            </w:r>
          </w:p>
        </w:tc>
      </w:tr>
      <w:tr w:rsidR="00DE563D" w:rsidTr="00A66407">
        <w:trPr>
          <w:cnfStyle w:val="000000010000" w:firstRow="0" w:lastRow="0" w:firstColumn="0" w:lastColumn="0" w:oddVBand="0" w:evenVBand="0" w:oddHBand="0" w:evenHBand="1" w:firstRowFirstColumn="0" w:firstRowLastColumn="0" w:lastRowFirstColumn="0" w:lastRowLastColumn="0"/>
        </w:trPr>
        <w:tc>
          <w:tcPr>
            <w:tcW w:w="4346" w:type="dxa"/>
          </w:tcPr>
          <w:p w:rsidR="00DE563D" w:rsidRDefault="00DE563D" w:rsidP="00DE563D">
            <w:pPr>
              <w:pStyle w:val="AERtabletextleft"/>
            </w:pPr>
            <w:r>
              <w:t>RFM</w:t>
            </w:r>
          </w:p>
        </w:tc>
        <w:tc>
          <w:tcPr>
            <w:tcW w:w="4347" w:type="dxa"/>
          </w:tcPr>
          <w:p w:rsidR="00DE563D" w:rsidRDefault="00DE563D" w:rsidP="00DE563D">
            <w:pPr>
              <w:pStyle w:val="AERtabletextleft"/>
            </w:pPr>
            <w:r>
              <w:t>roll forward model</w:t>
            </w:r>
          </w:p>
        </w:tc>
      </w:tr>
      <w:tr w:rsidR="00DE563D" w:rsidTr="00A66407">
        <w:tc>
          <w:tcPr>
            <w:tcW w:w="4346" w:type="dxa"/>
          </w:tcPr>
          <w:p w:rsidR="00DE563D" w:rsidRDefault="00DE563D" w:rsidP="00DE563D">
            <w:pPr>
              <w:pStyle w:val="AERtabletextleft"/>
            </w:pPr>
            <w:r>
              <w:t>RIN</w:t>
            </w:r>
          </w:p>
        </w:tc>
        <w:tc>
          <w:tcPr>
            <w:tcW w:w="4347" w:type="dxa"/>
          </w:tcPr>
          <w:p w:rsidR="00DE563D" w:rsidRDefault="00DE563D" w:rsidP="00DE563D">
            <w:pPr>
              <w:pStyle w:val="AERtabletextleft"/>
            </w:pPr>
            <w:r>
              <w:t>regulatory information notice</w:t>
            </w:r>
          </w:p>
        </w:tc>
      </w:tr>
      <w:tr w:rsidR="00DE563D" w:rsidTr="00A66407">
        <w:trPr>
          <w:cnfStyle w:val="000000010000" w:firstRow="0" w:lastRow="0" w:firstColumn="0" w:lastColumn="0" w:oddVBand="0" w:evenVBand="0" w:oddHBand="0" w:evenHBand="1" w:firstRowFirstColumn="0" w:firstRowLastColumn="0" w:lastRowFirstColumn="0" w:lastRowLastColumn="0"/>
        </w:trPr>
        <w:tc>
          <w:tcPr>
            <w:tcW w:w="4346" w:type="dxa"/>
          </w:tcPr>
          <w:p w:rsidR="00DE563D" w:rsidRDefault="00DE563D" w:rsidP="00DE563D">
            <w:pPr>
              <w:pStyle w:val="AERtabletextleft"/>
            </w:pPr>
            <w:r>
              <w:t>RPP</w:t>
            </w:r>
          </w:p>
        </w:tc>
        <w:tc>
          <w:tcPr>
            <w:tcW w:w="4347" w:type="dxa"/>
          </w:tcPr>
          <w:p w:rsidR="00DE563D" w:rsidRDefault="00DE563D" w:rsidP="00DE563D">
            <w:pPr>
              <w:pStyle w:val="AERtabletextleft"/>
            </w:pPr>
            <w:r>
              <w:t xml:space="preserve">revenue </w:t>
            </w:r>
            <w:r w:rsidR="009F6C99">
              <w:t xml:space="preserve">and </w:t>
            </w:r>
            <w:r>
              <w:t>pricing principles</w:t>
            </w:r>
          </w:p>
        </w:tc>
      </w:tr>
      <w:tr w:rsidR="00DE563D" w:rsidTr="00A66407">
        <w:tc>
          <w:tcPr>
            <w:tcW w:w="4346" w:type="dxa"/>
          </w:tcPr>
          <w:p w:rsidR="00DE563D" w:rsidRDefault="00DE563D" w:rsidP="00DE563D">
            <w:pPr>
              <w:pStyle w:val="AERtabletextleft"/>
            </w:pPr>
            <w:r>
              <w:t>SAIDI</w:t>
            </w:r>
          </w:p>
        </w:tc>
        <w:tc>
          <w:tcPr>
            <w:tcW w:w="4347" w:type="dxa"/>
          </w:tcPr>
          <w:p w:rsidR="00DE563D" w:rsidRDefault="00DE563D" w:rsidP="00DE563D">
            <w:pPr>
              <w:pStyle w:val="AERtabletextleft"/>
            </w:pPr>
            <w:r>
              <w:t>system average interruption duration index</w:t>
            </w:r>
          </w:p>
        </w:tc>
      </w:tr>
      <w:tr w:rsidR="00DE563D" w:rsidTr="00A66407">
        <w:trPr>
          <w:cnfStyle w:val="000000010000" w:firstRow="0" w:lastRow="0" w:firstColumn="0" w:lastColumn="0" w:oddVBand="0" w:evenVBand="0" w:oddHBand="0" w:evenHBand="1" w:firstRowFirstColumn="0" w:firstRowLastColumn="0" w:lastRowFirstColumn="0" w:lastRowLastColumn="0"/>
        </w:trPr>
        <w:tc>
          <w:tcPr>
            <w:tcW w:w="4346" w:type="dxa"/>
          </w:tcPr>
          <w:p w:rsidR="00DE563D" w:rsidRDefault="00DE563D" w:rsidP="00DE563D">
            <w:pPr>
              <w:pStyle w:val="AERtabletextleft"/>
            </w:pPr>
            <w:r>
              <w:t>SAIFI</w:t>
            </w:r>
          </w:p>
        </w:tc>
        <w:tc>
          <w:tcPr>
            <w:tcW w:w="4347" w:type="dxa"/>
          </w:tcPr>
          <w:p w:rsidR="00DE563D" w:rsidRDefault="00DE563D" w:rsidP="00DE563D">
            <w:pPr>
              <w:pStyle w:val="AERtabletextleft"/>
              <w:jc w:val="center"/>
            </w:pPr>
            <w:r>
              <w:t>system average interruption frequency index</w:t>
            </w:r>
          </w:p>
        </w:tc>
      </w:tr>
      <w:tr w:rsidR="00DE563D" w:rsidTr="00A66407">
        <w:tc>
          <w:tcPr>
            <w:tcW w:w="4346" w:type="dxa"/>
          </w:tcPr>
          <w:p w:rsidR="00DE563D" w:rsidRDefault="00DE563D" w:rsidP="00DE563D">
            <w:pPr>
              <w:pStyle w:val="AERtabletextleft"/>
            </w:pPr>
            <w:r>
              <w:t>SLCAPM</w:t>
            </w:r>
          </w:p>
        </w:tc>
        <w:tc>
          <w:tcPr>
            <w:tcW w:w="4347" w:type="dxa"/>
          </w:tcPr>
          <w:p w:rsidR="00DE563D" w:rsidRDefault="00DE563D" w:rsidP="00DE563D">
            <w:pPr>
              <w:pStyle w:val="AERtabletextleft"/>
            </w:pPr>
            <w:r>
              <w:t>Sharpe-Lintner capital asset pricing model</w:t>
            </w:r>
          </w:p>
        </w:tc>
      </w:tr>
      <w:tr w:rsidR="00DE563D" w:rsidTr="00A66407">
        <w:trPr>
          <w:cnfStyle w:val="000000010000" w:firstRow="0" w:lastRow="0" w:firstColumn="0" w:lastColumn="0" w:oddVBand="0" w:evenVBand="0" w:oddHBand="0" w:evenHBand="1" w:firstRowFirstColumn="0" w:firstRowLastColumn="0" w:lastRowFirstColumn="0" w:lastRowLastColumn="0"/>
        </w:trPr>
        <w:tc>
          <w:tcPr>
            <w:tcW w:w="4346" w:type="dxa"/>
          </w:tcPr>
          <w:p w:rsidR="00DE563D" w:rsidRDefault="00DE563D" w:rsidP="00DE563D">
            <w:pPr>
              <w:pStyle w:val="AERtabletextleft"/>
            </w:pPr>
            <w:r>
              <w:t>STPIS</w:t>
            </w:r>
          </w:p>
        </w:tc>
        <w:tc>
          <w:tcPr>
            <w:tcW w:w="4347" w:type="dxa"/>
          </w:tcPr>
          <w:p w:rsidR="00DE563D" w:rsidRDefault="00DE563D" w:rsidP="00DE563D">
            <w:pPr>
              <w:pStyle w:val="AERtabletextleft"/>
              <w:jc w:val="center"/>
            </w:pPr>
            <w:r>
              <w:t>service target performance incentive scheme</w:t>
            </w:r>
          </w:p>
        </w:tc>
      </w:tr>
      <w:tr w:rsidR="00DE563D" w:rsidTr="00A66407">
        <w:tc>
          <w:tcPr>
            <w:tcW w:w="4346" w:type="dxa"/>
          </w:tcPr>
          <w:p w:rsidR="00DE563D" w:rsidRDefault="00DE563D" w:rsidP="00DE563D">
            <w:pPr>
              <w:pStyle w:val="AERtabletextleft"/>
            </w:pPr>
            <w:r>
              <w:t>WACC</w:t>
            </w:r>
          </w:p>
        </w:tc>
        <w:tc>
          <w:tcPr>
            <w:tcW w:w="4347" w:type="dxa"/>
          </w:tcPr>
          <w:p w:rsidR="00DE563D" w:rsidRDefault="00DE563D" w:rsidP="00DE563D">
            <w:pPr>
              <w:pStyle w:val="AERtabletextleft"/>
            </w:pPr>
            <w:r>
              <w:t>weighted average cost of capital</w:t>
            </w:r>
          </w:p>
        </w:tc>
      </w:tr>
    </w:tbl>
    <w:p w:rsidR="00DE563D" w:rsidRPr="00271F7C" w:rsidRDefault="00DE563D" w:rsidP="00DE563D">
      <w:pPr>
        <w:numPr>
          <w:ilvl w:val="0"/>
          <w:numId w:val="25"/>
        </w:numPr>
      </w:pPr>
    </w:p>
    <w:p w:rsidR="00DE563D" w:rsidRPr="00436A39" w:rsidRDefault="00DE563D" w:rsidP="00DE563D">
      <w:pPr>
        <w:numPr>
          <w:ilvl w:val="0"/>
          <w:numId w:val="25"/>
        </w:numPr>
      </w:pPr>
    </w:p>
    <w:p w:rsidR="00DE563D" w:rsidRDefault="00DE563D" w:rsidP="00DE563D"/>
    <w:p w:rsidR="00DE563D" w:rsidRPr="009D4E48" w:rsidRDefault="00B3265D" w:rsidP="009D4E48">
      <w:pPr>
        <w:pStyle w:val="Heading1"/>
      </w:pPr>
      <w:bookmarkStart w:id="10" w:name="_Toc417536941"/>
      <w:r w:rsidRPr="009D4E48">
        <w:lastRenderedPageBreak/>
        <w:t>Pass through events</w:t>
      </w:r>
      <w:bookmarkEnd w:id="10"/>
    </w:p>
    <w:p w:rsidR="00C05E4B" w:rsidRDefault="00C05E4B" w:rsidP="00C05E4B">
      <w:pPr>
        <w:numPr>
          <w:ilvl w:val="0"/>
          <w:numId w:val="25"/>
        </w:numPr>
      </w:pPr>
      <w:r w:rsidRPr="00CE0422">
        <w:t xml:space="preserve">The pass through mechanism of the NER recognises that a </w:t>
      </w:r>
      <w:r>
        <w:t>distributor</w:t>
      </w:r>
      <w:r w:rsidRPr="00CE0422">
        <w:t xml:space="preserve"> can be exposed to risks beyond its control, which may have a material impact on its costs. A cost pass through enables a </w:t>
      </w:r>
      <w:r>
        <w:t>distributor</w:t>
      </w:r>
      <w:r w:rsidRPr="00CE0422">
        <w:t xml:space="preserve"> to recover (or pass through) the costs of defined unpredictable, high cost events that are not built into </w:t>
      </w:r>
      <w:r>
        <w:t>our distribution</w:t>
      </w:r>
      <w:r w:rsidRPr="00CE0422">
        <w:t xml:space="preserve"> determination. </w:t>
      </w:r>
      <w:r>
        <w:t>The NER includes the following prescribed pass through events for all DNSPs:</w:t>
      </w:r>
    </w:p>
    <w:p w:rsidR="00C05E4B" w:rsidRPr="00380C1D" w:rsidRDefault="00C05E4B" w:rsidP="00C05E4B">
      <w:pPr>
        <w:pStyle w:val="AERbulletlistfirststyle"/>
      </w:pPr>
      <w:r>
        <w:t>a regulatory change event</w:t>
      </w:r>
    </w:p>
    <w:p w:rsidR="00C05E4B" w:rsidRPr="00380C1D" w:rsidRDefault="00C05E4B" w:rsidP="00C05E4B">
      <w:pPr>
        <w:pStyle w:val="AERbulletlistfirststyle"/>
      </w:pPr>
      <w:r w:rsidRPr="00931313">
        <w:t>a service sta</w:t>
      </w:r>
      <w:r w:rsidRPr="00380C1D">
        <w:t>ndard event</w:t>
      </w:r>
    </w:p>
    <w:p w:rsidR="00C05E4B" w:rsidRPr="00380C1D" w:rsidRDefault="00C05E4B" w:rsidP="00C05E4B">
      <w:pPr>
        <w:pStyle w:val="AERbulletlistfirststyle"/>
      </w:pPr>
      <w:r>
        <w:t>a tax change event</w:t>
      </w:r>
    </w:p>
    <w:p w:rsidR="00C05E4B" w:rsidRPr="00380C1D" w:rsidRDefault="00C05E4B" w:rsidP="00C05E4B">
      <w:pPr>
        <w:pStyle w:val="AERbulletlistfirststyle"/>
      </w:pPr>
      <w:r>
        <w:t>a retailer insolvency event</w:t>
      </w:r>
    </w:p>
    <w:p w:rsidR="00C05E4B" w:rsidRPr="00380C1D" w:rsidRDefault="00C05E4B" w:rsidP="00C05E4B">
      <w:pPr>
        <w:pStyle w:val="AERbulletlistfirststyle"/>
      </w:pPr>
      <w:r w:rsidRPr="00385F8C">
        <w:t>in addition to those defined events, an event specified in a determination for a</w:t>
      </w:r>
      <w:r w:rsidRPr="00380C1D">
        <w:t xml:space="preserve"> regulatory control period (nominated pass through event).</w:t>
      </w:r>
      <w:r w:rsidRPr="00380C1D">
        <w:rPr>
          <w:rStyle w:val="FootnoteReference"/>
        </w:rPr>
        <w:footnoteReference w:id="1"/>
      </w:r>
      <w:r w:rsidRPr="00380C1D">
        <w:t xml:space="preserve"> </w:t>
      </w:r>
    </w:p>
    <w:p w:rsidR="00C05E4B" w:rsidRPr="000C7B67" w:rsidRDefault="00C05E4B" w:rsidP="00C05E4B">
      <w:r w:rsidRPr="000C7B67">
        <w:t xml:space="preserve">This attachment sets out our preliminary decision on the additional pass through events that will apply to </w:t>
      </w:r>
      <w:r w:rsidR="00BA0EF5">
        <w:t>Ergon Energy</w:t>
      </w:r>
      <w:r w:rsidRPr="000C7B67">
        <w:t xml:space="preserve"> for the 2015–20 regulatory control period.</w:t>
      </w:r>
    </w:p>
    <w:p w:rsidR="00DE563D" w:rsidRPr="009D4E48" w:rsidRDefault="00DE563D" w:rsidP="009D4E48">
      <w:pPr>
        <w:pStyle w:val="Heading2"/>
      </w:pPr>
      <w:bookmarkStart w:id="11" w:name="_Toc403144136"/>
      <w:bookmarkStart w:id="12" w:name="_Toc417536942"/>
      <w:r w:rsidRPr="009D4E48">
        <w:t>Preliminary decision</w:t>
      </w:r>
      <w:bookmarkEnd w:id="11"/>
      <w:bookmarkEnd w:id="12"/>
    </w:p>
    <w:p w:rsidR="00C05E4B" w:rsidRDefault="003F6B35" w:rsidP="00C05E4B">
      <w:pPr>
        <w:numPr>
          <w:ilvl w:val="0"/>
          <w:numId w:val="25"/>
        </w:numPr>
      </w:pPr>
      <w:r>
        <w:t>We do</w:t>
      </w:r>
      <w:r w:rsidR="00C05E4B" w:rsidRPr="00BB1F95">
        <w:t xml:space="preserve"> not accept the</w:t>
      </w:r>
      <w:r>
        <w:t xml:space="preserve"> </w:t>
      </w:r>
      <w:r w:rsidR="00C05E4B" w:rsidRPr="00BB1F95">
        <w:t xml:space="preserve">nominated pass through events as drafted by </w:t>
      </w:r>
      <w:r w:rsidR="00C05E4B">
        <w:t>Ergon Energy</w:t>
      </w:r>
      <w:r w:rsidR="00A05AE5">
        <w:t xml:space="preserve"> and</w:t>
      </w:r>
      <w:r>
        <w:t xml:space="preserve"> have</w:t>
      </w:r>
      <w:r w:rsidR="00C05E4B" w:rsidRPr="00BB1F95">
        <w:t xml:space="preserve"> </w:t>
      </w:r>
      <w:r w:rsidR="00332124">
        <w:t>proposed</w:t>
      </w:r>
      <w:r w:rsidR="001912F1">
        <w:t xml:space="preserve"> </w:t>
      </w:r>
      <w:r w:rsidR="00332124">
        <w:t>alternative</w:t>
      </w:r>
      <w:r w:rsidR="00C05E4B" w:rsidRPr="00BB1F95">
        <w:t xml:space="preserve"> definitions</w:t>
      </w:r>
      <w:r w:rsidR="00A05AE5">
        <w:t xml:space="preserve"> for</w:t>
      </w:r>
      <w:r w:rsidR="00C05E4B">
        <w:t>:</w:t>
      </w:r>
    </w:p>
    <w:p w:rsidR="00C05E4B" w:rsidRPr="00380C1D" w:rsidRDefault="00C05E4B" w:rsidP="00C05E4B">
      <w:pPr>
        <w:pStyle w:val="AERbulletlistfirststyle"/>
      </w:pPr>
      <w:r>
        <w:t>i</w:t>
      </w:r>
      <w:r w:rsidRPr="00380C1D">
        <w:t>nsurance cap event</w:t>
      </w:r>
    </w:p>
    <w:p w:rsidR="00C05E4B" w:rsidRDefault="00C05E4B" w:rsidP="00C05E4B">
      <w:pPr>
        <w:pStyle w:val="AERbulletlistfirststyle"/>
      </w:pPr>
      <w:r>
        <w:t>natural disaster event</w:t>
      </w:r>
    </w:p>
    <w:p w:rsidR="00C05E4B" w:rsidRDefault="00C05E4B" w:rsidP="00C05E4B">
      <w:pPr>
        <w:pStyle w:val="AERbulletlistfirststyle"/>
      </w:pPr>
      <w:r>
        <w:t>i</w:t>
      </w:r>
      <w:r w:rsidRPr="00380C1D">
        <w:t>nsurance event</w:t>
      </w:r>
      <w:r>
        <w:t>.</w:t>
      </w:r>
    </w:p>
    <w:p w:rsidR="00332124" w:rsidRPr="00380C1D" w:rsidRDefault="00332124" w:rsidP="00A8382A">
      <w:r>
        <w:t xml:space="preserve">These are set out in section </w:t>
      </w:r>
      <w:r>
        <w:fldChar w:fldCharType="begin"/>
      </w:r>
      <w:r>
        <w:instrText xml:space="preserve"> REF _Ref414276874 \n \h </w:instrText>
      </w:r>
      <w:r>
        <w:fldChar w:fldCharType="separate"/>
      </w:r>
      <w:r>
        <w:t>15.4</w:t>
      </w:r>
      <w:r>
        <w:fldChar w:fldCharType="end"/>
      </w:r>
      <w:r>
        <w:t xml:space="preserve"> below.</w:t>
      </w:r>
    </w:p>
    <w:p w:rsidR="00C05E4B" w:rsidRPr="00DD7C09" w:rsidRDefault="00C05E4B" w:rsidP="00C05E4B">
      <w:pPr>
        <w:numPr>
          <w:ilvl w:val="0"/>
          <w:numId w:val="25"/>
        </w:numPr>
      </w:pPr>
      <w:r>
        <w:t>We do not accept the following proposed pass through events:</w:t>
      </w:r>
    </w:p>
    <w:p w:rsidR="00C05E4B" w:rsidRPr="00380C1D" w:rsidRDefault="00C05E4B" w:rsidP="00C05E4B">
      <w:pPr>
        <w:pStyle w:val="AERbulletlistfirststyle"/>
      </w:pPr>
      <w:r>
        <w:t>retail separation event</w:t>
      </w:r>
    </w:p>
    <w:p w:rsidR="00C05E4B" w:rsidRPr="00380C1D" w:rsidRDefault="00C05E4B" w:rsidP="00C05E4B">
      <w:pPr>
        <w:pStyle w:val="AERbulletlistfirststyle"/>
      </w:pPr>
      <w:r>
        <w:t>isolated network separation event.</w:t>
      </w:r>
    </w:p>
    <w:p w:rsidR="00A8382A" w:rsidRPr="00FD1D46" w:rsidRDefault="00A8382A" w:rsidP="00FD1D46">
      <w:pPr>
        <w:pStyle w:val="Heading2"/>
      </w:pPr>
      <w:bookmarkStart w:id="13" w:name="_Toc417536943"/>
      <w:r w:rsidRPr="00FD1D46">
        <w:t>Ergon Energy's proposal</w:t>
      </w:r>
      <w:bookmarkEnd w:id="13"/>
    </w:p>
    <w:p w:rsidR="00C05E4B" w:rsidRDefault="00C05E4B" w:rsidP="00C05E4B">
      <w:pPr>
        <w:numPr>
          <w:ilvl w:val="0"/>
          <w:numId w:val="25"/>
        </w:numPr>
        <w:rPr>
          <w:rStyle w:val="AERbody"/>
        </w:rPr>
      </w:pPr>
      <w:r>
        <w:rPr>
          <w:rStyle w:val="AERbody"/>
        </w:rPr>
        <w:t>Ergon Energy's</w:t>
      </w:r>
      <w:r w:rsidRPr="004536AF">
        <w:rPr>
          <w:rStyle w:val="AERbody"/>
        </w:rPr>
        <w:t xml:space="preserve"> proposed </w:t>
      </w:r>
      <w:r>
        <w:rPr>
          <w:rStyle w:val="AERbody"/>
        </w:rPr>
        <w:t xml:space="preserve">nominated </w:t>
      </w:r>
      <w:r w:rsidRPr="004536AF">
        <w:rPr>
          <w:rStyle w:val="AERbody"/>
        </w:rPr>
        <w:t xml:space="preserve">pass through events and definitions are set out </w:t>
      </w:r>
      <w:r>
        <w:rPr>
          <w:rStyle w:val="AERbody"/>
        </w:rPr>
        <w:t>in</w:t>
      </w:r>
      <w:r w:rsidRPr="004536AF">
        <w:rPr>
          <w:rStyle w:val="AERbody"/>
        </w:rPr>
        <w:t xml:space="preserve"> </w:t>
      </w:r>
      <w:r>
        <w:rPr>
          <w:rStyle w:val="AERbody"/>
        </w:rPr>
        <w:fldChar w:fldCharType="begin"/>
      </w:r>
      <w:r>
        <w:rPr>
          <w:rStyle w:val="AERbody"/>
        </w:rPr>
        <w:instrText xml:space="preserve"> REF _Ref396745719 \h </w:instrText>
      </w:r>
      <w:r>
        <w:rPr>
          <w:rStyle w:val="AERbody"/>
        </w:rPr>
      </w:r>
      <w:r>
        <w:rPr>
          <w:rStyle w:val="AERbody"/>
        </w:rPr>
        <w:fldChar w:fldCharType="separate"/>
      </w:r>
      <w:r w:rsidR="00A66407">
        <w:t>t</w:t>
      </w:r>
      <w:r>
        <w:t xml:space="preserve">able </w:t>
      </w:r>
      <w:r w:rsidRPr="003D7AD5">
        <w:t>15</w:t>
      </w:r>
      <w:r w:rsidR="00A66407">
        <w:t>.</w:t>
      </w:r>
      <w:r w:rsidRPr="003D7AD5">
        <w:t>1</w:t>
      </w:r>
      <w:r>
        <w:rPr>
          <w:rStyle w:val="AERbody"/>
        </w:rPr>
        <w:fldChar w:fldCharType="end"/>
      </w:r>
      <w:r w:rsidRPr="004536AF">
        <w:rPr>
          <w:rStyle w:val="AERbody"/>
        </w:rPr>
        <w:t>.</w:t>
      </w:r>
    </w:p>
    <w:p w:rsidR="00A66407" w:rsidRPr="004536AF" w:rsidRDefault="00A66407" w:rsidP="00C05E4B">
      <w:pPr>
        <w:numPr>
          <w:ilvl w:val="0"/>
          <w:numId w:val="25"/>
        </w:numPr>
        <w:rPr>
          <w:rStyle w:val="AERbody"/>
        </w:rPr>
      </w:pPr>
    </w:p>
    <w:p w:rsidR="00C05E4B" w:rsidRPr="003D7AD5" w:rsidRDefault="00C05E4B" w:rsidP="00C05E4B">
      <w:pPr>
        <w:pStyle w:val="Caption"/>
      </w:pPr>
      <w:r w:rsidRPr="003D7AD5">
        <w:lastRenderedPageBreak/>
        <w:t xml:space="preserve">Table </w:t>
      </w:r>
      <w:r w:rsidR="005C0DDD">
        <w:fldChar w:fldCharType="begin"/>
      </w:r>
      <w:r w:rsidR="005C0DDD">
        <w:instrText xml:space="preserve"> STYLEREF 1 \s </w:instrText>
      </w:r>
      <w:r w:rsidR="005C0DDD">
        <w:fldChar w:fldCharType="separate"/>
      </w:r>
      <w:r w:rsidRPr="003D7AD5">
        <w:t>15</w:t>
      </w:r>
      <w:r w:rsidR="005C0DDD">
        <w:fldChar w:fldCharType="end"/>
      </w:r>
      <w:r w:rsidR="00A66407">
        <w:t>.</w:t>
      </w:r>
      <w:r w:rsidR="005C0DDD">
        <w:fldChar w:fldCharType="begin"/>
      </w:r>
      <w:r w:rsidR="005C0DDD">
        <w:instrText xml:space="preserve"> SEQ Table \* AR</w:instrText>
      </w:r>
      <w:r w:rsidR="005C0DDD">
        <w:instrText xml:space="preserve">ABIC \s 1 </w:instrText>
      </w:r>
      <w:r w:rsidR="005C0DDD">
        <w:fldChar w:fldCharType="separate"/>
      </w:r>
      <w:r w:rsidRPr="003D7AD5">
        <w:t>1</w:t>
      </w:r>
      <w:r w:rsidR="005C0DDD">
        <w:fldChar w:fldCharType="end"/>
      </w:r>
      <w:r w:rsidRPr="003D7AD5">
        <w:tab/>
      </w:r>
      <w:r>
        <w:t>Ergon Energy's</w:t>
      </w:r>
      <w:r w:rsidRPr="003D7AD5">
        <w:t xml:space="preserve"> proposed pass through events</w:t>
      </w:r>
    </w:p>
    <w:tbl>
      <w:tblPr>
        <w:tblStyle w:val="AERtable-text0"/>
        <w:tblW w:w="0" w:type="auto"/>
        <w:tblLook w:val="04A0" w:firstRow="1" w:lastRow="0" w:firstColumn="1" w:lastColumn="0" w:noHBand="0" w:noVBand="1"/>
      </w:tblPr>
      <w:tblGrid>
        <w:gridCol w:w="2277"/>
        <w:gridCol w:w="6416"/>
      </w:tblGrid>
      <w:tr w:rsidR="00C05E4B" w:rsidTr="00AD2AAA">
        <w:trPr>
          <w:cnfStyle w:val="100000000000" w:firstRow="1" w:lastRow="0" w:firstColumn="0" w:lastColumn="0" w:oddVBand="0" w:evenVBand="0" w:oddHBand="0" w:evenHBand="0" w:firstRowFirstColumn="0" w:firstRowLastColumn="0" w:lastRowFirstColumn="0" w:lastRowLastColumn="0"/>
        </w:trPr>
        <w:tc>
          <w:tcPr>
            <w:tcW w:w="2376" w:type="dxa"/>
          </w:tcPr>
          <w:p w:rsidR="00C05E4B" w:rsidRPr="00C05E4B" w:rsidRDefault="00C05E4B" w:rsidP="00C05E4B">
            <w:pPr>
              <w:pStyle w:val="AERtabletextleft"/>
            </w:pPr>
            <w:r>
              <w:t>Proposed event</w:t>
            </w:r>
          </w:p>
        </w:tc>
        <w:tc>
          <w:tcPr>
            <w:tcW w:w="6866" w:type="dxa"/>
          </w:tcPr>
          <w:p w:rsidR="00C05E4B" w:rsidRPr="00C05E4B" w:rsidRDefault="00C05E4B" w:rsidP="00C05E4B">
            <w:pPr>
              <w:pStyle w:val="AERtabletextleft"/>
            </w:pPr>
            <w:r>
              <w:t>Proposed definition</w:t>
            </w:r>
          </w:p>
        </w:tc>
      </w:tr>
      <w:tr w:rsidR="00C05E4B" w:rsidTr="00AD2AAA">
        <w:tc>
          <w:tcPr>
            <w:tcW w:w="2376" w:type="dxa"/>
          </w:tcPr>
          <w:p w:rsidR="00C05E4B" w:rsidRPr="00BA0EF5" w:rsidRDefault="00C05E4B" w:rsidP="00C05E4B">
            <w:pPr>
              <w:pStyle w:val="AERtabletextleft"/>
              <w:rPr>
                <w:rStyle w:val="AERtextsize8"/>
              </w:rPr>
            </w:pPr>
            <w:r w:rsidRPr="00BA0EF5">
              <w:rPr>
                <w:rStyle w:val="AERtextsize8"/>
              </w:rPr>
              <w:t>insurance cap event</w:t>
            </w:r>
          </w:p>
        </w:tc>
        <w:tc>
          <w:tcPr>
            <w:tcW w:w="6866" w:type="dxa"/>
          </w:tcPr>
          <w:p w:rsidR="00C05E4B" w:rsidRPr="00BA0EF5" w:rsidRDefault="00C05E4B" w:rsidP="00C05E4B">
            <w:pPr>
              <w:pStyle w:val="AERtabletextleft"/>
              <w:rPr>
                <w:rStyle w:val="AERtextsize8"/>
              </w:rPr>
            </w:pPr>
            <w:r w:rsidRPr="00BA0EF5">
              <w:rPr>
                <w:rStyle w:val="AERtextsize8"/>
              </w:rPr>
              <w:t>An insurance cap event is an event whereby:</w:t>
            </w:r>
          </w:p>
          <w:p w:rsidR="00C05E4B" w:rsidRPr="00BA0EF5" w:rsidRDefault="00C05E4B" w:rsidP="00C05E4B">
            <w:pPr>
              <w:pStyle w:val="AERtabletextleft"/>
              <w:rPr>
                <w:rStyle w:val="AERtextsize8"/>
              </w:rPr>
            </w:pPr>
            <w:r w:rsidRPr="00BA0EF5">
              <w:rPr>
                <w:rStyle w:val="AERtextsize8"/>
              </w:rPr>
              <w:t>1. Ergon Energy:</w:t>
            </w:r>
          </w:p>
          <w:p w:rsidR="00C05E4B" w:rsidRPr="00BA0EF5" w:rsidRDefault="00C05E4B" w:rsidP="00C05E4B">
            <w:pPr>
              <w:pStyle w:val="AERtabletextleft"/>
              <w:rPr>
                <w:rStyle w:val="AERtextsize8"/>
              </w:rPr>
            </w:pPr>
            <w:r w:rsidRPr="00BA0EF5">
              <w:rPr>
                <w:rStyle w:val="AERtextsize8"/>
              </w:rPr>
              <w:t>(a) makes a claim or claims and receives the benefit of a payment or payments under a relevant insurance policy, or</w:t>
            </w:r>
          </w:p>
          <w:p w:rsidR="00C05E4B" w:rsidRPr="00BA0EF5" w:rsidRDefault="00C05E4B" w:rsidP="00C05E4B">
            <w:pPr>
              <w:pStyle w:val="AERtabletextleft"/>
              <w:rPr>
                <w:rStyle w:val="AERtextsize8"/>
              </w:rPr>
            </w:pPr>
            <w:r w:rsidRPr="00BA0EF5">
              <w:rPr>
                <w:rStyle w:val="AERtextsize8"/>
              </w:rPr>
              <w:t>(b) would have been entitled to make a claim or claims or receive the benefit of a payment or payments under a relevant insurance policy but for the application of a relevant policy limit</w:t>
            </w:r>
          </w:p>
          <w:p w:rsidR="00C05E4B" w:rsidRPr="00BA0EF5" w:rsidRDefault="00C05E4B" w:rsidP="00C05E4B">
            <w:pPr>
              <w:pStyle w:val="AERtabletextleft"/>
              <w:rPr>
                <w:rStyle w:val="AERtextsize8"/>
              </w:rPr>
            </w:pPr>
            <w:r w:rsidRPr="00BA0EF5">
              <w:rPr>
                <w:rStyle w:val="AERtextsize8"/>
              </w:rPr>
              <w:t>2. Ergon Energy incurs costs beyond the relevant policy limit, and those costs would have been recovered under the insurance policy had the limit not been exhausted, and</w:t>
            </w:r>
          </w:p>
          <w:p w:rsidR="00C05E4B" w:rsidRPr="00BA0EF5" w:rsidRDefault="00C05E4B" w:rsidP="00C05E4B">
            <w:pPr>
              <w:pStyle w:val="AERtabletextleft"/>
              <w:rPr>
                <w:rStyle w:val="AERtextsize8"/>
              </w:rPr>
            </w:pPr>
            <w:r w:rsidRPr="00BA0EF5">
              <w:rPr>
                <w:rStyle w:val="AERtextsize8"/>
              </w:rPr>
              <w:t>3. the costs beyond the relevant policy limit materially increase the costs to Ergon Energy of providing direct control services.</w:t>
            </w:r>
          </w:p>
          <w:p w:rsidR="00C05E4B" w:rsidRPr="00BA0EF5" w:rsidRDefault="00C05E4B" w:rsidP="00C05E4B">
            <w:pPr>
              <w:pStyle w:val="AERtabletextleft"/>
              <w:rPr>
                <w:rStyle w:val="AERtextsize8"/>
              </w:rPr>
            </w:pPr>
            <w:r w:rsidRPr="00BA0EF5">
              <w:rPr>
                <w:rStyle w:val="AERtextsize8"/>
              </w:rPr>
              <w:t>For this insurance cap event:</w:t>
            </w:r>
          </w:p>
          <w:p w:rsidR="00C05E4B" w:rsidRPr="00BA0EF5" w:rsidRDefault="00C05E4B" w:rsidP="00C05E4B">
            <w:pPr>
              <w:pStyle w:val="AERtabletextleft"/>
              <w:rPr>
                <w:rStyle w:val="AERtextsize8"/>
              </w:rPr>
            </w:pPr>
            <w:r w:rsidRPr="00BA0EF5">
              <w:rPr>
                <w:rStyle w:val="AERtextsize8"/>
              </w:rPr>
              <w:t>1. the relevant policy limit is the greater of:</w:t>
            </w:r>
          </w:p>
          <w:p w:rsidR="00C05E4B" w:rsidRPr="00BA0EF5" w:rsidRDefault="00C05E4B" w:rsidP="00C05E4B">
            <w:pPr>
              <w:pStyle w:val="AERtabletextleft"/>
              <w:rPr>
                <w:rStyle w:val="AERtextsize8"/>
              </w:rPr>
            </w:pPr>
            <w:r w:rsidRPr="00BA0EF5">
              <w:rPr>
                <w:rStyle w:val="AERtextsize8"/>
              </w:rPr>
              <w:t>(a) Ergon Energy’s actual policy limit at the time of the event that gives, or would have given, rise to the claim, and</w:t>
            </w:r>
          </w:p>
          <w:p w:rsidR="00C05E4B" w:rsidRPr="00BA0EF5" w:rsidRDefault="00C05E4B" w:rsidP="00C05E4B">
            <w:pPr>
              <w:pStyle w:val="AERtabletextleft"/>
              <w:rPr>
                <w:rStyle w:val="AERtextsize8"/>
              </w:rPr>
            </w:pPr>
            <w:r w:rsidRPr="00BA0EF5">
              <w:rPr>
                <w:rStyle w:val="AERtextsize8"/>
              </w:rPr>
              <w:t>(b) the policy limit that is explicitly or implicitly commensurate with the allowance for insurance premiums that is included in the forecast operating expenditure allowance approved in the AER's final decision for the regulatory control period in which the insurance policy is issued.</w:t>
            </w:r>
          </w:p>
          <w:p w:rsidR="00C05E4B" w:rsidRPr="00BA0EF5" w:rsidRDefault="00C05E4B" w:rsidP="00C05E4B">
            <w:pPr>
              <w:pStyle w:val="AERtabletextleft"/>
              <w:rPr>
                <w:rStyle w:val="AERtextsize8"/>
              </w:rPr>
            </w:pPr>
            <w:r w:rsidRPr="00BA0EF5">
              <w:rPr>
                <w:rStyle w:val="AERtextsize8"/>
              </w:rPr>
              <w:t>2. a relevant insurance policy is an insurance policy held during the regulatory control period 2015-20 or a previous regulatory control period in which Ergon Energy was regulated.</w:t>
            </w:r>
          </w:p>
          <w:p w:rsidR="00C05E4B" w:rsidRPr="00BA0EF5" w:rsidRDefault="00C05E4B" w:rsidP="00C05E4B">
            <w:pPr>
              <w:pStyle w:val="AERtabletextleft"/>
              <w:rPr>
                <w:rStyle w:val="AERtextsize8"/>
              </w:rPr>
            </w:pPr>
            <w:r w:rsidRPr="00BA0EF5">
              <w:rPr>
                <w:rStyle w:val="AERtextsize8"/>
              </w:rPr>
              <w:t>Note:</w:t>
            </w:r>
          </w:p>
          <w:p w:rsidR="00C05E4B" w:rsidRPr="00BA0EF5" w:rsidRDefault="00C05E4B" w:rsidP="00C05E4B">
            <w:pPr>
              <w:pStyle w:val="AERtabletextleft"/>
              <w:rPr>
                <w:rStyle w:val="AERtextsize8"/>
              </w:rPr>
            </w:pPr>
            <w:r w:rsidRPr="00BA0EF5">
              <w:rPr>
                <w:rStyle w:val="AERtextsize8"/>
              </w:rPr>
              <w:t>For the avoidance of doubt, in assessing an insurance cap event cost pass through application under rule 6.6.1, the AER will have regard to:</w:t>
            </w:r>
          </w:p>
          <w:p w:rsidR="00C05E4B" w:rsidRPr="00BA0EF5" w:rsidRDefault="00C05E4B" w:rsidP="00C05E4B">
            <w:pPr>
              <w:pStyle w:val="AERtabletextleft"/>
              <w:rPr>
                <w:rStyle w:val="AERtextsize8"/>
              </w:rPr>
            </w:pPr>
            <w:r w:rsidRPr="00BA0EF5">
              <w:rPr>
                <w:rStyle w:val="AERtextsize8"/>
              </w:rPr>
              <w:t>1. the insurance premium proposal submitted by Ergon Energy in its Regulatory Proposal</w:t>
            </w:r>
          </w:p>
          <w:p w:rsidR="00C05E4B" w:rsidRPr="00BA0EF5" w:rsidRDefault="00C05E4B" w:rsidP="00C05E4B">
            <w:pPr>
              <w:pStyle w:val="AERtabletextleft"/>
              <w:rPr>
                <w:rStyle w:val="AERtextsize8"/>
              </w:rPr>
            </w:pPr>
            <w:r w:rsidRPr="00BA0EF5">
              <w:rPr>
                <w:rStyle w:val="AERtextsize8"/>
              </w:rPr>
              <w:t>2. the forecast operating expenditure allowance approved in the AER’s final decision</w:t>
            </w:r>
          </w:p>
          <w:p w:rsidR="00C05E4B" w:rsidRPr="00C05E4B" w:rsidRDefault="00C05E4B" w:rsidP="00C05E4B">
            <w:pPr>
              <w:pStyle w:val="AERtabletextleft"/>
            </w:pPr>
            <w:r w:rsidRPr="00BA0EF5">
              <w:rPr>
                <w:rStyle w:val="AERtextsize8"/>
              </w:rPr>
              <w:t>3. the reasons for that decision.</w:t>
            </w:r>
          </w:p>
        </w:tc>
      </w:tr>
      <w:tr w:rsidR="00C05E4B" w:rsidTr="00AD2AAA">
        <w:trPr>
          <w:cnfStyle w:val="000000010000" w:firstRow="0" w:lastRow="0" w:firstColumn="0" w:lastColumn="0" w:oddVBand="0" w:evenVBand="0" w:oddHBand="0" w:evenHBand="1" w:firstRowFirstColumn="0" w:firstRowLastColumn="0" w:lastRowFirstColumn="0" w:lastRowLastColumn="0"/>
        </w:trPr>
        <w:tc>
          <w:tcPr>
            <w:tcW w:w="2376" w:type="dxa"/>
          </w:tcPr>
          <w:p w:rsidR="00C05E4B" w:rsidRPr="00BA0EF5" w:rsidRDefault="00C05E4B" w:rsidP="00C05E4B">
            <w:pPr>
              <w:pStyle w:val="AERtabletextleft"/>
              <w:rPr>
                <w:rStyle w:val="AERtextsize8"/>
              </w:rPr>
            </w:pPr>
            <w:r w:rsidRPr="00BA0EF5">
              <w:rPr>
                <w:rStyle w:val="AERtextsize8"/>
              </w:rPr>
              <w:t>natural disaster event</w:t>
            </w:r>
          </w:p>
        </w:tc>
        <w:tc>
          <w:tcPr>
            <w:tcW w:w="6866" w:type="dxa"/>
          </w:tcPr>
          <w:p w:rsidR="00C05E4B" w:rsidRPr="00BA0EF5" w:rsidRDefault="00C05E4B" w:rsidP="00C05E4B">
            <w:pPr>
              <w:pStyle w:val="AERtabletextleft"/>
              <w:rPr>
                <w:rStyle w:val="AERtextsize8"/>
              </w:rPr>
            </w:pPr>
            <w:r w:rsidRPr="00BA0EF5">
              <w:rPr>
                <w:rStyle w:val="AERtextsize8"/>
              </w:rPr>
              <w:t>Any major cyclone, fire, flood, earthquake or other natural disaster beyond the reasonable control of Ergon Energy that occurs during the regulatory control period 2015-20 and materially increases the costs to Ergon Energy of providing direct control services.</w:t>
            </w:r>
          </w:p>
          <w:p w:rsidR="00C05E4B" w:rsidRPr="00BA0EF5" w:rsidRDefault="00C05E4B" w:rsidP="00C05E4B">
            <w:pPr>
              <w:pStyle w:val="AERtabletextleft"/>
              <w:rPr>
                <w:rStyle w:val="AERtextsize8"/>
              </w:rPr>
            </w:pPr>
            <w:r w:rsidRPr="00BA0EF5">
              <w:rPr>
                <w:rStyle w:val="AERtextsize8"/>
              </w:rPr>
              <w:t>Note:</w:t>
            </w:r>
          </w:p>
          <w:p w:rsidR="00C05E4B" w:rsidRPr="00BA0EF5" w:rsidRDefault="00C05E4B" w:rsidP="00C05E4B">
            <w:pPr>
              <w:pStyle w:val="AERtabletextleft"/>
              <w:rPr>
                <w:rStyle w:val="AERtextsize8"/>
              </w:rPr>
            </w:pPr>
            <w:r w:rsidRPr="00BA0EF5">
              <w:rPr>
                <w:rStyle w:val="AERtextsize8"/>
              </w:rPr>
              <w:t>In assessing a natural disaster event pass through application, the AER will have regard to:</w:t>
            </w:r>
          </w:p>
          <w:p w:rsidR="00C05E4B" w:rsidRPr="00BA0EF5" w:rsidRDefault="00C05E4B" w:rsidP="00C05E4B">
            <w:pPr>
              <w:pStyle w:val="AERtabletextleft"/>
              <w:rPr>
                <w:rStyle w:val="AERtextsize8"/>
              </w:rPr>
            </w:pPr>
            <w:r w:rsidRPr="00BA0EF5">
              <w:rPr>
                <w:rStyle w:val="AERtextsize8"/>
              </w:rPr>
              <w:t>1. the insurance premium proposal submitted by Ergon Energy in its Regulatory Proposal</w:t>
            </w:r>
          </w:p>
          <w:p w:rsidR="00C05E4B" w:rsidRPr="00BA0EF5" w:rsidRDefault="00C05E4B" w:rsidP="00C05E4B">
            <w:pPr>
              <w:pStyle w:val="AERtabletextleft"/>
              <w:rPr>
                <w:rStyle w:val="AERtextsize8"/>
              </w:rPr>
            </w:pPr>
            <w:r w:rsidRPr="00BA0EF5">
              <w:rPr>
                <w:rStyle w:val="AERtextsize8"/>
              </w:rPr>
              <w:t>2. the forecast operating expenditure allowance approved in the AER’s final decision</w:t>
            </w:r>
          </w:p>
          <w:p w:rsidR="00C05E4B" w:rsidRPr="00BA0EF5" w:rsidRDefault="00C05E4B" w:rsidP="00C05E4B">
            <w:pPr>
              <w:pStyle w:val="AERtabletextleft"/>
              <w:rPr>
                <w:rStyle w:val="AERtextsize8"/>
              </w:rPr>
            </w:pPr>
            <w:r w:rsidRPr="00BA0EF5">
              <w:rPr>
                <w:rStyle w:val="AERtextsize8"/>
              </w:rPr>
              <w:t>3. the reasons for that decision.</w:t>
            </w:r>
          </w:p>
          <w:p w:rsidR="00C05E4B" w:rsidRPr="00C05E4B" w:rsidRDefault="00C05E4B" w:rsidP="00C05E4B">
            <w:pPr>
              <w:pStyle w:val="AERtabletextleft"/>
            </w:pPr>
            <w:r w:rsidRPr="00BA0EF5">
              <w:rPr>
                <w:rStyle w:val="AERtextsize8"/>
              </w:rPr>
              <w:t>The term 'major' in the above paragraph means an event that is serious and significant.</w:t>
            </w:r>
          </w:p>
        </w:tc>
      </w:tr>
      <w:tr w:rsidR="00C05E4B" w:rsidTr="00AD2AAA">
        <w:tc>
          <w:tcPr>
            <w:tcW w:w="2376" w:type="dxa"/>
          </w:tcPr>
          <w:p w:rsidR="00C05E4B" w:rsidRPr="00BA0EF5" w:rsidRDefault="00C05E4B" w:rsidP="00C05E4B">
            <w:pPr>
              <w:pStyle w:val="AERtabletextleft"/>
              <w:rPr>
                <w:rStyle w:val="AERtextsize8"/>
              </w:rPr>
            </w:pPr>
            <w:r w:rsidRPr="00BA0EF5">
              <w:rPr>
                <w:rStyle w:val="AERtextsize8"/>
              </w:rPr>
              <w:t>insurance event</w:t>
            </w:r>
          </w:p>
        </w:tc>
        <w:tc>
          <w:tcPr>
            <w:tcW w:w="6866" w:type="dxa"/>
          </w:tcPr>
          <w:p w:rsidR="00C05E4B" w:rsidRPr="00BA0EF5" w:rsidRDefault="00C05E4B" w:rsidP="00C05E4B">
            <w:pPr>
              <w:pStyle w:val="AERtabletextleft"/>
              <w:rPr>
                <w:rStyle w:val="AERtextsize8"/>
              </w:rPr>
            </w:pPr>
            <w:r w:rsidRPr="00BA0EF5">
              <w:rPr>
                <w:rStyle w:val="AERtextsize8"/>
              </w:rPr>
              <w:t>An event for which the risk of its occurrence is the subject of insurance taken out by or for Ergon Energy, for which an allowance is provided in Ergon Energy’s annual revenue requirement and in respect of which:</w:t>
            </w:r>
          </w:p>
          <w:p w:rsidR="00C05E4B" w:rsidRPr="00BA0EF5" w:rsidRDefault="00C05E4B" w:rsidP="00C05E4B">
            <w:pPr>
              <w:pStyle w:val="AERtabletextleft"/>
              <w:rPr>
                <w:rStyle w:val="AERtextsize8"/>
              </w:rPr>
            </w:pPr>
            <w:r w:rsidRPr="00BA0EF5">
              <w:rPr>
                <w:rStyle w:val="AERtextsize8"/>
              </w:rPr>
              <w:lastRenderedPageBreak/>
              <w:t>1. the cost of the premium paid or required to be paid by Ergon Energy in the regulatory year in which the cost of the premium changes is materially higher or lower than the premium that is provided for in the annual revenue requirement for that regulatory year, or</w:t>
            </w:r>
          </w:p>
          <w:p w:rsidR="00C05E4B" w:rsidRPr="00BA0EF5" w:rsidRDefault="00C05E4B" w:rsidP="00C05E4B">
            <w:pPr>
              <w:pStyle w:val="AERtabletextleft"/>
              <w:rPr>
                <w:rStyle w:val="AERtextsize8"/>
              </w:rPr>
            </w:pPr>
            <w:r w:rsidRPr="00BA0EF5">
              <w:rPr>
                <w:rStyle w:val="AERtextsize8"/>
              </w:rPr>
              <w:t>2. the risk eventuates and, as a consequence, Ergon Energy incurs or will incur all or part of a deductible where the amount so incurred or to be so incurred in a regulatory year is materially higher or lower than the allowance for the deductible (if any) that is provided for in the annual revenue requirement for that regulatory year, or</w:t>
            </w:r>
          </w:p>
          <w:p w:rsidR="00C05E4B" w:rsidRPr="00BA0EF5" w:rsidRDefault="00C05E4B" w:rsidP="00C05E4B">
            <w:pPr>
              <w:pStyle w:val="AERtabletextleft"/>
              <w:rPr>
                <w:rStyle w:val="AERtextsize8"/>
              </w:rPr>
            </w:pPr>
            <w:r w:rsidRPr="00BA0EF5">
              <w:rPr>
                <w:rStyle w:val="AERtextsize8"/>
              </w:rPr>
              <w:t>3. insurance becomes unavailable to Ergon Energy, or</w:t>
            </w:r>
          </w:p>
          <w:p w:rsidR="00C05E4B" w:rsidRPr="00BA0EF5" w:rsidRDefault="00C05E4B" w:rsidP="00C05E4B">
            <w:pPr>
              <w:pStyle w:val="AERtabletextleft"/>
              <w:rPr>
                <w:rStyle w:val="AERtextsize8"/>
              </w:rPr>
            </w:pPr>
            <w:r w:rsidRPr="00BA0EF5">
              <w:rPr>
                <w:rStyle w:val="AERtextsize8"/>
              </w:rPr>
              <w:t>4. insurance becomes available to Ergon Energy on terms materially different to those existing at the time the distribution determination was made (other than as a result of any act or omission of Ergon Energy which is inconsistent with good electricity industry practice).</w:t>
            </w:r>
          </w:p>
        </w:tc>
      </w:tr>
      <w:tr w:rsidR="00C05E4B" w:rsidTr="00AD2AAA">
        <w:trPr>
          <w:cnfStyle w:val="000000010000" w:firstRow="0" w:lastRow="0" w:firstColumn="0" w:lastColumn="0" w:oddVBand="0" w:evenVBand="0" w:oddHBand="0" w:evenHBand="1" w:firstRowFirstColumn="0" w:firstRowLastColumn="0" w:lastRowFirstColumn="0" w:lastRowLastColumn="0"/>
        </w:trPr>
        <w:tc>
          <w:tcPr>
            <w:tcW w:w="2376" w:type="dxa"/>
          </w:tcPr>
          <w:p w:rsidR="00C05E4B" w:rsidRPr="00BA0EF5" w:rsidRDefault="00C05E4B" w:rsidP="00C05E4B">
            <w:pPr>
              <w:pStyle w:val="AERtabletextleft"/>
              <w:rPr>
                <w:rStyle w:val="AERtextsize8"/>
              </w:rPr>
            </w:pPr>
            <w:r w:rsidRPr="00BA0EF5">
              <w:rPr>
                <w:rStyle w:val="AERtextsize8"/>
              </w:rPr>
              <w:lastRenderedPageBreak/>
              <w:t>retail separation event</w:t>
            </w:r>
          </w:p>
        </w:tc>
        <w:tc>
          <w:tcPr>
            <w:tcW w:w="6866" w:type="dxa"/>
          </w:tcPr>
          <w:p w:rsidR="00C05E4B" w:rsidRPr="00BA0EF5" w:rsidRDefault="00C05E4B" w:rsidP="00C05E4B">
            <w:pPr>
              <w:pStyle w:val="AERtabletextleft"/>
              <w:rPr>
                <w:rStyle w:val="AERtextsize8"/>
              </w:rPr>
            </w:pPr>
            <w:r w:rsidRPr="00BA0EF5">
              <w:rPr>
                <w:rStyle w:val="AERtextsize8"/>
              </w:rPr>
              <w:t>Any legislative or administrative act of the Queensland Government to separate the retail electricity business of Ergon Energy in whole or in part from the electricity distribution function of Ergon Energy (including by way of a sale of the retail business), which materially changes the costs to Ergon Energy of providing direct control services in the regulatory control period 2015-20.</w:t>
            </w:r>
          </w:p>
        </w:tc>
      </w:tr>
      <w:tr w:rsidR="00C05E4B" w:rsidTr="00AD2AAA">
        <w:tc>
          <w:tcPr>
            <w:tcW w:w="2376" w:type="dxa"/>
          </w:tcPr>
          <w:p w:rsidR="00C05E4B" w:rsidRPr="00BA0EF5" w:rsidRDefault="00C05E4B" w:rsidP="00C05E4B">
            <w:pPr>
              <w:pStyle w:val="AERtabletextleft"/>
              <w:rPr>
                <w:rStyle w:val="AERtextsize8"/>
              </w:rPr>
            </w:pPr>
            <w:r w:rsidRPr="00BA0EF5">
              <w:rPr>
                <w:rStyle w:val="AERtextsize8"/>
              </w:rPr>
              <w:t>isolated network separation event</w:t>
            </w:r>
          </w:p>
        </w:tc>
        <w:tc>
          <w:tcPr>
            <w:tcW w:w="6866" w:type="dxa"/>
          </w:tcPr>
          <w:p w:rsidR="00C05E4B" w:rsidRPr="00BA0EF5" w:rsidRDefault="00C05E4B" w:rsidP="00C05E4B">
            <w:pPr>
              <w:pStyle w:val="AERtabletextleft"/>
              <w:rPr>
                <w:rStyle w:val="AERtextsize8"/>
              </w:rPr>
            </w:pPr>
            <w:r w:rsidRPr="00BA0EF5">
              <w:rPr>
                <w:rStyle w:val="AERtextsize8"/>
              </w:rPr>
              <w:t>Any legislative or administrative act of the Queensland Government to separate the isolated network function of Ergon Energy in whole or in part from the grid-connected electricity distribution function of Ergon Energy, which materially changes the costs to Ergon Energy of providing direct control services in the regulatory control period 2015-20.</w:t>
            </w:r>
          </w:p>
        </w:tc>
      </w:tr>
    </w:tbl>
    <w:p w:rsidR="00C05E4B" w:rsidRDefault="00C05E4B" w:rsidP="00FD1D46">
      <w:pPr>
        <w:pStyle w:val="AERtablesource"/>
      </w:pPr>
      <w:r>
        <w:t>Source:</w:t>
      </w:r>
      <w:r>
        <w:tab/>
      </w:r>
      <w:r w:rsidR="00FD1D46" w:rsidRPr="00FD1D46">
        <w:t xml:space="preserve">Ergon Energy, </w:t>
      </w:r>
      <w:r w:rsidR="00FD1D46" w:rsidRPr="00FD1D46">
        <w:rPr>
          <w:rStyle w:val="AERtextitalic"/>
        </w:rPr>
        <w:t>Attachment 04.01.03 Nominated cost pass through events</w:t>
      </w:r>
      <w:r w:rsidR="00FD1D46">
        <w:t>, pp. 5</w:t>
      </w:r>
      <w:r w:rsidR="00FD1D46" w:rsidRPr="000C7B67">
        <w:t>–</w:t>
      </w:r>
      <w:r w:rsidR="00FD1D46">
        <w:t>16</w:t>
      </w:r>
      <w:r w:rsidR="00FD1D46" w:rsidRPr="00FD1D46">
        <w:t>.</w:t>
      </w:r>
    </w:p>
    <w:p w:rsidR="00C05E4B" w:rsidRPr="00947D8A" w:rsidRDefault="00C05E4B" w:rsidP="00C05E4B">
      <w:pPr>
        <w:pStyle w:val="Heading2"/>
      </w:pPr>
      <w:bookmarkStart w:id="14" w:name="_Toc403144138"/>
      <w:bookmarkStart w:id="15" w:name="_Toc408407594"/>
      <w:bookmarkStart w:id="16" w:name="_Toc417536944"/>
      <w:r w:rsidRPr="00947D8A">
        <w:t>AER’s assessment approach</w:t>
      </w:r>
      <w:bookmarkEnd w:id="14"/>
      <w:bookmarkEnd w:id="15"/>
      <w:bookmarkEnd w:id="16"/>
    </w:p>
    <w:p w:rsidR="00C05E4B" w:rsidRPr="002B285B" w:rsidRDefault="00C05E4B" w:rsidP="00C05E4B">
      <w:r w:rsidRPr="002B285B">
        <w:t xml:space="preserve">We must decide which of </w:t>
      </w:r>
      <w:r w:rsidR="00BA0EF5">
        <w:t>Ergon Energy's</w:t>
      </w:r>
      <w:r w:rsidRPr="002B285B">
        <w:t xml:space="preserve"> proposed nominated pass through events will apply for the 2015</w:t>
      </w:r>
      <w:r>
        <w:t>–20</w:t>
      </w:r>
      <w:r w:rsidRPr="002B285B">
        <w:t xml:space="preserve"> regulatory control period. Pass through events transfer financial risks from NSPs to consumers. If one of the nominated events occurs, the costs of the event that we assess as meeting the factors set out in the NER are passed through to consumers and network charges increase.</w:t>
      </w:r>
      <w:r w:rsidRPr="002B285B">
        <w:rPr>
          <w:rStyle w:val="AERsuperscript"/>
        </w:rPr>
        <w:footnoteReference w:id="2"/>
      </w:r>
    </w:p>
    <w:p w:rsidR="00C05E4B" w:rsidRPr="002B285B" w:rsidRDefault="00C05E4B" w:rsidP="00C05E4B">
      <w:r w:rsidRPr="002B285B">
        <w:t>Our approach has been guided by the National Electricity Objective (NEO) and the Revenue and Pricing Principles. It provides the NSP with a reasonable opportunity to recover at least the efficient costs the operator incurs,</w:t>
      </w:r>
      <w:r w:rsidRPr="002B285B">
        <w:rPr>
          <w:rStyle w:val="AERsuperscript"/>
        </w:rPr>
        <w:footnoteReference w:id="3"/>
      </w:r>
      <w:r w:rsidRPr="002B285B">
        <w:t xml:space="preserve"> while also providing effective incentives to promote economic efficiency.</w:t>
      </w:r>
      <w:r w:rsidRPr="002B285B">
        <w:rPr>
          <w:rStyle w:val="AERsuperscript"/>
        </w:rPr>
        <w:footnoteReference w:id="4"/>
      </w:r>
      <w:r w:rsidRPr="002B285B">
        <w:rPr>
          <w:rStyle w:val="AERsuperscript"/>
        </w:rPr>
        <w:t xml:space="preserve"> </w:t>
      </w:r>
      <w:r w:rsidRPr="002B285B">
        <w:t>It promotes a balance between the economic costs and risks for promoting efficient investment.</w:t>
      </w:r>
      <w:r w:rsidRPr="002B285B">
        <w:rPr>
          <w:rStyle w:val="AERsuperscript"/>
        </w:rPr>
        <w:footnoteReference w:id="5"/>
      </w:r>
      <w:r w:rsidRPr="002B285B">
        <w:t xml:space="preserve"> </w:t>
      </w:r>
    </w:p>
    <w:p w:rsidR="00C05E4B" w:rsidRPr="002B285B" w:rsidRDefault="00C05E4B" w:rsidP="00C05E4B">
      <w:r w:rsidRPr="002B285B">
        <w:t xml:space="preserve">The NER includes the following nominated pass through event considerations which we must have regard to when assessing nominated pass through events. </w:t>
      </w:r>
    </w:p>
    <w:p w:rsidR="00C05E4B" w:rsidRPr="002B285B" w:rsidRDefault="00C05E4B" w:rsidP="00C05E4B">
      <w:pPr>
        <w:pStyle w:val="AERquote"/>
      </w:pPr>
      <w:r w:rsidRPr="002B285B">
        <w:t xml:space="preserve">The </w:t>
      </w:r>
      <w:r w:rsidRPr="002B285B">
        <w:rPr>
          <w:rStyle w:val="AERtextitalic"/>
        </w:rPr>
        <w:t>nominated pass through event considerations</w:t>
      </w:r>
      <w:r w:rsidRPr="002B285B">
        <w:t xml:space="preserve"> are:</w:t>
      </w:r>
    </w:p>
    <w:p w:rsidR="00C05E4B" w:rsidRPr="002B285B" w:rsidRDefault="00C05E4B" w:rsidP="00C05E4B">
      <w:pPr>
        <w:pStyle w:val="AERquoteindent1"/>
      </w:pPr>
      <w:r w:rsidRPr="002B285B">
        <w:lastRenderedPageBreak/>
        <w:t xml:space="preserve">(a) whether the event proposed is an event covered by a category of </w:t>
      </w:r>
      <w:r w:rsidRPr="002B285B">
        <w:rPr>
          <w:rStyle w:val="AERtextitalic"/>
        </w:rPr>
        <w:t>pass through event</w:t>
      </w:r>
      <w:r w:rsidRPr="002B285B">
        <w:t xml:space="preserve"> specified in clause 6.6.1(a1)(1) to</w:t>
      </w:r>
      <w:r>
        <w:t xml:space="preserve"> </w:t>
      </w:r>
      <w:r w:rsidRPr="002B285B">
        <w:t xml:space="preserve">(4) (in the case of a distribution determination) or clause 6A.7.3(a1)(1) to(4) (in the case of a </w:t>
      </w:r>
      <w:r w:rsidRPr="002B285B">
        <w:rPr>
          <w:rStyle w:val="AERtextitalic"/>
        </w:rPr>
        <w:t>transmission determination</w:t>
      </w:r>
      <w:r w:rsidRPr="002B285B">
        <w:t>);</w:t>
      </w:r>
    </w:p>
    <w:p w:rsidR="00C05E4B" w:rsidRPr="002B285B" w:rsidRDefault="00C05E4B" w:rsidP="00C05E4B">
      <w:pPr>
        <w:pStyle w:val="AERquoteindent1"/>
      </w:pPr>
      <w:r w:rsidRPr="002B285B">
        <w:t>(b) whether the nature or type of event can be clearly identified at the time the determination is made for the service provider;</w:t>
      </w:r>
    </w:p>
    <w:p w:rsidR="00C05E4B" w:rsidRPr="002B285B" w:rsidRDefault="00C05E4B" w:rsidP="00C05E4B">
      <w:pPr>
        <w:pStyle w:val="AERquoteindent1"/>
      </w:pPr>
      <w:r w:rsidRPr="002B285B">
        <w:t>(c) whether a prudent service provider could reasonably prevent an event of that nature or type from occurring or substantially mitigate the cost impact of such an event;</w:t>
      </w:r>
    </w:p>
    <w:p w:rsidR="00C05E4B" w:rsidRPr="002B285B" w:rsidRDefault="00C05E4B" w:rsidP="00C05E4B">
      <w:pPr>
        <w:pStyle w:val="AERquoteindent1"/>
      </w:pPr>
      <w:r w:rsidRPr="002B285B">
        <w:t>(d) whether the relevant service provider could insure against the event, having regard to:</w:t>
      </w:r>
    </w:p>
    <w:p w:rsidR="00C05E4B" w:rsidRPr="002B285B" w:rsidRDefault="00C05E4B" w:rsidP="00C05E4B">
      <w:pPr>
        <w:pStyle w:val="AERquoteindent2"/>
      </w:pPr>
      <w:r w:rsidRPr="002B285B">
        <w:t>(1) the availability (including the extent of availability in terms of liability limits) of insurance against the event on reasonable commercial terms; or</w:t>
      </w:r>
    </w:p>
    <w:p w:rsidR="00C05E4B" w:rsidRPr="002B285B" w:rsidRDefault="00C05E4B" w:rsidP="00C05E4B">
      <w:pPr>
        <w:pStyle w:val="AERquoteindent2"/>
      </w:pPr>
      <w:r w:rsidRPr="002B285B">
        <w:t>(2) whether the event can be self-insured on the basis that:</w:t>
      </w:r>
    </w:p>
    <w:p w:rsidR="00C05E4B" w:rsidRPr="002B285B" w:rsidRDefault="00C05E4B" w:rsidP="00C05E4B">
      <w:pPr>
        <w:pStyle w:val="AERquoteindent3"/>
      </w:pPr>
      <w:r w:rsidRPr="002B285B">
        <w:t>(i) it is possible to calculate the self-insurance premium; and</w:t>
      </w:r>
    </w:p>
    <w:p w:rsidR="00C05E4B" w:rsidRPr="002B285B" w:rsidRDefault="00C05E4B" w:rsidP="00C05E4B">
      <w:pPr>
        <w:pStyle w:val="AERquoteindent3"/>
      </w:pPr>
      <w:r w:rsidRPr="002B285B">
        <w:t xml:space="preserve">(ii) the potential cost to the relevant service provider would not have a significant impact on the service provider’s ability to provide </w:t>
      </w:r>
      <w:r w:rsidRPr="002B285B">
        <w:rPr>
          <w:rStyle w:val="AERtextitalic"/>
        </w:rPr>
        <w:t>network services</w:t>
      </w:r>
      <w:r w:rsidRPr="002B285B">
        <w:t>; and.</w:t>
      </w:r>
    </w:p>
    <w:p w:rsidR="00C05E4B" w:rsidRPr="002B285B" w:rsidRDefault="00C05E4B" w:rsidP="00C05E4B">
      <w:pPr>
        <w:pStyle w:val="AERquoteindent1"/>
      </w:pPr>
      <w:r w:rsidRPr="002B285B">
        <w:t xml:space="preserve">(e) any other matter the </w:t>
      </w:r>
      <w:r w:rsidRPr="002B285B">
        <w:rPr>
          <w:rStyle w:val="AERtextitalic"/>
        </w:rPr>
        <w:t xml:space="preserve">AER </w:t>
      </w:r>
      <w:r w:rsidRPr="002B285B">
        <w:t xml:space="preserve">considers relevant and which the </w:t>
      </w:r>
      <w:r w:rsidRPr="002B285B">
        <w:rPr>
          <w:rStyle w:val="AERtextitalic"/>
        </w:rPr>
        <w:t xml:space="preserve">AER </w:t>
      </w:r>
      <w:r w:rsidRPr="002B285B">
        <w:t xml:space="preserve">has notified </w:t>
      </w:r>
      <w:r w:rsidRPr="002B285B">
        <w:rPr>
          <w:rStyle w:val="AERtextitalic"/>
        </w:rPr>
        <w:t>Network Service Providers</w:t>
      </w:r>
      <w:r w:rsidRPr="002B285B">
        <w:t xml:space="preserve"> is a nominated pass through event consideration.</w:t>
      </w:r>
      <w:r w:rsidR="00A05AE5" w:rsidRPr="002B285B">
        <w:rPr>
          <w:rStyle w:val="AERsuperscript"/>
        </w:rPr>
        <w:footnoteReference w:id="6"/>
      </w:r>
    </w:p>
    <w:p w:rsidR="00C05E4B" w:rsidRPr="002B285B" w:rsidRDefault="00C05E4B" w:rsidP="00C05E4B">
      <w:r w:rsidRPr="002B285B">
        <w:t xml:space="preserve">These considerations involve an assessment of the incentives on NSPs to manage their risks efficiently. </w:t>
      </w:r>
    </w:p>
    <w:p w:rsidR="00C05E4B" w:rsidRPr="002B285B" w:rsidRDefault="00C05E4B" w:rsidP="00C05E4B">
      <w:r w:rsidRPr="002B285B">
        <w:t>For systemic risks, NSPs are compensated through the allowed rate of return. NSPs also face business-specific, or residual, risks. These activities are generally compensated through the opex and capex allowances. Beyond this</w:t>
      </w:r>
      <w:r>
        <w:t>,</w:t>
      </w:r>
      <w:r w:rsidRPr="002B285B">
        <w:t xml:space="preserve"> an NSP may manage other risks through a number of other strategies, including:</w:t>
      </w:r>
    </w:p>
    <w:p w:rsidR="00C05E4B" w:rsidRPr="00380C1D" w:rsidRDefault="00C05E4B" w:rsidP="00C05E4B">
      <w:pPr>
        <w:pStyle w:val="AERbulletlistfirststyle"/>
      </w:pPr>
      <w:r w:rsidRPr="002B285B">
        <w:t>prevention (avoiding the risk)</w:t>
      </w:r>
    </w:p>
    <w:p w:rsidR="00C05E4B" w:rsidRPr="00380C1D" w:rsidRDefault="00C05E4B" w:rsidP="00C05E4B">
      <w:pPr>
        <w:pStyle w:val="AERbulletlistfirststyle"/>
      </w:pPr>
      <w:r w:rsidRPr="002B285B">
        <w:t>mitigation (reducing the negative effect or probability of the risk)</w:t>
      </w:r>
    </w:p>
    <w:p w:rsidR="00C05E4B" w:rsidRPr="00380C1D" w:rsidRDefault="00C05E4B" w:rsidP="00C05E4B">
      <w:pPr>
        <w:pStyle w:val="AERbulletlistfirststyle"/>
      </w:pPr>
      <w:r w:rsidRPr="002B285B">
        <w:t>insurance (transferring the risk to another party)</w:t>
      </w:r>
    </w:p>
    <w:p w:rsidR="00C05E4B" w:rsidRPr="00380C1D" w:rsidRDefault="00C05E4B" w:rsidP="00C05E4B">
      <w:pPr>
        <w:pStyle w:val="AERbulletlistfirststyle"/>
      </w:pPr>
      <w:r w:rsidRPr="002B285B">
        <w:t>self-insurance (putting aside funds to manage the likely costs associated with a risky event).</w:t>
      </w:r>
    </w:p>
    <w:p w:rsidR="00C05E4B" w:rsidRPr="002B285B" w:rsidRDefault="00C05E4B" w:rsidP="00C05E4B">
      <w:r w:rsidRPr="002B285B">
        <w:t xml:space="preserve">An efficient business will manage its risk by employing the most cost effective combination of these strategies. For example, if a cost is reasonably predictable a business should factor it into its </w:t>
      </w:r>
      <w:r w:rsidR="00A05AE5" w:rsidRPr="002B285B">
        <w:t xml:space="preserve">proposed </w:t>
      </w:r>
      <w:r w:rsidRPr="002B285B">
        <w:t>opex and capex . In addition, an NSP may invest in its networks to mitigate the impact of certain events occurring. Alternatively, if the probability of events occurring can be readily estimated then the event should be insurable.</w:t>
      </w:r>
    </w:p>
    <w:p w:rsidR="00C05E4B" w:rsidRPr="002B285B" w:rsidRDefault="00C05E4B" w:rsidP="00C05E4B">
      <w:r w:rsidRPr="002B285B">
        <w:lastRenderedPageBreak/>
        <w:t>Pass through events cover those limited circumstances for which the risks cannot be managed efficiently in these ways and for which the NSP should be able to recover its efficient costs.</w:t>
      </w:r>
      <w:r w:rsidRPr="002B285B" w:rsidDel="00790D9A">
        <w:t xml:space="preserve"> </w:t>
      </w:r>
    </w:p>
    <w:p w:rsidR="00C05E4B" w:rsidRPr="002B285B" w:rsidRDefault="00C05E4B" w:rsidP="00C05E4B">
      <w:r w:rsidRPr="002B285B">
        <w:t>A factor for us to consider, which is reflected in the pass through event considerations, is who is best placed to manage risk. Generally</w:t>
      </w:r>
      <w:r>
        <w:t>,</w:t>
      </w:r>
      <w:r w:rsidRPr="002B285B">
        <w:t xml:space="preserve"> the party who is in the best position to manage the risk should bear the risk. If the NSP</w:t>
      </w:r>
      <w:r>
        <w:t>, or customers, are</w:t>
      </w:r>
      <w:r w:rsidRPr="002B285B">
        <w:t xml:space="preserve"> fully exposed to a risk</w:t>
      </w:r>
      <w:r>
        <w:t>,</w:t>
      </w:r>
      <w:r w:rsidRPr="002B285B">
        <w:t xml:space="preserve"> this may lead to adverse outcomes. </w:t>
      </w:r>
    </w:p>
    <w:p w:rsidR="00C05E4B" w:rsidRPr="002B285B" w:rsidRDefault="00C05E4B" w:rsidP="00C05E4B">
      <w:r w:rsidRPr="002B285B">
        <w:t xml:space="preserve">For example, where it is not possible for an NSP to insure against a risk, NSPs may need to share that risk with customers, to ensure that the service can continue to be provided if the event happens. The uninsurable risk may be outside the control of the NSP and have a low probability of occurring, but it might also have a significant cost impact. The most efficient and prudent solution to manage that type of risk may be to require customers to accept some of the burden of that risk, by allowing a pass through in the unlikely event that the risk eventuates. On the other hand, if the NSP is able to pass through all the costs of such an event, this may reduce the NSP's incentive to take prudent actions to prevent or mitigate the potential cost impact of the risk. Accordingly, while customers may need to accept some of the burden of the risk, the NSP will need to share some of the risk too. That might be achieved, for example, by making a pass through conditional on the NSP demonstrating that it has acted prudently and efficiently in managing the potential impact of the event. </w:t>
      </w:r>
    </w:p>
    <w:p w:rsidR="00C05E4B" w:rsidRPr="002B285B" w:rsidRDefault="00C05E4B" w:rsidP="00C05E4B">
      <w:r w:rsidRPr="002B285B">
        <w:t>We consider all of these issues when assessing a nominated pass through event with the aim of achieving the right balance, in the long term interests of consumers, in accordance with the nominated pass through event considerations.</w:t>
      </w:r>
    </w:p>
    <w:p w:rsidR="00C05E4B" w:rsidRPr="002B285B" w:rsidRDefault="00C05E4B" w:rsidP="00C05E4B">
      <w:r w:rsidRPr="002B285B">
        <w:t>As a matter of good regulatory practice, an additional factor we take into account is consistency</w:t>
      </w:r>
      <w:r>
        <w:t xml:space="preserve"> in our approach to assessing nominated pass through events</w:t>
      </w:r>
      <w:r w:rsidRPr="002B285B">
        <w:t xml:space="preserve"> across our determinations.</w:t>
      </w:r>
    </w:p>
    <w:p w:rsidR="00C05E4B" w:rsidRPr="00947D8A" w:rsidRDefault="00C05E4B" w:rsidP="00C05E4B">
      <w:pPr>
        <w:pStyle w:val="Heading3"/>
      </w:pPr>
      <w:bookmarkStart w:id="17" w:name="_Toc403144139"/>
      <w:bookmarkStart w:id="18" w:name="_Toc408407595"/>
      <w:bookmarkStart w:id="19" w:name="_Toc417536945"/>
      <w:r w:rsidRPr="00947D8A">
        <w:t>Interrelationships</w:t>
      </w:r>
      <w:bookmarkEnd w:id="17"/>
      <w:bookmarkEnd w:id="18"/>
      <w:bookmarkEnd w:id="19"/>
    </w:p>
    <w:p w:rsidR="00C05E4B" w:rsidRDefault="00C05E4B" w:rsidP="00C05E4B">
      <w:r>
        <w:t xml:space="preserve">As we mentioned above, pass through events are not the only mechanism in this determination by which </w:t>
      </w:r>
      <w:r w:rsidR="00BA0EF5">
        <w:t>Ergon Energy</w:t>
      </w:r>
      <w:r>
        <w:t xml:space="preserve"> can manage its risks. </w:t>
      </w:r>
      <w:r w:rsidRPr="00C623D6">
        <w:t xml:space="preserve">The nominated pass through events are interrelated with other parts of this determination, in particular with the proposed opex and capex allowances and the rate of return. These interrelationships require the AER to balance the incentives in the various parts of its decision. </w:t>
      </w:r>
    </w:p>
    <w:p w:rsidR="00C05E4B" w:rsidRPr="00947D8A" w:rsidRDefault="00C05E4B" w:rsidP="00C05E4B">
      <w:pPr>
        <w:pStyle w:val="Heading2"/>
      </w:pPr>
      <w:bookmarkStart w:id="20" w:name="_Toc403144140"/>
      <w:bookmarkStart w:id="21" w:name="_Toc408407596"/>
      <w:bookmarkStart w:id="22" w:name="_Toc417536946"/>
      <w:r w:rsidRPr="00947D8A">
        <w:t>Reasons for preliminary decision</w:t>
      </w:r>
      <w:bookmarkEnd w:id="20"/>
      <w:bookmarkEnd w:id="21"/>
      <w:bookmarkEnd w:id="22"/>
      <w:r w:rsidRPr="00947D8A">
        <w:t xml:space="preserve"> </w:t>
      </w:r>
    </w:p>
    <w:p w:rsidR="00C05E4B" w:rsidRPr="000C7B67" w:rsidRDefault="00C05E4B" w:rsidP="00C05E4B">
      <w:r w:rsidRPr="000C7B67">
        <w:t xml:space="preserve">In this section we set out the reasons for our preliminary decisions on each of </w:t>
      </w:r>
      <w:r w:rsidR="00BA0EF5">
        <w:t>Ergon Energy's</w:t>
      </w:r>
      <w:r w:rsidRPr="000C7B67">
        <w:t xml:space="preserve"> proposed pass through events. We have: </w:t>
      </w:r>
    </w:p>
    <w:p w:rsidR="00C05E4B" w:rsidRPr="00380C1D" w:rsidRDefault="00332124" w:rsidP="00C05E4B">
      <w:pPr>
        <w:pStyle w:val="AERbulletlistfirststyle"/>
      </w:pPr>
      <w:r>
        <w:t xml:space="preserve">proposed </w:t>
      </w:r>
      <w:r w:rsidR="00C05E4B">
        <w:t>alternative definitions</w:t>
      </w:r>
      <w:r w:rsidR="00C05E4B" w:rsidRPr="00380C1D">
        <w:t xml:space="preserve"> </w:t>
      </w:r>
      <w:r w:rsidR="00A05AE5">
        <w:t>for</w:t>
      </w:r>
      <w:r w:rsidR="00A05AE5" w:rsidRPr="00380C1D">
        <w:t xml:space="preserve"> </w:t>
      </w:r>
      <w:r w:rsidR="00C05E4B" w:rsidRPr="00380C1D">
        <w:t>the insurance cap event</w:t>
      </w:r>
      <w:r w:rsidR="00C05E4B">
        <w:t xml:space="preserve">, </w:t>
      </w:r>
      <w:r w:rsidR="00BA0EF5">
        <w:t xml:space="preserve">insurance </w:t>
      </w:r>
      <w:r w:rsidR="00C05E4B">
        <w:t xml:space="preserve">event, </w:t>
      </w:r>
      <w:r w:rsidR="00C05E4B" w:rsidRPr="00380C1D">
        <w:t xml:space="preserve">and </w:t>
      </w:r>
      <w:r w:rsidR="00C05E4B">
        <w:t xml:space="preserve">the </w:t>
      </w:r>
      <w:r w:rsidR="00C05E4B" w:rsidRPr="00380C1D">
        <w:t>natural disaster event</w:t>
      </w:r>
      <w:r w:rsidR="00C05E4B">
        <w:t>.</w:t>
      </w:r>
    </w:p>
    <w:p w:rsidR="00C05E4B" w:rsidRPr="003B2022" w:rsidRDefault="00C05E4B" w:rsidP="00C05E4B">
      <w:pPr>
        <w:pStyle w:val="AERbulletlistfirststyle"/>
      </w:pPr>
      <w:r w:rsidRPr="006862AE">
        <w:t xml:space="preserve">not </w:t>
      </w:r>
      <w:r>
        <w:t>accepted</w:t>
      </w:r>
      <w:r w:rsidRPr="006862AE">
        <w:t xml:space="preserve"> the </w:t>
      </w:r>
      <w:r w:rsidR="00856342">
        <w:t>retail separation</w:t>
      </w:r>
      <w:r w:rsidRPr="006862AE">
        <w:t xml:space="preserve"> event</w:t>
      </w:r>
      <w:r w:rsidR="00856342">
        <w:t xml:space="preserve"> or the isolated network separation event</w:t>
      </w:r>
      <w:r w:rsidRPr="006862AE">
        <w:t>.</w:t>
      </w:r>
    </w:p>
    <w:p w:rsidR="00C05E4B" w:rsidRPr="00A8382A" w:rsidRDefault="00C05E4B" w:rsidP="00FD1D46">
      <w:pPr>
        <w:pStyle w:val="Heading3"/>
      </w:pPr>
      <w:bookmarkStart w:id="23" w:name="_Toc416030320"/>
      <w:bookmarkStart w:id="24" w:name="_Toc417536947"/>
      <w:r w:rsidRPr="00A8382A">
        <w:lastRenderedPageBreak/>
        <w:t>Insurance cap event</w:t>
      </w:r>
      <w:bookmarkEnd w:id="23"/>
      <w:bookmarkEnd w:id="24"/>
    </w:p>
    <w:p w:rsidR="00C05E4B" w:rsidRDefault="00C05E4B" w:rsidP="00C05E4B">
      <w:pPr>
        <w:numPr>
          <w:ilvl w:val="0"/>
          <w:numId w:val="25"/>
        </w:numPr>
      </w:pPr>
      <w:r>
        <w:t xml:space="preserve">The insurance cap event would allow </w:t>
      </w:r>
      <w:r w:rsidR="00BA0EF5">
        <w:t>Ergon Energy</w:t>
      </w:r>
      <w:r>
        <w:t xml:space="preserve"> to recover material costs incurred which exceed its insurance claim limit.</w:t>
      </w:r>
      <w:r>
        <w:rPr>
          <w:rStyle w:val="FootnoteReference"/>
        </w:rPr>
        <w:footnoteReference w:id="7"/>
      </w:r>
      <w:r>
        <w:t xml:space="preserve"> </w:t>
      </w:r>
      <w:r w:rsidRPr="00B94A65">
        <w:t xml:space="preserve">We accept that </w:t>
      </w:r>
      <w:r>
        <w:t>an insurance cap</w:t>
      </w:r>
      <w:r w:rsidRPr="00B94A65">
        <w:t xml:space="preserve"> event can be consistent with the nominated pass through considerations, if appropriately defined.</w:t>
      </w:r>
      <w:r>
        <w:t xml:space="preserve"> We </w:t>
      </w:r>
      <w:r w:rsidRPr="00284695">
        <w:t xml:space="preserve">do not accept </w:t>
      </w:r>
      <w:r w:rsidR="003F6B35">
        <w:t>Ergon Energy's</w:t>
      </w:r>
      <w:r w:rsidR="003F6B35" w:rsidRPr="00284695">
        <w:t xml:space="preserve"> </w:t>
      </w:r>
      <w:r>
        <w:t>proposed definition of the insurance cap</w:t>
      </w:r>
      <w:r w:rsidRPr="00B94A65">
        <w:t xml:space="preserve"> event</w:t>
      </w:r>
      <w:r w:rsidRPr="003D1765">
        <w:t>.</w:t>
      </w:r>
      <w:r>
        <w:t xml:space="preserve"> </w:t>
      </w:r>
      <w:r w:rsidR="003F6B35">
        <w:t>W</w:t>
      </w:r>
      <w:r w:rsidRPr="00B94A65">
        <w:t xml:space="preserve">e have </w:t>
      </w:r>
      <w:r>
        <w:t xml:space="preserve">amended </w:t>
      </w:r>
      <w:r w:rsidR="003F6B35">
        <w:t>its</w:t>
      </w:r>
      <w:r w:rsidRPr="00B94A65">
        <w:t xml:space="preserve"> proposed definition </w:t>
      </w:r>
      <w:r>
        <w:t>to reflect</w:t>
      </w:r>
      <w:r w:rsidRPr="00B94A65">
        <w:t xml:space="preserve"> matters that we will have regard to in assessing an event.</w:t>
      </w:r>
    </w:p>
    <w:p w:rsidR="00C05E4B" w:rsidRDefault="00BA0EF5" w:rsidP="00C05E4B">
      <w:pPr>
        <w:numPr>
          <w:ilvl w:val="0"/>
          <w:numId w:val="25"/>
        </w:numPr>
      </w:pPr>
      <w:r>
        <w:t>Ergon Energy</w:t>
      </w:r>
      <w:r w:rsidR="00C05E4B">
        <w:t xml:space="preserve"> is funded through its opex allowance to obtain an appropriate level of insurance for these types of risks. Subject to the comments below, we accept that an insurance cap event would protect it from high cost impact events which would be uneconomic to insure against. We consider consumers can benefit from the inclusion of such an event because they are not required to fund excessive premiums where insurance, if available, would be uneconomic. Consumers then only bear the risk should</w:t>
      </w:r>
      <w:r w:rsidR="00C05E4B" w:rsidRPr="0083768C">
        <w:t xml:space="preserve"> a</w:t>
      </w:r>
      <w:r w:rsidR="00C05E4B">
        <w:t>n insurance cap event occur.</w:t>
      </w:r>
    </w:p>
    <w:p w:rsidR="00C05E4B" w:rsidRPr="003D1765" w:rsidRDefault="00C05E4B" w:rsidP="00C05E4B">
      <w:pPr>
        <w:numPr>
          <w:ilvl w:val="0"/>
          <w:numId w:val="25"/>
        </w:numPr>
      </w:pPr>
      <w:r w:rsidRPr="003D1765">
        <w:t xml:space="preserve">We expect that </w:t>
      </w:r>
      <w:r w:rsidR="00BA0EF5">
        <w:t>Ergon Energy</w:t>
      </w:r>
      <w:r w:rsidRPr="003D1765">
        <w:t xml:space="preserve"> will obtain efficient levels of insurance cover</w:t>
      </w:r>
      <w:r w:rsidR="00332124">
        <w:t>,</w:t>
      </w:r>
      <w:r w:rsidRPr="003D1765">
        <w:t xml:space="preserve"> commensurate with its business risk</w:t>
      </w:r>
      <w:r w:rsidR="00332124">
        <w:t>,</w:t>
      </w:r>
      <w:r w:rsidRPr="003D1765">
        <w:t xml:space="preserve"> </w:t>
      </w:r>
      <w:r>
        <w:t>as reflected in its opex allowance. We also note the following:</w:t>
      </w:r>
    </w:p>
    <w:p w:rsidR="00C05E4B" w:rsidRPr="00380C1D" w:rsidRDefault="00C05E4B" w:rsidP="00C05E4B">
      <w:pPr>
        <w:pStyle w:val="AERbulletlistfirststyle"/>
      </w:pPr>
      <w:r>
        <w:t>t</w:t>
      </w:r>
      <w:r w:rsidRPr="00380C1D">
        <w:t xml:space="preserve">he extent to which </w:t>
      </w:r>
      <w:r w:rsidR="00BA0EF5">
        <w:t>Ergon Energy</w:t>
      </w:r>
      <w:r w:rsidRPr="00380C1D">
        <w:t xml:space="preserve"> is able to reasonably prevent costs being incurred which exceed its insurance cap, or take steps to mitigate incurring costs above the cap, is limited</w:t>
      </w:r>
    </w:p>
    <w:p w:rsidR="00C05E4B" w:rsidRPr="00380C1D" w:rsidRDefault="00C05E4B" w:rsidP="00C05E4B">
      <w:pPr>
        <w:pStyle w:val="AERbulletlistfirststyle"/>
      </w:pPr>
      <w:r>
        <w:t>t</w:t>
      </w:r>
      <w:r w:rsidRPr="00380C1D">
        <w:t>he coverage of insurance should be capped at a level beyond which it is unable or uneconomic to insure, having regard to the cost of premiums and the likelihood of the event.</w:t>
      </w:r>
    </w:p>
    <w:p w:rsidR="00C05E4B" w:rsidRDefault="00C05E4B" w:rsidP="00C05E4B">
      <w:pPr>
        <w:numPr>
          <w:ilvl w:val="0"/>
          <w:numId w:val="25"/>
        </w:numPr>
      </w:pPr>
      <w:r>
        <w:t>However, w</w:t>
      </w:r>
      <w:r w:rsidRPr="00AF4478">
        <w:t xml:space="preserve">e </w:t>
      </w:r>
      <w:r>
        <w:t xml:space="preserve">consider </w:t>
      </w:r>
      <w:r w:rsidR="00BA0EF5">
        <w:t>Ergon Energy's</w:t>
      </w:r>
      <w:r>
        <w:t xml:space="preserve"> proposed definition of an insurance cap</w:t>
      </w:r>
      <w:r w:rsidRPr="00284695">
        <w:t xml:space="preserve"> even</w:t>
      </w:r>
      <w:r>
        <w:t>t is not sufficiently clear to satisfy the nominated pass through event considerations</w:t>
      </w:r>
      <w:r w:rsidRPr="003D1765">
        <w:t>.</w:t>
      </w:r>
      <w:r w:rsidR="00011537">
        <w:rPr>
          <w:rStyle w:val="FootnoteReference"/>
        </w:rPr>
        <w:footnoteReference w:id="8"/>
      </w:r>
      <w:r w:rsidRPr="00284695">
        <w:t xml:space="preserve"> </w:t>
      </w:r>
      <w:r>
        <w:t>W</w:t>
      </w:r>
      <w:r w:rsidRPr="00284695">
        <w:t xml:space="preserve">e have </w:t>
      </w:r>
      <w:r>
        <w:t xml:space="preserve">therefore </w:t>
      </w:r>
      <w:r w:rsidRPr="00284695">
        <w:t xml:space="preserve">amended the proposed definition to </w:t>
      </w:r>
      <w:r>
        <w:t xml:space="preserve">make the operation of this event more transparent, by </w:t>
      </w:r>
      <w:r w:rsidRPr="00284695">
        <w:t>incorporat</w:t>
      </w:r>
      <w:r>
        <w:t>ing</w:t>
      </w:r>
      <w:r w:rsidRPr="00284695">
        <w:t xml:space="preserve"> factor</w:t>
      </w:r>
      <w:r>
        <w:t>s that we will have regard to when assessing a pass through application under this event.</w:t>
      </w:r>
      <w:r w:rsidRPr="00284695">
        <w:t xml:space="preserve"> </w:t>
      </w:r>
      <w:r>
        <w:t xml:space="preserve">In our proposed definition for </w:t>
      </w:r>
      <w:r w:rsidR="00BA0EF5">
        <w:t>Ergon Energy</w:t>
      </w:r>
      <w:r>
        <w:t xml:space="preserve"> we have:</w:t>
      </w:r>
    </w:p>
    <w:p w:rsidR="00C05E4B" w:rsidRDefault="00C05E4B" w:rsidP="00C05E4B">
      <w:pPr>
        <w:pStyle w:val="AERbulletlistfirststyle"/>
      </w:pPr>
      <w:r>
        <w:t>included the term, 'relevant insurance policy', at paragraph 5(i) to use consistent terminology throughout our definition.</w:t>
      </w:r>
    </w:p>
    <w:p w:rsidR="00C05E4B" w:rsidRPr="00284695" w:rsidRDefault="00C05E4B" w:rsidP="00C05E4B">
      <w:pPr>
        <w:pStyle w:val="AERbulletlistfirststyle"/>
      </w:pPr>
      <w:r>
        <w:t xml:space="preserve">Removed the reference to the 'forecast opex allowance approved in the AER's final decision' and replaced it instead with 'the level of insurance that an efficient and prudent NSP would obtain in respect of the event'. We consider that clause 6.6.1(j) of the NER would require us to consider the opex allowance and how </w:t>
      </w:r>
      <w:r w:rsidR="00BA0EF5">
        <w:t>Ergon Energy</w:t>
      </w:r>
      <w:r>
        <w:t xml:space="preserve"> has sought to mitigate the risks of the event occurring.</w:t>
      </w:r>
    </w:p>
    <w:p w:rsidR="00C05E4B" w:rsidRPr="003D1765" w:rsidRDefault="00C05E4B" w:rsidP="00C05E4B">
      <w:pPr>
        <w:numPr>
          <w:ilvl w:val="0"/>
          <w:numId w:val="25"/>
        </w:numPr>
      </w:pPr>
      <w:r>
        <w:lastRenderedPageBreak/>
        <w:t xml:space="preserve">If a pass through event of this kind were to occur, in assessing </w:t>
      </w:r>
      <w:r w:rsidR="00BA0EF5">
        <w:t>Ergon Energy's</w:t>
      </w:r>
      <w:r>
        <w:t xml:space="preserve"> application to pass through costs</w:t>
      </w:r>
      <w:r w:rsidRPr="003D1765">
        <w:t>, we will consider the efficiency</w:t>
      </w:r>
      <w:r>
        <w:t xml:space="preserve"> </w:t>
      </w:r>
      <w:r w:rsidRPr="003D1765">
        <w:t xml:space="preserve">of </w:t>
      </w:r>
      <w:r w:rsidR="00BA0EF5">
        <w:t>Ergon Energy's</w:t>
      </w:r>
      <w:r w:rsidRPr="003D1765">
        <w:t xml:space="preserve"> decisions and actions</w:t>
      </w:r>
      <w:r>
        <w:t>. We would consider whether it failed to take reasonable action to reduce the magnitude of the amount being claimed and whether any act or omission it took in response to the event increased the magnitude of the amount claimed</w:t>
      </w:r>
      <w:r w:rsidRPr="003D1765">
        <w:t>.</w:t>
      </w:r>
      <w:r w:rsidRPr="003D1765">
        <w:rPr>
          <w:rStyle w:val="FootnoteReference"/>
        </w:rPr>
        <w:footnoteReference w:id="9"/>
      </w:r>
      <w:r w:rsidRPr="003D1765">
        <w:t xml:space="preserve"> This gives </w:t>
      </w:r>
      <w:r w:rsidR="00BA0EF5">
        <w:t>Ergon Energy</w:t>
      </w:r>
      <w:r w:rsidRPr="003D1765">
        <w:t xml:space="preserve"> an incentive to mitigate </w:t>
      </w:r>
      <w:r>
        <w:t xml:space="preserve">the risks associated with the event. This may include acquiring an </w:t>
      </w:r>
      <w:r w:rsidRPr="003D1765">
        <w:t>appropriate</w:t>
      </w:r>
      <w:r>
        <w:t xml:space="preserve"> level of</w:t>
      </w:r>
      <w:r w:rsidRPr="003D1765">
        <w:t xml:space="preserve"> insurance </w:t>
      </w:r>
      <w:r>
        <w:t>and implementing other practical risk minimisation strategies in its operations.</w:t>
      </w:r>
    </w:p>
    <w:p w:rsidR="008E20B1" w:rsidRDefault="00C05E4B">
      <w:pPr>
        <w:numPr>
          <w:ilvl w:val="0"/>
          <w:numId w:val="25"/>
        </w:numPr>
      </w:pPr>
      <w:r>
        <w:t xml:space="preserve">We consider that the definition of the insurance cap event should reflect this. </w:t>
      </w:r>
      <w:r w:rsidRPr="0076604E">
        <w:t xml:space="preserve">Accordingly, we have </w:t>
      </w:r>
      <w:r>
        <w:t xml:space="preserve">proposed a new definition </w:t>
      </w:r>
      <w:r w:rsidRPr="0076604E">
        <w:t xml:space="preserve">as set out </w:t>
      </w:r>
      <w:r w:rsidR="00511B44">
        <w:t>below</w:t>
      </w:r>
      <w:r>
        <w:t>.</w:t>
      </w:r>
      <w:r>
        <w:rPr>
          <w:rStyle w:val="FootnoteReference"/>
        </w:rPr>
        <w:footnoteReference w:id="10"/>
      </w:r>
    </w:p>
    <w:p w:rsidR="008E20B1" w:rsidRPr="002B16C9" w:rsidRDefault="008E20B1" w:rsidP="00FD1D46">
      <w:pPr>
        <w:pStyle w:val="AERquoteindent1"/>
      </w:pPr>
      <w:r w:rsidRPr="002B16C9">
        <w:t>An insurance cap event occurs if:</w:t>
      </w:r>
    </w:p>
    <w:p w:rsidR="008E20B1" w:rsidRPr="002B16C9" w:rsidRDefault="008E20B1" w:rsidP="00FD1D46">
      <w:pPr>
        <w:pStyle w:val="AERquoteindent2"/>
      </w:pPr>
      <w:r w:rsidRPr="002B16C9">
        <w:t xml:space="preserve">1. </w:t>
      </w:r>
      <w:r>
        <w:t>Ergon Energy</w:t>
      </w:r>
      <w:r w:rsidRPr="002B16C9">
        <w:t xml:space="preserve"> makes a claim or claims and receives the benefit of a payment or payments under a relevant insurance policy,</w:t>
      </w:r>
    </w:p>
    <w:p w:rsidR="008E20B1" w:rsidRPr="002B16C9" w:rsidRDefault="008E20B1" w:rsidP="00FD1D46">
      <w:pPr>
        <w:pStyle w:val="AERquoteindent2"/>
      </w:pPr>
      <w:r>
        <w:t>2. Ergon Energy</w:t>
      </w:r>
      <w:r w:rsidRPr="002B16C9">
        <w:t xml:space="preserve"> incurs costs beyond the relevant policy limit, and</w:t>
      </w:r>
    </w:p>
    <w:p w:rsidR="008E20B1" w:rsidRPr="002B16C9" w:rsidRDefault="008E20B1" w:rsidP="00FD1D46">
      <w:pPr>
        <w:pStyle w:val="AERquoteindent2"/>
      </w:pPr>
      <w:r w:rsidRPr="002B16C9">
        <w:t xml:space="preserve">3. the costs beyond the relevant policy limit materially increase the costs </w:t>
      </w:r>
      <w:r>
        <w:t>to Ergon Energy</w:t>
      </w:r>
      <w:r w:rsidRPr="002B16C9">
        <w:t xml:space="preserve"> in providing direct control</w:t>
      </w:r>
      <w:r>
        <w:t xml:space="preserve"> services</w:t>
      </w:r>
      <w:r w:rsidR="000A0CE7">
        <w:t>.</w:t>
      </w:r>
    </w:p>
    <w:p w:rsidR="008E20B1" w:rsidRPr="005E03A4" w:rsidRDefault="008E20B1" w:rsidP="00FD1D46">
      <w:pPr>
        <w:pStyle w:val="AERquoteindent1"/>
      </w:pPr>
      <w:r w:rsidRPr="005E03A4">
        <w:t>For this insurance cap event:</w:t>
      </w:r>
    </w:p>
    <w:p w:rsidR="008E20B1" w:rsidRPr="008E5CF0" w:rsidRDefault="008E20B1" w:rsidP="00FD1D46">
      <w:pPr>
        <w:pStyle w:val="AERquoteindent2"/>
      </w:pPr>
      <w:r w:rsidRPr="008E5CF0">
        <w:t>4. the relevant policy limit is the greater of:</w:t>
      </w:r>
    </w:p>
    <w:p w:rsidR="008E20B1" w:rsidRPr="008E5CF0" w:rsidRDefault="008E20B1" w:rsidP="00FD1D46">
      <w:pPr>
        <w:pStyle w:val="AERquoteindent3"/>
      </w:pPr>
      <w:r w:rsidRPr="008E5CF0">
        <w:t xml:space="preserve">a. </w:t>
      </w:r>
      <w:r>
        <w:t>Ergon Energy</w:t>
      </w:r>
      <w:r w:rsidR="00C2722A">
        <w:t>'s</w:t>
      </w:r>
      <w:r w:rsidRPr="008E5CF0">
        <w:t xml:space="preserve"> actual policy limit at the time of the event that gives, or would have given rise to a claim, and</w:t>
      </w:r>
    </w:p>
    <w:p w:rsidR="008E20B1" w:rsidRPr="008E5CF0" w:rsidRDefault="008E20B1" w:rsidP="00FD1D46">
      <w:pPr>
        <w:pStyle w:val="AERquoteindent3"/>
      </w:pPr>
      <w:r w:rsidRPr="008E5CF0">
        <w:t xml:space="preserve">b. the policy limit that is explicitly or implicitly commensurate with the allowance for insurance premiums that is included in the forecast operating expenditure allowance approved in the AER’s </w:t>
      </w:r>
      <w:r w:rsidR="00C2722A">
        <w:t>distribution determination</w:t>
      </w:r>
      <w:r w:rsidRPr="008E5CF0">
        <w:t xml:space="preserve"> for the regulatory control period in which the insurance policy is issued.</w:t>
      </w:r>
    </w:p>
    <w:p w:rsidR="008E20B1" w:rsidRPr="008E5CF0" w:rsidRDefault="008E20B1" w:rsidP="00FD1D46">
      <w:pPr>
        <w:pStyle w:val="AERquoteindent2"/>
      </w:pPr>
      <w:r w:rsidRPr="008E5CF0">
        <w:t>5. A relevant insurance policy is an insurance policy held during the 2015-</w:t>
      </w:r>
      <w:r>
        <w:t>20</w:t>
      </w:r>
      <w:r w:rsidRPr="008E5CF0">
        <w:t xml:space="preserve"> regulatory control period or a previous regulatory control period in which</w:t>
      </w:r>
      <w:r>
        <w:t xml:space="preserve"> Ergon Energy</w:t>
      </w:r>
      <w:r w:rsidRPr="008E5CF0">
        <w:t xml:space="preserve"> was regulated.</w:t>
      </w:r>
    </w:p>
    <w:p w:rsidR="008E20B1" w:rsidRPr="008E5CF0" w:rsidRDefault="008E20B1" w:rsidP="00FD1D46">
      <w:pPr>
        <w:pStyle w:val="AERquoteindent2"/>
      </w:pPr>
      <w:r w:rsidRPr="008E5CF0">
        <w:t>Note for the avoidance of doubt, in assessing an insurance cap event cost pass through application under rule 6</w:t>
      </w:r>
      <w:r>
        <w:t>.6.1(j)</w:t>
      </w:r>
      <w:r w:rsidRPr="008E5CF0">
        <w:t xml:space="preserve"> </w:t>
      </w:r>
      <w:r w:rsidR="00EB4ADC">
        <w:t xml:space="preserve">of the NER </w:t>
      </w:r>
      <w:r w:rsidRPr="008E5CF0">
        <w:t>the AER will have regard to:</w:t>
      </w:r>
    </w:p>
    <w:p w:rsidR="008E20B1" w:rsidRPr="008E5CF0" w:rsidRDefault="008E20B1" w:rsidP="00FD1D46">
      <w:pPr>
        <w:pStyle w:val="AERquoteindent3"/>
      </w:pPr>
      <w:r w:rsidRPr="008E5CF0">
        <w:t>i. the</w:t>
      </w:r>
      <w:r>
        <w:t xml:space="preserve"> relevant</w:t>
      </w:r>
      <w:r w:rsidRPr="008E5CF0">
        <w:t xml:space="preserve"> insurance policy for the event,</w:t>
      </w:r>
      <w:r>
        <w:t xml:space="preserve"> and</w:t>
      </w:r>
    </w:p>
    <w:p w:rsidR="008E20B1" w:rsidRPr="001B5128" w:rsidRDefault="008E20B1" w:rsidP="00FD1D46">
      <w:pPr>
        <w:pStyle w:val="AERquoteindent3"/>
      </w:pPr>
      <w:r w:rsidRPr="008E5CF0">
        <w:lastRenderedPageBreak/>
        <w:t>ii. the level of insurance that an efficient and prudent NSP would obtain in res</w:t>
      </w:r>
      <w:r>
        <w:t>pect of the event.</w:t>
      </w:r>
    </w:p>
    <w:p w:rsidR="00C05E4B" w:rsidRPr="00A8382A" w:rsidRDefault="00C05E4B" w:rsidP="00FD1D46">
      <w:pPr>
        <w:pStyle w:val="Heading3"/>
      </w:pPr>
      <w:bookmarkStart w:id="25" w:name="_Toc416030321"/>
      <w:bookmarkStart w:id="26" w:name="_Toc417536948"/>
      <w:r w:rsidRPr="00A8382A">
        <w:t>Natural disaster event</w:t>
      </w:r>
      <w:bookmarkEnd w:id="25"/>
      <w:bookmarkEnd w:id="26"/>
    </w:p>
    <w:p w:rsidR="00C05E4B" w:rsidRDefault="00C05E4B" w:rsidP="00C05E4B">
      <w:pPr>
        <w:numPr>
          <w:ilvl w:val="0"/>
          <w:numId w:val="25"/>
        </w:numPr>
      </w:pPr>
      <w:r>
        <w:t xml:space="preserve">This event will allow </w:t>
      </w:r>
      <w:r w:rsidR="00BA0EF5">
        <w:t>Ergon Energy</w:t>
      </w:r>
      <w:r>
        <w:t xml:space="preserve"> to pass through the costs associated with natural disasters. </w:t>
      </w:r>
      <w:r w:rsidRPr="00B94A65">
        <w:t xml:space="preserve">We accept that </w:t>
      </w:r>
      <w:r>
        <w:t>a natural disaster</w:t>
      </w:r>
      <w:r w:rsidRPr="00B94A65">
        <w:t xml:space="preserve"> event can be consistent with the nominated pass through considerations, if appropriately defined.</w:t>
      </w:r>
      <w:r>
        <w:t xml:space="preserve"> We </w:t>
      </w:r>
      <w:r w:rsidRPr="00284695">
        <w:t xml:space="preserve">do not accept the </w:t>
      </w:r>
      <w:r>
        <w:t>proposed definition</w:t>
      </w:r>
      <w:r w:rsidRPr="003D1765">
        <w:t>.</w:t>
      </w:r>
      <w:r>
        <w:t xml:space="preserve"> To this end,</w:t>
      </w:r>
      <w:r w:rsidRPr="00B94A65">
        <w:t xml:space="preserve"> we have </w:t>
      </w:r>
      <w:r>
        <w:t xml:space="preserve">amended </w:t>
      </w:r>
      <w:r w:rsidR="00BA0EF5">
        <w:t>Ergon Energy's</w:t>
      </w:r>
      <w:r w:rsidRPr="00B94A65">
        <w:t xml:space="preserve"> proposed definition of this pass through event </w:t>
      </w:r>
      <w:r>
        <w:t>to reflect</w:t>
      </w:r>
      <w:r w:rsidRPr="00B94A65">
        <w:t xml:space="preserve"> matters that we will have regard to in assessing an event.</w:t>
      </w:r>
    </w:p>
    <w:p w:rsidR="00C05E4B" w:rsidRDefault="00C05E4B" w:rsidP="00C05E4B">
      <w:pPr>
        <w:numPr>
          <w:ilvl w:val="0"/>
          <w:numId w:val="25"/>
        </w:numPr>
      </w:pPr>
      <w:r>
        <w:t xml:space="preserve">We consider that there may be some overlap between an insurance cap event and a natural disaster event, but accept the need to have both </w:t>
      </w:r>
      <w:r w:rsidRPr="00354A8E">
        <w:t xml:space="preserve">because </w:t>
      </w:r>
      <w:r>
        <w:t>the</w:t>
      </w:r>
      <w:r w:rsidRPr="00354A8E">
        <w:t xml:space="preserve"> NSP may incur costs which an insurance policy would not ordinarily cover.</w:t>
      </w:r>
      <w:r>
        <w:t xml:space="preserve"> </w:t>
      </w:r>
    </w:p>
    <w:p w:rsidR="00C05E4B" w:rsidRDefault="00C05E4B" w:rsidP="00C05E4B">
      <w:pPr>
        <w:numPr>
          <w:ilvl w:val="0"/>
          <w:numId w:val="25"/>
        </w:numPr>
      </w:pPr>
      <w:r w:rsidRPr="003D1765">
        <w:t xml:space="preserve">In </w:t>
      </w:r>
      <w:r>
        <w:t>relation to this event, we note</w:t>
      </w:r>
      <w:r w:rsidRPr="00C03EA4">
        <w:t>:</w:t>
      </w:r>
    </w:p>
    <w:p w:rsidR="00C05E4B" w:rsidRPr="00380C1D" w:rsidRDefault="00BA0EF5" w:rsidP="00C05E4B">
      <w:pPr>
        <w:pStyle w:val="AERbulletlistfirststyle"/>
      </w:pPr>
      <w:r>
        <w:t>Ergon Energy</w:t>
      </w:r>
      <w:r w:rsidR="00C05E4B" w:rsidRPr="00380C1D">
        <w:t xml:space="preserve"> has a range of measures in place to mitigate the impacts of an event, should one occur.</w:t>
      </w:r>
      <w:r w:rsidR="00C05E4B" w:rsidRPr="00380C1D">
        <w:rPr>
          <w:rStyle w:val="FootnoteReference"/>
        </w:rPr>
        <w:footnoteReference w:id="11"/>
      </w:r>
      <w:r w:rsidR="00C05E4B">
        <w:t xml:space="preserve"> </w:t>
      </w:r>
      <w:r w:rsidR="00C05E4B">
        <w:rPr>
          <w:rStyle w:val="FootnoteReference"/>
        </w:rPr>
        <w:footnoteReference w:id="12"/>
      </w:r>
    </w:p>
    <w:p w:rsidR="00C05E4B" w:rsidRPr="00380C1D" w:rsidRDefault="00BA0EF5" w:rsidP="00C05E4B">
      <w:pPr>
        <w:pStyle w:val="AERbulletlistfirststyle"/>
      </w:pPr>
      <w:r>
        <w:t>Ergon Energy</w:t>
      </w:r>
      <w:r w:rsidR="00C05E4B" w:rsidRPr="00380C1D">
        <w:t xml:space="preserve"> </w:t>
      </w:r>
      <w:r w:rsidR="00C05E4B">
        <w:t xml:space="preserve">is unable to take out </w:t>
      </w:r>
      <w:r w:rsidR="00AD2AAA">
        <w:t xml:space="preserve">sufficient </w:t>
      </w:r>
      <w:r w:rsidR="00C05E4B">
        <w:t>external</w:t>
      </w:r>
      <w:r w:rsidR="00C05E4B" w:rsidRPr="00380C1D">
        <w:t xml:space="preserve"> insurance for natural disasters</w:t>
      </w:r>
      <w:r w:rsidR="00C05E4B">
        <w:t xml:space="preserve"> on reasonable terms or this </w:t>
      </w:r>
      <w:r w:rsidR="00C05E4B" w:rsidRPr="00380C1D">
        <w:t>would likely be inefficient and result in an unnecessary cost increase to customers</w:t>
      </w:r>
      <w:r w:rsidR="001B28E6">
        <w:t xml:space="preserve"> (although it has some parametric insurance)</w:t>
      </w:r>
      <w:r w:rsidR="00C05E4B" w:rsidRPr="00380C1D">
        <w:t>.</w:t>
      </w:r>
      <w:r w:rsidR="00C05E4B" w:rsidRPr="00380C1D">
        <w:rPr>
          <w:rStyle w:val="FootnoteReference"/>
        </w:rPr>
        <w:footnoteReference w:id="13"/>
      </w:r>
      <w:r w:rsidR="00C05E4B" w:rsidRPr="00380C1D">
        <w:t xml:space="preserve"> </w:t>
      </w:r>
      <w:r w:rsidR="00C05E4B">
        <w:rPr>
          <w:rStyle w:val="FootnoteReference"/>
        </w:rPr>
        <w:footnoteReference w:id="14"/>
      </w:r>
    </w:p>
    <w:p w:rsidR="00C05E4B" w:rsidRPr="00380C1D" w:rsidRDefault="00BA0EF5" w:rsidP="00C05E4B">
      <w:pPr>
        <w:pStyle w:val="AERbulletlistfirststyle"/>
      </w:pPr>
      <w:r>
        <w:t>Ergon Energy</w:t>
      </w:r>
      <w:r w:rsidR="00C05E4B" w:rsidRPr="00380C1D">
        <w:t xml:space="preserve"> has included a </w:t>
      </w:r>
      <w:r w:rsidR="00332124" w:rsidRPr="00380C1D">
        <w:t>self-insurance</w:t>
      </w:r>
      <w:r w:rsidR="00C05E4B" w:rsidRPr="00380C1D">
        <w:t xml:space="preserve"> amount in its opex proposal</w:t>
      </w:r>
      <w:r w:rsidR="00AD2AAA">
        <w:t xml:space="preserve"> for bushfire liabilities but would not be in a position to </w:t>
      </w:r>
      <w:r w:rsidR="00332124">
        <w:t>self-insure</w:t>
      </w:r>
      <w:r w:rsidR="00AD2AAA">
        <w:t xml:space="preserve"> effectively against all natural disaster events given the likely cost impacts</w:t>
      </w:r>
      <w:r w:rsidR="00C05E4B" w:rsidRPr="00380C1D">
        <w:t>.</w:t>
      </w:r>
      <w:r w:rsidR="00C05E4B" w:rsidRPr="00380C1D">
        <w:rPr>
          <w:rStyle w:val="FootnoteReference"/>
        </w:rPr>
        <w:footnoteReference w:id="15"/>
      </w:r>
      <w:r w:rsidR="00C05E4B">
        <w:t xml:space="preserve"> </w:t>
      </w:r>
      <w:r w:rsidR="00C05E4B">
        <w:rPr>
          <w:rStyle w:val="FootnoteReference"/>
        </w:rPr>
        <w:footnoteReference w:id="16"/>
      </w:r>
    </w:p>
    <w:p w:rsidR="00C05E4B" w:rsidRDefault="00C05E4B" w:rsidP="00C05E4B">
      <w:pPr>
        <w:numPr>
          <w:ilvl w:val="0"/>
          <w:numId w:val="25"/>
        </w:numPr>
      </w:pPr>
      <w:r>
        <w:t>However, w</w:t>
      </w:r>
      <w:r w:rsidRPr="00AF4478">
        <w:t xml:space="preserve">e </w:t>
      </w:r>
      <w:r w:rsidRPr="00284695">
        <w:t xml:space="preserve">do not accept </w:t>
      </w:r>
      <w:r w:rsidR="00BA0EF5">
        <w:t>Ergon Energy's</w:t>
      </w:r>
      <w:r w:rsidRPr="00284695">
        <w:t xml:space="preserve"> </w:t>
      </w:r>
      <w:r>
        <w:t xml:space="preserve">proposed definition of the </w:t>
      </w:r>
      <w:r w:rsidRPr="00284695">
        <w:t>natural disaster event</w:t>
      </w:r>
      <w:r>
        <w:t xml:space="preserve">. </w:t>
      </w:r>
      <w:r w:rsidR="00BA0EF5">
        <w:t>Ergon Energy's</w:t>
      </w:r>
      <w:r>
        <w:t xml:space="preserve"> </w:t>
      </w:r>
      <w:r w:rsidRPr="00524277">
        <w:t xml:space="preserve">opex allowance includes funding for insurance yet </w:t>
      </w:r>
      <w:r>
        <w:t>it</w:t>
      </w:r>
      <w:r w:rsidRPr="00524277">
        <w:t xml:space="preserve"> may have an incentive to keep that allowance (and not insure the risk) while managing this risk through the pass through mechanism. We consider that this incentive </w:t>
      </w:r>
      <w:r>
        <w:t xml:space="preserve">can be balanced if the definition of the natural disaster event recognises that, in assessing a pass through application under this event, we will have regard to whether </w:t>
      </w:r>
      <w:r w:rsidR="00BA0EF5">
        <w:t>Ergon Energy</w:t>
      </w:r>
      <w:r>
        <w:t xml:space="preserve"> has taken prudent and efficient steps to</w:t>
      </w:r>
      <w:r w:rsidRPr="003D1765">
        <w:t xml:space="preserve"> insure against the event.</w:t>
      </w:r>
      <w:r>
        <w:rPr>
          <w:rStyle w:val="FootnoteReference"/>
        </w:rPr>
        <w:footnoteReference w:id="17"/>
      </w:r>
      <w:r w:rsidRPr="00284695">
        <w:t xml:space="preserve"> </w:t>
      </w:r>
    </w:p>
    <w:p w:rsidR="001B28E6" w:rsidRDefault="001B28E6" w:rsidP="00C05E4B">
      <w:pPr>
        <w:numPr>
          <w:ilvl w:val="0"/>
          <w:numId w:val="25"/>
        </w:numPr>
      </w:pPr>
      <w:r>
        <w:t xml:space="preserve">We have removed the reference to the 'forecast opex allowance approved in the AER's final decision' and replaced it instead with 'the level of insurance that an efficient and prudent NSP would obtain in respect of the event'. We consider that clause 6.6.1(j) of </w:t>
      </w:r>
      <w:r>
        <w:lastRenderedPageBreak/>
        <w:t>the NER would require us to consider the opex allowance and how Ergon Energy has sought to mitigate the risks of the event occurring.</w:t>
      </w:r>
    </w:p>
    <w:p w:rsidR="00C05E4B" w:rsidRDefault="00C05E4B" w:rsidP="00C05E4B">
      <w:pPr>
        <w:numPr>
          <w:ilvl w:val="0"/>
          <w:numId w:val="25"/>
        </w:numPr>
      </w:pPr>
      <w:r w:rsidRPr="003454F7">
        <w:t xml:space="preserve">Whether a relevant government authority has made a relevant declaration in respect of </w:t>
      </w:r>
      <w:r>
        <w:t>a natural disaster</w:t>
      </w:r>
      <w:r w:rsidRPr="003454F7">
        <w:t xml:space="preserve"> event is </w:t>
      </w:r>
      <w:r>
        <w:t xml:space="preserve">also </w:t>
      </w:r>
      <w:r w:rsidRPr="003454F7">
        <w:t xml:space="preserve">a factor that we would </w:t>
      </w:r>
      <w:r>
        <w:t xml:space="preserve">also </w:t>
      </w:r>
      <w:r w:rsidRPr="003454F7">
        <w:t xml:space="preserve">have regard to in considering whether to approve such a pass through event. </w:t>
      </w:r>
      <w:r>
        <w:t>We</w:t>
      </w:r>
      <w:r w:rsidRPr="003454F7">
        <w:t xml:space="preserve"> consider that this adds clarity around the purpose of this nominated pass through event and when it is likely to be considered to have occurred. We therefore </w:t>
      </w:r>
      <w:r>
        <w:t>have included</w:t>
      </w:r>
      <w:r w:rsidRPr="003454F7">
        <w:t xml:space="preserve"> this element </w:t>
      </w:r>
      <w:r>
        <w:t>in our</w:t>
      </w:r>
      <w:r w:rsidRPr="003454F7">
        <w:t xml:space="preserve"> definition.</w:t>
      </w:r>
    </w:p>
    <w:p w:rsidR="00C05E4B" w:rsidRDefault="00C05E4B" w:rsidP="00C05E4B">
      <w:pPr>
        <w:numPr>
          <w:ilvl w:val="0"/>
          <w:numId w:val="25"/>
        </w:numPr>
      </w:pPr>
      <w:r w:rsidRPr="0076604E">
        <w:t xml:space="preserve">Accordingly, </w:t>
      </w:r>
      <w:r w:rsidRPr="003E2613">
        <w:t xml:space="preserve">we have proposed </w:t>
      </w:r>
      <w:r w:rsidR="00511B44">
        <w:t>the following</w:t>
      </w:r>
      <w:r w:rsidR="00511B44" w:rsidRPr="003E2613">
        <w:t xml:space="preserve"> </w:t>
      </w:r>
      <w:r w:rsidRPr="003E2613">
        <w:t>new d</w:t>
      </w:r>
      <w:r>
        <w:t>efinition</w:t>
      </w:r>
      <w:r>
        <w:fldChar w:fldCharType="begin"/>
      </w:r>
      <w:r>
        <w:instrText xml:space="preserve"> REF _Ref403734352 \r \h </w:instrText>
      </w:r>
      <w:r>
        <w:fldChar w:fldCharType="end"/>
      </w:r>
      <w:r>
        <w:t>.</w:t>
      </w:r>
    </w:p>
    <w:p w:rsidR="00511B44" w:rsidRPr="00235F54" w:rsidRDefault="00511B44" w:rsidP="00FD1D46">
      <w:pPr>
        <w:pStyle w:val="AERquoteindent1"/>
      </w:pPr>
      <w:r w:rsidRPr="00235F54">
        <w:t>A natural disaster event occurs if:</w:t>
      </w:r>
    </w:p>
    <w:p w:rsidR="00511B44" w:rsidRPr="00AF0BEB" w:rsidRDefault="00511B44" w:rsidP="00FD1D46">
      <w:pPr>
        <w:pStyle w:val="AERquoteindent2"/>
      </w:pPr>
      <w:r w:rsidRPr="00243359">
        <w:t>Any major fire, flood, earthquake or other natural di</w:t>
      </w:r>
      <w:r w:rsidR="000A45DA">
        <w:t>saster occurs during the 2015-20</w:t>
      </w:r>
      <w:r w:rsidRPr="00243359">
        <w:t xml:space="preserve"> regulatory control period and </w:t>
      </w:r>
      <w:r w:rsidRPr="00AF0BEB">
        <w:t xml:space="preserve">materially increases the costs to </w:t>
      </w:r>
      <w:r>
        <w:t>Ergon Energy</w:t>
      </w:r>
      <w:r w:rsidRPr="00AF0BEB">
        <w:t xml:space="preserve"> in providing direct control services, provided the fire, flood or other event was not a consequence of the acts or omissions of the service provider</w:t>
      </w:r>
    </w:p>
    <w:p w:rsidR="00511B44" w:rsidRPr="00AF0BEB" w:rsidRDefault="00511B44" w:rsidP="00FD1D46">
      <w:pPr>
        <w:pStyle w:val="AERquoteindent2"/>
      </w:pPr>
      <w:r w:rsidRPr="00243359">
        <w:t xml:space="preserve">The term ‘major’ in the above paragraph means an event that is serious and significant. It does not mean </w:t>
      </w:r>
      <w:r w:rsidRPr="00AF0BEB">
        <w:t xml:space="preserve">material as that term is defined in the Rules (that is 1 per cent of the </w:t>
      </w:r>
      <w:r>
        <w:t>distributor</w:t>
      </w:r>
      <w:r w:rsidRPr="00AF0BEB">
        <w:t>’s annual revenue requirement for that regulatory year).</w:t>
      </w:r>
    </w:p>
    <w:p w:rsidR="00511B44" w:rsidRPr="00AF0BEB" w:rsidRDefault="00511B44" w:rsidP="00FD1D46">
      <w:pPr>
        <w:pStyle w:val="AERquoteindent2"/>
      </w:pPr>
      <w:r w:rsidRPr="00243359">
        <w:t>Note: In assessing a natural disaster event pass through application, the AER will have regard to, amongst other things:</w:t>
      </w:r>
    </w:p>
    <w:p w:rsidR="00511B44" w:rsidRPr="00AF0BEB" w:rsidRDefault="00511B44" w:rsidP="00FD1D46">
      <w:pPr>
        <w:pStyle w:val="AERquoteindent3"/>
      </w:pPr>
      <w:r w:rsidRPr="00243359">
        <w:t xml:space="preserve">i. whether </w:t>
      </w:r>
      <w:r>
        <w:t>Ergon Energy</w:t>
      </w:r>
      <w:r w:rsidRPr="00243359">
        <w:t xml:space="preserve"> has insurance against the event, </w:t>
      </w:r>
    </w:p>
    <w:p w:rsidR="00511B44" w:rsidRPr="00AF0BEB" w:rsidRDefault="00511B44" w:rsidP="00FD1D46">
      <w:pPr>
        <w:pStyle w:val="AERquoteindent3"/>
      </w:pPr>
      <w:r w:rsidRPr="00243359">
        <w:t xml:space="preserve">ii. the level of insurance that an efficient and prudent NSP would obtain in respect of the event, </w:t>
      </w:r>
      <w:r>
        <w:t>and</w:t>
      </w:r>
    </w:p>
    <w:p w:rsidR="00511B44" w:rsidRDefault="00511B44" w:rsidP="00FD1D46">
      <w:pPr>
        <w:pStyle w:val="AERquoteindent3"/>
      </w:pPr>
      <w:r w:rsidRPr="00235F54">
        <w:t>iii. whether a relevant government authority has made a declaration that a natural disaster has occurred</w:t>
      </w:r>
      <w:r>
        <w:t>.</w:t>
      </w:r>
    </w:p>
    <w:p w:rsidR="00C05E4B" w:rsidRPr="00A8382A" w:rsidRDefault="00C05E4B" w:rsidP="00FD1D46">
      <w:pPr>
        <w:pStyle w:val="Heading3"/>
      </w:pPr>
      <w:bookmarkStart w:id="27" w:name="_Toc416030322"/>
      <w:bookmarkStart w:id="28" w:name="_Toc417536949"/>
      <w:r w:rsidRPr="00A8382A">
        <w:t>Insurance event</w:t>
      </w:r>
      <w:bookmarkEnd w:id="27"/>
      <w:bookmarkEnd w:id="28"/>
    </w:p>
    <w:p w:rsidR="00C05E4B" w:rsidRDefault="00C05E4B" w:rsidP="00C05E4B">
      <w:pPr>
        <w:numPr>
          <w:ilvl w:val="0"/>
          <w:numId w:val="25"/>
        </w:numPr>
      </w:pPr>
      <w:r w:rsidRPr="00717C68">
        <w:t xml:space="preserve">The </w:t>
      </w:r>
      <w:r w:rsidR="001B28E6">
        <w:t>insurance</w:t>
      </w:r>
      <w:r w:rsidRPr="00717C68">
        <w:t xml:space="preserve"> event is intended to provide for circumstances in which an insurance claim is successful, but </w:t>
      </w:r>
      <w:r w:rsidR="00BA0EF5">
        <w:t>Ergon Energy</w:t>
      </w:r>
      <w:r w:rsidRPr="00717C68">
        <w:t xml:space="preserve"> is unable to recover outstanding insurance claims </w:t>
      </w:r>
      <w:r w:rsidR="001B28E6">
        <w:t>or the deductible is different to that envisaged under the policy</w:t>
      </w:r>
      <w:r w:rsidRPr="00717C68">
        <w:t>.</w:t>
      </w:r>
    </w:p>
    <w:p w:rsidR="00B51401" w:rsidRDefault="00C05E4B" w:rsidP="00B51401">
      <w:pPr>
        <w:numPr>
          <w:ilvl w:val="0"/>
          <w:numId w:val="25"/>
        </w:numPr>
      </w:pPr>
      <w:r w:rsidRPr="00B94A65">
        <w:t xml:space="preserve">We accept that an </w:t>
      </w:r>
      <w:r w:rsidR="001B28E6">
        <w:t>insurance</w:t>
      </w:r>
      <w:r w:rsidRPr="00B94A65">
        <w:t xml:space="preserve"> event can be consistent with the nominated pass through considerations, if appropriately defined. </w:t>
      </w:r>
      <w:r w:rsidRPr="00AF4478">
        <w:t xml:space="preserve">We </w:t>
      </w:r>
      <w:r w:rsidRPr="00284695">
        <w:t xml:space="preserve">do not accept the </w:t>
      </w:r>
      <w:r>
        <w:t xml:space="preserve">proposed definition of an </w:t>
      </w:r>
      <w:r w:rsidR="001B28E6">
        <w:t>insurance</w:t>
      </w:r>
      <w:r>
        <w:t xml:space="preserve"> </w:t>
      </w:r>
      <w:r w:rsidRPr="00284695">
        <w:t>even</w:t>
      </w:r>
      <w:r>
        <w:t>t because we do not consider that it provides sufficient clarity around when we would accept an event</w:t>
      </w:r>
      <w:r w:rsidRPr="003D1765">
        <w:t>.</w:t>
      </w:r>
      <w:r>
        <w:t xml:space="preserve"> </w:t>
      </w:r>
    </w:p>
    <w:p w:rsidR="00B51401" w:rsidRPr="00B94A65" w:rsidRDefault="00C05E4B" w:rsidP="00B51401">
      <w:pPr>
        <w:numPr>
          <w:ilvl w:val="0"/>
          <w:numId w:val="25"/>
        </w:numPr>
      </w:pPr>
      <w:r>
        <w:t>We do not accept the element of the definition which would allow the NSP to recover the costs associated with variations to the insurance premium</w:t>
      </w:r>
      <w:r w:rsidR="00B51401">
        <w:t xml:space="preserve"> or insurance becoming unavailable</w:t>
      </w:r>
      <w:r>
        <w:t xml:space="preserve">. </w:t>
      </w:r>
      <w:r w:rsidR="00B51401">
        <w:t xml:space="preserve">We consider that the event proposed by Ergon Energy is too broad in that it does not specify what may give rise to the event occurring. This may remove incentives Ergon Energy has to make certain that its insurance policies are adequate. In doing so, the proposed definition may be simply passing the risk on to consumers. </w:t>
      </w:r>
      <w:r>
        <w:lastRenderedPageBreak/>
        <w:t>To this end,</w:t>
      </w:r>
      <w:r w:rsidRPr="00B94A65">
        <w:t xml:space="preserve"> we have </w:t>
      </w:r>
      <w:r>
        <w:t xml:space="preserve">amended </w:t>
      </w:r>
      <w:r w:rsidR="00BA0EF5">
        <w:t>Ergon Energy's</w:t>
      </w:r>
      <w:r w:rsidRPr="00B94A65">
        <w:t xml:space="preserve"> proposed definition of this pass through event </w:t>
      </w:r>
      <w:r>
        <w:t>to reflect</w:t>
      </w:r>
      <w:r w:rsidRPr="00B94A65">
        <w:t xml:space="preserve"> matters that we will have regard to in assessing an event.</w:t>
      </w:r>
    </w:p>
    <w:p w:rsidR="00C05E4B" w:rsidRDefault="00C05E4B" w:rsidP="00C05E4B">
      <w:pPr>
        <w:numPr>
          <w:ilvl w:val="0"/>
          <w:numId w:val="25"/>
        </w:numPr>
      </w:pPr>
      <w:r>
        <w:t>An</w:t>
      </w:r>
      <w:r w:rsidRPr="00B94A65">
        <w:t xml:space="preserve"> NSP may suffer a significant loss as a consequence of an insurer becoming insolvent and thereby unable to satisfy all insurance claims. </w:t>
      </w:r>
      <w:r w:rsidR="00B51401">
        <w:t xml:space="preserve">We have included the insolvency of an insurer in the pass through definition. </w:t>
      </w:r>
      <w:r w:rsidRPr="00B94A65">
        <w:t>NSPs are also limited in the extent to which they can avoid such losses, short of taking out multiple insurance policies to cover the same risks. We accept that the options available to NSPs to manage these risks are limited and, given the rarity of such events, may in fact result in greater expenditure on insurance than is prudent or efficient.</w:t>
      </w:r>
    </w:p>
    <w:p w:rsidR="00C05E4B" w:rsidRDefault="00C05E4B" w:rsidP="00C05E4B">
      <w:pPr>
        <w:pStyle w:val="ListParagraph"/>
        <w:numPr>
          <w:ilvl w:val="0"/>
          <w:numId w:val="25"/>
        </w:numPr>
      </w:pPr>
      <w:r w:rsidRPr="00B94A65">
        <w:t xml:space="preserve">In its definition for this event, </w:t>
      </w:r>
      <w:r w:rsidR="00BA0EF5">
        <w:t>Ergon Energy</w:t>
      </w:r>
      <w:r w:rsidRPr="00B94A65">
        <w:t xml:space="preserve"> sought to pass through the costs associated with material changes to insurance premiums as a result of an insurer becoming insolvent. Insurance premiums are a typical business expense. They are subject to ordinary market factors of the economy. We consider this is a risk that businesses are best placed to bear rather than customers. We therefore do not consider it appropriate to allow this element of the nominated pass through event.</w:t>
      </w:r>
    </w:p>
    <w:p w:rsidR="00C05E4B" w:rsidRPr="00B94A65" w:rsidRDefault="00C05E4B" w:rsidP="00C05E4B">
      <w:pPr>
        <w:pStyle w:val="ListParagraph"/>
        <w:numPr>
          <w:ilvl w:val="0"/>
          <w:numId w:val="25"/>
        </w:numPr>
      </w:pPr>
      <w:r>
        <w:t xml:space="preserve">We consulted with </w:t>
      </w:r>
      <w:r w:rsidR="00BA0EF5">
        <w:t>Ergon Energy</w:t>
      </w:r>
      <w:r>
        <w:t xml:space="preserve"> and others on an appropriate definition for this event.</w:t>
      </w:r>
      <w:r w:rsidR="004D357B">
        <w:rPr>
          <w:rStyle w:val="FootnoteReference"/>
        </w:rPr>
        <w:footnoteReference w:id="18"/>
      </w:r>
      <w:r>
        <w:t xml:space="preserve"> As a result of this consultation, we have </w:t>
      </w:r>
      <w:r w:rsidRPr="007174D8">
        <w:t xml:space="preserve">clarified that we may allow NSPs to pass through claims that would have been made immediately after the insurer became insolvent and </w:t>
      </w:r>
      <w:r w:rsidR="00EB4ADC">
        <w:t>before</w:t>
      </w:r>
      <w:r w:rsidRPr="007174D8">
        <w:t xml:space="preserve"> the NSP </w:t>
      </w:r>
      <w:r>
        <w:t>had</w:t>
      </w:r>
      <w:r w:rsidRPr="007174D8">
        <w:t xml:space="preserve"> a reasonable opportunity to acquire new insurance for those risks.</w:t>
      </w:r>
      <w:r>
        <w:t xml:space="preserve"> This amendment maintains an incentive on NSPs to acquire new insurance as soon as reasonably possible after an insurance provider becomes insolvent.</w:t>
      </w:r>
    </w:p>
    <w:p w:rsidR="00511B44" w:rsidRDefault="00E23727">
      <w:pPr>
        <w:pStyle w:val="ListParagraph"/>
        <w:numPr>
          <w:ilvl w:val="0"/>
          <w:numId w:val="25"/>
        </w:numPr>
      </w:pPr>
      <w:bookmarkStart w:id="29" w:name="_Toc416030323"/>
      <w:r w:rsidRPr="005A56D2">
        <w:t xml:space="preserve">As set out </w:t>
      </w:r>
      <w:r w:rsidR="00511B44">
        <w:t>below</w:t>
      </w:r>
      <w:r w:rsidRPr="005A56D2">
        <w:t>, we have proposed an alternative definition to incorporate factors that we will have regard to when assessing a claim for a pass through. We have also removed the element which would allow pass throughs for changes to insurance premiums. For consistency with other determinations made at this time we have referred to this event as the 'insurer's credit risk event'.</w:t>
      </w:r>
    </w:p>
    <w:p w:rsidR="00511B44" w:rsidRPr="00FD1D46" w:rsidRDefault="00511B44" w:rsidP="00FD1D46">
      <w:pPr>
        <w:pStyle w:val="AERquoteindent1"/>
      </w:pPr>
      <w:r w:rsidRPr="002C5730">
        <w:t>An insurer’s credit risk event occurs if:</w:t>
      </w:r>
    </w:p>
    <w:p w:rsidR="00511B44" w:rsidRPr="008E20B1" w:rsidRDefault="00511B44" w:rsidP="00FD1D46">
      <w:pPr>
        <w:pStyle w:val="AERquoteindent2"/>
      </w:pPr>
      <w:r w:rsidRPr="008E20B1">
        <w:t>A nominated insurer of Ergon Energy becomes insolvent, and as a result, in respect of an existing or potential insurance claim for a risk that was insured by the insolvent insurer, Ergon Energy:</w:t>
      </w:r>
    </w:p>
    <w:p w:rsidR="00511B44" w:rsidRPr="008E20B1" w:rsidRDefault="008E20B1" w:rsidP="00FD1D46">
      <w:pPr>
        <w:pStyle w:val="AERquoteindent3"/>
      </w:pPr>
      <w:r>
        <w:t xml:space="preserve">i. </w:t>
      </w:r>
      <w:r w:rsidR="00511B44" w:rsidRPr="008E20B1">
        <w:t>is subject to a higher or lower claim limit or a higher or lower deductible than would have otherwise applied under the insolvent insurer’s policy; or</w:t>
      </w:r>
    </w:p>
    <w:p w:rsidR="00511B44" w:rsidRPr="008E20B1" w:rsidRDefault="008E20B1" w:rsidP="00FD1D46">
      <w:pPr>
        <w:pStyle w:val="AERquoteindent3"/>
      </w:pPr>
      <w:r>
        <w:t xml:space="preserve">ii. </w:t>
      </w:r>
      <w:r w:rsidR="00511B44" w:rsidRPr="008E20B1">
        <w:t>incurs additional costs associated with funding an insurance claim, which would otherwise have been covered by the insolvent insurer.</w:t>
      </w:r>
    </w:p>
    <w:p w:rsidR="00511B44" w:rsidRPr="00FD1D46" w:rsidRDefault="00511B44" w:rsidP="00FD1D46">
      <w:pPr>
        <w:pStyle w:val="AERquoteindent2"/>
      </w:pPr>
      <w:r w:rsidRPr="002C5730">
        <w:t>Note: In assessing an insurer's credit risk event pass through applic</w:t>
      </w:r>
      <w:r w:rsidRPr="00FD1D46">
        <w:t>ation, the AER will have regard to, amongst other things,</w:t>
      </w:r>
    </w:p>
    <w:p w:rsidR="00511B44" w:rsidRPr="008E20B1" w:rsidRDefault="008E20B1" w:rsidP="00FD1D46">
      <w:pPr>
        <w:pStyle w:val="AERquoteindent3"/>
      </w:pPr>
      <w:r>
        <w:lastRenderedPageBreak/>
        <w:t xml:space="preserve">- </w:t>
      </w:r>
      <w:r w:rsidR="00511B44" w:rsidRPr="008E20B1">
        <w:t>Ergon Energy</w:t>
      </w:r>
      <w:r w:rsidR="00B47EA7">
        <w:t>'s</w:t>
      </w:r>
      <w:r w:rsidR="00511B44" w:rsidRPr="008E20B1">
        <w:t xml:space="preserve"> attempts to mitigate and prevent the event from occurring by reviewing and considering the insurer’s track record, size, credit rating and reputation.</w:t>
      </w:r>
    </w:p>
    <w:p w:rsidR="00511B44" w:rsidRPr="008E20B1" w:rsidRDefault="008E20B1" w:rsidP="00FD1D46">
      <w:pPr>
        <w:pStyle w:val="AERquoteindent3"/>
      </w:pPr>
      <w:r>
        <w:t xml:space="preserve">- </w:t>
      </w:r>
      <w:r w:rsidR="00511B44" w:rsidRPr="008E20B1">
        <w:t>In the event that a claim would have been made after the insurance provider became insolvent, whether Ergon Energy had reasonable opportunity to insure the risk with a different provider.</w:t>
      </w:r>
    </w:p>
    <w:p w:rsidR="00C05E4B" w:rsidRPr="00A8382A" w:rsidRDefault="00C05E4B" w:rsidP="00FD1D46">
      <w:pPr>
        <w:pStyle w:val="Heading3"/>
      </w:pPr>
      <w:bookmarkStart w:id="30" w:name="_Toc417536950"/>
      <w:r w:rsidRPr="00A8382A">
        <w:t>Retail separation event</w:t>
      </w:r>
      <w:bookmarkEnd w:id="29"/>
      <w:bookmarkEnd w:id="30"/>
    </w:p>
    <w:p w:rsidR="00C05E4B" w:rsidRDefault="00C05E4B" w:rsidP="00C05E4B">
      <w:pPr>
        <w:numPr>
          <w:ilvl w:val="0"/>
          <w:numId w:val="25"/>
        </w:numPr>
      </w:pPr>
      <w:r>
        <w:t>Ergon Energy noted that the former Queensland Government previously publicly stated its intention to sell Ergon Energy's retail assets.</w:t>
      </w:r>
      <w:r>
        <w:rPr>
          <w:rStyle w:val="FootnoteReference"/>
        </w:rPr>
        <w:footnoteReference w:id="19"/>
      </w:r>
      <w:r>
        <w:t xml:space="preserve"> We note recent comments from the current Queensland Government indicate that this is now unlikely. This event allows Ergon Energy to pass through the costs associated with vertical separation of its business.</w:t>
      </w:r>
    </w:p>
    <w:p w:rsidR="00C05E4B" w:rsidRDefault="00C05E4B" w:rsidP="00C05E4B">
      <w:pPr>
        <w:numPr>
          <w:ilvl w:val="0"/>
          <w:numId w:val="25"/>
        </w:numPr>
      </w:pPr>
      <w:r w:rsidRPr="00CC242E">
        <w:t xml:space="preserve">We do not accept the </w:t>
      </w:r>
      <w:r>
        <w:t>retail separation</w:t>
      </w:r>
      <w:r w:rsidRPr="00CC242E">
        <w:t xml:space="preserve"> event as a pass through event in our </w:t>
      </w:r>
      <w:r>
        <w:t>preliminary</w:t>
      </w:r>
      <w:r w:rsidRPr="00B4429B">
        <w:t xml:space="preserve"> </w:t>
      </w:r>
      <w:r>
        <w:t xml:space="preserve">decision </w:t>
      </w:r>
      <w:r w:rsidRPr="00CC242E">
        <w:t xml:space="preserve">because </w:t>
      </w:r>
      <w:r>
        <w:t>t</w:t>
      </w:r>
      <w:r w:rsidRPr="00861E4E">
        <w:t xml:space="preserve">he event is likely </w:t>
      </w:r>
      <w:r w:rsidR="00EB4ADC">
        <w:t xml:space="preserve">to be </w:t>
      </w:r>
      <w:r w:rsidRPr="00861E4E">
        <w:t>covered by another category of pass through event</w:t>
      </w:r>
      <w:r>
        <w:t>.</w:t>
      </w:r>
      <w:r w:rsidRPr="00861E4E">
        <w:rPr>
          <w:rStyle w:val="FootnoteReference"/>
        </w:rPr>
        <w:footnoteReference w:id="20"/>
      </w:r>
      <w:r>
        <w:t xml:space="preserve"> </w:t>
      </w:r>
    </w:p>
    <w:p w:rsidR="00C05E4B" w:rsidRDefault="00C05E4B" w:rsidP="00C05E4B">
      <w:pPr>
        <w:numPr>
          <w:ilvl w:val="0"/>
          <w:numId w:val="25"/>
        </w:numPr>
      </w:pPr>
      <w:r>
        <w:t>Ergon Energy</w:t>
      </w:r>
      <w:r w:rsidRPr="00CA033B">
        <w:t xml:space="preserve"> </w:t>
      </w:r>
      <w:r>
        <w:t>stated that the regulatory change event would not apply because this event is limited in its application to a regulatory obligation or requirement as defined under section 2D of the NEL. In Ergon Energy's view, any separation o</w:t>
      </w:r>
      <w:r w:rsidR="00547B29">
        <w:t>f Ergon Energy</w:t>
      </w:r>
      <w:r w:rsidR="00A66407">
        <w:t xml:space="preserve"> </w:t>
      </w:r>
      <w:r>
        <w:t xml:space="preserve">would not fall within this definition. </w:t>
      </w:r>
    </w:p>
    <w:p w:rsidR="00C05E4B" w:rsidRDefault="00C05E4B" w:rsidP="00C05E4B">
      <w:r>
        <w:t>We note that the regulatory change event is defined in the Glossary to the NER as '</w:t>
      </w:r>
      <w:r w:rsidR="00332124">
        <w:t>[a]</w:t>
      </w:r>
      <w:r>
        <w:t xml:space="preserve"> change in a </w:t>
      </w:r>
      <w:r w:rsidRPr="0027387D">
        <w:rPr>
          <w:rStyle w:val="AERtextitalic"/>
        </w:rPr>
        <w:t>regulatory obligation or requirement</w:t>
      </w:r>
      <w:r>
        <w:t xml:space="preserve"> that…'. '[</w:t>
      </w:r>
      <w:r w:rsidR="00332124">
        <w:rPr>
          <w:rStyle w:val="AERtextitalic"/>
        </w:rPr>
        <w:t>R</w:t>
      </w:r>
      <w:r>
        <w:rPr>
          <w:rStyle w:val="AERtextitalic"/>
        </w:rPr>
        <w:t>]</w:t>
      </w:r>
      <w:r w:rsidRPr="00DC5D68">
        <w:rPr>
          <w:rStyle w:val="AERtextitalic"/>
        </w:rPr>
        <w:t>egulatory</w:t>
      </w:r>
      <w:r w:rsidRPr="0027387D">
        <w:rPr>
          <w:rStyle w:val="AERtextitalic"/>
        </w:rPr>
        <w:t xml:space="preserve"> obligation or requirement</w:t>
      </w:r>
      <w:r w:rsidRPr="0027387D">
        <w:t>'</w:t>
      </w:r>
      <w:r>
        <w:t xml:space="preserve"> has the meaning assigned in the NEL. </w:t>
      </w:r>
    </w:p>
    <w:p w:rsidR="00C05E4B" w:rsidRDefault="00C05E4B" w:rsidP="00C05E4B">
      <w:r w:rsidRPr="0027387D">
        <w:t>We consider that a retail separation event would come within the definition of the NEL, in</w:t>
      </w:r>
      <w:r>
        <w:t xml:space="preserve"> particular section 2D(1)(b)(v) which states:</w:t>
      </w:r>
    </w:p>
    <w:p w:rsidR="00C05E4B" w:rsidRDefault="00C05E4B" w:rsidP="00C05E4B">
      <w:pPr>
        <w:pStyle w:val="AERquote"/>
      </w:pPr>
      <w:r w:rsidRPr="0027387D">
        <w:t>(1) A regulatory obligation or requirement is—</w:t>
      </w:r>
    </w:p>
    <w:p w:rsidR="00C05E4B" w:rsidRDefault="00C05E4B" w:rsidP="00C05E4B">
      <w:pPr>
        <w:pStyle w:val="AERquoteindent1"/>
      </w:pPr>
      <w:r>
        <w:t>…</w:t>
      </w:r>
    </w:p>
    <w:p w:rsidR="00C05E4B" w:rsidRDefault="00C05E4B" w:rsidP="00C05E4B">
      <w:pPr>
        <w:pStyle w:val="AERquoteindent1"/>
      </w:pPr>
      <w:r w:rsidRPr="0027387D">
        <w:t>(b) an obligation or requirement under—</w:t>
      </w:r>
    </w:p>
    <w:p w:rsidR="00C05E4B" w:rsidRPr="0027387D" w:rsidRDefault="00C05E4B" w:rsidP="00C05E4B">
      <w:pPr>
        <w:pStyle w:val="AERquoteindent1"/>
      </w:pPr>
      <w:r>
        <w:t>…</w:t>
      </w:r>
    </w:p>
    <w:p w:rsidR="00C05E4B" w:rsidRDefault="00C05E4B" w:rsidP="00C05E4B">
      <w:pPr>
        <w:pStyle w:val="AERquoteindent2"/>
      </w:pPr>
      <w:r w:rsidRPr="0027387D">
        <w:t>an Act of a participating jurisdiction, or any instrument made or</w:t>
      </w:r>
      <w:r>
        <w:t xml:space="preserve"> </w:t>
      </w:r>
      <w:r w:rsidRPr="0027387D">
        <w:t>issued under or for the purposes of that Act (other than national</w:t>
      </w:r>
      <w:r>
        <w:t xml:space="preserve"> </w:t>
      </w:r>
      <w:r w:rsidRPr="0027387D">
        <w:t>electricity legislation or an Act of a participating jurisdiction or an</w:t>
      </w:r>
      <w:r>
        <w:t xml:space="preserve"> </w:t>
      </w:r>
      <w:r w:rsidRPr="0027387D">
        <w:t>Act or instrument referred to in subparagraphs (ii) to (iv)), that</w:t>
      </w:r>
      <w:r>
        <w:t xml:space="preserve"> </w:t>
      </w:r>
      <w:r w:rsidRPr="0027387D">
        <w:t>materially affects the provision,</w:t>
      </w:r>
      <w:r>
        <w:t xml:space="preserve"> by a regulated network service </w:t>
      </w:r>
      <w:r w:rsidRPr="0027387D">
        <w:t>provider, of electricity network services that are the subject of a</w:t>
      </w:r>
      <w:r>
        <w:t xml:space="preserve"> </w:t>
      </w:r>
      <w:r w:rsidRPr="0027387D">
        <w:t>distribution determination or transmission determination.</w:t>
      </w:r>
    </w:p>
    <w:p w:rsidR="00C05E4B" w:rsidRDefault="00C05E4B" w:rsidP="00C05E4B">
      <w:pPr>
        <w:numPr>
          <w:ilvl w:val="0"/>
          <w:numId w:val="25"/>
        </w:numPr>
      </w:pPr>
      <w:r>
        <w:lastRenderedPageBreak/>
        <w:t>Therefore, i</w:t>
      </w:r>
      <w:r w:rsidRPr="00CA033B">
        <w:t xml:space="preserve">f the </w:t>
      </w:r>
      <w:r>
        <w:t>divestment of the retail assets</w:t>
      </w:r>
      <w:r w:rsidRPr="00CA033B">
        <w:t xml:space="preserve"> materially changes </w:t>
      </w:r>
      <w:r>
        <w:t>Ergon Energy</w:t>
      </w:r>
      <w:r w:rsidRPr="00CA033B">
        <w:t xml:space="preserve">'s costs, then </w:t>
      </w:r>
      <w:r>
        <w:t>Ergon Energy</w:t>
      </w:r>
      <w:r w:rsidRPr="00CA033B">
        <w:t xml:space="preserve"> may be able to make a pass through application to the AER under</w:t>
      </w:r>
      <w:r>
        <w:t xml:space="preserve"> one of the</w:t>
      </w:r>
      <w:r w:rsidRPr="00CA033B">
        <w:t xml:space="preserve"> existing</w:t>
      </w:r>
      <w:r>
        <w:t xml:space="preserve"> prescribed</w:t>
      </w:r>
      <w:r w:rsidRPr="00CA033B">
        <w:t xml:space="preserve"> pass through events. </w:t>
      </w:r>
    </w:p>
    <w:p w:rsidR="00C05E4B" w:rsidRDefault="00C05E4B" w:rsidP="00C05E4B">
      <w:pPr>
        <w:numPr>
          <w:ilvl w:val="0"/>
          <w:numId w:val="25"/>
        </w:numPr>
      </w:pPr>
      <w:r>
        <w:t xml:space="preserve">Ergon Energy noted that we allowed a retail (separation) project event </w:t>
      </w:r>
      <w:r w:rsidR="00772A28">
        <w:t>for the NSW distributors</w:t>
      </w:r>
      <w:r>
        <w:t>.</w:t>
      </w:r>
      <w:r w:rsidR="00772A28">
        <w:rPr>
          <w:rStyle w:val="FootnoteReference"/>
        </w:rPr>
        <w:footnoteReference w:id="21"/>
      </w:r>
      <w:r>
        <w:t xml:space="preserve"> </w:t>
      </w:r>
      <w:r w:rsidRPr="00BE15A1">
        <w:t xml:space="preserve">Since then, the NER has </w:t>
      </w:r>
      <w:r w:rsidR="00332124">
        <w:t xml:space="preserve">been amended to include </w:t>
      </w:r>
      <w:r w:rsidRPr="00BE15A1">
        <w:t>specific considerations which we must have regard to</w:t>
      </w:r>
      <w:r w:rsidR="00332124">
        <w:t xml:space="preserve"> in approving a pass through event (</w:t>
      </w:r>
      <w:r w:rsidRPr="00BE15A1">
        <w:t>the nominated pass through event considerations</w:t>
      </w:r>
      <w:r w:rsidR="00332124">
        <w:t>)</w:t>
      </w:r>
      <w:r>
        <w:t>. As discussed above, a retail separation</w:t>
      </w:r>
      <w:r w:rsidRPr="00B72EE2">
        <w:t xml:space="preserve"> event </w:t>
      </w:r>
      <w:r>
        <w:t>is not consistent with these considerations, as the event will be covered by a category of pass through specified in clause 6.6.1(a1)(1) to (4)</w:t>
      </w:r>
      <w:r w:rsidR="00EB4ADC">
        <w:t xml:space="preserve"> of the NER</w:t>
      </w:r>
      <w:r>
        <w:t xml:space="preserve">. </w:t>
      </w:r>
    </w:p>
    <w:p w:rsidR="00C05E4B" w:rsidRPr="00A8382A" w:rsidRDefault="00C05E4B" w:rsidP="00FD1D46">
      <w:pPr>
        <w:pStyle w:val="Heading3"/>
      </w:pPr>
      <w:bookmarkStart w:id="31" w:name="_Toc416030324"/>
      <w:bookmarkStart w:id="32" w:name="_Toc417536951"/>
      <w:r w:rsidRPr="00A8382A">
        <w:t>Isolated network separation event</w:t>
      </w:r>
      <w:bookmarkEnd w:id="31"/>
      <w:bookmarkEnd w:id="32"/>
    </w:p>
    <w:p w:rsidR="00C05E4B" w:rsidRDefault="00C05E4B" w:rsidP="00C05E4B">
      <w:pPr>
        <w:numPr>
          <w:ilvl w:val="0"/>
          <w:numId w:val="25"/>
        </w:numPr>
      </w:pPr>
      <w:r>
        <w:t>Ergon Energy stated that the former Queensland Government indicated it was considering initiating an open tender or call for expressions of interest to supply various isolated systems which are not connected to the main electricity grid.</w:t>
      </w:r>
      <w:r>
        <w:rPr>
          <w:rStyle w:val="FootnoteReference"/>
        </w:rPr>
        <w:footnoteReference w:id="22"/>
      </w:r>
      <w:r w:rsidRPr="004E2474">
        <w:t xml:space="preserve"> </w:t>
      </w:r>
      <w:r w:rsidR="00EB4ADC">
        <w:t>T</w:t>
      </w:r>
      <w:r w:rsidR="00EB4ADC" w:rsidRPr="00CC242E">
        <w:t xml:space="preserve">he </w:t>
      </w:r>
      <w:r w:rsidR="00EB4ADC">
        <w:t>isolated network separation</w:t>
      </w:r>
      <w:r w:rsidR="00EB4ADC" w:rsidRPr="00CC242E">
        <w:t xml:space="preserve"> event </w:t>
      </w:r>
      <w:r w:rsidR="00EB4ADC">
        <w:t xml:space="preserve">proposed by Ergon </w:t>
      </w:r>
      <w:r w:rsidR="00586EE0">
        <w:t>Energy would</w:t>
      </w:r>
      <w:r>
        <w:t xml:space="preserve"> allow</w:t>
      </w:r>
      <w:r w:rsidRPr="004E2474">
        <w:t xml:space="preserve"> </w:t>
      </w:r>
      <w:r w:rsidR="00EB4ADC">
        <w:t>it</w:t>
      </w:r>
      <w:r w:rsidRPr="004E2474">
        <w:t xml:space="preserve"> to pass through the costs associated with </w:t>
      </w:r>
      <w:r>
        <w:t>this process.</w:t>
      </w:r>
      <w:r w:rsidRPr="004E2474">
        <w:t xml:space="preserve"> </w:t>
      </w:r>
    </w:p>
    <w:p w:rsidR="00C05E4B" w:rsidRDefault="00C05E4B" w:rsidP="00C05E4B">
      <w:pPr>
        <w:numPr>
          <w:ilvl w:val="0"/>
          <w:numId w:val="25"/>
        </w:numPr>
      </w:pPr>
      <w:r w:rsidRPr="00CC242E">
        <w:t xml:space="preserve">We do not accept the </w:t>
      </w:r>
      <w:r>
        <w:t>isolated network separation</w:t>
      </w:r>
      <w:r w:rsidRPr="00CC242E">
        <w:t xml:space="preserve"> event as a pass through event in our </w:t>
      </w:r>
      <w:r>
        <w:t>preliminary</w:t>
      </w:r>
      <w:r w:rsidRPr="00B4429B">
        <w:t xml:space="preserve"> </w:t>
      </w:r>
      <w:r>
        <w:t xml:space="preserve">decision </w:t>
      </w:r>
      <w:r w:rsidRPr="00CC242E">
        <w:t xml:space="preserve">because </w:t>
      </w:r>
      <w:r>
        <w:t>t</w:t>
      </w:r>
      <w:r w:rsidRPr="00861E4E">
        <w:t>he event is likely covered by another category of pass through event</w:t>
      </w:r>
      <w:r>
        <w:t>.</w:t>
      </w:r>
      <w:r w:rsidRPr="00861E4E">
        <w:rPr>
          <w:rStyle w:val="FootnoteReference"/>
        </w:rPr>
        <w:footnoteReference w:id="23"/>
      </w:r>
      <w:r>
        <w:t xml:space="preserve"> </w:t>
      </w:r>
    </w:p>
    <w:p w:rsidR="00C05E4B" w:rsidRPr="00DC5D68" w:rsidRDefault="00C05E4B" w:rsidP="00C05E4B">
      <w:pPr>
        <w:numPr>
          <w:ilvl w:val="0"/>
          <w:numId w:val="25"/>
        </w:numPr>
      </w:pPr>
      <w:r w:rsidRPr="00DC5D68">
        <w:t xml:space="preserve">Ergon Energy stated that the regulatory change event would not apply because this event is limited in its application to a regulatory obligation or requirement as defined under section 2D of the NEL. In Ergon Energy's view, </w:t>
      </w:r>
      <w:r>
        <w:t>an isolated network separation event</w:t>
      </w:r>
      <w:r w:rsidRPr="00DC5D68">
        <w:t xml:space="preserve"> would not fall within this definition. </w:t>
      </w:r>
    </w:p>
    <w:p w:rsidR="00C05E4B" w:rsidRDefault="00C05E4B" w:rsidP="00C05E4B">
      <w:pPr>
        <w:numPr>
          <w:ilvl w:val="0"/>
          <w:numId w:val="25"/>
        </w:numPr>
      </w:pPr>
      <w:r>
        <w:t xml:space="preserve">For the same reasons as set out above in relation to the retail separation event, we consider that </w:t>
      </w:r>
      <w:r w:rsidRPr="00DC5D68">
        <w:t xml:space="preserve">if the </w:t>
      </w:r>
      <w:r>
        <w:t>separation event</w:t>
      </w:r>
      <w:r w:rsidRPr="00DC5D68">
        <w:t xml:space="preserve"> materially changes Ergon Energy's costs, then Ergon Energy may be able to make a pass through application to the AER under one of the existing prescribed pass through events.</w:t>
      </w:r>
    </w:p>
    <w:p w:rsidR="00DE563D" w:rsidRDefault="00C05E4B" w:rsidP="00DE563D">
      <w:r w:rsidRPr="004F606A">
        <w:t>Accordingly, we do not consider there is a need for an additional specific pass through event to cover the potential costs of this event, beyond those set out in the NER or approved in this determination</w:t>
      </w:r>
      <w:r>
        <w:t>.</w:t>
      </w:r>
    </w:p>
    <w:p w:rsidR="00772A28" w:rsidRPr="00B15F44" w:rsidRDefault="00772A28" w:rsidP="00FD1D46"/>
    <w:p w:rsidR="005D7BA2" w:rsidRDefault="005D7BA2" w:rsidP="00DB5074"/>
    <w:p w:rsidR="00CB0279" w:rsidRPr="00290C63" w:rsidRDefault="00CB0279" w:rsidP="00290C63"/>
    <w:sectPr w:rsidR="00CB0279" w:rsidRPr="00290C63" w:rsidSect="00DE563D">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CE7" w:rsidRPr="00290C63" w:rsidRDefault="000A0CE7" w:rsidP="00290C63">
      <w:r>
        <w:separator/>
      </w:r>
    </w:p>
    <w:p w:rsidR="000A0CE7" w:rsidRDefault="000A0CE7"/>
  </w:endnote>
  <w:endnote w:type="continuationSeparator" w:id="0">
    <w:p w:rsidR="000A0CE7" w:rsidRPr="00290C63" w:rsidRDefault="000A0CE7" w:rsidP="00290C63">
      <w:r>
        <w:continuationSeparator/>
      </w:r>
    </w:p>
    <w:p w:rsidR="000A0CE7" w:rsidRDefault="000A0C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CE7" w:rsidRPr="00290C63" w:rsidRDefault="000A0CE7"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A0CE7" w:rsidRDefault="000A0CE7"/>
  <w:p w:rsidR="000A0CE7" w:rsidRDefault="000A0CE7"/>
  <w:p w:rsidR="000A0CE7" w:rsidRDefault="000A0CE7"/>
  <w:p w:rsidR="000A0CE7" w:rsidRDefault="000A0CE7"/>
  <w:p w:rsidR="000A0CE7" w:rsidRDefault="000A0CE7"/>
  <w:p w:rsidR="000A0CE7" w:rsidRDefault="000A0CE7"/>
  <w:p w:rsidR="000A0CE7" w:rsidRDefault="000A0CE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0A0CE7" w:rsidRDefault="000A0CE7">
        <w:pPr>
          <w:pStyle w:val="Footer"/>
        </w:pPr>
        <w:r>
          <w:t>15-</w:t>
        </w:r>
        <w:r>
          <w:fldChar w:fldCharType="begin"/>
        </w:r>
        <w:r>
          <w:instrText xml:space="preserve"> PAGE   \* MERGEFORMAT </w:instrText>
        </w:r>
        <w:r>
          <w:fldChar w:fldCharType="separate"/>
        </w:r>
        <w:r w:rsidR="005C0DDD">
          <w:rPr>
            <w:noProof/>
          </w:rPr>
          <w:t>8</w:t>
        </w:r>
        <w:r>
          <w:rPr>
            <w:noProof/>
          </w:rPr>
          <w:fldChar w:fldCharType="end"/>
        </w:r>
        <w:r>
          <w:rPr>
            <w:noProof/>
          </w:rPr>
          <w:t xml:space="preserve">      </w:t>
        </w:r>
        <w:r>
          <w:t xml:space="preserve">           </w:t>
        </w:r>
        <w:r>
          <w:rPr>
            <w:noProof/>
          </w:rPr>
          <w:t xml:space="preserve">  Attachment 1</w:t>
        </w:r>
        <w:r>
          <w:t>5</w:t>
        </w:r>
        <w:r>
          <w:rPr>
            <w:noProof/>
          </w:rPr>
          <w:t xml:space="preserve"> </w:t>
        </w:r>
        <w:r>
          <w:rPr>
            <w:rFonts w:cs="Gautami"/>
            <w:noProof/>
          </w:rPr>
          <w:t xml:space="preserve">– </w:t>
        </w:r>
        <w:r>
          <w:t>Pass through events</w:t>
        </w:r>
        <w:r>
          <w:rPr>
            <w:rFonts w:cs="Gautami"/>
            <w:noProof/>
          </w:rPr>
          <w:t xml:space="preserve"> | </w:t>
        </w:r>
        <w:r>
          <w:t>Ergon Energy</w:t>
        </w:r>
        <w:r>
          <w:rPr>
            <w:rFonts w:cs="Gautami"/>
            <w:noProof/>
          </w:rPr>
          <w:t xml:space="preserve"> determination 2015–20</w:t>
        </w:r>
      </w:p>
    </w:sdtContent>
  </w:sdt>
  <w:p w:rsidR="000A0CE7" w:rsidRDefault="000A0C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CE7" w:rsidRPr="00290C63" w:rsidRDefault="000A0CE7"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A0CE7" w:rsidRDefault="000A0CE7">
    <w:pPr>
      <w:pStyle w:val="Footer"/>
    </w:pPr>
  </w:p>
  <w:p w:rsidR="000A0CE7" w:rsidRDefault="000A0CE7"/>
  <w:p w:rsidR="000A0CE7" w:rsidRDefault="000A0CE7"/>
  <w:p w:rsidR="000A0CE7" w:rsidRDefault="000A0CE7"/>
  <w:p w:rsidR="000A0CE7" w:rsidRDefault="000A0CE7"/>
  <w:p w:rsidR="000A0CE7" w:rsidRDefault="000A0CE7"/>
  <w:p w:rsidR="000A0CE7" w:rsidRDefault="000A0CE7"/>
  <w:p w:rsidR="000A0CE7" w:rsidRDefault="000A0CE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CE7" w:rsidRPr="00290C63" w:rsidRDefault="000A0CE7" w:rsidP="00290C63">
      <w:r>
        <w:separator/>
      </w:r>
    </w:p>
    <w:p w:rsidR="000A0CE7" w:rsidRDefault="000A0CE7"/>
  </w:footnote>
  <w:footnote w:type="continuationSeparator" w:id="0">
    <w:p w:rsidR="000A0CE7" w:rsidRPr="00290C63" w:rsidRDefault="000A0CE7" w:rsidP="00290C63">
      <w:r>
        <w:continuationSeparator/>
      </w:r>
    </w:p>
    <w:p w:rsidR="000A0CE7" w:rsidRDefault="000A0CE7"/>
  </w:footnote>
  <w:footnote w:id="1">
    <w:p w:rsidR="000A0CE7" w:rsidRDefault="000A0CE7" w:rsidP="00C05E4B">
      <w:pPr>
        <w:pStyle w:val="FootnoteText"/>
      </w:pPr>
      <w:r>
        <w:rPr>
          <w:rStyle w:val="FootnoteReference"/>
        </w:rPr>
        <w:footnoteRef/>
      </w:r>
      <w:r>
        <w:t xml:space="preserve"> </w:t>
      </w:r>
      <w:r>
        <w:tab/>
      </w:r>
      <w:r w:rsidRPr="007379AF">
        <w:t>NER</w:t>
      </w:r>
      <w:r w:rsidR="00A66407">
        <w:t>, cl.</w:t>
      </w:r>
      <w:r>
        <w:t xml:space="preserve"> 6.5.10.</w:t>
      </w:r>
    </w:p>
  </w:footnote>
  <w:footnote w:id="2">
    <w:p w:rsidR="000A0CE7" w:rsidRDefault="000A0CE7" w:rsidP="00C05E4B">
      <w:pPr>
        <w:pStyle w:val="FootnoteText"/>
      </w:pPr>
      <w:r>
        <w:rPr>
          <w:rStyle w:val="FootnoteReference"/>
        </w:rPr>
        <w:footnoteRef/>
      </w:r>
      <w:r w:rsidR="00A66407">
        <w:t xml:space="preserve"> </w:t>
      </w:r>
      <w:r w:rsidR="00A66407">
        <w:tab/>
        <w:t>NER, cll.</w:t>
      </w:r>
      <w:r>
        <w:t xml:space="preserve"> 6.6.1(d),(g) and (j).</w:t>
      </w:r>
    </w:p>
  </w:footnote>
  <w:footnote w:id="3">
    <w:p w:rsidR="000A0CE7" w:rsidRDefault="000A0CE7" w:rsidP="00C05E4B">
      <w:pPr>
        <w:pStyle w:val="FootnoteText"/>
      </w:pPr>
      <w:r>
        <w:rPr>
          <w:rStyle w:val="FootnoteReference"/>
        </w:rPr>
        <w:footnoteRef/>
      </w:r>
      <w:r>
        <w:t xml:space="preserve"> </w:t>
      </w:r>
      <w:r>
        <w:tab/>
        <w:t>s</w:t>
      </w:r>
      <w:r w:rsidRPr="00CE34CA">
        <w:t>.7A(2) of the NEL.</w:t>
      </w:r>
    </w:p>
  </w:footnote>
  <w:footnote w:id="4">
    <w:p w:rsidR="000A0CE7" w:rsidRDefault="000A0CE7" w:rsidP="00C05E4B">
      <w:pPr>
        <w:pStyle w:val="FootnoteText"/>
      </w:pPr>
      <w:r>
        <w:rPr>
          <w:rStyle w:val="FootnoteReference"/>
        </w:rPr>
        <w:footnoteRef/>
      </w:r>
      <w:r>
        <w:t xml:space="preserve"> </w:t>
      </w:r>
      <w:r>
        <w:tab/>
        <w:t>s</w:t>
      </w:r>
      <w:r w:rsidRPr="00CE34CA">
        <w:t>.7A(3) of the NEL</w:t>
      </w:r>
      <w:r>
        <w:t>.</w:t>
      </w:r>
    </w:p>
  </w:footnote>
  <w:footnote w:id="5">
    <w:p w:rsidR="000A0CE7" w:rsidRDefault="000A0CE7" w:rsidP="00C05E4B">
      <w:pPr>
        <w:pStyle w:val="FootnoteText"/>
      </w:pPr>
      <w:r>
        <w:rPr>
          <w:rStyle w:val="FootnoteReference"/>
        </w:rPr>
        <w:footnoteRef/>
      </w:r>
      <w:r>
        <w:t xml:space="preserve"> </w:t>
      </w:r>
      <w:r>
        <w:tab/>
        <w:t>s</w:t>
      </w:r>
      <w:r w:rsidRPr="005D0FD3">
        <w:t>.7A(6) of the NEL</w:t>
      </w:r>
      <w:r>
        <w:t>.</w:t>
      </w:r>
    </w:p>
  </w:footnote>
  <w:footnote w:id="6">
    <w:p w:rsidR="00A05AE5" w:rsidRDefault="00A05AE5" w:rsidP="00A05AE5">
      <w:pPr>
        <w:pStyle w:val="FootnoteText"/>
      </w:pPr>
      <w:r>
        <w:rPr>
          <w:rStyle w:val="FootnoteReference"/>
        </w:rPr>
        <w:footnoteRef/>
      </w:r>
      <w:r w:rsidR="00A66407">
        <w:t xml:space="preserve"> </w:t>
      </w:r>
      <w:r w:rsidR="00A66407">
        <w:tab/>
        <w:t>NER, cl.</w:t>
      </w:r>
      <w:r>
        <w:t xml:space="preserve"> 6.5.10(b); NER</w:t>
      </w:r>
      <w:r w:rsidRPr="00BB5472">
        <w:t xml:space="preserve"> </w:t>
      </w:r>
      <w:r w:rsidRPr="005D0FD3">
        <w:t>glossary, definition of 'nominated pass through event considerations'.</w:t>
      </w:r>
    </w:p>
  </w:footnote>
  <w:footnote w:id="7">
    <w:p w:rsidR="000A0CE7" w:rsidRDefault="000A0CE7" w:rsidP="00C05E4B">
      <w:pPr>
        <w:pStyle w:val="FootnoteText"/>
      </w:pPr>
      <w:r>
        <w:rPr>
          <w:rStyle w:val="FootnoteReference"/>
        </w:rPr>
        <w:footnoteRef/>
      </w:r>
      <w:r>
        <w:t xml:space="preserve"> </w:t>
      </w:r>
      <w:r>
        <w:tab/>
        <w:t>Ergon Energy</w:t>
      </w:r>
      <w:r w:rsidRPr="001724CE">
        <w:t xml:space="preserve">, </w:t>
      </w:r>
      <w:r>
        <w:rPr>
          <w:rStyle w:val="AERtextitalic"/>
        </w:rPr>
        <w:t>Attachment 04.01.03 Nominated cost pass through events</w:t>
      </w:r>
      <w:r>
        <w:t>, p. 7.</w:t>
      </w:r>
    </w:p>
  </w:footnote>
  <w:footnote w:id="8">
    <w:p w:rsidR="000A0CE7" w:rsidRDefault="000A0CE7">
      <w:pPr>
        <w:pStyle w:val="FootnoteText"/>
      </w:pPr>
      <w:r>
        <w:rPr>
          <w:rStyle w:val="FootnoteReference"/>
        </w:rPr>
        <w:footnoteRef/>
      </w:r>
      <w:r>
        <w:t xml:space="preserve"> </w:t>
      </w:r>
      <w:r>
        <w:tab/>
      </w:r>
      <w:r w:rsidRPr="000C2B24">
        <w:t>NER, glossary, definition of 'nominated pass through event considerations'</w:t>
      </w:r>
      <w:r>
        <w:t>, paragraph (b).</w:t>
      </w:r>
    </w:p>
  </w:footnote>
  <w:footnote w:id="9">
    <w:p w:rsidR="000A0CE7" w:rsidRDefault="000A0CE7" w:rsidP="00C05E4B">
      <w:pPr>
        <w:pStyle w:val="FootnoteText"/>
      </w:pPr>
      <w:r>
        <w:rPr>
          <w:rStyle w:val="FootnoteReference"/>
        </w:rPr>
        <w:footnoteRef/>
      </w:r>
      <w:r w:rsidR="00A66407">
        <w:tab/>
        <w:t>NER, cl.</w:t>
      </w:r>
      <w:r>
        <w:t xml:space="preserve"> 6.6.1(j)(3).</w:t>
      </w:r>
    </w:p>
  </w:footnote>
  <w:footnote w:id="10">
    <w:p w:rsidR="000A0CE7" w:rsidRDefault="000A0CE7" w:rsidP="00C05E4B">
      <w:pPr>
        <w:pStyle w:val="FootnoteText"/>
      </w:pPr>
      <w:r>
        <w:rPr>
          <w:rStyle w:val="FootnoteReference"/>
        </w:rPr>
        <w:footnoteRef/>
      </w:r>
      <w:r>
        <w:t xml:space="preserve"> </w:t>
      </w:r>
      <w:r>
        <w:tab/>
        <w:t xml:space="preserve">We note that we have not explicitly excluded insurance cap events that arise due to a finding of negligence. </w:t>
      </w:r>
      <w:r w:rsidRPr="00A973ED">
        <w:t>Negligence suggests the NSP may have some control over the event or some opportunity to limit the magnitude of the event. This may be a factor that we would have regard to in assessing such a pass through application. However, we do not consider it would be appropriate to exclude all events where the suggestion of negligence on behalf of the business has been raised.</w:t>
      </w:r>
      <w:r>
        <w:t xml:space="preserve"> </w:t>
      </w:r>
      <w:r w:rsidRPr="00A973ED">
        <w:t xml:space="preserve">We further note that unlawful conduct and gross negligence would not be covered by an insurer and that acts or omissions resulting from such unlawful conduct or gross negligence would </w:t>
      </w:r>
      <w:r>
        <w:t>be relevant considerations when assessing a pass through event application</w:t>
      </w:r>
      <w:r w:rsidRPr="00A973ED">
        <w:t>, having regard to the relevant factors set out in the NER.</w:t>
      </w:r>
    </w:p>
  </w:footnote>
  <w:footnote w:id="11">
    <w:p w:rsidR="000A0CE7" w:rsidRDefault="000A0CE7" w:rsidP="00C05E4B">
      <w:pPr>
        <w:pStyle w:val="FootnoteText"/>
      </w:pPr>
      <w:r>
        <w:rPr>
          <w:rStyle w:val="FootnoteReference"/>
        </w:rPr>
        <w:footnoteRef/>
      </w:r>
      <w:r>
        <w:t xml:space="preserve"> </w:t>
      </w:r>
      <w:r>
        <w:tab/>
      </w:r>
      <w:r w:rsidRPr="000C2B24">
        <w:t>NER, glossary, definition of 'nominated pass through event considerations'</w:t>
      </w:r>
      <w:r>
        <w:t>, paragraph (c).</w:t>
      </w:r>
    </w:p>
  </w:footnote>
  <w:footnote w:id="12">
    <w:p w:rsidR="000A0CE7" w:rsidRDefault="000A0CE7" w:rsidP="00C05E4B">
      <w:pPr>
        <w:pStyle w:val="FootnoteText"/>
      </w:pPr>
      <w:r>
        <w:rPr>
          <w:rStyle w:val="FootnoteReference"/>
        </w:rPr>
        <w:footnoteRef/>
      </w:r>
      <w:r>
        <w:t xml:space="preserve"> </w:t>
      </w:r>
      <w:r>
        <w:tab/>
        <w:t>Ergon Energy</w:t>
      </w:r>
      <w:r w:rsidRPr="001724CE">
        <w:t xml:space="preserve">, </w:t>
      </w:r>
      <w:r>
        <w:rPr>
          <w:rStyle w:val="AERtextitalic"/>
        </w:rPr>
        <w:t>Attachment 04.01.03 Nominated cost pass through events</w:t>
      </w:r>
      <w:r>
        <w:t>, pp. 6</w:t>
      </w:r>
      <w:r w:rsidRPr="000C7B67">
        <w:t>–</w:t>
      </w:r>
      <w:r>
        <w:t>7.</w:t>
      </w:r>
    </w:p>
  </w:footnote>
  <w:footnote w:id="13">
    <w:p w:rsidR="000A0CE7" w:rsidRDefault="000A0CE7" w:rsidP="00C05E4B">
      <w:pPr>
        <w:pStyle w:val="FootnoteText"/>
      </w:pPr>
      <w:r>
        <w:rPr>
          <w:rStyle w:val="FootnoteReference"/>
        </w:rPr>
        <w:footnoteRef/>
      </w:r>
      <w:r>
        <w:t xml:space="preserve"> </w:t>
      </w:r>
      <w:r>
        <w:tab/>
      </w:r>
      <w:r w:rsidRPr="000C2B24">
        <w:t>NER, glossary, definition of 'nominated pass through event consi</w:t>
      </w:r>
      <w:r>
        <w:t>derations', paragraph (d</w:t>
      </w:r>
      <w:r w:rsidRPr="000C2B24">
        <w:t>)</w:t>
      </w:r>
      <w:r>
        <w:t>(1)</w:t>
      </w:r>
      <w:r w:rsidRPr="000C2B24">
        <w:t>.</w:t>
      </w:r>
    </w:p>
  </w:footnote>
  <w:footnote w:id="14">
    <w:p w:rsidR="000A0CE7" w:rsidRDefault="000A0CE7" w:rsidP="00C05E4B">
      <w:pPr>
        <w:pStyle w:val="FootnoteText"/>
      </w:pPr>
      <w:r>
        <w:rPr>
          <w:rStyle w:val="FootnoteReference"/>
        </w:rPr>
        <w:footnoteRef/>
      </w:r>
      <w:r>
        <w:t xml:space="preserve"> </w:t>
      </w:r>
      <w:r>
        <w:tab/>
        <w:t>Ergon Energy</w:t>
      </w:r>
      <w:r w:rsidRPr="001724CE">
        <w:t xml:space="preserve">, </w:t>
      </w:r>
      <w:r>
        <w:rPr>
          <w:rStyle w:val="AERtextitalic"/>
        </w:rPr>
        <w:t>Attachment 04.01.03 Nominated cost pass through events</w:t>
      </w:r>
      <w:r>
        <w:t>, pp. 7</w:t>
      </w:r>
      <w:r w:rsidRPr="000C7B67">
        <w:t>–</w:t>
      </w:r>
      <w:r>
        <w:t>8.</w:t>
      </w:r>
    </w:p>
  </w:footnote>
  <w:footnote w:id="15">
    <w:p w:rsidR="000A0CE7" w:rsidRDefault="000A0CE7" w:rsidP="00C05E4B">
      <w:pPr>
        <w:pStyle w:val="FootnoteText"/>
      </w:pPr>
      <w:r>
        <w:rPr>
          <w:rStyle w:val="FootnoteReference"/>
        </w:rPr>
        <w:footnoteRef/>
      </w:r>
      <w:r>
        <w:t xml:space="preserve"> </w:t>
      </w:r>
      <w:r>
        <w:tab/>
      </w:r>
      <w:r w:rsidRPr="000C2B24">
        <w:t xml:space="preserve">NER, glossary, definition of 'nominated pass through event </w:t>
      </w:r>
      <w:r>
        <w:t>considerations', paragraph (d)(2</w:t>
      </w:r>
      <w:r w:rsidRPr="000C2B24">
        <w:t>).</w:t>
      </w:r>
    </w:p>
  </w:footnote>
  <w:footnote w:id="16">
    <w:p w:rsidR="000A0CE7" w:rsidRDefault="000A0CE7" w:rsidP="00C05E4B">
      <w:pPr>
        <w:pStyle w:val="FootnoteText"/>
      </w:pPr>
      <w:r>
        <w:rPr>
          <w:rStyle w:val="FootnoteReference"/>
        </w:rPr>
        <w:footnoteRef/>
      </w:r>
      <w:r>
        <w:t xml:space="preserve"> </w:t>
      </w:r>
      <w:r>
        <w:tab/>
        <w:t>Ergon Energy</w:t>
      </w:r>
      <w:r w:rsidRPr="001724CE">
        <w:t xml:space="preserve">, </w:t>
      </w:r>
      <w:r>
        <w:rPr>
          <w:rStyle w:val="AERtextitalic"/>
        </w:rPr>
        <w:t>Attachment 04.01.03 Nominated cost pass through events</w:t>
      </w:r>
      <w:r>
        <w:t>, pp. 7</w:t>
      </w:r>
      <w:r w:rsidRPr="000C7B67">
        <w:t>–</w:t>
      </w:r>
      <w:r>
        <w:t>8.</w:t>
      </w:r>
    </w:p>
  </w:footnote>
  <w:footnote w:id="17">
    <w:p w:rsidR="000A0CE7" w:rsidRDefault="000A0CE7" w:rsidP="00C05E4B">
      <w:pPr>
        <w:pStyle w:val="FootnoteText"/>
      </w:pPr>
      <w:r>
        <w:rPr>
          <w:rStyle w:val="FootnoteReference"/>
        </w:rPr>
        <w:footnoteRef/>
      </w:r>
      <w:r>
        <w:t xml:space="preserve"> </w:t>
      </w:r>
      <w:r>
        <w:tab/>
      </w:r>
      <w:r w:rsidRPr="000C2B24">
        <w:t>NER, glossary, definition of 'nominated pass through event considerations'</w:t>
      </w:r>
      <w:r>
        <w:t>, paragraph (d).</w:t>
      </w:r>
    </w:p>
  </w:footnote>
  <w:footnote w:id="18">
    <w:p w:rsidR="000A0CE7" w:rsidRDefault="000A0CE7">
      <w:pPr>
        <w:pStyle w:val="FootnoteText"/>
      </w:pPr>
      <w:r>
        <w:rPr>
          <w:rStyle w:val="FootnoteReference"/>
        </w:rPr>
        <w:footnoteRef/>
      </w:r>
      <w:r>
        <w:t xml:space="preserve"> </w:t>
      </w:r>
      <w:r>
        <w:tab/>
        <w:t>Information request and response 065, 30 March 2015.</w:t>
      </w:r>
    </w:p>
  </w:footnote>
  <w:footnote w:id="19">
    <w:p w:rsidR="000A0CE7" w:rsidRDefault="000A0CE7" w:rsidP="00C05E4B">
      <w:pPr>
        <w:pStyle w:val="FootnoteText"/>
      </w:pPr>
      <w:r>
        <w:rPr>
          <w:rStyle w:val="FootnoteReference"/>
        </w:rPr>
        <w:footnoteRef/>
      </w:r>
      <w:r>
        <w:t xml:space="preserve"> </w:t>
      </w:r>
      <w:r>
        <w:tab/>
        <w:t xml:space="preserve">Ergon Energy, </w:t>
      </w:r>
      <w:r w:rsidRPr="008E0DA7">
        <w:rPr>
          <w:rStyle w:val="AERtextitalic"/>
        </w:rPr>
        <w:t>Regulatory proposal</w:t>
      </w:r>
      <w:r>
        <w:rPr>
          <w:rStyle w:val="AERtextitalic"/>
        </w:rPr>
        <w:t xml:space="preserve"> Attachment 04.01.03 Nominated cost pass through events</w:t>
      </w:r>
      <w:r>
        <w:t>, p. 13</w:t>
      </w:r>
      <w:r w:rsidRPr="008E0DA7">
        <w:t>.</w:t>
      </w:r>
    </w:p>
  </w:footnote>
  <w:footnote w:id="20">
    <w:p w:rsidR="000A0CE7" w:rsidRDefault="000A0CE7" w:rsidP="00C05E4B">
      <w:pPr>
        <w:pStyle w:val="FootnoteText"/>
      </w:pPr>
      <w:r>
        <w:rPr>
          <w:rStyle w:val="FootnoteReference"/>
        </w:rPr>
        <w:footnoteRef/>
      </w:r>
      <w:r>
        <w:t xml:space="preserve"> </w:t>
      </w:r>
      <w:r>
        <w:tab/>
      </w:r>
      <w:r w:rsidRPr="000C2B24">
        <w:t>NER, glossary, definition of 'nominated pass through event considerations'</w:t>
      </w:r>
      <w:r>
        <w:t>, paragraph (a).</w:t>
      </w:r>
    </w:p>
  </w:footnote>
  <w:footnote w:id="21">
    <w:p w:rsidR="000A0CE7" w:rsidRDefault="000A0CE7">
      <w:pPr>
        <w:pStyle w:val="FootnoteText"/>
      </w:pPr>
      <w:r>
        <w:rPr>
          <w:rStyle w:val="FootnoteReference"/>
        </w:rPr>
        <w:footnoteRef/>
      </w:r>
      <w:r>
        <w:t xml:space="preserve"> </w:t>
      </w:r>
      <w:r>
        <w:tab/>
        <w:t xml:space="preserve">Ergon Energy, </w:t>
      </w:r>
      <w:r w:rsidRPr="008E0DA7">
        <w:rPr>
          <w:rStyle w:val="AERtextitalic"/>
        </w:rPr>
        <w:t>Regulatory proposal</w:t>
      </w:r>
      <w:r>
        <w:rPr>
          <w:rStyle w:val="AERtextitalic"/>
        </w:rPr>
        <w:t xml:space="preserve"> Attachment 04.01.03 Nominated cost pass through events</w:t>
      </w:r>
      <w:r>
        <w:t>, p. 14.</w:t>
      </w:r>
    </w:p>
  </w:footnote>
  <w:footnote w:id="22">
    <w:p w:rsidR="000A0CE7" w:rsidRDefault="000A0CE7" w:rsidP="00C05E4B">
      <w:pPr>
        <w:pStyle w:val="FootnoteText"/>
      </w:pPr>
      <w:r>
        <w:rPr>
          <w:rStyle w:val="FootnoteReference"/>
        </w:rPr>
        <w:footnoteRef/>
      </w:r>
      <w:r>
        <w:t xml:space="preserve"> </w:t>
      </w:r>
      <w:r>
        <w:tab/>
        <w:t xml:space="preserve">Ergon Energy, </w:t>
      </w:r>
      <w:r w:rsidRPr="008E0DA7">
        <w:rPr>
          <w:rStyle w:val="AERtextitalic"/>
        </w:rPr>
        <w:t>Regulatory proposal</w:t>
      </w:r>
      <w:r>
        <w:rPr>
          <w:rStyle w:val="AERtextitalic"/>
        </w:rPr>
        <w:t xml:space="preserve"> Attachment 04.01.03 Nominated cost pass through events</w:t>
      </w:r>
      <w:r>
        <w:t>, p. 16</w:t>
      </w:r>
      <w:r w:rsidRPr="008E0DA7">
        <w:t>.</w:t>
      </w:r>
    </w:p>
  </w:footnote>
  <w:footnote w:id="23">
    <w:p w:rsidR="000A0CE7" w:rsidRDefault="000A0CE7" w:rsidP="00C05E4B">
      <w:pPr>
        <w:pStyle w:val="FootnoteText"/>
      </w:pPr>
      <w:r>
        <w:rPr>
          <w:rStyle w:val="FootnoteReference"/>
        </w:rPr>
        <w:footnoteRef/>
      </w:r>
      <w:r>
        <w:t xml:space="preserve"> </w:t>
      </w:r>
      <w:r>
        <w:tab/>
      </w:r>
      <w:r w:rsidRPr="000C2B24">
        <w:t>NER, glossary, definition of 'nominated pass through event considerations'</w:t>
      </w:r>
      <w:r>
        <w:t>, paragraph (a).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5"/>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5">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7">
    <w:nsid w:val="5ECE4384"/>
    <w:multiLevelType w:val="multilevel"/>
    <w:tmpl w:val="81E00080"/>
    <w:lvl w:ilvl="0">
      <w:start w:val="15"/>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2117E59"/>
    <w:multiLevelType w:val="multilevel"/>
    <w:tmpl w:val="950A1C52"/>
    <w:numStyleLink w:val="AERHeadings"/>
  </w:abstractNum>
  <w:abstractNum w:abstractNumId="29">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0">
    <w:nsid w:val="6DE36827"/>
    <w:multiLevelType w:val="multilevel"/>
    <w:tmpl w:val="950A1C52"/>
    <w:numStyleLink w:val="AERHeadings"/>
  </w:abstractNum>
  <w:abstractNum w:abstractNumId="31">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20"/>
  </w:num>
  <w:num w:numId="14">
    <w:abstractNumId w:val="10"/>
  </w:num>
  <w:num w:numId="15">
    <w:abstractNumId w:val="12"/>
  </w:num>
  <w:num w:numId="16">
    <w:abstractNumId w:val="22"/>
  </w:num>
  <w:num w:numId="17">
    <w:abstractNumId w:val="9"/>
  </w:num>
  <w:num w:numId="18">
    <w:abstractNumId w:val="16"/>
  </w:num>
  <w:num w:numId="19">
    <w:abstractNumId w:val="23"/>
  </w:num>
  <w:num w:numId="20">
    <w:abstractNumId w:val="31"/>
  </w:num>
  <w:num w:numId="21">
    <w:abstractNumId w:val="13"/>
  </w:num>
  <w:num w:numId="22">
    <w:abstractNumId w:val="26"/>
  </w:num>
  <w:num w:numId="23">
    <w:abstractNumId w:val="24"/>
  </w:num>
  <w:num w:numId="24">
    <w:abstractNumId w:val="18"/>
  </w:num>
  <w:num w:numId="25">
    <w:abstractNumId w:val="25"/>
  </w:num>
  <w:num w:numId="26">
    <w:abstractNumId w:val="27"/>
  </w:num>
  <w:num w:numId="27">
    <w:abstractNumId w:val="19"/>
  </w:num>
  <w:num w:numId="28">
    <w:abstractNumId w:val="17"/>
  </w:num>
  <w:num w:numId="29">
    <w:abstractNumId w:val="15"/>
  </w:num>
  <w:num w:numId="30">
    <w:abstractNumId w:val="32"/>
  </w:num>
  <w:num w:numId="31">
    <w:abstractNumId w:val="14"/>
  </w:num>
  <w:num w:numId="32">
    <w:abstractNumId w:val="21"/>
  </w:num>
  <w:num w:numId="33">
    <w:abstractNumId w:val="18"/>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0"/>
  </w:num>
  <w:num w:numId="37">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removePersonalInformation/>
  <w:removeDateAndTime/>
  <w:doNotDisplayPageBoundaries/>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defaultTabStop w:val="340"/>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kstev\AppData\Local\Microsoft\Windows\Temporary Internet Files\Content.MSO\B3E496C0.docx"/>
  </w:docVars>
  <w:rsids>
    <w:rsidRoot w:val="00961A4A"/>
    <w:rsid w:val="00011537"/>
    <w:rsid w:val="00021202"/>
    <w:rsid w:val="0002517F"/>
    <w:rsid w:val="0003578C"/>
    <w:rsid w:val="00063247"/>
    <w:rsid w:val="00070F9F"/>
    <w:rsid w:val="0007137B"/>
    <w:rsid w:val="00085663"/>
    <w:rsid w:val="00085EBF"/>
    <w:rsid w:val="0008600D"/>
    <w:rsid w:val="000A0CE7"/>
    <w:rsid w:val="000A3020"/>
    <w:rsid w:val="000A45DA"/>
    <w:rsid w:val="000A6C7B"/>
    <w:rsid w:val="000D122C"/>
    <w:rsid w:val="000E1819"/>
    <w:rsid w:val="000E4821"/>
    <w:rsid w:val="000E6C72"/>
    <w:rsid w:val="00116EB2"/>
    <w:rsid w:val="001201F1"/>
    <w:rsid w:val="00124609"/>
    <w:rsid w:val="00126A4C"/>
    <w:rsid w:val="0014573B"/>
    <w:rsid w:val="001573E4"/>
    <w:rsid w:val="00160756"/>
    <w:rsid w:val="0017232E"/>
    <w:rsid w:val="00174102"/>
    <w:rsid w:val="00180157"/>
    <w:rsid w:val="00185CB9"/>
    <w:rsid w:val="00186F77"/>
    <w:rsid w:val="001912F1"/>
    <w:rsid w:val="001926A4"/>
    <w:rsid w:val="00192AD5"/>
    <w:rsid w:val="001B28E6"/>
    <w:rsid w:val="001B45A0"/>
    <w:rsid w:val="001D055E"/>
    <w:rsid w:val="001F492E"/>
    <w:rsid w:val="001F6DA3"/>
    <w:rsid w:val="002010BC"/>
    <w:rsid w:val="00202E03"/>
    <w:rsid w:val="0020492C"/>
    <w:rsid w:val="00224DB9"/>
    <w:rsid w:val="00233775"/>
    <w:rsid w:val="00251745"/>
    <w:rsid w:val="00263AC0"/>
    <w:rsid w:val="00264264"/>
    <w:rsid w:val="0026772D"/>
    <w:rsid w:val="00286874"/>
    <w:rsid w:val="00290C63"/>
    <w:rsid w:val="00296B65"/>
    <w:rsid w:val="002A7DEF"/>
    <w:rsid w:val="002C5730"/>
    <w:rsid w:val="002E7B22"/>
    <w:rsid w:val="002F6DBA"/>
    <w:rsid w:val="002F7986"/>
    <w:rsid w:val="00301B40"/>
    <w:rsid w:val="003029EE"/>
    <w:rsid w:val="00305CC8"/>
    <w:rsid w:val="00307F6D"/>
    <w:rsid w:val="003177A2"/>
    <w:rsid w:val="003271B5"/>
    <w:rsid w:val="00327A1E"/>
    <w:rsid w:val="00331264"/>
    <w:rsid w:val="00332124"/>
    <w:rsid w:val="00334C8D"/>
    <w:rsid w:val="00343A18"/>
    <w:rsid w:val="003518B3"/>
    <w:rsid w:val="003846F1"/>
    <w:rsid w:val="003B484F"/>
    <w:rsid w:val="003F174D"/>
    <w:rsid w:val="003F6B35"/>
    <w:rsid w:val="0045777E"/>
    <w:rsid w:val="00480B4B"/>
    <w:rsid w:val="00485DC4"/>
    <w:rsid w:val="004A43D1"/>
    <w:rsid w:val="004B4412"/>
    <w:rsid w:val="004C348C"/>
    <w:rsid w:val="004D357B"/>
    <w:rsid w:val="004D55BA"/>
    <w:rsid w:val="004E22EC"/>
    <w:rsid w:val="00511B44"/>
    <w:rsid w:val="00530128"/>
    <w:rsid w:val="00532467"/>
    <w:rsid w:val="00547B29"/>
    <w:rsid w:val="00564A4D"/>
    <w:rsid w:val="00567BA5"/>
    <w:rsid w:val="00570F61"/>
    <w:rsid w:val="00571B35"/>
    <w:rsid w:val="00571D57"/>
    <w:rsid w:val="00577A09"/>
    <w:rsid w:val="005829C2"/>
    <w:rsid w:val="00584D8F"/>
    <w:rsid w:val="00586EE0"/>
    <w:rsid w:val="005A404D"/>
    <w:rsid w:val="005B1E3C"/>
    <w:rsid w:val="005C0DDD"/>
    <w:rsid w:val="005C26CC"/>
    <w:rsid w:val="005D7BA2"/>
    <w:rsid w:val="005E36C2"/>
    <w:rsid w:val="00615C6B"/>
    <w:rsid w:val="00621DCE"/>
    <w:rsid w:val="00632D6D"/>
    <w:rsid w:val="00642C3E"/>
    <w:rsid w:val="0066104A"/>
    <w:rsid w:val="0066389D"/>
    <w:rsid w:val="00663DAD"/>
    <w:rsid w:val="00675E20"/>
    <w:rsid w:val="00676679"/>
    <w:rsid w:val="00683C89"/>
    <w:rsid w:val="006B2395"/>
    <w:rsid w:val="006B4CF9"/>
    <w:rsid w:val="006B7AC8"/>
    <w:rsid w:val="006D550F"/>
    <w:rsid w:val="00701CAB"/>
    <w:rsid w:val="00707563"/>
    <w:rsid w:val="0072348C"/>
    <w:rsid w:val="00724A37"/>
    <w:rsid w:val="007303C3"/>
    <w:rsid w:val="007429BE"/>
    <w:rsid w:val="00743223"/>
    <w:rsid w:val="00746E01"/>
    <w:rsid w:val="00757BDF"/>
    <w:rsid w:val="00763E5D"/>
    <w:rsid w:val="00767740"/>
    <w:rsid w:val="00772A28"/>
    <w:rsid w:val="00777EE6"/>
    <w:rsid w:val="00782EEA"/>
    <w:rsid w:val="007B2C72"/>
    <w:rsid w:val="007C1C53"/>
    <w:rsid w:val="007C74BB"/>
    <w:rsid w:val="007E4904"/>
    <w:rsid w:val="007E4CB5"/>
    <w:rsid w:val="007E5CB0"/>
    <w:rsid w:val="007F066B"/>
    <w:rsid w:val="008033C4"/>
    <w:rsid w:val="00806C88"/>
    <w:rsid w:val="0081034E"/>
    <w:rsid w:val="008344F6"/>
    <w:rsid w:val="0083510F"/>
    <w:rsid w:val="00851209"/>
    <w:rsid w:val="00856342"/>
    <w:rsid w:val="008837AC"/>
    <w:rsid w:val="008A587D"/>
    <w:rsid w:val="008B35CD"/>
    <w:rsid w:val="008B5FCC"/>
    <w:rsid w:val="008C5486"/>
    <w:rsid w:val="008D1661"/>
    <w:rsid w:val="008E20B1"/>
    <w:rsid w:val="008E7031"/>
    <w:rsid w:val="008E77DE"/>
    <w:rsid w:val="008F07A3"/>
    <w:rsid w:val="00900E1B"/>
    <w:rsid w:val="0092023F"/>
    <w:rsid w:val="009233EE"/>
    <w:rsid w:val="009460AA"/>
    <w:rsid w:val="00951978"/>
    <w:rsid w:val="00961A4A"/>
    <w:rsid w:val="009661DE"/>
    <w:rsid w:val="00983C25"/>
    <w:rsid w:val="009856B7"/>
    <w:rsid w:val="00985C86"/>
    <w:rsid w:val="009A5FC3"/>
    <w:rsid w:val="009B74B0"/>
    <w:rsid w:val="009D4E48"/>
    <w:rsid w:val="009D6B46"/>
    <w:rsid w:val="009F4940"/>
    <w:rsid w:val="009F5BA1"/>
    <w:rsid w:val="009F6C99"/>
    <w:rsid w:val="00A02A88"/>
    <w:rsid w:val="00A0562E"/>
    <w:rsid w:val="00A05AE5"/>
    <w:rsid w:val="00A0726D"/>
    <w:rsid w:val="00A32FBB"/>
    <w:rsid w:val="00A428EE"/>
    <w:rsid w:val="00A4478A"/>
    <w:rsid w:val="00A44852"/>
    <w:rsid w:val="00A57D04"/>
    <w:rsid w:val="00A60A26"/>
    <w:rsid w:val="00A61598"/>
    <w:rsid w:val="00A66407"/>
    <w:rsid w:val="00A8382A"/>
    <w:rsid w:val="00A84A99"/>
    <w:rsid w:val="00A84F46"/>
    <w:rsid w:val="00A871F4"/>
    <w:rsid w:val="00AC1B2C"/>
    <w:rsid w:val="00AC3264"/>
    <w:rsid w:val="00AD2AAA"/>
    <w:rsid w:val="00AE1BF1"/>
    <w:rsid w:val="00AF0DD2"/>
    <w:rsid w:val="00B11199"/>
    <w:rsid w:val="00B13048"/>
    <w:rsid w:val="00B15F44"/>
    <w:rsid w:val="00B1716D"/>
    <w:rsid w:val="00B17A1D"/>
    <w:rsid w:val="00B207A0"/>
    <w:rsid w:val="00B3265D"/>
    <w:rsid w:val="00B47EA7"/>
    <w:rsid w:val="00B51401"/>
    <w:rsid w:val="00B514DD"/>
    <w:rsid w:val="00B52AF0"/>
    <w:rsid w:val="00B561BD"/>
    <w:rsid w:val="00B56E03"/>
    <w:rsid w:val="00B76412"/>
    <w:rsid w:val="00B8080B"/>
    <w:rsid w:val="00B87BA5"/>
    <w:rsid w:val="00B87C39"/>
    <w:rsid w:val="00BA0EF5"/>
    <w:rsid w:val="00BA4665"/>
    <w:rsid w:val="00BB2FB2"/>
    <w:rsid w:val="00BB3304"/>
    <w:rsid w:val="00BD3446"/>
    <w:rsid w:val="00BE1F1B"/>
    <w:rsid w:val="00BE47B5"/>
    <w:rsid w:val="00C05E4B"/>
    <w:rsid w:val="00C25FA6"/>
    <w:rsid w:val="00C2722A"/>
    <w:rsid w:val="00C538A9"/>
    <w:rsid w:val="00C53B5A"/>
    <w:rsid w:val="00C54F5A"/>
    <w:rsid w:val="00C569B4"/>
    <w:rsid w:val="00C67A92"/>
    <w:rsid w:val="00C86679"/>
    <w:rsid w:val="00CA489E"/>
    <w:rsid w:val="00CB0279"/>
    <w:rsid w:val="00CB666B"/>
    <w:rsid w:val="00CC7F1D"/>
    <w:rsid w:val="00D006AE"/>
    <w:rsid w:val="00D01CF0"/>
    <w:rsid w:val="00D0442A"/>
    <w:rsid w:val="00D61388"/>
    <w:rsid w:val="00D61A54"/>
    <w:rsid w:val="00D62CC8"/>
    <w:rsid w:val="00D64DEA"/>
    <w:rsid w:val="00D7168E"/>
    <w:rsid w:val="00D71E57"/>
    <w:rsid w:val="00D80893"/>
    <w:rsid w:val="00D84854"/>
    <w:rsid w:val="00D92CF1"/>
    <w:rsid w:val="00D92D38"/>
    <w:rsid w:val="00D950F5"/>
    <w:rsid w:val="00DA4752"/>
    <w:rsid w:val="00DA61F3"/>
    <w:rsid w:val="00DB0F93"/>
    <w:rsid w:val="00DB1A67"/>
    <w:rsid w:val="00DB5074"/>
    <w:rsid w:val="00DC7981"/>
    <w:rsid w:val="00DE1093"/>
    <w:rsid w:val="00DE4EFA"/>
    <w:rsid w:val="00DE5520"/>
    <w:rsid w:val="00DE563D"/>
    <w:rsid w:val="00E04818"/>
    <w:rsid w:val="00E06442"/>
    <w:rsid w:val="00E23727"/>
    <w:rsid w:val="00E23993"/>
    <w:rsid w:val="00E25B8C"/>
    <w:rsid w:val="00E52483"/>
    <w:rsid w:val="00E57429"/>
    <w:rsid w:val="00E65C85"/>
    <w:rsid w:val="00E66199"/>
    <w:rsid w:val="00E755EC"/>
    <w:rsid w:val="00E7624D"/>
    <w:rsid w:val="00EA3D42"/>
    <w:rsid w:val="00EA63B3"/>
    <w:rsid w:val="00EA6B1B"/>
    <w:rsid w:val="00EB4ADC"/>
    <w:rsid w:val="00ED7323"/>
    <w:rsid w:val="00EE28F3"/>
    <w:rsid w:val="00EF5110"/>
    <w:rsid w:val="00F01478"/>
    <w:rsid w:val="00F10411"/>
    <w:rsid w:val="00F15882"/>
    <w:rsid w:val="00F171E0"/>
    <w:rsid w:val="00F20BD3"/>
    <w:rsid w:val="00F373A5"/>
    <w:rsid w:val="00F47559"/>
    <w:rsid w:val="00F64C7B"/>
    <w:rsid w:val="00F676DD"/>
    <w:rsid w:val="00F75A26"/>
    <w:rsid w:val="00F76706"/>
    <w:rsid w:val="00F83FAD"/>
    <w:rsid w:val="00F952A0"/>
    <w:rsid w:val="00FA3C7F"/>
    <w:rsid w:val="00FB74E2"/>
    <w:rsid w:val="00FC10C4"/>
    <w:rsid w:val="00FD1D46"/>
    <w:rsid w:val="00FD5614"/>
    <w:rsid w:val="00FE0BE1"/>
    <w:rsid w:val="00FE1DE9"/>
    <w:rsid w:val="00FE3308"/>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B3265D"/>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B3265D"/>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320207E6</Template>
  <TotalTime>0</TotalTime>
  <Pages>18</Pages>
  <Words>5006</Words>
  <Characters>28537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2015-04-27T06:08:00Z</dcterms:created>
  <dcterms:modified xsi:type="dcterms:W3CDTF">2015-04-27T06:08:00Z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8355456</vt:lpwstr>
  </property>
  <property fmtid="{D5CDD505-2E9C-101B-9397-08002B2CF9AE}" pid="3" name="_MarkAsFinal">
    <vt:bool>true</vt:bool>
  </property>
</Properties>
</file>