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46A16A9" wp14:editId="14F4149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FC1A87">
            <w:t>6</w:t>
          </w:r>
          <w:r>
            <w:t xml:space="preserve"> </w:t>
          </w:r>
          <w:r>
            <w:rPr>
              <w:rFonts w:cs="Arial"/>
            </w:rPr>
            <w:t>−</w:t>
          </w:r>
          <w:r>
            <w:t xml:space="preserve"> </w:t>
          </w:r>
          <w:r w:rsidR="00FC1A87">
            <w:t>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994599"/>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50031D">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E03563" w:rsidRPr="00E03563" w:rsidRDefault="008F07A3" w:rsidP="00E03563">
      <w:pPr>
        <w:numPr>
          <w:ilvl w:val="0"/>
          <w:numId w:val="25"/>
        </w:numPr>
      </w:pPr>
      <w:r>
        <w:t xml:space="preserve">Attachment 18 – Connection </w:t>
      </w:r>
      <w:r w:rsidR="00E03563" w:rsidRPr="00E03563">
        <w:t>policy</w:t>
      </w:r>
    </w:p>
    <w:p w:rsidR="008F07A3" w:rsidRPr="008F07A3" w:rsidRDefault="008F07A3" w:rsidP="008F07A3">
      <w:pPr>
        <w:numPr>
          <w:ilvl w:val="0"/>
          <w:numId w:val="25"/>
        </w:num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99460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16AE7" w:rsidRDefault="0050031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17994599" w:history="1">
            <w:r w:rsidR="00F16AE7" w:rsidRPr="00AC1F05">
              <w:rPr>
                <w:rStyle w:val="Hyperlink"/>
              </w:rPr>
              <w:t>Note</w:t>
            </w:r>
            <w:r w:rsidR="00F16AE7">
              <w:rPr>
                <w:webHidden/>
              </w:rPr>
              <w:tab/>
            </w:r>
            <w:r w:rsidR="00F16AE7">
              <w:rPr>
                <w:webHidden/>
              </w:rPr>
              <w:fldChar w:fldCharType="begin"/>
            </w:r>
            <w:r w:rsidR="00F16AE7">
              <w:rPr>
                <w:webHidden/>
              </w:rPr>
              <w:instrText xml:space="preserve"> PAGEREF _Toc417994599 \h </w:instrText>
            </w:r>
            <w:r w:rsidR="00F16AE7">
              <w:rPr>
                <w:webHidden/>
              </w:rPr>
            </w:r>
            <w:r w:rsidR="00F16AE7">
              <w:rPr>
                <w:webHidden/>
              </w:rPr>
              <w:fldChar w:fldCharType="separate"/>
            </w:r>
            <w:r w:rsidR="00F16AE7">
              <w:rPr>
                <w:webHidden/>
              </w:rPr>
              <w:t>2</w:t>
            </w:r>
            <w:r w:rsidR="00F16AE7">
              <w:rPr>
                <w:webHidden/>
              </w:rPr>
              <w:fldChar w:fldCharType="end"/>
            </w:r>
          </w:hyperlink>
        </w:p>
        <w:p w:rsidR="00F16AE7" w:rsidRDefault="00DA2823">
          <w:pPr>
            <w:pStyle w:val="TOC1"/>
            <w:rPr>
              <w:rFonts w:asciiTheme="minorHAnsi" w:eastAsiaTheme="minorEastAsia" w:hAnsiTheme="minorHAnsi"/>
              <w:b w:val="0"/>
              <w:color w:val="auto"/>
              <w:sz w:val="22"/>
              <w:lang w:val="en-AU" w:eastAsia="en-AU"/>
            </w:rPr>
          </w:pPr>
          <w:hyperlink w:anchor="_Toc417994600" w:history="1">
            <w:r w:rsidR="00F16AE7" w:rsidRPr="00AC1F05">
              <w:rPr>
                <w:rStyle w:val="Hyperlink"/>
              </w:rPr>
              <w:t>Contents</w:t>
            </w:r>
            <w:r w:rsidR="00F16AE7">
              <w:rPr>
                <w:webHidden/>
              </w:rPr>
              <w:tab/>
            </w:r>
            <w:r w:rsidR="00F16AE7">
              <w:rPr>
                <w:webHidden/>
              </w:rPr>
              <w:fldChar w:fldCharType="begin"/>
            </w:r>
            <w:r w:rsidR="00F16AE7">
              <w:rPr>
                <w:webHidden/>
              </w:rPr>
              <w:instrText xml:space="preserve"> PAGEREF _Toc417994600 \h </w:instrText>
            </w:r>
            <w:r w:rsidR="00F16AE7">
              <w:rPr>
                <w:webHidden/>
              </w:rPr>
            </w:r>
            <w:r w:rsidR="00F16AE7">
              <w:rPr>
                <w:webHidden/>
              </w:rPr>
              <w:fldChar w:fldCharType="separate"/>
            </w:r>
            <w:r w:rsidR="00F16AE7">
              <w:rPr>
                <w:webHidden/>
              </w:rPr>
              <w:t>3</w:t>
            </w:r>
            <w:r w:rsidR="00F16AE7">
              <w:rPr>
                <w:webHidden/>
              </w:rPr>
              <w:fldChar w:fldCharType="end"/>
            </w:r>
          </w:hyperlink>
        </w:p>
        <w:p w:rsidR="00F16AE7" w:rsidRDefault="00DA2823">
          <w:pPr>
            <w:pStyle w:val="TOC1"/>
            <w:rPr>
              <w:rFonts w:asciiTheme="minorHAnsi" w:eastAsiaTheme="minorEastAsia" w:hAnsiTheme="minorHAnsi"/>
              <w:b w:val="0"/>
              <w:color w:val="auto"/>
              <w:sz w:val="22"/>
              <w:lang w:val="en-AU" w:eastAsia="en-AU"/>
            </w:rPr>
          </w:pPr>
          <w:hyperlink w:anchor="_Toc417994601" w:history="1">
            <w:r w:rsidR="00F16AE7" w:rsidRPr="00AC1F05">
              <w:rPr>
                <w:rStyle w:val="Hyperlink"/>
              </w:rPr>
              <w:t>Shortened forms</w:t>
            </w:r>
            <w:r w:rsidR="00F16AE7">
              <w:rPr>
                <w:webHidden/>
              </w:rPr>
              <w:tab/>
            </w:r>
            <w:r w:rsidR="00F16AE7">
              <w:rPr>
                <w:webHidden/>
              </w:rPr>
              <w:fldChar w:fldCharType="begin"/>
            </w:r>
            <w:r w:rsidR="00F16AE7">
              <w:rPr>
                <w:webHidden/>
              </w:rPr>
              <w:instrText xml:space="preserve"> PAGEREF _Toc417994601 \h </w:instrText>
            </w:r>
            <w:r w:rsidR="00F16AE7">
              <w:rPr>
                <w:webHidden/>
              </w:rPr>
            </w:r>
            <w:r w:rsidR="00F16AE7">
              <w:rPr>
                <w:webHidden/>
              </w:rPr>
              <w:fldChar w:fldCharType="separate"/>
            </w:r>
            <w:r w:rsidR="00F16AE7">
              <w:rPr>
                <w:webHidden/>
              </w:rPr>
              <w:t>5</w:t>
            </w:r>
            <w:r w:rsidR="00F16AE7">
              <w:rPr>
                <w:webHidden/>
              </w:rPr>
              <w:fldChar w:fldCharType="end"/>
            </w:r>
          </w:hyperlink>
        </w:p>
        <w:p w:rsidR="00F16AE7" w:rsidRDefault="00DA2823">
          <w:pPr>
            <w:pStyle w:val="TOC1"/>
            <w:rPr>
              <w:rFonts w:asciiTheme="minorHAnsi" w:eastAsiaTheme="minorEastAsia" w:hAnsiTheme="minorHAnsi"/>
              <w:b w:val="0"/>
              <w:color w:val="auto"/>
              <w:sz w:val="22"/>
              <w:lang w:val="en-AU" w:eastAsia="en-AU"/>
            </w:rPr>
          </w:pPr>
          <w:hyperlink w:anchor="_Toc417994602" w:history="1">
            <w:r w:rsidR="00F16AE7" w:rsidRPr="00AC1F05">
              <w:rPr>
                <w:rStyle w:val="Hyperlink"/>
              </w:rPr>
              <w:t>16</w:t>
            </w:r>
            <w:r w:rsidR="00F16AE7">
              <w:rPr>
                <w:rFonts w:asciiTheme="minorHAnsi" w:eastAsiaTheme="minorEastAsia" w:hAnsiTheme="minorHAnsi"/>
                <w:b w:val="0"/>
                <w:color w:val="auto"/>
                <w:sz w:val="22"/>
                <w:lang w:val="en-AU" w:eastAsia="en-AU"/>
              </w:rPr>
              <w:tab/>
            </w:r>
            <w:r w:rsidR="00F16AE7" w:rsidRPr="00AC1F05">
              <w:rPr>
                <w:rStyle w:val="Hyperlink"/>
              </w:rPr>
              <w:t>Alternative control services</w:t>
            </w:r>
            <w:r w:rsidR="00F16AE7">
              <w:rPr>
                <w:webHidden/>
              </w:rPr>
              <w:tab/>
            </w:r>
            <w:r w:rsidR="00F16AE7">
              <w:rPr>
                <w:webHidden/>
              </w:rPr>
              <w:fldChar w:fldCharType="begin"/>
            </w:r>
            <w:r w:rsidR="00F16AE7">
              <w:rPr>
                <w:webHidden/>
              </w:rPr>
              <w:instrText xml:space="preserve"> PAGEREF _Toc417994602 \h </w:instrText>
            </w:r>
            <w:r w:rsidR="00F16AE7">
              <w:rPr>
                <w:webHidden/>
              </w:rPr>
            </w:r>
            <w:r w:rsidR="00F16AE7">
              <w:rPr>
                <w:webHidden/>
              </w:rPr>
              <w:fldChar w:fldCharType="separate"/>
            </w:r>
            <w:r w:rsidR="00F16AE7">
              <w:rPr>
                <w:webHidden/>
              </w:rPr>
              <w:t>7</w:t>
            </w:r>
            <w:r w:rsidR="00F16AE7">
              <w:rPr>
                <w:webHidden/>
              </w:rPr>
              <w:fldChar w:fldCharType="end"/>
            </w:r>
          </w:hyperlink>
        </w:p>
        <w:p w:rsidR="00F16AE7" w:rsidRDefault="00DA2823">
          <w:pPr>
            <w:pStyle w:val="TOC2"/>
            <w:tabs>
              <w:tab w:val="left" w:pos="1276"/>
            </w:tabs>
            <w:rPr>
              <w:rFonts w:asciiTheme="minorHAnsi" w:eastAsiaTheme="minorEastAsia" w:hAnsiTheme="minorHAnsi"/>
              <w:b w:val="0"/>
              <w:color w:val="auto"/>
              <w:sz w:val="22"/>
              <w:lang w:eastAsia="en-AU"/>
            </w:rPr>
          </w:pPr>
          <w:hyperlink w:anchor="_Toc417994603" w:history="1">
            <w:r w:rsidR="00F16AE7" w:rsidRPr="00AC1F05">
              <w:rPr>
                <w:rStyle w:val="Hyperlink"/>
              </w:rPr>
              <w:t>16.1</w:t>
            </w:r>
            <w:r w:rsidR="00F16AE7">
              <w:rPr>
                <w:rFonts w:asciiTheme="minorHAnsi" w:eastAsiaTheme="minorEastAsia" w:hAnsiTheme="minorHAnsi"/>
                <w:b w:val="0"/>
                <w:color w:val="auto"/>
                <w:sz w:val="22"/>
                <w:lang w:eastAsia="en-AU"/>
              </w:rPr>
              <w:tab/>
            </w:r>
            <w:r w:rsidR="00F16AE7" w:rsidRPr="00AC1F05">
              <w:rPr>
                <w:rStyle w:val="Hyperlink"/>
              </w:rPr>
              <w:t>Ancillary network services</w:t>
            </w:r>
            <w:r w:rsidR="00F16AE7">
              <w:rPr>
                <w:webHidden/>
              </w:rPr>
              <w:tab/>
            </w:r>
            <w:r w:rsidR="00F16AE7">
              <w:rPr>
                <w:webHidden/>
              </w:rPr>
              <w:fldChar w:fldCharType="begin"/>
            </w:r>
            <w:r w:rsidR="00F16AE7">
              <w:rPr>
                <w:webHidden/>
              </w:rPr>
              <w:instrText xml:space="preserve"> PAGEREF _Toc417994603 \h </w:instrText>
            </w:r>
            <w:r w:rsidR="00F16AE7">
              <w:rPr>
                <w:webHidden/>
              </w:rPr>
            </w:r>
            <w:r w:rsidR="00F16AE7">
              <w:rPr>
                <w:webHidden/>
              </w:rPr>
              <w:fldChar w:fldCharType="separate"/>
            </w:r>
            <w:r w:rsidR="00F16AE7">
              <w:rPr>
                <w:webHidden/>
              </w:rPr>
              <w:t>7</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04" w:history="1">
            <w:r w:rsidR="00F16AE7" w:rsidRPr="00AC1F05">
              <w:rPr>
                <w:rStyle w:val="Hyperlink"/>
              </w:rPr>
              <w:t>16.1.1</w:t>
            </w:r>
            <w:r w:rsidR="00F16AE7">
              <w:rPr>
                <w:rFonts w:asciiTheme="minorHAnsi" w:eastAsiaTheme="minorEastAsia" w:hAnsiTheme="minorHAnsi"/>
                <w:lang w:eastAsia="en-AU"/>
              </w:rPr>
              <w:tab/>
            </w:r>
            <w:r w:rsidR="00F16AE7" w:rsidRPr="00AC1F05">
              <w:rPr>
                <w:rStyle w:val="Hyperlink"/>
              </w:rPr>
              <w:t>Preliminary Decision</w:t>
            </w:r>
            <w:r w:rsidR="00F16AE7">
              <w:rPr>
                <w:webHidden/>
              </w:rPr>
              <w:tab/>
            </w:r>
            <w:r w:rsidR="00F16AE7">
              <w:rPr>
                <w:webHidden/>
              </w:rPr>
              <w:fldChar w:fldCharType="begin"/>
            </w:r>
            <w:r w:rsidR="00F16AE7">
              <w:rPr>
                <w:webHidden/>
              </w:rPr>
              <w:instrText xml:space="preserve"> PAGEREF _Toc417994604 \h </w:instrText>
            </w:r>
            <w:r w:rsidR="00F16AE7">
              <w:rPr>
                <w:webHidden/>
              </w:rPr>
            </w:r>
            <w:r w:rsidR="00F16AE7">
              <w:rPr>
                <w:webHidden/>
              </w:rPr>
              <w:fldChar w:fldCharType="separate"/>
            </w:r>
            <w:r w:rsidR="00F16AE7">
              <w:rPr>
                <w:webHidden/>
              </w:rPr>
              <w:t>7</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05" w:history="1">
            <w:r w:rsidR="00F16AE7" w:rsidRPr="00AC1F05">
              <w:rPr>
                <w:rStyle w:val="Hyperlink"/>
              </w:rPr>
              <w:t>Form of control</w:t>
            </w:r>
            <w:r w:rsidR="00F16AE7">
              <w:rPr>
                <w:webHidden/>
              </w:rPr>
              <w:tab/>
            </w:r>
            <w:r w:rsidR="00F16AE7">
              <w:rPr>
                <w:webHidden/>
              </w:rPr>
              <w:fldChar w:fldCharType="begin"/>
            </w:r>
            <w:r w:rsidR="00F16AE7">
              <w:rPr>
                <w:webHidden/>
              </w:rPr>
              <w:instrText xml:space="preserve"> PAGEREF _Toc417994605 \h </w:instrText>
            </w:r>
            <w:r w:rsidR="00F16AE7">
              <w:rPr>
                <w:webHidden/>
              </w:rPr>
            </w:r>
            <w:r w:rsidR="00F16AE7">
              <w:rPr>
                <w:webHidden/>
              </w:rPr>
              <w:fldChar w:fldCharType="separate"/>
            </w:r>
            <w:r w:rsidR="00F16AE7">
              <w:rPr>
                <w:webHidden/>
              </w:rPr>
              <w:t>8</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06" w:history="1">
            <w:r w:rsidR="00F16AE7" w:rsidRPr="00AC1F05">
              <w:rPr>
                <w:rStyle w:val="Hyperlink"/>
              </w:rPr>
              <w:t>Form of control—fee based services</w:t>
            </w:r>
            <w:r w:rsidR="00F16AE7">
              <w:rPr>
                <w:webHidden/>
              </w:rPr>
              <w:tab/>
            </w:r>
            <w:r w:rsidR="00F16AE7">
              <w:rPr>
                <w:webHidden/>
              </w:rPr>
              <w:fldChar w:fldCharType="begin"/>
            </w:r>
            <w:r w:rsidR="00F16AE7">
              <w:rPr>
                <w:webHidden/>
              </w:rPr>
              <w:instrText xml:space="preserve"> PAGEREF _Toc417994606 \h </w:instrText>
            </w:r>
            <w:r w:rsidR="00F16AE7">
              <w:rPr>
                <w:webHidden/>
              </w:rPr>
            </w:r>
            <w:r w:rsidR="00F16AE7">
              <w:rPr>
                <w:webHidden/>
              </w:rPr>
              <w:fldChar w:fldCharType="separate"/>
            </w:r>
            <w:r w:rsidR="00F16AE7">
              <w:rPr>
                <w:webHidden/>
              </w:rPr>
              <w:t>8</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07" w:history="1">
            <w:r w:rsidR="00F16AE7" w:rsidRPr="00AC1F05">
              <w:rPr>
                <w:rStyle w:val="Hyperlink"/>
              </w:rPr>
              <w:t>Form of control—quoted services</w:t>
            </w:r>
            <w:r w:rsidR="00F16AE7">
              <w:rPr>
                <w:webHidden/>
              </w:rPr>
              <w:tab/>
            </w:r>
            <w:r w:rsidR="00F16AE7">
              <w:rPr>
                <w:webHidden/>
              </w:rPr>
              <w:fldChar w:fldCharType="begin"/>
            </w:r>
            <w:r w:rsidR="00F16AE7">
              <w:rPr>
                <w:webHidden/>
              </w:rPr>
              <w:instrText xml:space="preserve"> PAGEREF _Toc417994607 \h </w:instrText>
            </w:r>
            <w:r w:rsidR="00F16AE7">
              <w:rPr>
                <w:webHidden/>
              </w:rPr>
            </w:r>
            <w:r w:rsidR="00F16AE7">
              <w:rPr>
                <w:webHidden/>
              </w:rPr>
              <w:fldChar w:fldCharType="separate"/>
            </w:r>
            <w:r w:rsidR="00F16AE7">
              <w:rPr>
                <w:webHidden/>
              </w:rPr>
              <w:t>9</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08" w:history="1">
            <w:r w:rsidR="00F16AE7" w:rsidRPr="00AC1F05">
              <w:rPr>
                <w:rStyle w:val="Hyperlink"/>
              </w:rPr>
              <w:t>16.1.2</w:t>
            </w:r>
            <w:r w:rsidR="00F16AE7">
              <w:rPr>
                <w:rFonts w:asciiTheme="minorHAnsi" w:eastAsiaTheme="minorEastAsia" w:hAnsiTheme="minorHAnsi"/>
                <w:lang w:eastAsia="en-AU"/>
              </w:rPr>
              <w:tab/>
            </w:r>
            <w:r w:rsidR="00F16AE7" w:rsidRPr="00AC1F05">
              <w:rPr>
                <w:rStyle w:val="Hyperlink"/>
              </w:rPr>
              <w:t>Ergon Energy's proposal</w:t>
            </w:r>
            <w:r w:rsidR="00F16AE7">
              <w:rPr>
                <w:webHidden/>
              </w:rPr>
              <w:tab/>
            </w:r>
            <w:r w:rsidR="00F16AE7">
              <w:rPr>
                <w:webHidden/>
              </w:rPr>
              <w:fldChar w:fldCharType="begin"/>
            </w:r>
            <w:r w:rsidR="00F16AE7">
              <w:rPr>
                <w:webHidden/>
              </w:rPr>
              <w:instrText xml:space="preserve"> PAGEREF _Toc417994608 \h </w:instrText>
            </w:r>
            <w:r w:rsidR="00F16AE7">
              <w:rPr>
                <w:webHidden/>
              </w:rPr>
            </w:r>
            <w:r w:rsidR="00F16AE7">
              <w:rPr>
                <w:webHidden/>
              </w:rPr>
              <w:fldChar w:fldCharType="separate"/>
            </w:r>
            <w:r w:rsidR="00F16AE7">
              <w:rPr>
                <w:webHidden/>
              </w:rPr>
              <w:t>9</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09" w:history="1">
            <w:r w:rsidR="00F16AE7" w:rsidRPr="00AC1F05">
              <w:rPr>
                <w:rStyle w:val="Hyperlink"/>
              </w:rPr>
              <w:t>16.1.3</w:t>
            </w:r>
            <w:r w:rsidR="00F16AE7">
              <w:rPr>
                <w:rFonts w:asciiTheme="minorHAnsi" w:eastAsiaTheme="minorEastAsia" w:hAnsiTheme="minorHAnsi"/>
                <w:lang w:eastAsia="en-AU"/>
              </w:rPr>
              <w:tab/>
            </w:r>
            <w:r w:rsidR="00F16AE7" w:rsidRPr="00AC1F05">
              <w:rPr>
                <w:rStyle w:val="Hyperlink"/>
              </w:rPr>
              <w:t>Assessment approach</w:t>
            </w:r>
            <w:r w:rsidR="00F16AE7">
              <w:rPr>
                <w:webHidden/>
              </w:rPr>
              <w:tab/>
            </w:r>
            <w:r w:rsidR="00F16AE7">
              <w:rPr>
                <w:webHidden/>
              </w:rPr>
              <w:fldChar w:fldCharType="begin"/>
            </w:r>
            <w:r w:rsidR="00F16AE7">
              <w:rPr>
                <w:webHidden/>
              </w:rPr>
              <w:instrText xml:space="preserve"> PAGEREF _Toc417994609 \h </w:instrText>
            </w:r>
            <w:r w:rsidR="00F16AE7">
              <w:rPr>
                <w:webHidden/>
              </w:rPr>
            </w:r>
            <w:r w:rsidR="00F16AE7">
              <w:rPr>
                <w:webHidden/>
              </w:rPr>
              <w:fldChar w:fldCharType="separate"/>
            </w:r>
            <w:r w:rsidR="00F16AE7">
              <w:rPr>
                <w:webHidden/>
              </w:rPr>
              <w:t>10</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0" w:history="1">
            <w:r w:rsidR="00F16AE7" w:rsidRPr="00AC1F05">
              <w:rPr>
                <w:rStyle w:val="Hyperlink"/>
              </w:rPr>
              <w:t>16.1.4</w:t>
            </w:r>
            <w:r w:rsidR="00F16AE7">
              <w:rPr>
                <w:rFonts w:asciiTheme="minorHAnsi" w:eastAsiaTheme="minorEastAsia" w:hAnsiTheme="minorHAnsi"/>
                <w:lang w:eastAsia="en-AU"/>
              </w:rPr>
              <w:tab/>
            </w:r>
            <w:r w:rsidR="00F16AE7" w:rsidRPr="00AC1F05">
              <w:rPr>
                <w:rStyle w:val="Hyperlink"/>
              </w:rPr>
              <w:t>Reasons for preliminary decision</w:t>
            </w:r>
            <w:r w:rsidR="00F16AE7">
              <w:rPr>
                <w:webHidden/>
              </w:rPr>
              <w:tab/>
            </w:r>
            <w:r w:rsidR="00F16AE7">
              <w:rPr>
                <w:webHidden/>
              </w:rPr>
              <w:fldChar w:fldCharType="begin"/>
            </w:r>
            <w:r w:rsidR="00F16AE7">
              <w:rPr>
                <w:webHidden/>
              </w:rPr>
              <w:instrText xml:space="preserve"> PAGEREF _Toc417994610 \h </w:instrText>
            </w:r>
            <w:r w:rsidR="00F16AE7">
              <w:rPr>
                <w:webHidden/>
              </w:rPr>
            </w:r>
            <w:r w:rsidR="00F16AE7">
              <w:rPr>
                <w:webHidden/>
              </w:rPr>
              <w:fldChar w:fldCharType="separate"/>
            </w:r>
            <w:r w:rsidR="00F16AE7">
              <w:rPr>
                <w:webHidden/>
              </w:rPr>
              <w:t>11</w:t>
            </w:r>
            <w:r w:rsidR="00F16AE7">
              <w:rPr>
                <w:webHidden/>
              </w:rPr>
              <w:fldChar w:fldCharType="end"/>
            </w:r>
          </w:hyperlink>
        </w:p>
        <w:p w:rsidR="00F16AE7" w:rsidRDefault="00DA2823">
          <w:pPr>
            <w:pStyle w:val="TOC2"/>
            <w:tabs>
              <w:tab w:val="left" w:pos="1276"/>
            </w:tabs>
            <w:rPr>
              <w:rFonts w:asciiTheme="minorHAnsi" w:eastAsiaTheme="minorEastAsia" w:hAnsiTheme="minorHAnsi"/>
              <w:b w:val="0"/>
              <w:color w:val="auto"/>
              <w:sz w:val="22"/>
              <w:lang w:eastAsia="en-AU"/>
            </w:rPr>
          </w:pPr>
          <w:hyperlink w:anchor="_Toc417994611" w:history="1">
            <w:r w:rsidR="00F16AE7" w:rsidRPr="00AC1F05">
              <w:rPr>
                <w:rStyle w:val="Hyperlink"/>
              </w:rPr>
              <w:t>16.2</w:t>
            </w:r>
            <w:r w:rsidR="00F16AE7">
              <w:rPr>
                <w:rFonts w:asciiTheme="minorHAnsi" w:eastAsiaTheme="minorEastAsia" w:hAnsiTheme="minorHAnsi"/>
                <w:b w:val="0"/>
                <w:color w:val="auto"/>
                <w:sz w:val="22"/>
                <w:lang w:eastAsia="en-AU"/>
              </w:rPr>
              <w:tab/>
            </w:r>
            <w:r w:rsidR="00F16AE7" w:rsidRPr="00AC1F05">
              <w:rPr>
                <w:rStyle w:val="Hyperlink"/>
              </w:rPr>
              <w:t>Metering</w:t>
            </w:r>
            <w:r w:rsidR="00F16AE7">
              <w:rPr>
                <w:webHidden/>
              </w:rPr>
              <w:tab/>
            </w:r>
            <w:r w:rsidR="00F16AE7">
              <w:rPr>
                <w:webHidden/>
              </w:rPr>
              <w:fldChar w:fldCharType="begin"/>
            </w:r>
            <w:r w:rsidR="00F16AE7">
              <w:rPr>
                <w:webHidden/>
              </w:rPr>
              <w:instrText xml:space="preserve"> PAGEREF _Toc417994611 \h </w:instrText>
            </w:r>
            <w:r w:rsidR="00F16AE7">
              <w:rPr>
                <w:webHidden/>
              </w:rPr>
            </w:r>
            <w:r w:rsidR="00F16AE7">
              <w:rPr>
                <w:webHidden/>
              </w:rPr>
              <w:fldChar w:fldCharType="separate"/>
            </w:r>
            <w:r w:rsidR="00F16AE7">
              <w:rPr>
                <w:webHidden/>
              </w:rPr>
              <w:t>18</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2" w:history="1">
            <w:r w:rsidR="00F16AE7" w:rsidRPr="00AC1F05">
              <w:rPr>
                <w:rStyle w:val="Hyperlink"/>
              </w:rPr>
              <w:t>16.2.1</w:t>
            </w:r>
            <w:r w:rsidR="00F16AE7">
              <w:rPr>
                <w:rFonts w:asciiTheme="minorHAnsi" w:eastAsiaTheme="minorEastAsia" w:hAnsiTheme="minorHAnsi"/>
                <w:lang w:eastAsia="en-AU"/>
              </w:rPr>
              <w:tab/>
            </w:r>
            <w:r w:rsidR="00F16AE7" w:rsidRPr="00AC1F05">
              <w:rPr>
                <w:rStyle w:val="Hyperlink"/>
              </w:rPr>
              <w:t>Preliminary decision</w:t>
            </w:r>
            <w:r w:rsidR="00F16AE7">
              <w:rPr>
                <w:webHidden/>
              </w:rPr>
              <w:tab/>
            </w:r>
            <w:r w:rsidR="00F16AE7">
              <w:rPr>
                <w:webHidden/>
              </w:rPr>
              <w:fldChar w:fldCharType="begin"/>
            </w:r>
            <w:r w:rsidR="00F16AE7">
              <w:rPr>
                <w:webHidden/>
              </w:rPr>
              <w:instrText xml:space="preserve"> PAGEREF _Toc417994612 \h </w:instrText>
            </w:r>
            <w:r w:rsidR="00F16AE7">
              <w:rPr>
                <w:webHidden/>
              </w:rPr>
            </w:r>
            <w:r w:rsidR="00F16AE7">
              <w:rPr>
                <w:webHidden/>
              </w:rPr>
              <w:fldChar w:fldCharType="separate"/>
            </w:r>
            <w:r w:rsidR="00F16AE7">
              <w:rPr>
                <w:webHidden/>
              </w:rPr>
              <w:t>20</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3" w:history="1">
            <w:r w:rsidR="00F16AE7" w:rsidRPr="00AC1F05">
              <w:rPr>
                <w:rStyle w:val="Hyperlink"/>
              </w:rPr>
              <w:t>16.2.2</w:t>
            </w:r>
            <w:r w:rsidR="00F16AE7">
              <w:rPr>
                <w:rFonts w:asciiTheme="minorHAnsi" w:eastAsiaTheme="minorEastAsia" w:hAnsiTheme="minorHAnsi"/>
                <w:lang w:eastAsia="en-AU"/>
              </w:rPr>
              <w:tab/>
            </w:r>
            <w:r w:rsidR="00F16AE7" w:rsidRPr="00AC1F05">
              <w:rPr>
                <w:rStyle w:val="Hyperlink"/>
              </w:rPr>
              <w:t>Ergon Energy's proposal</w:t>
            </w:r>
            <w:r w:rsidR="00F16AE7">
              <w:rPr>
                <w:webHidden/>
              </w:rPr>
              <w:tab/>
            </w:r>
            <w:r w:rsidR="00F16AE7">
              <w:rPr>
                <w:webHidden/>
              </w:rPr>
              <w:fldChar w:fldCharType="begin"/>
            </w:r>
            <w:r w:rsidR="00F16AE7">
              <w:rPr>
                <w:webHidden/>
              </w:rPr>
              <w:instrText xml:space="preserve"> PAGEREF _Toc417994613 \h </w:instrText>
            </w:r>
            <w:r w:rsidR="00F16AE7">
              <w:rPr>
                <w:webHidden/>
              </w:rPr>
            </w:r>
            <w:r w:rsidR="00F16AE7">
              <w:rPr>
                <w:webHidden/>
              </w:rPr>
              <w:fldChar w:fldCharType="separate"/>
            </w:r>
            <w:r w:rsidR="00F16AE7">
              <w:rPr>
                <w:webHidden/>
              </w:rPr>
              <w:t>25</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4" w:history="1">
            <w:r w:rsidR="00F16AE7" w:rsidRPr="00AC1F05">
              <w:rPr>
                <w:rStyle w:val="Hyperlink"/>
              </w:rPr>
              <w:t>16.2.3</w:t>
            </w:r>
            <w:r w:rsidR="00F16AE7">
              <w:rPr>
                <w:rFonts w:asciiTheme="minorHAnsi" w:eastAsiaTheme="minorEastAsia" w:hAnsiTheme="minorHAnsi"/>
                <w:lang w:eastAsia="en-AU"/>
              </w:rPr>
              <w:tab/>
            </w:r>
            <w:r w:rsidR="00F16AE7" w:rsidRPr="00AC1F05">
              <w:rPr>
                <w:rStyle w:val="Hyperlink"/>
              </w:rPr>
              <w:t>AER's assessment approach</w:t>
            </w:r>
            <w:r w:rsidR="00F16AE7">
              <w:rPr>
                <w:webHidden/>
              </w:rPr>
              <w:tab/>
            </w:r>
            <w:r w:rsidR="00F16AE7">
              <w:rPr>
                <w:webHidden/>
              </w:rPr>
              <w:fldChar w:fldCharType="begin"/>
            </w:r>
            <w:r w:rsidR="00F16AE7">
              <w:rPr>
                <w:webHidden/>
              </w:rPr>
              <w:instrText xml:space="preserve"> PAGEREF _Toc417994614 \h </w:instrText>
            </w:r>
            <w:r w:rsidR="00F16AE7">
              <w:rPr>
                <w:webHidden/>
              </w:rPr>
            </w:r>
            <w:r w:rsidR="00F16AE7">
              <w:rPr>
                <w:webHidden/>
              </w:rPr>
              <w:fldChar w:fldCharType="separate"/>
            </w:r>
            <w:r w:rsidR="00F16AE7">
              <w:rPr>
                <w:webHidden/>
              </w:rPr>
              <w:t>27</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5" w:history="1">
            <w:r w:rsidR="00F16AE7" w:rsidRPr="00AC1F05">
              <w:rPr>
                <w:rStyle w:val="Hyperlink"/>
              </w:rPr>
              <w:t>16.2.4</w:t>
            </w:r>
            <w:r w:rsidR="00F16AE7">
              <w:rPr>
                <w:rFonts w:asciiTheme="minorHAnsi" w:eastAsiaTheme="minorEastAsia" w:hAnsiTheme="minorHAnsi"/>
                <w:lang w:eastAsia="en-AU"/>
              </w:rPr>
              <w:tab/>
            </w:r>
            <w:r w:rsidR="00F16AE7" w:rsidRPr="00AC1F05">
              <w:rPr>
                <w:rStyle w:val="Hyperlink"/>
              </w:rPr>
              <w:t>Interrelationships</w:t>
            </w:r>
            <w:r w:rsidR="00F16AE7">
              <w:rPr>
                <w:webHidden/>
              </w:rPr>
              <w:tab/>
            </w:r>
            <w:r w:rsidR="00F16AE7">
              <w:rPr>
                <w:webHidden/>
              </w:rPr>
              <w:fldChar w:fldCharType="begin"/>
            </w:r>
            <w:r w:rsidR="00F16AE7">
              <w:rPr>
                <w:webHidden/>
              </w:rPr>
              <w:instrText xml:space="preserve"> PAGEREF _Toc417994615 \h </w:instrText>
            </w:r>
            <w:r w:rsidR="00F16AE7">
              <w:rPr>
                <w:webHidden/>
              </w:rPr>
            </w:r>
            <w:r w:rsidR="00F16AE7">
              <w:rPr>
                <w:webHidden/>
              </w:rPr>
              <w:fldChar w:fldCharType="separate"/>
            </w:r>
            <w:r w:rsidR="00F16AE7">
              <w:rPr>
                <w:webHidden/>
              </w:rPr>
              <w:t>32</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6" w:history="1">
            <w:r w:rsidR="00F16AE7" w:rsidRPr="00AC1F05">
              <w:rPr>
                <w:rStyle w:val="Hyperlink"/>
              </w:rPr>
              <w:t>16.2.5</w:t>
            </w:r>
            <w:r w:rsidR="00F16AE7">
              <w:rPr>
                <w:rFonts w:asciiTheme="minorHAnsi" w:eastAsiaTheme="minorEastAsia" w:hAnsiTheme="minorHAnsi"/>
                <w:lang w:eastAsia="en-AU"/>
              </w:rPr>
              <w:tab/>
            </w:r>
            <w:r w:rsidR="00F16AE7" w:rsidRPr="00AC1F05">
              <w:rPr>
                <w:rStyle w:val="Hyperlink"/>
              </w:rPr>
              <w:t>Reasons for preliminary decision</w:t>
            </w:r>
            <w:r w:rsidR="00F16AE7">
              <w:rPr>
                <w:webHidden/>
              </w:rPr>
              <w:tab/>
            </w:r>
            <w:r w:rsidR="00F16AE7">
              <w:rPr>
                <w:webHidden/>
              </w:rPr>
              <w:fldChar w:fldCharType="begin"/>
            </w:r>
            <w:r w:rsidR="00F16AE7">
              <w:rPr>
                <w:webHidden/>
              </w:rPr>
              <w:instrText xml:space="preserve"> PAGEREF _Toc417994616 \h </w:instrText>
            </w:r>
            <w:r w:rsidR="00F16AE7">
              <w:rPr>
                <w:webHidden/>
              </w:rPr>
            </w:r>
            <w:r w:rsidR="00F16AE7">
              <w:rPr>
                <w:webHidden/>
              </w:rPr>
              <w:fldChar w:fldCharType="separate"/>
            </w:r>
            <w:r w:rsidR="00F16AE7">
              <w:rPr>
                <w:webHidden/>
              </w:rPr>
              <w:t>32</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7" w:history="1">
            <w:r w:rsidR="00F16AE7" w:rsidRPr="00AC1F05">
              <w:rPr>
                <w:rStyle w:val="Hyperlink"/>
              </w:rPr>
              <w:t>16.2.6</w:t>
            </w:r>
            <w:r w:rsidR="00F16AE7">
              <w:rPr>
                <w:rFonts w:asciiTheme="minorHAnsi" w:eastAsiaTheme="minorEastAsia" w:hAnsiTheme="minorHAnsi"/>
                <w:lang w:eastAsia="en-AU"/>
              </w:rPr>
              <w:tab/>
            </w:r>
            <w:r w:rsidR="00F16AE7" w:rsidRPr="00AC1F05">
              <w:rPr>
                <w:rStyle w:val="Hyperlink"/>
              </w:rPr>
              <w:t>Control mechanism</w:t>
            </w:r>
            <w:r w:rsidR="00F16AE7">
              <w:rPr>
                <w:webHidden/>
              </w:rPr>
              <w:tab/>
            </w:r>
            <w:r w:rsidR="00F16AE7">
              <w:rPr>
                <w:webHidden/>
              </w:rPr>
              <w:fldChar w:fldCharType="begin"/>
            </w:r>
            <w:r w:rsidR="00F16AE7">
              <w:rPr>
                <w:webHidden/>
              </w:rPr>
              <w:instrText xml:space="preserve"> PAGEREF _Toc417994617 \h </w:instrText>
            </w:r>
            <w:r w:rsidR="00F16AE7">
              <w:rPr>
                <w:webHidden/>
              </w:rPr>
            </w:r>
            <w:r w:rsidR="00F16AE7">
              <w:rPr>
                <w:webHidden/>
              </w:rPr>
              <w:fldChar w:fldCharType="separate"/>
            </w:r>
            <w:r w:rsidR="00F16AE7">
              <w:rPr>
                <w:webHidden/>
              </w:rPr>
              <w:t>54</w:t>
            </w:r>
            <w:r w:rsidR="00F16AE7">
              <w:rPr>
                <w:webHidden/>
              </w:rPr>
              <w:fldChar w:fldCharType="end"/>
            </w:r>
          </w:hyperlink>
        </w:p>
        <w:p w:rsidR="00F16AE7" w:rsidRDefault="00DA2823">
          <w:pPr>
            <w:pStyle w:val="TOC2"/>
            <w:tabs>
              <w:tab w:val="left" w:pos="1276"/>
            </w:tabs>
            <w:rPr>
              <w:rFonts w:asciiTheme="minorHAnsi" w:eastAsiaTheme="minorEastAsia" w:hAnsiTheme="minorHAnsi"/>
              <w:b w:val="0"/>
              <w:color w:val="auto"/>
              <w:sz w:val="22"/>
              <w:lang w:eastAsia="en-AU"/>
            </w:rPr>
          </w:pPr>
          <w:hyperlink w:anchor="_Toc417994618" w:history="1">
            <w:r w:rsidR="00F16AE7" w:rsidRPr="00AC1F05">
              <w:rPr>
                <w:rStyle w:val="Hyperlink"/>
              </w:rPr>
              <w:t>16.3</w:t>
            </w:r>
            <w:r w:rsidR="00F16AE7">
              <w:rPr>
                <w:rFonts w:asciiTheme="minorHAnsi" w:eastAsiaTheme="minorEastAsia" w:hAnsiTheme="minorHAnsi"/>
                <w:b w:val="0"/>
                <w:color w:val="auto"/>
                <w:sz w:val="22"/>
                <w:lang w:eastAsia="en-AU"/>
              </w:rPr>
              <w:tab/>
            </w:r>
            <w:r w:rsidR="00F16AE7" w:rsidRPr="00AC1F05">
              <w:rPr>
                <w:rStyle w:val="Hyperlink"/>
              </w:rPr>
              <w:t>Public Lighting</w:t>
            </w:r>
            <w:r w:rsidR="00F16AE7">
              <w:rPr>
                <w:webHidden/>
              </w:rPr>
              <w:tab/>
            </w:r>
            <w:r w:rsidR="00F16AE7">
              <w:rPr>
                <w:webHidden/>
              </w:rPr>
              <w:fldChar w:fldCharType="begin"/>
            </w:r>
            <w:r w:rsidR="00F16AE7">
              <w:rPr>
                <w:webHidden/>
              </w:rPr>
              <w:instrText xml:space="preserve"> PAGEREF _Toc417994618 \h </w:instrText>
            </w:r>
            <w:r w:rsidR="00F16AE7">
              <w:rPr>
                <w:webHidden/>
              </w:rPr>
            </w:r>
            <w:r w:rsidR="00F16AE7">
              <w:rPr>
                <w:webHidden/>
              </w:rPr>
              <w:fldChar w:fldCharType="separate"/>
            </w:r>
            <w:r w:rsidR="00F16AE7">
              <w:rPr>
                <w:webHidden/>
              </w:rPr>
              <w:t>54</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19" w:history="1">
            <w:r w:rsidR="00F16AE7" w:rsidRPr="00AC1F05">
              <w:rPr>
                <w:rStyle w:val="Hyperlink"/>
              </w:rPr>
              <w:t>16.3.1</w:t>
            </w:r>
            <w:r w:rsidR="00F16AE7">
              <w:rPr>
                <w:rFonts w:asciiTheme="minorHAnsi" w:eastAsiaTheme="minorEastAsia" w:hAnsiTheme="minorHAnsi"/>
                <w:lang w:eastAsia="en-AU"/>
              </w:rPr>
              <w:tab/>
            </w:r>
            <w:r w:rsidR="00F16AE7" w:rsidRPr="00AC1F05">
              <w:rPr>
                <w:rStyle w:val="Hyperlink"/>
              </w:rPr>
              <w:t>Preliminary decision</w:t>
            </w:r>
            <w:r w:rsidR="00F16AE7">
              <w:rPr>
                <w:webHidden/>
              </w:rPr>
              <w:tab/>
            </w:r>
            <w:r w:rsidR="00F16AE7">
              <w:rPr>
                <w:webHidden/>
              </w:rPr>
              <w:fldChar w:fldCharType="begin"/>
            </w:r>
            <w:r w:rsidR="00F16AE7">
              <w:rPr>
                <w:webHidden/>
              </w:rPr>
              <w:instrText xml:space="preserve"> PAGEREF _Toc417994619 \h </w:instrText>
            </w:r>
            <w:r w:rsidR="00F16AE7">
              <w:rPr>
                <w:webHidden/>
              </w:rPr>
            </w:r>
            <w:r w:rsidR="00F16AE7">
              <w:rPr>
                <w:webHidden/>
              </w:rPr>
              <w:fldChar w:fldCharType="separate"/>
            </w:r>
            <w:r w:rsidR="00F16AE7">
              <w:rPr>
                <w:webHidden/>
              </w:rPr>
              <w:t>54</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20" w:history="1">
            <w:r w:rsidR="00F16AE7" w:rsidRPr="00AC1F05">
              <w:rPr>
                <w:rStyle w:val="Hyperlink"/>
              </w:rPr>
              <w:t>Form of control</w:t>
            </w:r>
            <w:r w:rsidR="00F16AE7">
              <w:rPr>
                <w:webHidden/>
              </w:rPr>
              <w:tab/>
            </w:r>
            <w:r w:rsidR="00F16AE7">
              <w:rPr>
                <w:webHidden/>
              </w:rPr>
              <w:fldChar w:fldCharType="begin"/>
            </w:r>
            <w:r w:rsidR="00F16AE7">
              <w:rPr>
                <w:webHidden/>
              </w:rPr>
              <w:instrText xml:space="preserve"> PAGEREF _Toc417994620 \h </w:instrText>
            </w:r>
            <w:r w:rsidR="00F16AE7">
              <w:rPr>
                <w:webHidden/>
              </w:rPr>
            </w:r>
            <w:r w:rsidR="00F16AE7">
              <w:rPr>
                <w:webHidden/>
              </w:rPr>
              <w:fldChar w:fldCharType="separate"/>
            </w:r>
            <w:r w:rsidR="00F16AE7">
              <w:rPr>
                <w:webHidden/>
              </w:rPr>
              <w:t>55</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21" w:history="1">
            <w:r w:rsidR="00F16AE7" w:rsidRPr="00AC1F05">
              <w:rPr>
                <w:rStyle w:val="Hyperlink"/>
              </w:rPr>
              <w:t>16.3.2</w:t>
            </w:r>
            <w:r w:rsidR="00F16AE7">
              <w:rPr>
                <w:rFonts w:asciiTheme="minorHAnsi" w:eastAsiaTheme="minorEastAsia" w:hAnsiTheme="minorHAnsi"/>
                <w:lang w:eastAsia="en-AU"/>
              </w:rPr>
              <w:tab/>
            </w:r>
            <w:r w:rsidR="00F16AE7" w:rsidRPr="00AC1F05">
              <w:rPr>
                <w:rStyle w:val="Hyperlink"/>
              </w:rPr>
              <w:t>Ergon Energy's proposal</w:t>
            </w:r>
            <w:r w:rsidR="00F16AE7">
              <w:rPr>
                <w:webHidden/>
              </w:rPr>
              <w:tab/>
            </w:r>
            <w:r w:rsidR="00F16AE7">
              <w:rPr>
                <w:webHidden/>
              </w:rPr>
              <w:fldChar w:fldCharType="begin"/>
            </w:r>
            <w:r w:rsidR="00F16AE7">
              <w:rPr>
                <w:webHidden/>
              </w:rPr>
              <w:instrText xml:space="preserve"> PAGEREF _Toc417994621 \h </w:instrText>
            </w:r>
            <w:r w:rsidR="00F16AE7">
              <w:rPr>
                <w:webHidden/>
              </w:rPr>
            </w:r>
            <w:r w:rsidR="00F16AE7">
              <w:rPr>
                <w:webHidden/>
              </w:rPr>
              <w:fldChar w:fldCharType="separate"/>
            </w:r>
            <w:r w:rsidR="00F16AE7">
              <w:rPr>
                <w:webHidden/>
              </w:rPr>
              <w:t>55</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22" w:history="1">
            <w:r w:rsidR="00F16AE7" w:rsidRPr="00AC1F05">
              <w:rPr>
                <w:rStyle w:val="Hyperlink"/>
              </w:rPr>
              <w:t>16.3.3</w:t>
            </w:r>
            <w:r w:rsidR="00F16AE7">
              <w:rPr>
                <w:rFonts w:asciiTheme="minorHAnsi" w:eastAsiaTheme="minorEastAsia" w:hAnsiTheme="minorHAnsi"/>
                <w:lang w:eastAsia="en-AU"/>
              </w:rPr>
              <w:tab/>
            </w:r>
            <w:r w:rsidR="00F16AE7" w:rsidRPr="00AC1F05">
              <w:rPr>
                <w:rStyle w:val="Hyperlink"/>
              </w:rPr>
              <w:t>Assessment approach</w:t>
            </w:r>
            <w:r w:rsidR="00F16AE7">
              <w:rPr>
                <w:webHidden/>
              </w:rPr>
              <w:tab/>
            </w:r>
            <w:r w:rsidR="00F16AE7">
              <w:rPr>
                <w:webHidden/>
              </w:rPr>
              <w:fldChar w:fldCharType="begin"/>
            </w:r>
            <w:r w:rsidR="00F16AE7">
              <w:rPr>
                <w:webHidden/>
              </w:rPr>
              <w:instrText xml:space="preserve"> PAGEREF _Toc417994622 \h </w:instrText>
            </w:r>
            <w:r w:rsidR="00F16AE7">
              <w:rPr>
                <w:webHidden/>
              </w:rPr>
            </w:r>
            <w:r w:rsidR="00F16AE7">
              <w:rPr>
                <w:webHidden/>
              </w:rPr>
              <w:fldChar w:fldCharType="separate"/>
            </w:r>
            <w:r w:rsidR="00F16AE7">
              <w:rPr>
                <w:webHidden/>
              </w:rPr>
              <w:t>56</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23" w:history="1">
            <w:r w:rsidR="00F16AE7" w:rsidRPr="00AC1F05">
              <w:rPr>
                <w:rStyle w:val="Hyperlink"/>
              </w:rPr>
              <w:t>16.3.4</w:t>
            </w:r>
            <w:r w:rsidR="00F16AE7">
              <w:rPr>
                <w:rFonts w:asciiTheme="minorHAnsi" w:eastAsiaTheme="minorEastAsia" w:hAnsiTheme="minorHAnsi"/>
                <w:lang w:eastAsia="en-AU"/>
              </w:rPr>
              <w:tab/>
            </w:r>
            <w:r w:rsidR="00F16AE7" w:rsidRPr="00AC1F05">
              <w:rPr>
                <w:rStyle w:val="Hyperlink"/>
              </w:rPr>
              <w:t>Submissions</w:t>
            </w:r>
            <w:r w:rsidR="00F16AE7">
              <w:rPr>
                <w:webHidden/>
              </w:rPr>
              <w:tab/>
            </w:r>
            <w:r w:rsidR="00F16AE7">
              <w:rPr>
                <w:webHidden/>
              </w:rPr>
              <w:fldChar w:fldCharType="begin"/>
            </w:r>
            <w:r w:rsidR="00F16AE7">
              <w:rPr>
                <w:webHidden/>
              </w:rPr>
              <w:instrText xml:space="preserve"> PAGEREF _Toc417994623 \h </w:instrText>
            </w:r>
            <w:r w:rsidR="00F16AE7">
              <w:rPr>
                <w:webHidden/>
              </w:rPr>
            </w:r>
            <w:r w:rsidR="00F16AE7">
              <w:rPr>
                <w:webHidden/>
              </w:rPr>
              <w:fldChar w:fldCharType="separate"/>
            </w:r>
            <w:r w:rsidR="00F16AE7">
              <w:rPr>
                <w:webHidden/>
              </w:rPr>
              <w:t>56</w:t>
            </w:r>
            <w:r w:rsidR="00F16AE7">
              <w:rPr>
                <w:webHidden/>
              </w:rPr>
              <w:fldChar w:fldCharType="end"/>
            </w:r>
          </w:hyperlink>
        </w:p>
        <w:p w:rsidR="00F16AE7" w:rsidRDefault="00DA2823">
          <w:pPr>
            <w:pStyle w:val="TOC3"/>
            <w:rPr>
              <w:rFonts w:asciiTheme="minorHAnsi" w:eastAsiaTheme="minorEastAsia" w:hAnsiTheme="minorHAnsi"/>
              <w:lang w:eastAsia="en-AU"/>
            </w:rPr>
          </w:pPr>
          <w:hyperlink w:anchor="_Toc417994624" w:history="1">
            <w:r w:rsidR="00F16AE7" w:rsidRPr="00AC1F05">
              <w:rPr>
                <w:rStyle w:val="Hyperlink"/>
              </w:rPr>
              <w:t>16.3.5</w:t>
            </w:r>
            <w:r w:rsidR="00F16AE7">
              <w:rPr>
                <w:rFonts w:asciiTheme="minorHAnsi" w:eastAsiaTheme="minorEastAsia" w:hAnsiTheme="minorHAnsi"/>
                <w:lang w:eastAsia="en-AU"/>
              </w:rPr>
              <w:tab/>
            </w:r>
            <w:r w:rsidR="00F16AE7" w:rsidRPr="00AC1F05">
              <w:rPr>
                <w:rStyle w:val="Hyperlink"/>
              </w:rPr>
              <w:t>Reasons for preliminary decision</w:t>
            </w:r>
            <w:r w:rsidR="00F16AE7">
              <w:rPr>
                <w:webHidden/>
              </w:rPr>
              <w:tab/>
            </w:r>
            <w:r w:rsidR="00F16AE7">
              <w:rPr>
                <w:webHidden/>
              </w:rPr>
              <w:fldChar w:fldCharType="begin"/>
            </w:r>
            <w:r w:rsidR="00F16AE7">
              <w:rPr>
                <w:webHidden/>
              </w:rPr>
              <w:instrText xml:space="preserve"> PAGEREF _Toc417994624 \h </w:instrText>
            </w:r>
            <w:r w:rsidR="00F16AE7">
              <w:rPr>
                <w:webHidden/>
              </w:rPr>
            </w:r>
            <w:r w:rsidR="00F16AE7">
              <w:rPr>
                <w:webHidden/>
              </w:rPr>
              <w:fldChar w:fldCharType="separate"/>
            </w:r>
            <w:r w:rsidR="00F16AE7">
              <w:rPr>
                <w:webHidden/>
              </w:rPr>
              <w:t>57</w:t>
            </w:r>
            <w:r w:rsidR="00F16AE7">
              <w:rPr>
                <w:webHidden/>
              </w:rPr>
              <w:fldChar w:fldCharType="end"/>
            </w:r>
          </w:hyperlink>
        </w:p>
        <w:p w:rsidR="00F16AE7" w:rsidRDefault="00DA2823">
          <w:pPr>
            <w:pStyle w:val="TOC1"/>
            <w:rPr>
              <w:rFonts w:asciiTheme="minorHAnsi" w:eastAsiaTheme="minorEastAsia" w:hAnsiTheme="minorHAnsi"/>
              <w:b w:val="0"/>
              <w:color w:val="auto"/>
              <w:sz w:val="22"/>
              <w:lang w:val="en-AU" w:eastAsia="en-AU"/>
            </w:rPr>
          </w:pPr>
          <w:hyperlink w:anchor="_Toc417994625" w:history="1">
            <w:r w:rsidR="00F16AE7" w:rsidRPr="00AC1F05">
              <w:rPr>
                <w:rStyle w:val="Hyperlink"/>
              </w:rPr>
              <w:t>A</w:t>
            </w:r>
            <w:r w:rsidR="00F16AE7">
              <w:rPr>
                <w:rFonts w:asciiTheme="minorHAnsi" w:eastAsiaTheme="minorEastAsia" w:hAnsiTheme="minorHAnsi"/>
                <w:b w:val="0"/>
                <w:color w:val="auto"/>
                <w:sz w:val="22"/>
                <w:lang w:val="en-AU" w:eastAsia="en-AU"/>
              </w:rPr>
              <w:tab/>
            </w:r>
            <w:r w:rsidR="00F16AE7" w:rsidRPr="00AC1F05">
              <w:rPr>
                <w:rStyle w:val="Hyperlink"/>
              </w:rPr>
              <w:t>Approved charges</w:t>
            </w:r>
            <w:r w:rsidR="00F16AE7">
              <w:rPr>
                <w:webHidden/>
              </w:rPr>
              <w:tab/>
            </w:r>
            <w:r w:rsidR="00F16AE7">
              <w:rPr>
                <w:webHidden/>
              </w:rPr>
              <w:fldChar w:fldCharType="begin"/>
            </w:r>
            <w:r w:rsidR="00F16AE7">
              <w:rPr>
                <w:webHidden/>
              </w:rPr>
              <w:instrText xml:space="preserve"> PAGEREF _Toc417994625 \h </w:instrText>
            </w:r>
            <w:r w:rsidR="00F16AE7">
              <w:rPr>
                <w:webHidden/>
              </w:rPr>
            </w:r>
            <w:r w:rsidR="00F16AE7">
              <w:rPr>
                <w:webHidden/>
              </w:rPr>
              <w:fldChar w:fldCharType="separate"/>
            </w:r>
            <w:r w:rsidR="00F16AE7">
              <w:rPr>
                <w:webHidden/>
              </w:rPr>
              <w:t>59</w:t>
            </w:r>
            <w:r w:rsidR="00F16AE7">
              <w:rPr>
                <w:webHidden/>
              </w:rPr>
              <w:fldChar w:fldCharType="end"/>
            </w:r>
          </w:hyperlink>
        </w:p>
        <w:p w:rsidR="00DE563D" w:rsidRDefault="0050031D" w:rsidP="0050031D">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994601"/>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A025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augex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DUoS</w:t>
            </w:r>
            <w:proofErr w:type="spellEnd"/>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1D2B74"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50031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1D2B74">
              <w:t>G</w:t>
            </w:r>
            <w:r w:rsidR="00DE563D">
              <w:t>uideline for electricity distribution</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opex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repex</w:t>
            </w:r>
            <w:proofErr w:type="spellEnd"/>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1D2B74">
              <w:t xml:space="preserve">and </w:t>
            </w:r>
            <w:r>
              <w:t>pricing principles</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A025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A0256B">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FC1A87" w:rsidP="00E03563">
      <w:pPr>
        <w:pStyle w:val="Heading1"/>
      </w:pPr>
      <w:bookmarkStart w:id="10" w:name="_Toc417994602"/>
      <w:r w:rsidRPr="00E03563">
        <w:lastRenderedPageBreak/>
        <w:t>Alternative control services</w:t>
      </w:r>
      <w:bookmarkEnd w:id="10"/>
    </w:p>
    <w:p w:rsidR="00F517F5" w:rsidRDefault="00F517F5" w:rsidP="00F517F5">
      <w:bookmarkStart w:id="11" w:name="_Toc403144136"/>
      <w:bookmarkStart w:id="12" w:name="_Toc417927185"/>
      <w:r>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F517F5" w:rsidRDefault="00F517F5" w:rsidP="00F517F5">
      <w:r>
        <w:t>This section describes the AER’s determination on the charges that distributors can levy customers for the provision of ancillary network services, public lighting and metering.</w:t>
      </w:r>
    </w:p>
    <w:p w:rsidR="00C31DC4" w:rsidRPr="00C31DC4" w:rsidRDefault="00C31DC4" w:rsidP="00C31DC4">
      <w:pPr>
        <w:pStyle w:val="Heading2"/>
      </w:pPr>
      <w:bookmarkStart w:id="13" w:name="_Toc416346918"/>
      <w:bookmarkStart w:id="14" w:name="_Toc417994603"/>
      <w:bookmarkEnd w:id="11"/>
      <w:bookmarkEnd w:id="12"/>
      <w:r w:rsidRPr="00C31DC4">
        <w:t>Ancillary network services</w:t>
      </w:r>
      <w:bookmarkEnd w:id="13"/>
      <w:bookmarkEnd w:id="14"/>
    </w:p>
    <w:p w:rsidR="00C31DC4" w:rsidRPr="00C31DC4" w:rsidRDefault="00C31DC4" w:rsidP="00C31DC4">
      <w:r w:rsidRPr="00C31DC4">
        <w:t xml:space="preserve">For </w:t>
      </w:r>
      <w:r w:rsidR="00CF1A14">
        <w:t xml:space="preserve">the </w:t>
      </w:r>
      <w:r w:rsidRPr="00C31DC4">
        <w:t>purposes</w:t>
      </w:r>
      <w:r w:rsidR="00CF1A14">
        <w:t xml:space="preserve"> of this </w:t>
      </w:r>
      <w:r w:rsidR="00D75207">
        <w:t>preliminary decisio</w:t>
      </w:r>
      <w:r w:rsidR="00CF1A14">
        <w:t>n</w:t>
      </w:r>
      <w:r w:rsidRPr="00C31DC4">
        <w:t xml:space="preserve">, we </w:t>
      </w:r>
      <w:r w:rsidR="00CF1A14">
        <w:t xml:space="preserve">have referred to </w:t>
      </w:r>
      <w:r w:rsidRPr="00C31DC4">
        <w:t xml:space="preserve">the service groups </w:t>
      </w:r>
      <w:r w:rsidR="00CF1A14">
        <w:t xml:space="preserve">previously identified as </w:t>
      </w:r>
      <w:r w:rsidRPr="00C31DC4">
        <w:t xml:space="preserve">'fee based services' and 'quoted services' </w:t>
      </w:r>
      <w:r w:rsidR="00D75207">
        <w:t>collectively as a single group called</w:t>
      </w:r>
      <w:r w:rsidRPr="00C31DC4">
        <w:t xml:space="preserve"> 'ancillary network services'.</w:t>
      </w:r>
    </w:p>
    <w:p w:rsidR="00C31DC4" w:rsidRPr="00C31DC4" w:rsidRDefault="00C31DC4" w:rsidP="00C31DC4">
      <w:r w:rsidRPr="00C31DC4">
        <w:t>The existing 'fee based services' and 'quoted services' groupings describe the basis on which service prices are determined. Ancillary network services share the common characteristic of being non-routine services provided to individual customers on an as requested basis.</w:t>
      </w:r>
      <w:r w:rsidRPr="00C31DC4">
        <w:rPr>
          <w:rStyle w:val="FootnoteReference"/>
        </w:rPr>
        <w:footnoteReference w:id="1"/>
      </w:r>
    </w:p>
    <w:p w:rsidR="00C31DC4" w:rsidRPr="00C31DC4" w:rsidRDefault="00C31DC4" w:rsidP="00C31DC4">
      <w:r w:rsidRPr="00C31DC4">
        <w:t>We classify ancillary network services as direct control services. Having decided to apply a direct control classification, we must further classify ancillary network services as either standard control or alternative control. We have classified them as alternative control services because they are attributable to individual customers.</w:t>
      </w:r>
      <w:r w:rsidRPr="00C31DC4">
        <w:rPr>
          <w:rStyle w:val="FootnoteReference"/>
        </w:rPr>
        <w:footnoteReference w:id="2"/>
      </w:r>
    </w:p>
    <w:p w:rsidR="00C31DC4" w:rsidRPr="00C31DC4" w:rsidRDefault="00C31DC4" w:rsidP="00C31DC4">
      <w:pPr>
        <w:pStyle w:val="Heading3"/>
      </w:pPr>
      <w:bookmarkStart w:id="15" w:name="_Toc416346919"/>
      <w:bookmarkStart w:id="16" w:name="_Toc417994604"/>
      <w:r w:rsidRPr="00C31DC4">
        <w:t>Preliminary Decision</w:t>
      </w:r>
      <w:bookmarkEnd w:id="15"/>
      <w:bookmarkEnd w:id="16"/>
    </w:p>
    <w:p w:rsidR="00C31DC4" w:rsidRPr="00C31DC4" w:rsidRDefault="00C31DC4" w:rsidP="00C31DC4">
      <w:r w:rsidRPr="00C31DC4">
        <w:t>We do not approve</w:t>
      </w:r>
      <w:r w:rsidR="00250358">
        <w:t xml:space="preserve"> a number of</w:t>
      </w:r>
      <w:r w:rsidRPr="00C31DC4">
        <w:t xml:space="preserve"> Ergon Energy's proposed fees for ancillary network services. </w:t>
      </w:r>
      <w:r w:rsidR="00250358">
        <w:t xml:space="preserve">For these services, </w:t>
      </w:r>
      <w:r w:rsidRPr="00C31DC4">
        <w:t xml:space="preserve">Ergon Energy's proposed charges are higher than fees based on maximum labour rates (for the distributor's labour types) which we consider efficient for providing these services. More detail on our reasoning is in section </w:t>
      </w:r>
      <w:r w:rsidRPr="00C31DC4">
        <w:fldChar w:fldCharType="begin"/>
      </w:r>
      <w:r w:rsidRPr="00C31DC4">
        <w:instrText xml:space="preserve"> REF _Ref414455649 \n \h </w:instrText>
      </w:r>
      <w:r w:rsidRPr="00C31DC4">
        <w:fldChar w:fldCharType="separate"/>
      </w:r>
      <w:r w:rsidR="00F16AE7">
        <w:t>16.1.4</w:t>
      </w:r>
      <w:r w:rsidRPr="00C31DC4">
        <w:fldChar w:fldCharType="end"/>
      </w:r>
      <w:r w:rsidRPr="00C31DC4">
        <w:t xml:space="preserve">. </w:t>
      </w:r>
    </w:p>
    <w:p w:rsidR="00C31DC4" w:rsidRPr="00C31DC4" w:rsidRDefault="00C31DC4" w:rsidP="00C31DC4">
      <w:r w:rsidRPr="00C31DC4">
        <w:t>Appendix</w:t>
      </w:r>
      <w:r w:rsidR="005937F6">
        <w:t xml:space="preserve"> </w:t>
      </w:r>
      <w:r w:rsidR="00F16AE7">
        <w:fldChar w:fldCharType="begin"/>
      </w:r>
      <w:r w:rsidR="00F16AE7">
        <w:instrText xml:space="preserve"> REF _Ref417994589 \r \h </w:instrText>
      </w:r>
      <w:r w:rsidR="00F16AE7">
        <w:fldChar w:fldCharType="separate"/>
      </w:r>
      <w:r w:rsidR="00F16AE7">
        <w:t>A.1</w:t>
      </w:r>
      <w:r w:rsidR="00F16AE7">
        <w:fldChar w:fldCharType="end"/>
      </w:r>
      <w:r w:rsidR="00F16AE7">
        <w:t xml:space="preserve"> </w:t>
      </w:r>
      <w:r w:rsidRPr="00C31DC4">
        <w:t xml:space="preserve">contains our preliminary decision on the fees </w:t>
      </w:r>
      <w:r w:rsidR="0050031D">
        <w:t>Ergon Energy</w:t>
      </w:r>
      <w:r w:rsidRPr="00C31DC4">
        <w:t xml:space="preserve"> can charge for ancillary network services for the first year of the 2015</w:t>
      </w:r>
      <w:r w:rsidR="00DC73D4">
        <w:t>–</w:t>
      </w:r>
      <w:r w:rsidRPr="00C31DC4">
        <w:t xml:space="preserve">20 regulatory control </w:t>
      </w:r>
      <w:proofErr w:type="gramStart"/>
      <w:r w:rsidRPr="00C31DC4">
        <w:t>period</w:t>
      </w:r>
      <w:proofErr w:type="gramEnd"/>
      <w:r w:rsidRPr="00C31DC4">
        <w:t xml:space="preserve">. </w:t>
      </w:r>
    </w:p>
    <w:p w:rsidR="00C31DC4" w:rsidRPr="00C31DC4" w:rsidRDefault="00606C83" w:rsidP="00C31DC4">
      <w:r>
        <w:fldChar w:fldCharType="begin"/>
      </w:r>
      <w:r>
        <w:instrText xml:space="preserve"> REF _Ref417555799 \h </w:instrText>
      </w:r>
      <w:r>
        <w:fldChar w:fldCharType="separate"/>
      </w:r>
      <w:r w:rsidR="00F16AE7">
        <w:t xml:space="preserve">Table </w:t>
      </w:r>
      <w:r w:rsidR="00F16AE7">
        <w:rPr>
          <w:noProof/>
        </w:rPr>
        <w:t>16</w:t>
      </w:r>
      <w:r w:rsidR="00F16AE7">
        <w:t>.</w:t>
      </w:r>
      <w:r w:rsidR="00F16AE7">
        <w:rPr>
          <w:noProof/>
        </w:rPr>
        <w:t>20</w:t>
      </w:r>
      <w:r>
        <w:fldChar w:fldCharType="end"/>
      </w:r>
      <w:r w:rsidR="00C31DC4" w:rsidRPr="00C31DC4">
        <w:t xml:space="preserve"> sets out charges for fee based services and</w:t>
      </w:r>
      <w:r>
        <w:t xml:space="preserve"> </w:t>
      </w:r>
      <w:r>
        <w:fldChar w:fldCharType="begin"/>
      </w:r>
      <w:r>
        <w:instrText xml:space="preserve"> REF  _Ref417556244 \* Lower \h </w:instrText>
      </w:r>
      <w:r>
        <w:fldChar w:fldCharType="separate"/>
      </w:r>
      <w:r w:rsidR="00F16AE7">
        <w:t xml:space="preserve">table </w:t>
      </w:r>
      <w:r w:rsidR="00F16AE7">
        <w:rPr>
          <w:noProof/>
        </w:rPr>
        <w:t>16</w:t>
      </w:r>
      <w:r w:rsidR="00F16AE7">
        <w:t>.</w:t>
      </w:r>
      <w:r w:rsidR="00F16AE7">
        <w:rPr>
          <w:noProof/>
        </w:rPr>
        <w:t>21</w:t>
      </w:r>
      <w:r>
        <w:fldChar w:fldCharType="end"/>
      </w:r>
      <w:r w:rsidR="00C31DC4" w:rsidRPr="00C31DC4">
        <w:t xml:space="preserve"> </w:t>
      </w:r>
      <w:r w:rsidR="00526D65">
        <w:t xml:space="preserve">sets out charges and </w:t>
      </w:r>
      <w:r w:rsidR="00C31DC4" w:rsidRPr="00C31DC4">
        <w:t>labour rates for quoted services.</w:t>
      </w:r>
    </w:p>
    <w:p w:rsidR="00C31DC4" w:rsidRPr="00C31DC4" w:rsidRDefault="00C31DC4" w:rsidP="00C31DC4">
      <w:pPr>
        <w:pStyle w:val="HeadingBoldBlue"/>
        <w:numPr>
          <w:ilvl w:val="0"/>
          <w:numId w:val="25"/>
        </w:numPr>
      </w:pPr>
      <w:bookmarkStart w:id="17" w:name="_Toc415644322"/>
      <w:bookmarkStart w:id="18" w:name="_Toc416346920"/>
      <w:bookmarkStart w:id="19" w:name="_Toc417992499"/>
      <w:bookmarkStart w:id="20" w:name="_Toc417994605"/>
      <w:r w:rsidRPr="00C31DC4">
        <w:lastRenderedPageBreak/>
        <w:t>Form of control</w:t>
      </w:r>
      <w:bookmarkEnd w:id="17"/>
      <w:bookmarkEnd w:id="18"/>
      <w:bookmarkEnd w:id="19"/>
      <w:bookmarkEnd w:id="20"/>
    </w:p>
    <w:p w:rsidR="00C31DC4" w:rsidRPr="00C31DC4" w:rsidRDefault="00C31DC4" w:rsidP="00C31DC4">
      <w:pPr>
        <w:pStyle w:val="ListParagraph"/>
        <w:numPr>
          <w:ilvl w:val="0"/>
          <w:numId w:val="25"/>
        </w:numPr>
      </w:pPr>
      <w:r w:rsidRPr="00C31DC4">
        <w:t>Our preliminary decision is to apply a price cap form of control to ancillary network services.</w:t>
      </w:r>
      <w:r w:rsidRPr="00C31DC4">
        <w:rPr>
          <w:rStyle w:val="FootnoteReference"/>
        </w:rPr>
        <w:footnoteReference w:id="3"/>
      </w:r>
      <w:r w:rsidRPr="00C31DC4">
        <w:t xml:space="preserve"> </w:t>
      </w:r>
      <w:r w:rsidRPr="00C31DC4">
        <w:fldChar w:fldCharType="begin"/>
      </w:r>
      <w:r w:rsidRPr="00C31DC4">
        <w:instrText xml:space="preserve"> REF _Ref416342037 \h </w:instrText>
      </w:r>
      <w:r w:rsidRPr="00C31DC4">
        <w:fldChar w:fldCharType="separate"/>
      </w:r>
      <w:r w:rsidR="00F16AE7" w:rsidRPr="00C31DC4">
        <w:t xml:space="preserve">Figure </w:t>
      </w:r>
      <w:r w:rsidR="00F16AE7">
        <w:rPr>
          <w:noProof/>
        </w:rPr>
        <w:t>16</w:t>
      </w:r>
      <w:r w:rsidR="00F16AE7">
        <w:t>.</w:t>
      </w:r>
      <w:r w:rsidR="00F16AE7">
        <w:rPr>
          <w:noProof/>
        </w:rPr>
        <w:t>1</w:t>
      </w:r>
      <w:r w:rsidRPr="00C31DC4">
        <w:fldChar w:fldCharType="end"/>
      </w:r>
      <w:r w:rsidRPr="00C31DC4">
        <w:t xml:space="preserve"> and </w:t>
      </w:r>
      <w:r w:rsidRPr="00C31DC4">
        <w:fldChar w:fldCharType="begin"/>
      </w:r>
      <w:r w:rsidRPr="00C31DC4">
        <w:instrText xml:space="preserve"> REF  _Ref416342050 \* Lower \h </w:instrText>
      </w:r>
      <w:r w:rsidRPr="00C31DC4">
        <w:fldChar w:fldCharType="separate"/>
      </w:r>
      <w:r w:rsidR="00F16AE7" w:rsidRPr="00C31DC4">
        <w:t xml:space="preserve">figure </w:t>
      </w:r>
      <w:r w:rsidR="00F16AE7">
        <w:rPr>
          <w:noProof/>
        </w:rPr>
        <w:t>16</w:t>
      </w:r>
      <w:r w:rsidR="00F16AE7">
        <w:t>.</w:t>
      </w:r>
      <w:r w:rsidR="00F16AE7">
        <w:rPr>
          <w:noProof/>
        </w:rPr>
        <w:t>2</w:t>
      </w:r>
      <w:r w:rsidRPr="00C31DC4">
        <w:fldChar w:fldCharType="end"/>
      </w:r>
      <w:r w:rsidRPr="00C31DC4">
        <w:t xml:space="preserve"> set out the control mechanism formulas for fee based services and quoted services, respectively. They are consistent with the formulas which Ergon Energy agreed on in its regulatory proposal.</w:t>
      </w:r>
      <w:r w:rsidRPr="00C31DC4">
        <w:rPr>
          <w:rStyle w:val="FootnoteReference"/>
        </w:rPr>
        <w:t xml:space="preserve"> </w:t>
      </w:r>
      <w:r w:rsidRPr="00C31DC4">
        <w:rPr>
          <w:rStyle w:val="FootnoteReference"/>
        </w:rPr>
        <w:footnoteReference w:id="4"/>
      </w:r>
    </w:p>
    <w:p w:rsidR="00C31DC4" w:rsidRPr="00C31DC4" w:rsidRDefault="00C31DC4" w:rsidP="00C31DC4">
      <w:pPr>
        <w:pStyle w:val="HeadingBoldBlue"/>
        <w:numPr>
          <w:ilvl w:val="0"/>
          <w:numId w:val="25"/>
        </w:numPr>
      </w:pPr>
      <w:bookmarkStart w:id="21" w:name="_Toc416346921"/>
      <w:bookmarkStart w:id="22" w:name="_Toc417992500"/>
      <w:bookmarkStart w:id="23" w:name="_Toc417994606"/>
      <w:r w:rsidRPr="00C31DC4">
        <w:t>Form of control—fee based services</w:t>
      </w:r>
      <w:bookmarkEnd w:id="21"/>
      <w:bookmarkEnd w:id="22"/>
      <w:bookmarkEnd w:id="23"/>
    </w:p>
    <w:p w:rsidR="00C31DC4" w:rsidRPr="00C31DC4" w:rsidRDefault="00C31DC4" w:rsidP="00C31DC4">
      <w:r w:rsidRPr="00C31DC4">
        <w:t>Our preliminary decision is to apply a price cap for the form of control to fee based services.</w:t>
      </w:r>
      <w:r w:rsidRPr="00C31DC4">
        <w:rPr>
          <w:rStyle w:val="FootnoteReference"/>
        </w:rPr>
        <w:footnoteReference w:id="5"/>
      </w:r>
      <w:r w:rsidRPr="00C31DC4">
        <w:t xml:space="preserve"> This is consistent with the form of control applied in the </w:t>
      </w:r>
      <w:r w:rsidR="00526D65">
        <w:t>2010–15</w:t>
      </w:r>
      <w:r w:rsidR="00526D65" w:rsidRPr="00C31DC4">
        <w:t xml:space="preserve"> </w:t>
      </w:r>
      <w:r w:rsidRPr="00C31DC4">
        <w:t>regulatory period. Under this form of control, a schedule of prices is set for the first year. For each of the following years, the previous year’s prices are adjusted by CPI and an X factor. The formula to give effect to the price cap is set out below:</w:t>
      </w:r>
    </w:p>
    <w:p w:rsidR="00C31DC4" w:rsidRPr="00C31DC4" w:rsidRDefault="00C31DC4" w:rsidP="00C31DC4">
      <w:pPr>
        <w:pStyle w:val="Caption"/>
      </w:pPr>
      <w:bookmarkStart w:id="24" w:name="_Ref416342037"/>
      <w:proofErr w:type="gramStart"/>
      <w:r w:rsidRPr="00C31DC4">
        <w:t xml:space="preserve">Figure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7C5E4A">
        <w:t>.</w:t>
      </w:r>
      <w:proofErr w:type="gramEnd"/>
      <w:r w:rsidR="004870DA">
        <w:fldChar w:fldCharType="begin"/>
      </w:r>
      <w:r w:rsidR="004870DA">
        <w:instrText xml:space="preserve"> SEQ Figure \* ARABIC \s 1 </w:instrText>
      </w:r>
      <w:r w:rsidR="004870DA">
        <w:fldChar w:fldCharType="separate"/>
      </w:r>
      <w:r w:rsidR="00F16AE7">
        <w:rPr>
          <w:noProof/>
        </w:rPr>
        <w:t>1</w:t>
      </w:r>
      <w:r w:rsidR="004870DA">
        <w:rPr>
          <w:noProof/>
        </w:rPr>
        <w:fldChar w:fldCharType="end"/>
      </w:r>
      <w:bookmarkEnd w:id="24"/>
      <w:r w:rsidRPr="00C31DC4">
        <w:tab/>
        <w:t>Fee based ancillary network services formula</w:t>
      </w:r>
    </w:p>
    <w:p w:rsidR="00C31DC4" w:rsidRPr="00C31DC4" w:rsidRDefault="00DA2823" w:rsidP="00C31DC4">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C31DC4" w:rsidRPr="00C31DC4" w:rsidRDefault="00C31DC4" w:rsidP="00C31DC4">
      <w:pPr>
        <w:numPr>
          <w:ilvl w:val="0"/>
          <w:numId w:val="25"/>
        </w:numPr>
      </w:pPr>
      <w:r w:rsidRPr="00C31DC4">
        <w:t>Where:</w:t>
      </w:r>
    </w:p>
    <w:p w:rsidR="00C31DC4" w:rsidRPr="00C31DC4" w:rsidRDefault="00DA2823" w:rsidP="00C31DC4">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C31DC4" w:rsidRPr="00C31DC4">
        <w:t xml:space="preserve"> </w:t>
      </w:r>
      <w:r w:rsidR="00C31DC4" w:rsidRPr="00C31DC4">
        <w:tab/>
        <w:t xml:space="preserve">is the cap on the price of service </w:t>
      </w:r>
      <w:proofErr w:type="spellStart"/>
      <w:r w:rsidR="00C50932">
        <w:t>i</w:t>
      </w:r>
      <w:proofErr w:type="spellEnd"/>
      <w:r w:rsidR="00C31DC4" w:rsidRPr="00C31DC4">
        <w:t xml:space="preserve"> in year t</w:t>
      </w:r>
      <w:r w:rsidR="00C50932">
        <w:t>–</w:t>
      </w:r>
      <w:r w:rsidR="00C31DC4" w:rsidRPr="00C31DC4">
        <w:t>1</w:t>
      </w:r>
    </w:p>
    <w:p w:rsidR="00C31DC4" w:rsidRPr="00C31DC4" w:rsidRDefault="00DA2823" w:rsidP="00C31DC4">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C31DC4" w:rsidRPr="00C31DC4">
        <w:t xml:space="preserve"> </w:t>
      </w:r>
      <w:r w:rsidR="00C31DC4" w:rsidRPr="00C31DC4">
        <w:tab/>
      </w:r>
      <w:r w:rsidR="00C31DC4" w:rsidRPr="00C31DC4">
        <w:tab/>
      </w:r>
      <w:proofErr w:type="gramStart"/>
      <w:r w:rsidR="00C31DC4" w:rsidRPr="00C31DC4">
        <w:t>is</w:t>
      </w:r>
      <w:proofErr w:type="gramEnd"/>
      <w:r w:rsidR="00C31DC4" w:rsidRPr="00C31DC4">
        <w:t xml:space="preserve"> the</w:t>
      </w:r>
      <w:r w:rsidR="008E5A0C">
        <w:t xml:space="preserve"> cap on the</w:t>
      </w:r>
      <w:r w:rsidR="00C31DC4" w:rsidRPr="00C31DC4">
        <w:t xml:space="preserve"> price of service </w:t>
      </w:r>
      <w:proofErr w:type="spellStart"/>
      <w:r w:rsidR="00287DC4">
        <w:t>i</w:t>
      </w:r>
      <w:proofErr w:type="spellEnd"/>
      <w:r w:rsidR="00C31DC4" w:rsidRPr="00C31DC4">
        <w:t xml:space="preserve"> in year t</w:t>
      </w:r>
      <w:r w:rsidR="00287DC4">
        <w:t>.</w:t>
      </w:r>
      <w:r w:rsidR="005B5439" w:rsidRPr="005B5439">
        <w:t xml:space="preserve"> </w:t>
      </w:r>
      <w:r w:rsidR="005B5439" w:rsidRPr="00C63D58">
        <w:t>However, for 2015–16 this is the price as determined in</w:t>
      </w:r>
      <w:r w:rsidR="005B5439">
        <w:t xml:space="preserve"> </w:t>
      </w:r>
      <w:r w:rsidR="005B5439">
        <w:fldChar w:fldCharType="begin"/>
      </w:r>
      <w:r w:rsidR="005B5439">
        <w:instrText xml:space="preserve"> REF  _Ref417555799 \* Lower \h </w:instrText>
      </w:r>
      <w:r w:rsidR="005B5439">
        <w:fldChar w:fldCharType="separate"/>
      </w:r>
      <w:r w:rsidR="00F16AE7">
        <w:t xml:space="preserve">table </w:t>
      </w:r>
      <w:r w:rsidR="00F16AE7">
        <w:rPr>
          <w:noProof/>
        </w:rPr>
        <w:t>16</w:t>
      </w:r>
      <w:r w:rsidR="00F16AE7">
        <w:t>.</w:t>
      </w:r>
      <w:r w:rsidR="00F16AE7">
        <w:rPr>
          <w:noProof/>
        </w:rPr>
        <w:t>20</w:t>
      </w:r>
      <w:r w:rsidR="005B5439">
        <w:fldChar w:fldCharType="end"/>
      </w:r>
      <w:r w:rsidR="005B5439">
        <w:t>.</w:t>
      </w:r>
    </w:p>
    <w:p w:rsidR="00C31DC4" w:rsidRPr="00C31DC4" w:rsidRDefault="00C31DC4" w:rsidP="00F66CE6">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C31DC4">
        <w:t xml:space="preserve"> </w:t>
      </w:r>
      <w:r w:rsidRPr="00C31DC4">
        <w:tab/>
      </w:r>
      <w:proofErr w:type="gramStart"/>
      <w:r w:rsidRPr="00C31DC4">
        <w:t>is</w:t>
      </w:r>
      <w:proofErr w:type="gramEnd"/>
      <w:r w:rsidRPr="00C31DC4">
        <w:t xml:space="preserve"> the annual percentage change in the ABS CPI All Groups, Weighted Average of Eight Capital Cities from December in y</w:t>
      </w:r>
      <w:r w:rsidR="00F66CE6">
        <w:t xml:space="preserve">ear t-2 to December in year t-1. </w:t>
      </w:r>
      <w:r w:rsidR="00F66CE6" w:rsidRPr="00F66CE6">
        <w:t>For example, for the 2015–16 year, t–2 is December 2013 and t–1 is December 2014 and in the 2016–17 year, t–2 is December 2014 and t–1 is December 2015 and so on.</w:t>
      </w:r>
      <w:r w:rsidRPr="00C31DC4">
        <w:tab/>
      </w:r>
    </w:p>
    <w:p w:rsidR="00B71BAB" w:rsidRDefault="00DA2823" w:rsidP="00B71BAB">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C31DC4" w:rsidRPr="00C31DC4">
        <w:t xml:space="preserve"> </w:t>
      </w:r>
      <w:r w:rsidR="00C31DC4" w:rsidRPr="00C31DC4">
        <w:tab/>
      </w:r>
      <w:r w:rsidR="00C31DC4" w:rsidRPr="00C31DC4">
        <w:tab/>
      </w:r>
      <w:proofErr w:type="gramStart"/>
      <w:r w:rsidR="00C31DC4" w:rsidRPr="00C31DC4">
        <w:t>is</w:t>
      </w:r>
      <w:proofErr w:type="gramEnd"/>
      <w:r w:rsidR="00C31DC4" w:rsidRPr="00C31DC4">
        <w:t xml:space="preserve"> the X-factor for service i in year t</w:t>
      </w:r>
      <w:r w:rsidR="00B71BAB">
        <w:t xml:space="preserve"> </w:t>
      </w:r>
      <w:r w:rsidR="00B71BAB" w:rsidRPr="003E0A7D">
        <w:t>as</w:t>
      </w:r>
      <w:r w:rsidR="00B71BAB">
        <w:t xml:space="preserve"> </w:t>
      </w:r>
      <w:r w:rsidR="00B71BAB">
        <w:fldChar w:fldCharType="begin"/>
      </w:r>
      <w:r w:rsidR="00B71BAB">
        <w:instrText xml:space="preserve"> REF  _Ref410636364 \* Lower \h </w:instrText>
      </w:r>
      <w:r w:rsidR="00B71BAB">
        <w:fldChar w:fldCharType="separate"/>
      </w:r>
      <w:r w:rsidR="00F16AE7">
        <w:t xml:space="preserve">table </w:t>
      </w:r>
      <w:r w:rsidR="00F16AE7">
        <w:rPr>
          <w:noProof/>
        </w:rPr>
        <w:t>16</w:t>
      </w:r>
      <w:r w:rsidR="00F16AE7">
        <w:t>.</w:t>
      </w:r>
      <w:r w:rsidR="00F16AE7">
        <w:rPr>
          <w:noProof/>
        </w:rPr>
        <w:t>1</w:t>
      </w:r>
      <w:r w:rsidR="00B71BAB">
        <w:fldChar w:fldCharType="end"/>
      </w:r>
      <w:r w:rsidR="00B71BAB" w:rsidRPr="003E0A7D">
        <w:t xml:space="preserve"> set</w:t>
      </w:r>
      <w:r w:rsidR="00B71BAB">
        <w:t>s</w:t>
      </w:r>
      <w:r w:rsidR="00B71BAB" w:rsidRPr="003E0A7D">
        <w:t xml:space="preserve"> out.</w:t>
      </w:r>
    </w:p>
    <w:p w:rsidR="00B71BAB" w:rsidRDefault="00B71BAB" w:rsidP="00B71BAB">
      <w:pPr>
        <w:pStyle w:val="Caption"/>
      </w:pPr>
      <w:bookmarkStart w:id="25" w:name="_Ref410636364"/>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w:t>
      </w:r>
      <w:r w:rsidR="00F5521C">
        <w:fldChar w:fldCharType="end"/>
      </w:r>
      <w:bookmarkEnd w:id="25"/>
      <w:r>
        <w:tab/>
        <w:t xml:space="preserve">AER </w:t>
      </w:r>
      <w:r w:rsidR="004870DA">
        <w:t>preliminary</w:t>
      </w:r>
      <w:r>
        <w:t xml:space="preserve"> decision on X factors for each year of the 2015–</w:t>
      </w:r>
      <w:r w:rsidR="0050031D">
        <w:t>20</w:t>
      </w:r>
      <w:r>
        <w:t xml:space="preserve">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B71BAB" w:rsidRPr="00683966" w:rsidTr="00AF1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71BAB" w:rsidRPr="00683966" w:rsidRDefault="00B71BAB" w:rsidP="00B71BAB"/>
        </w:tc>
        <w:tc>
          <w:tcPr>
            <w:tcW w:w="1738" w:type="dxa"/>
          </w:tcPr>
          <w:p w:rsidR="00B71BAB" w:rsidRPr="00B71BAB" w:rsidRDefault="00B71BAB" w:rsidP="00B71BAB">
            <w:pPr>
              <w:cnfStyle w:val="100000000000" w:firstRow="1" w:lastRow="0" w:firstColumn="0" w:lastColumn="0" w:oddVBand="0" w:evenVBand="0" w:oddHBand="0" w:evenHBand="0" w:firstRowFirstColumn="0" w:firstRowLastColumn="0" w:lastRowFirstColumn="0" w:lastRowLastColumn="0"/>
            </w:pPr>
            <w:r w:rsidRPr="00683966">
              <w:t>2016–17</w:t>
            </w:r>
          </w:p>
        </w:tc>
        <w:tc>
          <w:tcPr>
            <w:tcW w:w="1739" w:type="dxa"/>
          </w:tcPr>
          <w:p w:rsidR="00B71BAB" w:rsidRPr="00B71BAB" w:rsidRDefault="00B71BAB" w:rsidP="00B71BAB">
            <w:pPr>
              <w:cnfStyle w:val="100000000000" w:firstRow="1" w:lastRow="0" w:firstColumn="0" w:lastColumn="0" w:oddVBand="0" w:evenVBand="0" w:oddHBand="0" w:evenHBand="0" w:firstRowFirstColumn="0" w:firstRowLastColumn="0" w:lastRowFirstColumn="0" w:lastRowLastColumn="0"/>
            </w:pPr>
            <w:r w:rsidRPr="00683966">
              <w:t>2017–18</w:t>
            </w:r>
          </w:p>
        </w:tc>
        <w:tc>
          <w:tcPr>
            <w:tcW w:w="1739" w:type="dxa"/>
          </w:tcPr>
          <w:p w:rsidR="00B71BAB" w:rsidRPr="00B71BAB" w:rsidRDefault="00B71BAB" w:rsidP="00B71BAB">
            <w:pPr>
              <w:cnfStyle w:val="100000000000" w:firstRow="1" w:lastRow="0" w:firstColumn="0" w:lastColumn="0" w:oddVBand="0" w:evenVBand="0" w:oddHBand="0" w:evenHBand="0" w:firstRowFirstColumn="0" w:firstRowLastColumn="0" w:lastRowFirstColumn="0" w:lastRowLastColumn="0"/>
            </w:pPr>
            <w:r w:rsidRPr="00683966">
              <w:t>2018–19</w:t>
            </w:r>
          </w:p>
        </w:tc>
        <w:tc>
          <w:tcPr>
            <w:tcW w:w="1739" w:type="dxa"/>
          </w:tcPr>
          <w:p w:rsidR="00B71BAB" w:rsidRPr="00B71BAB" w:rsidRDefault="00B71BAB" w:rsidP="00B71BAB">
            <w:pPr>
              <w:cnfStyle w:val="100000000000" w:firstRow="1" w:lastRow="0" w:firstColumn="0" w:lastColumn="0" w:oddVBand="0" w:evenVBand="0" w:oddHBand="0" w:evenHBand="0" w:firstRowFirstColumn="0" w:firstRowLastColumn="0" w:lastRowFirstColumn="0" w:lastRowLastColumn="0"/>
            </w:pPr>
            <w:r>
              <w:t>2019</w:t>
            </w:r>
            <w:r w:rsidRPr="00683966">
              <w:t>–</w:t>
            </w:r>
            <w:r>
              <w:t>20</w:t>
            </w:r>
          </w:p>
        </w:tc>
      </w:tr>
      <w:tr w:rsidR="00B71BAB" w:rsidRPr="00683966" w:rsidTr="00AF1338">
        <w:tc>
          <w:tcPr>
            <w:cnfStyle w:val="001000000000" w:firstRow="0" w:lastRow="0" w:firstColumn="1" w:lastColumn="0" w:oddVBand="0" w:evenVBand="0" w:oddHBand="0" w:evenHBand="0" w:firstRowFirstColumn="0" w:firstRowLastColumn="0" w:lastRowFirstColumn="0" w:lastRowLastColumn="0"/>
            <w:tcW w:w="1738" w:type="dxa"/>
          </w:tcPr>
          <w:p w:rsidR="00B71BAB" w:rsidRPr="00B71BAB" w:rsidRDefault="00B71BAB" w:rsidP="00B71BAB">
            <w:r w:rsidRPr="00B71BAB">
              <w:t>X factor</w:t>
            </w:r>
          </w:p>
        </w:tc>
        <w:tc>
          <w:tcPr>
            <w:tcW w:w="1738" w:type="dxa"/>
            <w:vAlign w:val="bottom"/>
          </w:tcPr>
          <w:p w:rsidR="00B71BAB" w:rsidRPr="00B71BAB" w:rsidRDefault="00B71BAB" w:rsidP="00B71BAB">
            <w:pPr>
              <w:cnfStyle w:val="000000000000" w:firstRow="0" w:lastRow="0" w:firstColumn="0" w:lastColumn="0" w:oddVBand="0" w:evenVBand="0" w:oddHBand="0" w:evenHBand="0" w:firstRowFirstColumn="0" w:firstRowLastColumn="0" w:lastRowFirstColumn="0" w:lastRowLastColumn="0"/>
            </w:pPr>
            <w:r>
              <w:t>–</w:t>
            </w:r>
            <w:r w:rsidRPr="00B71BAB">
              <w:t>0.74</w:t>
            </w:r>
          </w:p>
        </w:tc>
        <w:tc>
          <w:tcPr>
            <w:tcW w:w="1739" w:type="dxa"/>
            <w:vAlign w:val="bottom"/>
          </w:tcPr>
          <w:p w:rsidR="00B71BAB" w:rsidRPr="00B71BAB" w:rsidRDefault="00B71BAB" w:rsidP="00B71BAB">
            <w:pPr>
              <w:cnfStyle w:val="000000000000" w:firstRow="0" w:lastRow="0" w:firstColumn="0" w:lastColumn="0" w:oddVBand="0" w:evenVBand="0" w:oddHBand="0" w:evenHBand="0" w:firstRowFirstColumn="0" w:firstRowLastColumn="0" w:lastRowFirstColumn="0" w:lastRowLastColumn="0"/>
            </w:pPr>
            <w:r>
              <w:t>–</w:t>
            </w:r>
            <w:r w:rsidRPr="00B71BAB">
              <w:t>0.72</w:t>
            </w:r>
          </w:p>
        </w:tc>
        <w:tc>
          <w:tcPr>
            <w:tcW w:w="1739" w:type="dxa"/>
            <w:vAlign w:val="bottom"/>
          </w:tcPr>
          <w:p w:rsidR="00B71BAB" w:rsidRPr="00B71BAB" w:rsidRDefault="00B71BAB" w:rsidP="00B71BAB">
            <w:pPr>
              <w:cnfStyle w:val="000000000000" w:firstRow="0" w:lastRow="0" w:firstColumn="0" w:lastColumn="0" w:oddVBand="0" w:evenVBand="0" w:oddHBand="0" w:evenHBand="0" w:firstRowFirstColumn="0" w:firstRowLastColumn="0" w:lastRowFirstColumn="0" w:lastRowLastColumn="0"/>
            </w:pPr>
            <w:r>
              <w:t>–</w:t>
            </w:r>
            <w:r w:rsidRPr="00B71BAB">
              <w:t>0.74</w:t>
            </w:r>
          </w:p>
        </w:tc>
        <w:tc>
          <w:tcPr>
            <w:tcW w:w="1739" w:type="dxa"/>
            <w:vAlign w:val="bottom"/>
          </w:tcPr>
          <w:p w:rsidR="00B71BAB" w:rsidRPr="00B71BAB" w:rsidRDefault="00B71BAB" w:rsidP="00B71BAB">
            <w:pPr>
              <w:cnfStyle w:val="000000000000" w:firstRow="0" w:lastRow="0" w:firstColumn="0" w:lastColumn="0" w:oddVBand="0" w:evenVBand="0" w:oddHBand="0" w:evenHBand="0" w:firstRowFirstColumn="0" w:firstRowLastColumn="0" w:lastRowFirstColumn="0" w:lastRowLastColumn="0"/>
            </w:pPr>
            <w:r>
              <w:t>–</w:t>
            </w:r>
            <w:r w:rsidRPr="00B71BAB">
              <w:t>0.77</w:t>
            </w:r>
          </w:p>
        </w:tc>
      </w:tr>
    </w:tbl>
    <w:p w:rsidR="00940B5B" w:rsidRPr="008D56F9" w:rsidRDefault="00940B5B" w:rsidP="008D56F9">
      <w:pPr>
        <w:pStyle w:val="AERtablesource"/>
        <w:rPr>
          <w:rStyle w:val="CommentReference"/>
          <w:szCs w:val="24"/>
        </w:rPr>
      </w:pPr>
      <w:r w:rsidRPr="008D56F9">
        <w:rPr>
          <w:rStyle w:val="CommentReference"/>
          <w:szCs w:val="24"/>
        </w:rPr>
        <w:t xml:space="preserve">Source: </w:t>
      </w:r>
      <w:r w:rsidRPr="008D56F9">
        <w:rPr>
          <w:rStyle w:val="CommentReference"/>
          <w:szCs w:val="24"/>
        </w:rPr>
        <w:tab/>
        <w:t>AER analysis.</w:t>
      </w:r>
    </w:p>
    <w:p w:rsidR="005470AF" w:rsidRPr="008D56F9" w:rsidRDefault="00940B5B" w:rsidP="008D56F9">
      <w:pPr>
        <w:pStyle w:val="AERtablesource"/>
        <w:rPr>
          <w:rStyle w:val="CommentReference"/>
          <w:szCs w:val="24"/>
        </w:rPr>
      </w:pPr>
      <w:r w:rsidRPr="008D56F9">
        <w:rPr>
          <w:rStyle w:val="CommentReference"/>
          <w:szCs w:val="24"/>
        </w:rPr>
        <w:lastRenderedPageBreak/>
        <w:t>Note:</w:t>
      </w:r>
      <w:r w:rsidRPr="008D56F9">
        <w:rPr>
          <w:rStyle w:val="CommentReference"/>
          <w:szCs w:val="24"/>
        </w:rPr>
        <w:tab/>
      </w:r>
      <w:r w:rsidR="005470AF" w:rsidRPr="008D56F9">
        <w:rPr>
          <w:rStyle w:val="CommentReference"/>
          <w:szCs w:val="24"/>
        </w:rPr>
        <w:t xml:space="preserve">To be clear, the labour escalators themselves are positive for each year of the regulatory control period. However, the labour escalators in this table are operating as </w:t>
      </w:r>
      <w:proofErr w:type="spellStart"/>
      <w:r w:rsidR="005470AF" w:rsidRPr="008D56F9">
        <w:rPr>
          <w:rStyle w:val="CommentReference"/>
          <w:szCs w:val="24"/>
        </w:rPr>
        <w:t>defacto</w:t>
      </w:r>
      <w:proofErr w:type="spellEnd"/>
      <w:r w:rsidR="005470AF" w:rsidRPr="008D56F9">
        <w:rPr>
          <w:rStyle w:val="CommentReference"/>
          <w:szCs w:val="24"/>
        </w:rPr>
        <w:t xml:space="preserve"> X factors. Therefore, they are negative</w:t>
      </w:r>
      <w:r w:rsidRPr="008D56F9">
        <w:rPr>
          <w:rStyle w:val="CommentReference"/>
          <w:szCs w:val="24"/>
        </w:rPr>
        <w:t>.</w:t>
      </w:r>
    </w:p>
    <w:p w:rsidR="00C31DC4" w:rsidRPr="00C31DC4" w:rsidRDefault="00DA2823" w:rsidP="00C31DC4">
      <w:pPr>
        <w:pStyle w:val="ListParagraph"/>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C31DC4" w:rsidRPr="00C31DC4">
        <w:t xml:space="preserve"> </w:t>
      </w:r>
      <w:r w:rsidR="00C31DC4" w:rsidRPr="00C31DC4">
        <w:tab/>
      </w:r>
      <w:r w:rsidR="00C31DC4" w:rsidRPr="00C31DC4">
        <w:tab/>
      </w:r>
      <w:proofErr w:type="gramStart"/>
      <w:r w:rsidR="00C31DC4" w:rsidRPr="00C31DC4">
        <w:t>is</w:t>
      </w:r>
      <w:proofErr w:type="gramEnd"/>
      <w:r w:rsidR="00C31DC4" w:rsidRPr="00C31DC4">
        <w:t xml:space="preserve"> an adjustment factor for residual charges when customers choose to replace assets before the end of their economic life. For ancillary network services we consider the value for A is zero.</w:t>
      </w:r>
      <w:r w:rsidR="00C31DC4" w:rsidRPr="00C31DC4">
        <w:tab/>
      </w:r>
      <w:r w:rsidR="00C31DC4" w:rsidRPr="00C31DC4">
        <w:tab/>
      </w:r>
    </w:p>
    <w:p w:rsidR="00C31DC4" w:rsidRPr="00C31DC4" w:rsidRDefault="00C31DC4" w:rsidP="00C31DC4">
      <w:pPr>
        <w:pStyle w:val="HeadingBoldBlue"/>
      </w:pPr>
      <w:bookmarkStart w:id="26" w:name="_Toc416346922"/>
      <w:bookmarkStart w:id="27" w:name="_Toc417992501"/>
      <w:bookmarkStart w:id="28" w:name="_Toc417994607"/>
      <w:r w:rsidRPr="00C31DC4">
        <w:t>Form of control—quoted services</w:t>
      </w:r>
      <w:bookmarkEnd w:id="26"/>
      <w:bookmarkEnd w:id="27"/>
      <w:bookmarkEnd w:id="28"/>
    </w:p>
    <w:p w:rsidR="00C31DC4" w:rsidRPr="00C31DC4" w:rsidRDefault="00C31DC4" w:rsidP="009B219E">
      <w:pPr>
        <w:pStyle w:val="ListContinue3"/>
        <w:ind w:left="0"/>
      </w:pPr>
      <w:r w:rsidRPr="00C31DC4">
        <w:t>Our preliminary decision is to apply a formula to determine the cost build-up of services that are priced on a ‘quoted’ basis.</w:t>
      </w:r>
      <w:r w:rsidRPr="00C31DC4">
        <w:rPr>
          <w:rStyle w:val="FootnoteReference"/>
        </w:rPr>
        <w:footnoteReference w:id="6"/>
      </w:r>
      <w:r w:rsidRPr="00C31DC4">
        <w:t xml:space="preserve"> </w:t>
      </w:r>
    </w:p>
    <w:p w:rsidR="00C31DC4" w:rsidRPr="00C31DC4" w:rsidRDefault="00C31DC4" w:rsidP="00C31DC4">
      <w:pPr>
        <w:pStyle w:val="Caption"/>
      </w:pPr>
      <w:bookmarkStart w:id="29" w:name="_Ref416342050"/>
      <w:proofErr w:type="gramStart"/>
      <w:r w:rsidRPr="00C31DC4">
        <w:t xml:space="preserve">Figure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7C5E4A">
        <w:t>.</w:t>
      </w:r>
      <w:proofErr w:type="gramEnd"/>
      <w:r w:rsidR="004870DA">
        <w:fldChar w:fldCharType="begin"/>
      </w:r>
      <w:r w:rsidR="004870DA">
        <w:instrText xml:space="preserve"> SEQ Figure \* ARABIC \s 1 </w:instrText>
      </w:r>
      <w:r w:rsidR="004870DA">
        <w:fldChar w:fldCharType="separate"/>
      </w:r>
      <w:r w:rsidR="00F16AE7">
        <w:rPr>
          <w:noProof/>
        </w:rPr>
        <w:t>2</w:t>
      </w:r>
      <w:r w:rsidR="004870DA">
        <w:rPr>
          <w:noProof/>
        </w:rPr>
        <w:fldChar w:fldCharType="end"/>
      </w:r>
      <w:bookmarkEnd w:id="29"/>
      <w:r w:rsidRPr="00C31DC4">
        <w:t xml:space="preserve"> Quoted services formula</w:t>
      </w:r>
    </w:p>
    <w:p w:rsidR="00C31DC4" w:rsidRPr="00C31DC4" w:rsidRDefault="00C31DC4" w:rsidP="00C31DC4">
      <m:oMathPara>
        <m:oMathParaPr>
          <m:jc m:val="left"/>
        </m:oMathParaPr>
        <m:oMath>
          <m:r>
            <w:rPr>
              <w:rFonts w:ascii="Cambria Math" w:hAnsi="Cambria Math"/>
            </w:rPr>
            <m:t>Price=Labour+Contractor Services+Materials+Capital Allowance</m:t>
          </m:r>
        </m:oMath>
      </m:oMathPara>
    </w:p>
    <w:p w:rsidR="00C31DC4" w:rsidRPr="00C31DC4" w:rsidRDefault="00C31DC4" w:rsidP="00C31DC4">
      <w:r w:rsidRPr="00C31DC4">
        <w:t>Where:</w:t>
      </w:r>
    </w:p>
    <w:p w:rsidR="00C31DC4" w:rsidRPr="00C31DC4" w:rsidRDefault="00C31DC4" w:rsidP="00C31DC4">
      <m:oMath>
        <m:r>
          <w:rPr>
            <w:rFonts w:ascii="Cambria Math" w:hAnsi="Cambria Math"/>
          </w:rPr>
          <m:t>Labour</m:t>
        </m:r>
      </m:oMath>
      <w:r w:rsidRPr="00C31DC4">
        <w:t xml:space="preserve"> </w:t>
      </w:r>
      <w:proofErr w:type="gramStart"/>
      <w:r w:rsidRPr="00C31DC4">
        <w:t>consists</w:t>
      </w:r>
      <w:proofErr w:type="gramEnd"/>
      <w:r w:rsidRPr="00C31DC4">
        <w:t xml:space="preserve"> of all labour costs directly incurred in the provision of the service which may include labour on-costs, fleet on-costs and overheads.</w:t>
      </w:r>
      <w:r w:rsidR="003C65E0" w:rsidRPr="003C65E0">
        <w:t xml:space="preserve"> Labour is escalated annually by (1-X</w:t>
      </w:r>
      <w:r w:rsidR="003C65E0" w:rsidRPr="003C65E0">
        <w:rPr>
          <w:rStyle w:val="AERsubscript"/>
        </w:rPr>
        <w:t>t</w:t>
      </w:r>
      <w:proofErr w:type="gramStart"/>
      <w:r w:rsidR="003C65E0" w:rsidRPr="003C65E0">
        <w:t>)(</w:t>
      </w:r>
      <w:proofErr w:type="gramEnd"/>
      <w:r w:rsidR="003C65E0" w:rsidRPr="003C65E0">
        <w:t>1+</w:t>
      </w:r>
      <w:r w:rsidR="00D5227D">
        <w:rPr>
          <w:rFonts w:cs="Arial"/>
        </w:rPr>
        <w:t>∆</w:t>
      </w:r>
      <w:proofErr w:type="spellStart"/>
      <w:r w:rsidR="003C65E0" w:rsidRPr="003C65E0">
        <w:t>CPI</w:t>
      </w:r>
      <w:r w:rsidR="003C65E0" w:rsidRPr="003C65E0">
        <w:rPr>
          <w:rStyle w:val="AERsubscript"/>
        </w:rPr>
        <w:t>t</w:t>
      </w:r>
      <w:proofErr w:type="spellEnd"/>
      <w:r w:rsidR="00593E90">
        <w:t>)</w:t>
      </w:r>
      <w:r w:rsidR="00250358">
        <w:t>.</w:t>
      </w:r>
      <w:r w:rsidR="00250358">
        <w:rPr>
          <w:rStyle w:val="FootnoteReference"/>
        </w:rPr>
        <w:footnoteReference w:id="7"/>
      </w:r>
    </w:p>
    <w:p w:rsidR="00C31DC4" w:rsidRPr="00C31DC4" w:rsidRDefault="00C31DC4" w:rsidP="00C31DC4">
      <m:oMath>
        <m:r>
          <w:rPr>
            <w:rFonts w:ascii="Cambria Math" w:hAnsi="Cambria Math"/>
          </w:rPr>
          <m:t xml:space="preserve">Contractor Services </m:t>
        </m:r>
      </m:oMath>
      <w:r w:rsidRPr="00C31DC4">
        <w:tab/>
      </w:r>
      <w:proofErr w:type="gramStart"/>
      <w:r w:rsidRPr="00C31DC4">
        <w:t>reflect</w:t>
      </w:r>
      <w:proofErr w:type="gramEnd"/>
      <w:r w:rsidRPr="00C31DC4">
        <w:t xml:space="preserve"> all costs associated with the use of external labour including overheads and any direct costs incurred. The contracted services charge applies the rates under existing contractual arrangements. Direct costs incurred are passed on to the customer.</w:t>
      </w:r>
      <w:r w:rsidR="003C65E0" w:rsidRPr="003C65E0">
        <w:t xml:space="preserve"> Contractor services are escalated annually by </w:t>
      </w:r>
      <w:r w:rsidR="00D5227D">
        <w:rPr>
          <w:rFonts w:cs="Arial"/>
        </w:rPr>
        <w:t>∆</w:t>
      </w:r>
      <w:r w:rsidR="003C65E0" w:rsidRPr="003C65E0">
        <w:t>CPI.</w:t>
      </w:r>
    </w:p>
    <w:p w:rsidR="00C31DC4" w:rsidRPr="00C31DC4" w:rsidRDefault="00C31DC4" w:rsidP="00C31DC4">
      <m:oMath>
        <m:r>
          <w:rPr>
            <w:rFonts w:ascii="Cambria Math" w:hAnsi="Cambria Math"/>
          </w:rPr>
          <m:t>Materials</m:t>
        </m:r>
      </m:oMath>
      <w:r w:rsidRPr="00C31DC4">
        <w:tab/>
      </w:r>
      <w:proofErr w:type="gramStart"/>
      <w:r w:rsidRPr="00C31DC4">
        <w:t>reflect</w:t>
      </w:r>
      <w:proofErr w:type="gramEnd"/>
      <w:r w:rsidRPr="00C31DC4">
        <w:t xml:space="preserve"> the cost of materials directly incurred in the provision of the service, material storage and logistics on-costs and overheads.</w:t>
      </w:r>
      <w:r w:rsidR="003C65E0" w:rsidRPr="003C65E0">
        <w:t xml:space="preserve"> Materials are escalated annually by </w:t>
      </w:r>
      <w:r w:rsidR="00D5227D" w:rsidRPr="00D5227D">
        <w:t>∆</w:t>
      </w:r>
      <w:r w:rsidR="00D5227D" w:rsidRPr="003C65E0">
        <w:t>CPI</w:t>
      </w:r>
      <w:r w:rsidR="003C65E0" w:rsidRPr="003C65E0">
        <w:t>.</w:t>
      </w:r>
    </w:p>
    <w:p w:rsidR="00C31DC4" w:rsidRPr="00C31DC4" w:rsidRDefault="00C31DC4" w:rsidP="00C31DC4">
      <m:oMath>
        <m:r>
          <w:rPr>
            <w:rFonts w:ascii="Cambria Math" w:hAnsi="Cambria Math"/>
          </w:rPr>
          <m:t>Capital Allowance</m:t>
        </m:r>
      </m:oMath>
      <w:r w:rsidRPr="00C31DC4">
        <w:t xml:space="preserve"> </w:t>
      </w:r>
      <w:proofErr w:type="gramStart"/>
      <w:r w:rsidRPr="00C31DC4">
        <w:t>represents</w:t>
      </w:r>
      <w:proofErr w:type="gramEnd"/>
      <w:r w:rsidRPr="00C31DC4">
        <w:t xml:space="preserve"> a return on and return of capital for non-system assets</w:t>
      </w:r>
      <w:r>
        <w:t>.</w:t>
      </w:r>
    </w:p>
    <w:p w:rsidR="00C31DC4" w:rsidRPr="00C31DC4" w:rsidRDefault="00C31DC4" w:rsidP="00C31DC4">
      <w:pPr>
        <w:pStyle w:val="Heading3"/>
      </w:pPr>
      <w:bookmarkStart w:id="30" w:name="_Toc416346923"/>
      <w:bookmarkStart w:id="31" w:name="_Toc417994608"/>
      <w:r w:rsidRPr="00C31DC4">
        <w:t>Ergon Energy's proposal</w:t>
      </w:r>
      <w:bookmarkEnd w:id="30"/>
      <w:bookmarkEnd w:id="31"/>
    </w:p>
    <w:p w:rsidR="00C31DC4" w:rsidRPr="00C31DC4" w:rsidRDefault="00C31DC4" w:rsidP="009B219E">
      <w:pPr>
        <w:pStyle w:val="ListContinue3"/>
        <w:ind w:left="0"/>
      </w:pPr>
      <w:r w:rsidRPr="00C31DC4">
        <w:t xml:space="preserve">Ergon Energy proposes to use the cost build-up formula (in </w:t>
      </w:r>
      <w:r w:rsidRPr="00C31DC4">
        <w:fldChar w:fldCharType="begin"/>
      </w:r>
      <w:r w:rsidRPr="00C31DC4">
        <w:instrText xml:space="preserve"> REF  _Ref416342050 \* Lower \h </w:instrText>
      </w:r>
      <w:r w:rsidRPr="00C31DC4">
        <w:fldChar w:fldCharType="separate"/>
      </w:r>
      <w:r w:rsidR="00F16AE7" w:rsidRPr="00C31DC4">
        <w:t xml:space="preserve">figure </w:t>
      </w:r>
      <w:r w:rsidR="00F16AE7">
        <w:rPr>
          <w:noProof/>
        </w:rPr>
        <w:t>16</w:t>
      </w:r>
      <w:r w:rsidR="00F16AE7">
        <w:t>.</w:t>
      </w:r>
      <w:r w:rsidR="00F16AE7">
        <w:rPr>
          <w:noProof/>
        </w:rPr>
        <w:t>2</w:t>
      </w:r>
      <w:r w:rsidRPr="00C31DC4">
        <w:fldChar w:fldCharType="end"/>
      </w:r>
      <w:r w:rsidRPr="00C31DC4">
        <w:t xml:space="preserve">) to establish initial prices (or base prices) for fixed fee services in the first year of the </w:t>
      </w:r>
      <w:r w:rsidR="00935083">
        <w:t>2015–20</w:t>
      </w:r>
      <w:r w:rsidR="00935083" w:rsidRPr="00C31DC4">
        <w:t xml:space="preserve"> </w:t>
      </w:r>
      <w:r w:rsidRPr="00C31DC4">
        <w:t>regulatory control period.</w:t>
      </w:r>
      <w:r w:rsidRPr="00C31DC4">
        <w:rPr>
          <w:rStyle w:val="FootnoteReference"/>
        </w:rPr>
        <w:footnoteReference w:id="8"/>
      </w:r>
    </w:p>
    <w:p w:rsidR="00C31DC4" w:rsidRPr="00C31DC4" w:rsidRDefault="00C31DC4" w:rsidP="00C31DC4">
      <w:r w:rsidRPr="00C31DC4">
        <w:t xml:space="preserve">Ergon Energy assumed the price caps will operate in the following way for fixed fee services: </w:t>
      </w:r>
    </w:p>
    <w:p w:rsidR="00C31DC4" w:rsidRPr="00C31DC4" w:rsidRDefault="00C31DC4" w:rsidP="00C31DC4">
      <w:pPr>
        <w:pStyle w:val="AERbulletlistfirststyle"/>
      </w:pPr>
      <w:r w:rsidRPr="00C31DC4">
        <w:lastRenderedPageBreak/>
        <w:t>The initial price (or base price) will be set for each service in the first year of the regulatory control period</w:t>
      </w:r>
      <w:r w:rsidR="00ED517E">
        <w:t>.</w:t>
      </w:r>
      <w:r w:rsidRPr="00C31DC4">
        <w:t xml:space="preserve"> </w:t>
      </w:r>
    </w:p>
    <w:p w:rsidR="00C31DC4" w:rsidRPr="00C31DC4" w:rsidRDefault="00C31DC4" w:rsidP="00C31DC4">
      <w:pPr>
        <w:pStyle w:val="AERbulletlistfirststyle"/>
      </w:pPr>
      <w:r w:rsidRPr="00C31DC4">
        <w:t xml:space="preserve">From year two onwards of the regulatory control period, services will be subject to the price caps using the controls provided in the price cap formula in </w:t>
      </w:r>
      <w:r w:rsidRPr="00C31DC4">
        <w:fldChar w:fldCharType="begin"/>
      </w:r>
      <w:r w:rsidRPr="00C31DC4">
        <w:instrText xml:space="preserve"> REF  _Ref416342037 \* Lower \h </w:instrText>
      </w:r>
      <w:r w:rsidRPr="00C31DC4">
        <w:fldChar w:fldCharType="separate"/>
      </w:r>
      <w:r w:rsidR="00F16AE7" w:rsidRPr="00C31DC4">
        <w:t xml:space="preserve">figure </w:t>
      </w:r>
      <w:r w:rsidR="00F16AE7">
        <w:rPr>
          <w:noProof/>
        </w:rPr>
        <w:t>16</w:t>
      </w:r>
      <w:r w:rsidR="00F16AE7">
        <w:t>.</w:t>
      </w:r>
      <w:r w:rsidR="00F16AE7">
        <w:rPr>
          <w:noProof/>
        </w:rPr>
        <w:t>1</w:t>
      </w:r>
      <w:r w:rsidRPr="00C31DC4">
        <w:fldChar w:fldCharType="end"/>
      </w:r>
      <w:r w:rsidR="00ED517E">
        <w:t>.</w:t>
      </w:r>
    </w:p>
    <w:p w:rsidR="00C31DC4" w:rsidRPr="00C31DC4" w:rsidRDefault="00C31DC4" w:rsidP="00C31DC4">
      <w:pPr>
        <w:pStyle w:val="AERbulletlistfirststyle"/>
      </w:pPr>
      <w:r w:rsidRPr="00C31DC4">
        <w:t xml:space="preserve">The price cap formula allows prices to be annually adjusted for: </w:t>
      </w:r>
    </w:p>
    <w:p w:rsidR="00C31DC4" w:rsidRPr="00C31DC4" w:rsidRDefault="00C31DC4" w:rsidP="00C31DC4">
      <w:pPr>
        <w:pStyle w:val="AERbulletlistsecondstyle"/>
      </w:pPr>
      <w:r w:rsidRPr="00C31DC4">
        <w:t xml:space="preserve">inflation (CPI) </w:t>
      </w:r>
    </w:p>
    <w:p w:rsidR="00C31DC4" w:rsidRPr="00C31DC4" w:rsidRDefault="00C31DC4" w:rsidP="00C31DC4">
      <w:pPr>
        <w:pStyle w:val="AERbulletlistsecondstyle"/>
      </w:pPr>
      <w:r w:rsidRPr="00C31DC4">
        <w:t xml:space="preserve">real cost escalation (X-factor) </w:t>
      </w:r>
    </w:p>
    <w:p w:rsidR="00C31DC4" w:rsidRPr="00C31DC4" w:rsidRDefault="00C31DC4" w:rsidP="00C31DC4">
      <w:pPr>
        <w:pStyle w:val="AERbulletlistsecondstyle"/>
      </w:pPr>
      <w:proofErr w:type="gramStart"/>
      <w:r w:rsidRPr="00C31DC4">
        <w:t>other</w:t>
      </w:r>
      <w:proofErr w:type="gramEnd"/>
      <w:r w:rsidRPr="00C31DC4">
        <w:t xml:space="preserve"> adjustments allowed to be passed through in ca</w:t>
      </w:r>
      <w:r>
        <w:t>pped prices (Adjustment factor)</w:t>
      </w:r>
      <w:r w:rsidR="00ED517E">
        <w:t>.</w:t>
      </w:r>
      <w:r w:rsidRPr="00C31DC4">
        <w:t xml:space="preserve"> </w:t>
      </w:r>
    </w:p>
    <w:p w:rsidR="00C31DC4" w:rsidRPr="00C31DC4" w:rsidRDefault="00C31DC4" w:rsidP="00C31DC4">
      <w:r w:rsidRPr="00C31DC4">
        <w:t>The result of the above essentially limits the annual movement in prices to an annual adjustment or escalation. This is primarily driven by changes in CPI and other changes to underlying cost drivers for different services (X-factor).</w:t>
      </w:r>
      <w:r w:rsidRPr="00C31DC4">
        <w:rPr>
          <w:rStyle w:val="FootnoteReference"/>
        </w:rPr>
        <w:footnoteReference w:id="9"/>
      </w:r>
    </w:p>
    <w:p w:rsidR="00C31DC4" w:rsidRPr="00C31DC4" w:rsidRDefault="00C31DC4" w:rsidP="00C31DC4">
      <w:pPr>
        <w:pStyle w:val="Heading3"/>
      </w:pPr>
      <w:bookmarkStart w:id="32" w:name="_Toc416346924"/>
      <w:bookmarkStart w:id="33" w:name="_Ref417045280"/>
      <w:bookmarkStart w:id="34" w:name="_Toc417994609"/>
      <w:r w:rsidRPr="00C31DC4">
        <w:t>Assessment approach</w:t>
      </w:r>
      <w:bookmarkEnd w:id="32"/>
      <w:bookmarkEnd w:id="33"/>
      <w:bookmarkEnd w:id="34"/>
    </w:p>
    <w:p w:rsidR="00C31DC4" w:rsidRPr="00C31DC4" w:rsidRDefault="00C31DC4" w:rsidP="00C31DC4">
      <w:r w:rsidRPr="00C31DC4">
        <w:t>We have focused on the key inputs in determining prices for ancillary network services. We considered:</w:t>
      </w:r>
    </w:p>
    <w:p w:rsidR="00C31DC4" w:rsidRPr="00C31DC4" w:rsidRDefault="00C31DC4" w:rsidP="00C31DC4">
      <w:pPr>
        <w:pStyle w:val="AERbulletlistfirststyle"/>
      </w:pPr>
      <w:r w:rsidRPr="00C31DC4">
        <w:t>Ergon Energy's regulatory proposal.</w:t>
      </w:r>
      <w:r w:rsidRPr="00C31DC4">
        <w:rPr>
          <w:rStyle w:val="FootnoteReference"/>
        </w:rPr>
        <w:footnoteReference w:id="10"/>
      </w:r>
      <w:r w:rsidRPr="00C31DC4">
        <w:t xml:space="preserve"> </w:t>
      </w:r>
    </w:p>
    <w:p w:rsidR="00C31DC4" w:rsidRPr="00C31DC4" w:rsidRDefault="00C31DC4" w:rsidP="00C31DC4">
      <w:pPr>
        <w:pStyle w:val="AERbulletlistfirststyle"/>
      </w:pPr>
      <w:r w:rsidRPr="00C31DC4">
        <w:t>Maximum total labour rates we developed</w:t>
      </w:r>
      <w:r w:rsidR="00250358">
        <w:t xml:space="preserve"> for Queensland</w:t>
      </w:r>
      <w:r w:rsidRPr="00C31DC4">
        <w:t>. We based our findings on our consultant, Marsden Jacob's, analysis for our NSW draft decision.</w:t>
      </w:r>
      <w:r w:rsidRPr="00C31DC4">
        <w:rPr>
          <w:rStyle w:val="FootnoteReference"/>
        </w:rPr>
        <w:footnoteReference w:id="11"/>
      </w:r>
    </w:p>
    <w:p w:rsidR="00C31DC4" w:rsidRPr="00C31DC4" w:rsidRDefault="00C31DC4" w:rsidP="00C31DC4">
      <w:pPr>
        <w:pStyle w:val="AERbulletlistfirststyle"/>
      </w:pPr>
      <w:r w:rsidRPr="00C31DC4">
        <w:t xml:space="preserve">We consider labour is the key input in determining an efficient level of fees for ancillary network services. We focused on comparing Ergon Energy's proposed total labour rates against maximum total labour rates that we developed. In this preliminary decision 'total labour rates' comprise raw labour rates, on-costs and overheads. </w:t>
      </w:r>
    </w:p>
    <w:p w:rsidR="00C31DC4" w:rsidRPr="00C31DC4" w:rsidRDefault="00C31DC4" w:rsidP="00C31DC4">
      <w:r w:rsidRPr="00C31DC4">
        <w:t xml:space="preserve">Our preliminary decision maximum total labour rates apply the following labour components to arrive at a maximum total labour rate (for particular labour types). </w:t>
      </w:r>
    </w:p>
    <w:p w:rsidR="00C31DC4" w:rsidRPr="00C31DC4" w:rsidRDefault="00C31DC4" w:rsidP="00C31DC4">
      <w:pPr>
        <w:pStyle w:val="AERbulletlistfirststyle"/>
      </w:pPr>
      <w:r w:rsidRPr="00C31DC4">
        <w:t>a maximum raw labour rate</w:t>
      </w:r>
    </w:p>
    <w:p w:rsidR="00C31DC4" w:rsidRPr="00C31DC4" w:rsidRDefault="00C31DC4" w:rsidP="00C31DC4">
      <w:pPr>
        <w:pStyle w:val="AERbulletlistfirststyle"/>
      </w:pPr>
      <w:r w:rsidRPr="00C31DC4">
        <w:t>a maximum on-cost rate</w:t>
      </w:r>
    </w:p>
    <w:p w:rsidR="00C31DC4" w:rsidRPr="00C31DC4" w:rsidRDefault="00C31DC4" w:rsidP="00C31DC4">
      <w:pPr>
        <w:pStyle w:val="AERbulletlistfirststyle"/>
      </w:pPr>
      <w:proofErr w:type="gramStart"/>
      <w:r w:rsidRPr="00C31DC4">
        <w:t>a</w:t>
      </w:r>
      <w:proofErr w:type="gramEnd"/>
      <w:r w:rsidRPr="00C31DC4">
        <w:t xml:space="preserve"> maximum overhead rate</w:t>
      </w:r>
      <w:r w:rsidR="009B219E">
        <w:t>.</w:t>
      </w:r>
    </w:p>
    <w:p w:rsidR="00250358" w:rsidRDefault="00C31DC4" w:rsidP="00C31DC4">
      <w:r w:rsidRPr="00C31DC4">
        <w:t xml:space="preserve">As we explain in more detail in section </w:t>
      </w:r>
      <w:r w:rsidRPr="00C31DC4">
        <w:fldChar w:fldCharType="begin"/>
      </w:r>
      <w:r w:rsidRPr="00C31DC4">
        <w:instrText xml:space="preserve"> REF _Ref414455649 \r \h  \* MERGEFORMAT </w:instrText>
      </w:r>
      <w:r w:rsidRPr="00C31DC4">
        <w:fldChar w:fldCharType="separate"/>
      </w:r>
      <w:r w:rsidR="00F16AE7">
        <w:t>16.1.4</w:t>
      </w:r>
      <w:r w:rsidRPr="00C31DC4">
        <w:fldChar w:fldCharType="end"/>
      </w:r>
      <w:r w:rsidRPr="00C31DC4">
        <w:t xml:space="preserve">, we obtained maximum rates for each of these components. We applied these maximum (component) rates to derive maximum total labour rates. </w:t>
      </w:r>
      <w:r w:rsidR="00250358">
        <w:t xml:space="preserve">We consider that using our maximum labour rates to determine </w:t>
      </w:r>
      <w:r w:rsidR="00250358">
        <w:lastRenderedPageBreak/>
        <w:t>appropriate fees for services will provide Ergon Energy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sidR="00250358">
        <w:rPr>
          <w:rStyle w:val="FootnoteReference"/>
        </w:rPr>
        <w:footnoteReference w:id="12"/>
      </w:r>
    </w:p>
    <w:p w:rsidR="00C31DC4" w:rsidRPr="00C31DC4" w:rsidRDefault="00C31DC4" w:rsidP="00C31DC4">
      <w:r w:rsidRPr="00C31DC4">
        <w:t xml:space="preserve">Where Ergon Energy's proposed total labour rates exceeded our maximum total labour rates—which we consider represents a prudent approach—we applied our maximum total labour rates to determine for ancillary network service charges. Equally, we applied Ergon Energy's proposed total labour rates where they sat below our maximum total labour rates. </w:t>
      </w:r>
    </w:p>
    <w:p w:rsidR="00C31DC4" w:rsidRPr="00C31DC4" w:rsidRDefault="00C31DC4" w:rsidP="00C31DC4">
      <w:r w:rsidRPr="00C31DC4">
        <w:t>As a further check of our analysis, we also compared components of Ergon Energy's proposed labour costs with those of the Victorian distributors. The latter's costs have generally been considered closer to efficient levels than their interstate counterparts.</w:t>
      </w:r>
      <w:r w:rsidRPr="00C31DC4">
        <w:rPr>
          <w:rStyle w:val="FootnoteReference"/>
        </w:rPr>
        <w:footnoteReference w:id="13"/>
      </w:r>
    </w:p>
    <w:p w:rsidR="00C31DC4" w:rsidRPr="00C31DC4" w:rsidRDefault="00C31DC4" w:rsidP="00C31DC4">
      <w:pPr>
        <w:pStyle w:val="Heading3"/>
      </w:pPr>
      <w:bookmarkStart w:id="35" w:name="_Ref414455649"/>
      <w:bookmarkStart w:id="36" w:name="_Toc416346926"/>
      <w:bookmarkStart w:id="37" w:name="_Toc417994610"/>
      <w:r w:rsidRPr="00C31DC4">
        <w:t>Reasons for preliminary decision</w:t>
      </w:r>
      <w:bookmarkEnd w:id="35"/>
      <w:bookmarkEnd w:id="36"/>
      <w:bookmarkEnd w:id="37"/>
    </w:p>
    <w:p w:rsidR="00C31DC4" w:rsidRPr="00C31DC4" w:rsidRDefault="00C31DC4" w:rsidP="00C31DC4">
      <w:r w:rsidRPr="00C31DC4">
        <w:t xml:space="preserve">We do not approve Ergon Energy's proposed fees for ancillary network services. Proposed fees exceed those based on maximum total labour rates (which we consider efficient) for Ergon Energy's labour types for providing these services. </w:t>
      </w:r>
      <w:r w:rsidR="00250358">
        <w:t xml:space="preserve">As we set out in section </w:t>
      </w:r>
      <w:r w:rsidR="00250358">
        <w:fldChar w:fldCharType="begin"/>
      </w:r>
      <w:r w:rsidR="00250358">
        <w:instrText xml:space="preserve"> REF _Ref417045280 \n \h </w:instrText>
      </w:r>
      <w:r w:rsidR="00250358">
        <w:fldChar w:fldCharType="separate"/>
      </w:r>
      <w:r w:rsidR="00F16AE7">
        <w:t>16.1.3</w:t>
      </w:r>
      <w:r w:rsidR="00250358">
        <w:fldChar w:fldCharType="end"/>
      </w:r>
      <w:r w:rsidR="00250358">
        <w:t xml:space="preserve">, we compared Ergon Energy's total labour rates against maximum (rather than, for example, average) total labour rates. </w:t>
      </w:r>
      <w:r w:rsidR="00250358" w:rsidRPr="00FC47DE">
        <w:t xml:space="preserve">We note ancillary network services comprise a relatively small portion of </w:t>
      </w:r>
      <w:r w:rsidR="00250358">
        <w:t xml:space="preserve">Ergon </w:t>
      </w:r>
      <w:r w:rsidR="00250358" w:rsidRPr="00FC47DE">
        <w:t xml:space="preserve">Energy's revenue. This is because a relatively small number of </w:t>
      </w:r>
      <w:r w:rsidR="00250358">
        <w:t xml:space="preserve">Ergon </w:t>
      </w:r>
      <w:r w:rsidR="00250358" w:rsidRPr="00FC47DE">
        <w:t xml:space="preserve">Energy's customers request ancillary network services in any given regulatory year. Hence we consider it prudent to use maximum total labour rates as an input to derive prices for ancillary network services. Maximum total labour rates act as 'ceilings' on the rates we consider </w:t>
      </w:r>
      <w:r w:rsidR="00250358">
        <w:t>Ergon</w:t>
      </w:r>
      <w:r w:rsidR="00250358" w:rsidRPr="00FC47DE">
        <w:t xml:space="preserve"> Energy should pay for the various labour types. Where </w:t>
      </w:r>
      <w:r w:rsidR="00250358">
        <w:t xml:space="preserve">Ergon </w:t>
      </w:r>
      <w:r w:rsidR="00250358" w:rsidRPr="00FC47DE">
        <w:t>Energy reveals rates lower than the maximum total labour rates, we consider those lower rates should be the inputs for deriving ancillary network services prices.</w:t>
      </w:r>
      <w:r w:rsidR="00250358">
        <w:t xml:space="preserve"> We consider this ensures</w:t>
      </w:r>
      <w:r w:rsidR="00250358" w:rsidRPr="003933A3">
        <w:t xml:space="preserve"> the distribution business </w:t>
      </w:r>
      <w:r w:rsidR="00250358">
        <w:t xml:space="preserve">has </w:t>
      </w:r>
      <w:r w:rsidR="00250358" w:rsidRPr="003933A3">
        <w:t>a reasonable opportunity to recover at least its efficient costs</w:t>
      </w:r>
      <w:r w:rsidR="00250358">
        <w:t>, while also allowing a return commensurate with the regulatory and commercial risks in providing the services.</w:t>
      </w:r>
    </w:p>
    <w:p w:rsidR="00C31DC4" w:rsidRPr="00C31DC4" w:rsidRDefault="00C31DC4" w:rsidP="00C31DC4">
      <w:r w:rsidRPr="00C31DC4">
        <w:t xml:space="preserve">We carefully assessed Ergon Energy's proposed fees for Ancillary Services to ensure they are prudent. Our assessment focused on the inputs to the methods the distributor Ergon Energy used to derive its fees or ancillary network services. In particular, labour is the major input to Ergon Energy's proposed ancillary network service charges. Where there are inefficiencies in actual costs, however, these will be carried through in the derivation of proposed fees. We found proposed labour rates were inefficient. Hence, we adjusted Ergon Energy's total labour rates where they exceeded the maximum total labour rates that we developed (see section </w:t>
      </w:r>
      <w:r w:rsidRPr="00C31DC4">
        <w:fldChar w:fldCharType="begin"/>
      </w:r>
      <w:r w:rsidRPr="00C31DC4">
        <w:instrText xml:space="preserve"> REF _Ref414455649 \n \h </w:instrText>
      </w:r>
      <w:r w:rsidRPr="00C31DC4">
        <w:fldChar w:fldCharType="separate"/>
      </w:r>
      <w:r w:rsidR="00F16AE7">
        <w:t>16.1.4</w:t>
      </w:r>
      <w:r w:rsidRPr="00C31DC4">
        <w:fldChar w:fldCharType="end"/>
      </w:r>
      <w:r w:rsidRPr="00C31DC4">
        <w:t>).</w:t>
      </w:r>
      <w:r w:rsidR="00593E90">
        <w:t xml:space="preserve"> Specifically, we </w:t>
      </w:r>
      <w:r w:rsidR="00593E90">
        <w:lastRenderedPageBreak/>
        <w:t>adjusted the labour rate Ergon Energy used for administrative employees. We did this because it was higher than the maximum labour rate which we consider efficient (for this labour type). This translated into price changes for those services which require administrative staff. The downward adjustment of the administrative labour rate reduces the allocated labour cost for such services and therefore decreases the fees that Ergon Energy can charge.</w:t>
      </w:r>
    </w:p>
    <w:p w:rsidR="00C31DC4" w:rsidRPr="00C31DC4" w:rsidRDefault="00C31DC4" w:rsidP="00C31DC4">
      <w:r w:rsidRPr="00C31DC4">
        <w:t xml:space="preserve">The Queensland distributors used different names and descriptions for different labour categories. However, we found that the types of labour used to deliver ancillary network services broadly fell into one of five categories: </w:t>
      </w:r>
    </w:p>
    <w:p w:rsidR="00C31DC4" w:rsidRPr="00C31DC4" w:rsidRDefault="00C31DC4" w:rsidP="00C31DC4">
      <w:pPr>
        <w:pStyle w:val="AERbulletlistfirststyle"/>
      </w:pPr>
      <w:r w:rsidRPr="00C31DC4">
        <w:t>Administration</w:t>
      </w:r>
    </w:p>
    <w:p w:rsidR="00C31DC4" w:rsidRPr="00C31DC4" w:rsidRDefault="00C31DC4" w:rsidP="00C31DC4">
      <w:pPr>
        <w:pStyle w:val="AERbulletlistfirststyle"/>
      </w:pPr>
      <w:r w:rsidRPr="00C31DC4">
        <w:t>Technical services</w:t>
      </w:r>
    </w:p>
    <w:p w:rsidR="00C31DC4" w:rsidRPr="00C31DC4" w:rsidRDefault="00C31DC4" w:rsidP="00C31DC4">
      <w:pPr>
        <w:pStyle w:val="AERbulletlistfirststyle"/>
      </w:pPr>
      <w:r w:rsidRPr="00C31DC4">
        <w:t>Engineers</w:t>
      </w:r>
    </w:p>
    <w:p w:rsidR="00C31DC4" w:rsidRPr="00C31DC4" w:rsidRDefault="00C31DC4" w:rsidP="00C31DC4">
      <w:pPr>
        <w:pStyle w:val="AERbulletlistfirststyle"/>
      </w:pPr>
      <w:r w:rsidRPr="00C31DC4">
        <w:t>Field workers, and</w:t>
      </w:r>
    </w:p>
    <w:p w:rsidR="00C31DC4" w:rsidRPr="00C31DC4" w:rsidRDefault="00C31DC4" w:rsidP="00C31DC4">
      <w:pPr>
        <w:pStyle w:val="AERbulletlistfirststyle"/>
      </w:pPr>
      <w:r w:rsidRPr="00C31DC4">
        <w:t>Senior engineers.</w:t>
      </w:r>
    </w:p>
    <w:p w:rsidR="00C31DC4" w:rsidRPr="00C31DC4" w:rsidRDefault="00C31DC4" w:rsidP="00C31DC4">
      <w:pPr>
        <w:rPr>
          <w:rStyle w:val="AERbody"/>
        </w:rPr>
      </w:pPr>
      <w:r w:rsidRPr="00C31DC4">
        <w:rPr>
          <w:rStyle w:val="AERtexthighlight"/>
        </w:rPr>
        <w:fldChar w:fldCharType="begin"/>
      </w:r>
      <w:r w:rsidRPr="00C31DC4">
        <w:rPr>
          <w:rStyle w:val="AERbody"/>
        </w:rPr>
        <w:instrText xml:space="preserve"> REF _Ref416018824 \h </w:instrText>
      </w:r>
      <w:r w:rsidRPr="00C31DC4">
        <w:rPr>
          <w:rStyle w:val="AERtexthighlight"/>
        </w:rPr>
      </w:r>
      <w:r w:rsidRPr="00C31DC4">
        <w:rPr>
          <w:rStyle w:val="AERtexthighlight"/>
        </w:rPr>
        <w:fldChar w:fldCharType="separate"/>
      </w:r>
      <w:r w:rsidR="00F16AE7" w:rsidRPr="00C31DC4">
        <w:t xml:space="preserve">Table </w:t>
      </w:r>
      <w:r w:rsidR="00F16AE7">
        <w:rPr>
          <w:noProof/>
        </w:rPr>
        <w:t>16</w:t>
      </w:r>
      <w:r w:rsidR="00F16AE7">
        <w:t>.</w:t>
      </w:r>
      <w:r w:rsidR="00F16AE7">
        <w:rPr>
          <w:noProof/>
        </w:rPr>
        <w:t>2</w:t>
      </w:r>
      <w:r w:rsidRPr="00C31DC4">
        <w:rPr>
          <w:rStyle w:val="AERtexthighlight"/>
        </w:rPr>
        <w:fldChar w:fldCharType="end"/>
      </w:r>
      <w:r w:rsidRPr="00C31DC4">
        <w:rPr>
          <w:rStyle w:val="AERbody"/>
        </w:rPr>
        <w:t xml:space="preserve"> shows the maximum total labour rates we developed for each of Ergon Energy's labour types. We consider these maximum total labour rates should be used to assess Ergon Energy's proposed charges for ancillary network services.</w:t>
      </w:r>
    </w:p>
    <w:p w:rsidR="00593E90" w:rsidRPr="00C31DC4" w:rsidRDefault="00C31DC4" w:rsidP="00593E90">
      <w:pPr>
        <w:rPr>
          <w:rStyle w:val="AERbody"/>
        </w:rPr>
      </w:pPr>
      <w:r w:rsidRPr="00C31DC4">
        <w:rPr>
          <w:rStyle w:val="AERbody"/>
        </w:rPr>
        <w:t xml:space="preserve">We assessed raw labour rates (see </w:t>
      </w:r>
      <w:r w:rsidRPr="00C31DC4">
        <w:rPr>
          <w:rStyle w:val="AERbody"/>
        </w:rPr>
        <w:fldChar w:fldCharType="begin"/>
      </w:r>
      <w:r w:rsidRPr="00C31DC4">
        <w:rPr>
          <w:rStyle w:val="AERbody"/>
        </w:rPr>
        <w:instrText xml:space="preserve"> REF _Ref415684078 \r \h </w:instrText>
      </w:r>
      <w:r w:rsidRPr="00C31DC4">
        <w:rPr>
          <w:rStyle w:val="AERbody"/>
        </w:rPr>
      </w:r>
      <w:r w:rsidRPr="00C31DC4">
        <w:rPr>
          <w:rStyle w:val="AERbody"/>
        </w:rPr>
        <w:fldChar w:fldCharType="separate"/>
      </w:r>
      <w:r w:rsidR="00F16AE7">
        <w:rPr>
          <w:rStyle w:val="AERbody"/>
        </w:rPr>
        <w:t>16.1.4.1</w:t>
      </w:r>
      <w:r w:rsidRPr="00C31DC4">
        <w:rPr>
          <w:rStyle w:val="AERbody"/>
        </w:rPr>
        <w:fldChar w:fldCharType="end"/>
      </w:r>
      <w:r w:rsidRPr="00C31DC4">
        <w:rPr>
          <w:rStyle w:val="AERbody"/>
        </w:rPr>
        <w:t xml:space="preserve">), on-costs (see </w:t>
      </w:r>
      <w:r w:rsidRPr="00C31DC4">
        <w:rPr>
          <w:rStyle w:val="AERbody"/>
        </w:rPr>
        <w:fldChar w:fldCharType="begin"/>
      </w:r>
      <w:r w:rsidRPr="00C31DC4">
        <w:rPr>
          <w:rStyle w:val="AERbody"/>
        </w:rPr>
        <w:instrText xml:space="preserve"> REF _Ref415684089 \r \h </w:instrText>
      </w:r>
      <w:r w:rsidRPr="00C31DC4">
        <w:rPr>
          <w:rStyle w:val="AERbody"/>
        </w:rPr>
      </w:r>
      <w:r w:rsidRPr="00C31DC4">
        <w:rPr>
          <w:rStyle w:val="AERbody"/>
        </w:rPr>
        <w:fldChar w:fldCharType="separate"/>
      </w:r>
      <w:r w:rsidR="00F16AE7">
        <w:rPr>
          <w:rStyle w:val="AERbody"/>
        </w:rPr>
        <w:t>0</w:t>
      </w:r>
      <w:r w:rsidRPr="00C31DC4">
        <w:rPr>
          <w:rStyle w:val="AERbody"/>
        </w:rPr>
        <w:fldChar w:fldCharType="end"/>
      </w:r>
      <w:r w:rsidRPr="00C31DC4">
        <w:rPr>
          <w:rStyle w:val="AERbody"/>
        </w:rPr>
        <w:t>) and overheads (see</w:t>
      </w:r>
      <w:r w:rsidRPr="00C31DC4">
        <w:rPr>
          <w:rStyle w:val="AERbody"/>
        </w:rPr>
        <w:fldChar w:fldCharType="begin"/>
      </w:r>
      <w:r w:rsidRPr="00C31DC4">
        <w:rPr>
          <w:rStyle w:val="AERbody"/>
        </w:rPr>
        <w:instrText xml:space="preserve"> REF _Ref415684097 \r \h </w:instrText>
      </w:r>
      <w:r w:rsidRPr="00C31DC4">
        <w:rPr>
          <w:rStyle w:val="AERbody"/>
        </w:rPr>
      </w:r>
      <w:r w:rsidRPr="00C31DC4">
        <w:rPr>
          <w:rStyle w:val="AERbody"/>
        </w:rPr>
        <w:fldChar w:fldCharType="separate"/>
      </w:r>
      <w:r w:rsidR="00F16AE7">
        <w:rPr>
          <w:rStyle w:val="AERbody"/>
        </w:rPr>
        <w:t>0</w:t>
      </w:r>
      <w:r w:rsidRPr="00C31DC4">
        <w:rPr>
          <w:rStyle w:val="AERbody"/>
        </w:rPr>
        <w:fldChar w:fldCharType="end"/>
      </w:r>
      <w:r w:rsidRPr="00C31DC4">
        <w:rPr>
          <w:rStyle w:val="AERbody"/>
        </w:rPr>
        <w:t xml:space="preserve">) separately and </w:t>
      </w:r>
      <w:r w:rsidRPr="00C31DC4">
        <w:t>derived maximum rates for each component. We then applied these maximum rates to produce the maximum total labour rates.</w:t>
      </w:r>
      <w:r w:rsidRPr="00C31DC4">
        <w:rPr>
          <w:rStyle w:val="AERbody"/>
        </w:rPr>
        <w:t xml:space="preserve"> It was this maximum rate that was important in our deliberations. The components that make up that maximum were of significantly less relevance.</w:t>
      </w:r>
    </w:p>
    <w:p w:rsidR="00C31DC4" w:rsidRPr="00C31DC4" w:rsidRDefault="00C31DC4" w:rsidP="00C31DC4">
      <w:r w:rsidRPr="00C31DC4">
        <w:t>We used these maximum total labour rates to determine whether Ergon Energy's proposed fees for ancillary network services reflect the underlying cost of an efficient labour rate. We consider this to be a prudent approach. It provides the distribution business with a reasonable opportunity to recover at least its efficient costs. We consider fees based on labour rates higher than the maximum total labour rates would be inefficient. The exact make up of those individual rates (raw labour rates, on-cost and overheads) did not form the basis of our reasoning.</w:t>
      </w:r>
    </w:p>
    <w:p w:rsidR="00C31DC4" w:rsidRPr="00C31DC4" w:rsidRDefault="00C31DC4" w:rsidP="00C31DC4">
      <w:pPr>
        <w:pStyle w:val="Caption"/>
      </w:pPr>
      <w:bookmarkStart w:id="38" w:name="_Ref416018824"/>
      <w:proofErr w:type="gramStart"/>
      <w:r w:rsidRPr="00C31DC4">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2</w:t>
      </w:r>
      <w:r w:rsidR="00F5521C">
        <w:fldChar w:fldCharType="end"/>
      </w:r>
      <w:bookmarkEnd w:id="38"/>
      <w:r w:rsidR="00593E90">
        <w:tab/>
      </w:r>
      <w:r w:rsidR="002F0742">
        <w:t>Maximum allowed</w:t>
      </w:r>
      <w:r w:rsidRPr="00C31DC4">
        <w:t xml:space="preserve"> total labour rates</w:t>
      </w:r>
    </w:p>
    <w:tbl>
      <w:tblPr>
        <w:tblStyle w:val="AERtable-numbers"/>
        <w:tblW w:w="0" w:type="auto"/>
        <w:tblLook w:val="04A0" w:firstRow="1" w:lastRow="0" w:firstColumn="1" w:lastColumn="0" w:noHBand="0" w:noVBand="1"/>
      </w:tblPr>
      <w:tblGrid>
        <w:gridCol w:w="2897"/>
        <w:gridCol w:w="2898"/>
        <w:gridCol w:w="2898"/>
      </w:tblGrid>
      <w:tr w:rsidR="00C31DC4" w:rsidTr="005003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593E90">
            <w:pPr>
              <w:pStyle w:val="Tabletext"/>
              <w:rPr>
                <w:rStyle w:val="AERbody"/>
              </w:rPr>
            </w:pPr>
            <w:r w:rsidRPr="00C31DC4">
              <w:t>Labour Category</w:t>
            </w:r>
          </w:p>
        </w:tc>
        <w:tc>
          <w:tcPr>
            <w:tcW w:w="2898" w:type="dxa"/>
          </w:tcPr>
          <w:p w:rsidR="00C31DC4" w:rsidRPr="00C31DC4" w:rsidRDefault="00C31DC4" w:rsidP="00593E90">
            <w:pPr>
              <w:pStyle w:val="Tabletext"/>
              <w:cnfStyle w:val="100000000000" w:firstRow="1" w:lastRow="0" w:firstColumn="0" w:lastColumn="0" w:oddVBand="0" w:evenVBand="0" w:oddHBand="0" w:evenHBand="0" w:firstRowFirstColumn="0" w:firstRowLastColumn="0" w:lastRowFirstColumn="0" w:lastRowLastColumn="0"/>
              <w:rPr>
                <w:rStyle w:val="AERbody"/>
              </w:rPr>
            </w:pPr>
          </w:p>
        </w:tc>
        <w:tc>
          <w:tcPr>
            <w:tcW w:w="2898" w:type="dxa"/>
          </w:tcPr>
          <w:p w:rsidR="00C31DC4" w:rsidRPr="00C31DC4" w:rsidRDefault="00C31DC4" w:rsidP="00593E90">
            <w:pPr>
              <w:pStyle w:val="Tabletext"/>
              <w:cnfStyle w:val="100000000000" w:firstRow="1" w:lastRow="0" w:firstColumn="0" w:lastColumn="0" w:oddVBand="0" w:evenVBand="0" w:oddHBand="0" w:evenHBand="0" w:firstRowFirstColumn="0" w:firstRowLastColumn="0" w:lastRowFirstColumn="0" w:lastRowLastColumn="0"/>
              <w:rPr>
                <w:rStyle w:val="AERbody"/>
              </w:rPr>
            </w:pPr>
            <w:r w:rsidRPr="00C31DC4">
              <w:t>AER maximum total labour rates ($2014–15)</w:t>
            </w:r>
          </w:p>
        </w:tc>
      </w:tr>
      <w:tr w:rsidR="00C31DC4" w:rsidTr="00593E90">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Apprentice</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593E90">
            <w:pPr>
              <w:pStyle w:val="AERtabletextright"/>
              <w:cnfStyle w:val="000000000000" w:firstRow="0" w:lastRow="0" w:firstColumn="0" w:lastColumn="0" w:oddVBand="0" w:evenVBand="0" w:oddHBand="0" w:evenHBand="0" w:firstRowFirstColumn="0" w:firstRowLastColumn="0" w:lastRowFirstColumn="0" w:lastRowLastColumn="0"/>
            </w:pPr>
            <w:r w:rsidRPr="00C31DC4">
              <w:t>N/A</w:t>
            </w:r>
          </w:p>
        </w:tc>
      </w:tr>
      <w:tr w:rsidR="00C31DC4" w:rsidTr="00593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Trainee</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593E90">
            <w:pPr>
              <w:pStyle w:val="AERtabletextright"/>
              <w:cnfStyle w:val="000000010000" w:firstRow="0" w:lastRow="0" w:firstColumn="0" w:lastColumn="0" w:oddVBand="0" w:evenVBand="0" w:oddHBand="0" w:evenHBand="1" w:firstRowFirstColumn="0" w:firstRowLastColumn="0" w:lastRowFirstColumn="0" w:lastRowLastColumn="0"/>
            </w:pPr>
            <w:r w:rsidRPr="00C31DC4">
              <w:t>N/A</w:t>
            </w:r>
          </w:p>
        </w:tc>
      </w:tr>
      <w:tr w:rsidR="00C31DC4" w:rsidTr="00593E90">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Power Worker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593E90">
            <w:pPr>
              <w:pStyle w:val="AERtabletextright"/>
              <w:cnfStyle w:val="000000000000" w:firstRow="0" w:lastRow="0" w:firstColumn="0" w:lastColumn="0" w:oddVBand="0" w:evenVBand="0" w:oddHBand="0" w:evenHBand="0" w:firstRowFirstColumn="0" w:firstRowLastColumn="0" w:lastRowFirstColumn="0" w:lastRowLastColumn="0"/>
            </w:pPr>
            <w:r w:rsidRPr="00C31DC4">
              <w:t>125.07</w:t>
            </w:r>
          </w:p>
        </w:tc>
      </w:tr>
      <w:tr w:rsidR="00C31DC4" w:rsidTr="00593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Admin Employee</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593E90">
            <w:pPr>
              <w:pStyle w:val="AERtabletextright"/>
              <w:cnfStyle w:val="000000010000" w:firstRow="0" w:lastRow="0" w:firstColumn="0" w:lastColumn="0" w:oddVBand="0" w:evenVBand="0" w:oddHBand="0" w:evenHBand="1" w:firstRowFirstColumn="0" w:firstRowLastColumn="0" w:lastRowFirstColumn="0" w:lastRowLastColumn="0"/>
            </w:pPr>
            <w:r w:rsidRPr="00C31DC4">
              <w:t>73.90</w:t>
            </w:r>
          </w:p>
        </w:tc>
      </w:tr>
      <w:tr w:rsidR="00C31DC4" w:rsidTr="00593E90">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Technical Service Person</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593E90">
            <w:pPr>
              <w:pStyle w:val="AERtabletextright"/>
              <w:cnfStyle w:val="000000000000" w:firstRow="0" w:lastRow="0" w:firstColumn="0" w:lastColumn="0" w:oddVBand="0" w:evenVBand="0" w:oddHBand="0" w:evenHBand="0" w:firstRowFirstColumn="0" w:firstRowLastColumn="0" w:lastRowFirstColumn="0" w:lastRowLastColumn="0"/>
            </w:pPr>
            <w:r w:rsidRPr="00C31DC4">
              <w:t>181.92</w:t>
            </w:r>
          </w:p>
        </w:tc>
      </w:tr>
      <w:tr w:rsidR="00C31DC4" w:rsidTr="00593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lastRenderedPageBreak/>
              <w:t>Electrical System Designer</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593E90">
            <w:pPr>
              <w:pStyle w:val="AERtabletextright"/>
              <w:cnfStyle w:val="000000010000" w:firstRow="0" w:lastRow="0" w:firstColumn="0" w:lastColumn="0" w:oddVBand="0" w:evenVBand="0" w:oddHBand="0" w:evenHBand="1" w:firstRowFirstColumn="0" w:firstRowLastColumn="0" w:lastRowFirstColumn="0" w:lastRowLastColumn="0"/>
            </w:pPr>
            <w:r w:rsidRPr="00C31DC4">
              <w:t>170.55</w:t>
            </w:r>
          </w:p>
        </w:tc>
      </w:tr>
      <w:tr w:rsidR="00C31DC4" w:rsidTr="00593E90">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Supervisor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593E90">
            <w:pPr>
              <w:pStyle w:val="AERtabletextright"/>
              <w:cnfStyle w:val="000000000000" w:firstRow="0" w:lastRow="0" w:firstColumn="0" w:lastColumn="0" w:oddVBand="0" w:evenVBand="0" w:oddHBand="0" w:evenHBand="0" w:firstRowFirstColumn="0" w:firstRowLastColumn="0" w:lastRowFirstColumn="0" w:lastRowLastColumn="0"/>
            </w:pPr>
            <w:r w:rsidRPr="00C31DC4">
              <w:t>181.92</w:t>
            </w:r>
          </w:p>
        </w:tc>
      </w:tr>
      <w:tr w:rsidR="00C31DC4" w:rsidTr="00593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Para-Professional</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593E90">
            <w:pPr>
              <w:pStyle w:val="AERtabletextright"/>
              <w:cnfStyle w:val="000000010000" w:firstRow="0" w:lastRow="0" w:firstColumn="0" w:lastColumn="0" w:oddVBand="0" w:evenVBand="0" w:oddHBand="0" w:evenHBand="1" w:firstRowFirstColumn="0" w:firstRowLastColumn="0" w:lastRowFirstColumn="0" w:lastRowLastColumn="0"/>
            </w:pPr>
            <w:r w:rsidRPr="00C31DC4">
              <w:t>181.92</w:t>
            </w:r>
          </w:p>
        </w:tc>
      </w:tr>
      <w:tr w:rsidR="00C31DC4" w:rsidTr="00593E90">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System Operator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593E90">
            <w:pPr>
              <w:pStyle w:val="AERtabletextright"/>
              <w:cnfStyle w:val="000000000000" w:firstRow="0" w:lastRow="0" w:firstColumn="0" w:lastColumn="0" w:oddVBand="0" w:evenVBand="0" w:oddHBand="0" w:evenHBand="0" w:firstRowFirstColumn="0" w:firstRowLastColumn="0" w:lastRowFirstColumn="0" w:lastRowLastColumn="0"/>
            </w:pPr>
            <w:r w:rsidRPr="00C31DC4">
              <w:t>N/A</w:t>
            </w:r>
          </w:p>
        </w:tc>
      </w:tr>
      <w:tr w:rsidR="00C31DC4" w:rsidTr="00593E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Professional Managerial</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593E90">
            <w:pPr>
              <w:pStyle w:val="AERtabletextright"/>
              <w:cnfStyle w:val="000000010000" w:firstRow="0" w:lastRow="0" w:firstColumn="0" w:lastColumn="0" w:oddVBand="0" w:evenVBand="0" w:oddHBand="0" w:evenHBand="1" w:firstRowFirstColumn="0" w:firstRowLastColumn="0" w:lastRowFirstColumn="0" w:lastRowLastColumn="0"/>
            </w:pPr>
            <w:r w:rsidRPr="00C31DC4">
              <w:t>170.55</w:t>
            </w:r>
          </w:p>
        </w:tc>
      </w:tr>
      <w:tr w:rsidR="00C31DC4" w:rsidTr="00593E90">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C31DC4">
            <w:pPr>
              <w:pStyle w:val="Tabletext"/>
            </w:pPr>
            <w:r w:rsidRPr="00C31DC4">
              <w:t>Manager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593E90">
            <w:pPr>
              <w:pStyle w:val="AERtabletextright"/>
              <w:cnfStyle w:val="000000000000" w:firstRow="0" w:lastRow="0" w:firstColumn="0" w:lastColumn="0" w:oddVBand="0" w:evenVBand="0" w:oddHBand="0" w:evenHBand="0" w:firstRowFirstColumn="0" w:firstRowLastColumn="0" w:lastRowFirstColumn="0" w:lastRowLastColumn="0"/>
            </w:pPr>
            <w:r w:rsidRPr="00C31DC4">
              <w:t>N/A</w:t>
            </w:r>
          </w:p>
        </w:tc>
      </w:tr>
    </w:tbl>
    <w:p w:rsidR="00C31DC4" w:rsidRPr="00C31DC4" w:rsidRDefault="00C31DC4" w:rsidP="00C31DC4">
      <w:pPr>
        <w:pStyle w:val="AERtablesource"/>
      </w:pPr>
      <w:r w:rsidRPr="00C31DC4">
        <w:t>Source:</w:t>
      </w:r>
      <w:r w:rsidRPr="00C31DC4">
        <w:tab/>
        <w:t>AER analysis.</w:t>
      </w:r>
    </w:p>
    <w:p w:rsidR="00C31DC4" w:rsidRPr="00C31DC4" w:rsidRDefault="00C31DC4" w:rsidP="00C31DC4">
      <w:pPr>
        <w:pStyle w:val="AERtablesource"/>
      </w:pPr>
      <w:r w:rsidRPr="00C31DC4">
        <w:t>Note:</w:t>
      </w:r>
      <w:r w:rsidRPr="00C31DC4">
        <w:tab/>
        <w:t>Ergon Energy claimed confidentiality on its total labour rates.</w:t>
      </w:r>
    </w:p>
    <w:p w:rsidR="00C31DC4" w:rsidRPr="00C31DC4" w:rsidRDefault="00C31DC4" w:rsidP="00C31DC4">
      <w:pPr>
        <w:pStyle w:val="Heading4"/>
      </w:pPr>
      <w:bookmarkStart w:id="39" w:name="_Ref415684078"/>
      <w:bookmarkStart w:id="40" w:name="_Toc416346927"/>
      <w:r w:rsidRPr="00C31DC4">
        <w:t>Raw labour rates</w:t>
      </w:r>
      <w:bookmarkEnd w:id="39"/>
      <w:bookmarkEnd w:id="40"/>
    </w:p>
    <w:p w:rsidR="00C31DC4" w:rsidRPr="00C31DC4" w:rsidRDefault="00C31DC4" w:rsidP="00C31DC4">
      <w:r w:rsidRPr="00C31DC4">
        <w:t xml:space="preserve">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w:t>
      </w:r>
      <w:proofErr w:type="spellStart"/>
      <w:r w:rsidRPr="00C31DC4">
        <w:t>ActewAGL</w:t>
      </w:r>
      <w:proofErr w:type="spellEnd"/>
      <w:r w:rsidRPr="00C31DC4">
        <w:t xml:space="preserve">, </w:t>
      </w:r>
      <w:proofErr w:type="spellStart"/>
      <w:r w:rsidRPr="00C31DC4">
        <w:t>Jemena</w:t>
      </w:r>
      <w:proofErr w:type="spellEnd"/>
      <w:r w:rsidRPr="00C31DC4">
        <w:t xml:space="preserve">, and </w:t>
      </w:r>
      <w:proofErr w:type="spellStart"/>
      <w:r w:rsidRPr="00C31DC4">
        <w:t>CitiPower</w:t>
      </w:r>
      <w:proofErr w:type="spellEnd"/>
      <w:r w:rsidRPr="00C31DC4">
        <w:t>.</w:t>
      </w:r>
      <w:r w:rsidRPr="00C31DC4">
        <w:rPr>
          <w:rStyle w:val="FootnoteReference"/>
        </w:rPr>
        <w:footnoteReference w:id="14"/>
      </w:r>
      <w:r w:rsidRPr="00C31DC4">
        <w:t xml:space="preserve"> The Hays rates draw from a wide pool of labour which the Queensland distributors would likely have access to. We</w:t>
      </w:r>
      <w:r w:rsidR="00250358">
        <w:t xml:space="preserve"> therefore</w:t>
      </w:r>
      <w:r w:rsidRPr="00C31DC4">
        <w:t xml:space="preserve"> consider these rates provide a good representation of the competitive market rate</w:t>
      </w:r>
      <w:r w:rsidR="00250358">
        <w:t xml:space="preserve"> for appropriate categories of labour</w:t>
      </w:r>
      <w:r w:rsidRPr="00C31DC4">
        <w:t xml:space="preserve">. </w:t>
      </w:r>
    </w:p>
    <w:p w:rsidR="00C31DC4" w:rsidRPr="00C31DC4" w:rsidRDefault="00C31DC4" w:rsidP="00C31DC4">
      <w:r w:rsidRPr="00C31DC4">
        <w:t>We reviewed salary information from all Australian cities. However, we only used Brisbane salary data to develop our maximum raw labour rates.</w:t>
      </w:r>
      <w:r w:rsidRPr="00C31DC4">
        <w:rPr>
          <w:rStyle w:val="FootnoteReference"/>
        </w:rPr>
        <w:footnoteReference w:id="15"/>
      </w:r>
      <w:r w:rsidRPr="00C31DC4">
        <w:t xml:space="preserve"> We compared the maximums we developed using the Hays Brisbane data against the Hays Melbourne data. We did this as a cross-check to test the reasonableness of our maximum raw labour rates. We found that our maximum raw labour rates did not differ significantly from the Hays Melbourne data. </w:t>
      </w:r>
    </w:p>
    <w:p w:rsidR="00C31DC4" w:rsidRPr="00C31DC4" w:rsidRDefault="00C31DC4" w:rsidP="00C31DC4">
      <w:r w:rsidRPr="00C31DC4">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w:t>
      </w:r>
      <w:r w:rsidRPr="00C31DC4" w:rsidDel="003C0255">
        <w:t xml:space="preserve"> </w:t>
      </w:r>
      <w:r w:rsidRPr="00C31DC4">
        <w:t>consider that the Brisbane rates alone were acceptable to develop maximum labour rates for ancillary network service charges for the Queensland distributors.</w:t>
      </w:r>
    </w:p>
    <w:p w:rsidR="00C31DC4" w:rsidRPr="00C31DC4" w:rsidRDefault="00C31DC4" w:rsidP="00C31DC4">
      <w:r w:rsidRPr="00C31DC4">
        <w:lastRenderedPageBreak/>
        <w:t>To calculate the maximum raw labour rates, we used job titles from Hays’ energy specific salary guide.</w:t>
      </w:r>
      <w:r w:rsidRPr="00C31DC4">
        <w:rPr>
          <w:rStyle w:val="FootnoteReference"/>
        </w:rPr>
        <w:footnoteReference w:id="16"/>
      </w:r>
      <w:r w:rsidRPr="00C31DC4">
        <w:t xml:space="preserve"> We supplemented this with data from the Hays office support salary guide.</w:t>
      </w:r>
      <w:r w:rsidRPr="00C31DC4">
        <w:rPr>
          <w:rStyle w:val="FootnoteReference"/>
        </w:rPr>
        <w:footnoteReference w:id="17"/>
      </w:r>
      <w:r w:rsidRPr="00C31DC4">
        <w:t xml:space="preserve"> This ensured that the ‘administration’ category was sufficiently covered. </w:t>
      </w:r>
    </w:p>
    <w:p w:rsidR="00C31DC4" w:rsidRPr="00C31DC4" w:rsidRDefault="00C31DC4" w:rsidP="00C31DC4">
      <w:r w:rsidRPr="00C31DC4">
        <w:t xml:space="preserve">We analysed 66 different job titles and used 36 of these to develop maximum raw labour rates for the five labour categories. </w:t>
      </w:r>
    </w:p>
    <w:p w:rsidR="00C31DC4" w:rsidRPr="00C31DC4" w:rsidRDefault="00C31DC4" w:rsidP="00C31DC4">
      <w:r w:rsidRPr="00C31DC4">
        <w:fldChar w:fldCharType="begin"/>
      </w:r>
      <w:r w:rsidRPr="00C31DC4">
        <w:instrText xml:space="preserve"> REF _Ref416346932 \h </w:instrText>
      </w:r>
      <w:r w:rsidRPr="00C31DC4">
        <w:fldChar w:fldCharType="separate"/>
      </w:r>
      <w:r w:rsidR="00F16AE7" w:rsidRPr="00C31DC4">
        <w:t xml:space="preserve">Table </w:t>
      </w:r>
      <w:r w:rsidR="00F16AE7">
        <w:rPr>
          <w:noProof/>
        </w:rPr>
        <w:t>16</w:t>
      </w:r>
      <w:r w:rsidR="00F16AE7">
        <w:t>.</w:t>
      </w:r>
      <w:r w:rsidR="00F16AE7">
        <w:rPr>
          <w:noProof/>
        </w:rPr>
        <w:t>3</w:t>
      </w:r>
      <w:r w:rsidRPr="00C31DC4">
        <w:fldChar w:fldCharType="end"/>
      </w:r>
      <w:r w:rsidRPr="00C31DC4">
        <w:t xml:space="preserve"> 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 </w:t>
      </w:r>
      <w:r w:rsidRPr="00C31DC4">
        <w:fldChar w:fldCharType="begin"/>
      </w:r>
      <w:r w:rsidRPr="00C31DC4">
        <w:instrText xml:space="preserve"> REF _Ref416346932 \h </w:instrText>
      </w:r>
      <w:r w:rsidRPr="00C31DC4">
        <w:fldChar w:fldCharType="separate"/>
      </w:r>
      <w:r w:rsidR="00F16AE7" w:rsidRPr="00C31DC4">
        <w:t xml:space="preserve">Table </w:t>
      </w:r>
      <w:r w:rsidR="00F16AE7">
        <w:rPr>
          <w:noProof/>
        </w:rPr>
        <w:t>16</w:t>
      </w:r>
      <w:r w:rsidR="00F16AE7">
        <w:t>.</w:t>
      </w:r>
      <w:r w:rsidR="00F16AE7">
        <w:rPr>
          <w:noProof/>
        </w:rPr>
        <w:t>3</w:t>
      </w:r>
      <w:r w:rsidRPr="00C31DC4">
        <w:fldChar w:fldCharType="end"/>
      </w:r>
      <w:r w:rsidRPr="00C31DC4">
        <w:t xml:space="preserve"> shows the 36 job titles we used to develop recommended maximum labour rates for each of the five labour categories. We consider these 36 job titles provide Marsden Jacob with a sample of labour rates available in a competitive labour market.    </w:t>
      </w:r>
    </w:p>
    <w:p w:rsidR="00C31DC4" w:rsidRPr="00C31DC4" w:rsidRDefault="00C31DC4" w:rsidP="00C31DC4">
      <w:pPr>
        <w:pStyle w:val="Caption"/>
      </w:pPr>
      <w:bookmarkStart w:id="41" w:name="_Ref416346932"/>
      <w:proofErr w:type="gramStart"/>
      <w:r w:rsidRPr="00C31DC4">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3</w:t>
      </w:r>
      <w:r w:rsidR="00F5521C">
        <w:fldChar w:fldCharType="end"/>
      </w:r>
      <w:bookmarkEnd w:id="41"/>
      <w:r w:rsidRPr="00C31DC4">
        <w:t>: Job titles we used to develop maximum labour rates</w:t>
      </w:r>
    </w:p>
    <w:tbl>
      <w:tblPr>
        <w:tblStyle w:val="AERtable-text0"/>
        <w:tblW w:w="0" w:type="auto"/>
        <w:tblLook w:val="04A0" w:firstRow="1" w:lastRow="0" w:firstColumn="1" w:lastColumn="0" w:noHBand="0" w:noVBand="1"/>
      </w:tblPr>
      <w:tblGrid>
        <w:gridCol w:w="4346"/>
        <w:gridCol w:w="4347"/>
      </w:tblGrid>
      <w:tr w:rsidR="00C31DC4" w:rsidTr="0050031D">
        <w:trPr>
          <w:cnfStyle w:val="100000000000" w:firstRow="1" w:lastRow="0" w:firstColumn="0" w:lastColumn="0" w:oddVBand="0" w:evenVBand="0" w:oddHBand="0" w:evenHBand="0" w:firstRowFirstColumn="0" w:firstRowLastColumn="0" w:lastRowFirstColumn="0" w:lastRowLastColumn="0"/>
          <w:tblHeader/>
        </w:trPr>
        <w:tc>
          <w:tcPr>
            <w:tcW w:w="4346" w:type="dxa"/>
          </w:tcPr>
          <w:p w:rsidR="00C31DC4" w:rsidRPr="00C31DC4" w:rsidRDefault="00C31DC4" w:rsidP="00C31DC4">
            <w:r w:rsidRPr="00C31DC4">
              <w:t>Labour category</w:t>
            </w:r>
          </w:p>
        </w:tc>
        <w:tc>
          <w:tcPr>
            <w:tcW w:w="4347" w:type="dxa"/>
          </w:tcPr>
          <w:p w:rsidR="00C31DC4" w:rsidRPr="00C31DC4" w:rsidRDefault="00C31DC4" w:rsidP="00C31DC4">
            <w:r w:rsidRPr="00C31DC4">
              <w:t>Job title</w:t>
            </w:r>
          </w:p>
        </w:tc>
      </w:tr>
      <w:tr w:rsidR="00C31DC4" w:rsidTr="003C1A48">
        <w:tc>
          <w:tcPr>
            <w:tcW w:w="4346" w:type="dxa"/>
          </w:tcPr>
          <w:p w:rsidR="00C31DC4" w:rsidRPr="00C31DC4" w:rsidRDefault="00C31DC4" w:rsidP="00C31DC4">
            <w:r w:rsidRPr="00C31DC4">
              <w:t>Admin</w:t>
            </w:r>
          </w:p>
        </w:tc>
        <w:tc>
          <w:tcPr>
            <w:tcW w:w="4347" w:type="dxa"/>
          </w:tcPr>
          <w:p w:rsidR="00C31DC4" w:rsidRPr="00C31DC4" w:rsidRDefault="00C31DC4" w:rsidP="00C31DC4">
            <w:r w:rsidRPr="00C31DC4">
              <w:t>Project secretary / Administrator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Client liaison (residential)</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Data entry operator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Records officer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Administration assistant (12+ months experience)</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 xml:space="preserve">Project administration assistant (3+ </w:t>
            </w:r>
            <w:proofErr w:type="spellStart"/>
            <w:r w:rsidRPr="00C31DC4">
              <w:t>years experience</w:t>
            </w:r>
            <w:proofErr w:type="spellEnd"/>
            <w:r w:rsidRPr="00C31DC4">
              <w:t>)</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Project coordinator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r w:rsidRPr="00C31DC4">
              <w:t>Technical specialist</w:t>
            </w:r>
          </w:p>
        </w:tc>
        <w:tc>
          <w:tcPr>
            <w:tcW w:w="4347" w:type="dxa"/>
          </w:tcPr>
          <w:p w:rsidR="00C31DC4" w:rsidRPr="00C31DC4" w:rsidRDefault="00C31DC4" w:rsidP="00C31DC4">
            <w:r w:rsidRPr="00C31DC4">
              <w:t>Technician</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Control room operator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Control room manager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E&amp;I technician</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Protection technician</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Generator technician</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Operator / manager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Site engineer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Planner / scheduler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OHS supervisor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OHS manager</w:t>
            </w:r>
          </w:p>
        </w:tc>
      </w:tr>
      <w:tr w:rsidR="00C31DC4" w:rsidTr="003C1A48">
        <w:tc>
          <w:tcPr>
            <w:tcW w:w="4346" w:type="dxa"/>
          </w:tcPr>
          <w:p w:rsidR="00C31DC4" w:rsidRPr="00C31DC4" w:rsidRDefault="00C31DC4" w:rsidP="00C31DC4">
            <w:r w:rsidRPr="00C31DC4">
              <w:t>Engineer</w:t>
            </w:r>
          </w:p>
        </w:tc>
        <w:tc>
          <w:tcPr>
            <w:tcW w:w="4347" w:type="dxa"/>
          </w:tcPr>
          <w:p w:rsidR="00C31DC4" w:rsidRPr="00C31DC4" w:rsidRDefault="00C31DC4" w:rsidP="00C31DC4">
            <w:r w:rsidRPr="00C31DC4">
              <w:t>Design engineer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Project engineer (EPCM)</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Power systems engineer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Protection engineer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Transmission line design engineer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Asset engineer (3 to 7 years)</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Project engineer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r w:rsidRPr="00C31DC4">
              <w:t>Field worker</w:t>
            </w:r>
          </w:p>
        </w:tc>
        <w:tc>
          <w:tcPr>
            <w:tcW w:w="4347" w:type="dxa"/>
          </w:tcPr>
          <w:p w:rsidR="00C31DC4" w:rsidRPr="00C31DC4" w:rsidRDefault="00C31DC4" w:rsidP="00C31DC4">
            <w:r w:rsidRPr="00C31DC4">
              <w:t>Leading hand</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Electrician</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Mechanical fitter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Line worker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 xml:space="preserve">G&amp;B </w:t>
            </w:r>
            <w:proofErr w:type="spellStart"/>
            <w:r w:rsidRPr="00C31DC4">
              <w:t>linesworker</w:t>
            </w:r>
            <w:proofErr w:type="spellEnd"/>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Cable jointer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Cable layer</w:t>
            </w:r>
          </w:p>
        </w:tc>
      </w:tr>
      <w:tr w:rsidR="00C31DC4" w:rsidTr="003C1A48">
        <w:tc>
          <w:tcPr>
            <w:tcW w:w="4346" w:type="dxa"/>
          </w:tcPr>
          <w:p w:rsidR="00C31DC4" w:rsidRPr="00C31DC4" w:rsidRDefault="00C31DC4" w:rsidP="00C31DC4">
            <w:r w:rsidRPr="00C31DC4">
              <w:t>Senior engineer</w:t>
            </w:r>
          </w:p>
        </w:tc>
        <w:tc>
          <w:tcPr>
            <w:tcW w:w="4347" w:type="dxa"/>
          </w:tcPr>
          <w:p w:rsidR="00C31DC4" w:rsidRPr="00C31DC4" w:rsidRDefault="00C31DC4" w:rsidP="00C31DC4">
            <w:r w:rsidRPr="00C31DC4">
              <w:t>Senior design engineer</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Principal design engineer</w:t>
            </w:r>
          </w:p>
        </w:tc>
      </w:tr>
      <w:tr w:rsidR="00C31DC4" w:rsidTr="003C1A48">
        <w:tc>
          <w:tcPr>
            <w:tcW w:w="4346" w:type="dxa"/>
          </w:tcPr>
          <w:p w:rsidR="00C31DC4" w:rsidRPr="00C31DC4" w:rsidRDefault="00C31DC4" w:rsidP="00C31DC4"/>
        </w:tc>
        <w:tc>
          <w:tcPr>
            <w:tcW w:w="4347" w:type="dxa"/>
          </w:tcPr>
          <w:p w:rsidR="00C31DC4" w:rsidRPr="00C31DC4" w:rsidRDefault="00C31DC4" w:rsidP="00C31DC4">
            <w:r w:rsidRPr="00C31DC4">
              <w:t>Senior project engineer (EPCM)</w:t>
            </w:r>
          </w:p>
        </w:tc>
      </w:tr>
      <w:tr w:rsidR="00C31DC4" w:rsidTr="003C1A48">
        <w:trPr>
          <w:cnfStyle w:val="000000010000" w:firstRow="0" w:lastRow="0" w:firstColumn="0" w:lastColumn="0" w:oddVBand="0" w:evenVBand="0" w:oddHBand="0" w:evenHBand="1" w:firstRowFirstColumn="0" w:firstRowLastColumn="0" w:lastRowFirstColumn="0" w:lastRowLastColumn="0"/>
        </w:trPr>
        <w:tc>
          <w:tcPr>
            <w:tcW w:w="4346" w:type="dxa"/>
          </w:tcPr>
          <w:p w:rsidR="00C31DC4" w:rsidRPr="00C31DC4" w:rsidRDefault="00C31DC4" w:rsidP="00C31DC4"/>
        </w:tc>
        <w:tc>
          <w:tcPr>
            <w:tcW w:w="4347" w:type="dxa"/>
          </w:tcPr>
          <w:p w:rsidR="00C31DC4" w:rsidRPr="00C31DC4" w:rsidRDefault="00C31DC4" w:rsidP="00C31DC4">
            <w:r w:rsidRPr="00C31DC4">
              <w:t>Commissioning Engineer</w:t>
            </w:r>
          </w:p>
        </w:tc>
      </w:tr>
    </w:tbl>
    <w:p w:rsidR="00A0256B" w:rsidRDefault="00A0256B" w:rsidP="00A0256B">
      <w:pPr>
        <w:pStyle w:val="AERtablesource"/>
      </w:pPr>
      <w:r>
        <w:t>Source: Marsden Jacob analysis.</w:t>
      </w:r>
    </w:p>
    <w:p w:rsidR="00C31DC4" w:rsidRPr="00C31DC4" w:rsidRDefault="00C31DC4" w:rsidP="00C31DC4">
      <w:r w:rsidRPr="00C31DC4">
        <w:t>We considered the range of data provided for each labour category across the various job titles. In doing this, we derived salary ranges for each labour category by:</w:t>
      </w:r>
    </w:p>
    <w:p w:rsidR="00C31DC4" w:rsidRPr="00C31DC4" w:rsidRDefault="00C31DC4" w:rsidP="00C31DC4">
      <w:pPr>
        <w:pStyle w:val="AERbulletlistfirststyle"/>
      </w:pPr>
      <w:r w:rsidRPr="00C31DC4">
        <w:t>identifying the lowest salary from all job titles in the labour category</w:t>
      </w:r>
    </w:p>
    <w:p w:rsidR="00C31DC4" w:rsidRPr="00C31DC4" w:rsidRDefault="00C31DC4" w:rsidP="00C31DC4">
      <w:pPr>
        <w:pStyle w:val="AERbulletlistfirststyle"/>
      </w:pPr>
      <w:proofErr w:type="gramStart"/>
      <w:r w:rsidRPr="00C31DC4">
        <w:t>identifying</w:t>
      </w:r>
      <w:proofErr w:type="gramEnd"/>
      <w:r w:rsidRPr="00C31DC4">
        <w:t xml:space="preserve"> the highest salary from all job titles in the labour category</w:t>
      </w:r>
      <w:r w:rsidR="00ED517E">
        <w:t>.</w:t>
      </w:r>
    </w:p>
    <w:p w:rsidR="00C31DC4" w:rsidRDefault="00C31DC4" w:rsidP="00C31DC4">
      <w:r w:rsidRPr="00C31DC4">
        <w:t>We consider this range represents the full pool of labour (and raw labour rates) that Ergon Energy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w:t>
      </w:r>
      <w:r w:rsidR="00250358">
        <w:t>, while promoting the efficient provision of services</w:t>
      </w:r>
      <w:r w:rsidRPr="00C31DC4">
        <w:t xml:space="preserve">.  </w:t>
      </w:r>
    </w:p>
    <w:p w:rsidR="0050031D" w:rsidRPr="00C31DC4" w:rsidRDefault="0050031D" w:rsidP="00C31DC4"/>
    <w:p w:rsidR="00C31DC4" w:rsidRPr="00C31DC4" w:rsidRDefault="00C31DC4" w:rsidP="00C31DC4">
      <w:pPr>
        <w:pStyle w:val="Caption"/>
      </w:pPr>
      <w:proofErr w:type="gramStart"/>
      <w:r w:rsidRPr="00C31DC4">
        <w:lastRenderedPageBreak/>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4</w:t>
      </w:r>
      <w:r w:rsidR="00F5521C">
        <w:fldChar w:fldCharType="end"/>
      </w:r>
      <w:r w:rsidRPr="00C31DC4">
        <w:t>: AER maximum raw labour rates</w:t>
      </w:r>
    </w:p>
    <w:tbl>
      <w:tblPr>
        <w:tblStyle w:val="AERtable-numbers"/>
        <w:tblW w:w="0" w:type="auto"/>
        <w:tblLook w:val="04A0" w:firstRow="1" w:lastRow="0" w:firstColumn="1" w:lastColumn="0" w:noHBand="0" w:noVBand="1"/>
      </w:tblPr>
      <w:tblGrid>
        <w:gridCol w:w="2897"/>
        <w:gridCol w:w="2898"/>
        <w:gridCol w:w="2898"/>
      </w:tblGrid>
      <w:tr w:rsidR="008B63FB" w:rsidTr="008B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rPr>
                <w:rStyle w:val="AERbody"/>
              </w:rPr>
            </w:pPr>
            <w:r w:rsidRPr="00C31DC4">
              <w:t>Labour Category</w:t>
            </w:r>
          </w:p>
        </w:tc>
        <w:tc>
          <w:tcPr>
            <w:tcW w:w="2898" w:type="dxa"/>
          </w:tcPr>
          <w:p w:rsidR="00C31DC4" w:rsidRPr="00C31DC4" w:rsidRDefault="00C31DC4" w:rsidP="00C31DC4">
            <w:pPr>
              <w:pStyle w:val="Tabletext-centred"/>
              <w:cnfStyle w:val="100000000000" w:firstRow="1" w:lastRow="0" w:firstColumn="0" w:lastColumn="0" w:oddVBand="0" w:evenVBand="0" w:oddHBand="0" w:evenHBand="0" w:firstRowFirstColumn="0" w:firstRowLastColumn="0" w:lastRowFirstColumn="0" w:lastRowLastColumn="0"/>
              <w:rPr>
                <w:rStyle w:val="AERbody"/>
              </w:rPr>
            </w:pPr>
          </w:p>
        </w:tc>
        <w:tc>
          <w:tcPr>
            <w:tcW w:w="2898" w:type="dxa"/>
          </w:tcPr>
          <w:p w:rsidR="00C31DC4" w:rsidRPr="00C31DC4" w:rsidRDefault="00C31DC4" w:rsidP="008B63FB">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C31DC4">
              <w:t>AER maximum raw labour rates</w:t>
            </w:r>
          </w:p>
        </w:tc>
      </w:tr>
      <w:tr w:rsidR="00C31DC4" w:rsidTr="00D672E6">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Apprentice</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8B63FB">
            <w:pPr>
              <w:pStyle w:val="AERtabletextright"/>
              <w:cnfStyle w:val="000000000000" w:firstRow="0" w:lastRow="0" w:firstColumn="0" w:lastColumn="0" w:oddVBand="0" w:evenVBand="0" w:oddHBand="0" w:evenHBand="0" w:firstRowFirstColumn="0" w:firstRowLastColumn="0" w:lastRowFirstColumn="0" w:lastRowLastColumn="0"/>
            </w:pPr>
            <w:r w:rsidRPr="00C31DC4">
              <w:t>N/A</w:t>
            </w:r>
          </w:p>
        </w:tc>
      </w:tr>
      <w:tr w:rsidR="008B63FB" w:rsidTr="008B6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Trainee</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8B63FB">
            <w:pPr>
              <w:pStyle w:val="AERtabletextright"/>
              <w:cnfStyle w:val="000000010000" w:firstRow="0" w:lastRow="0" w:firstColumn="0" w:lastColumn="0" w:oddVBand="0" w:evenVBand="0" w:oddHBand="0" w:evenHBand="1" w:firstRowFirstColumn="0" w:firstRowLastColumn="0" w:lastRowFirstColumn="0" w:lastRowLastColumn="0"/>
            </w:pPr>
            <w:r w:rsidRPr="00C31DC4">
              <w:t>N/A</w:t>
            </w:r>
          </w:p>
        </w:tc>
      </w:tr>
      <w:tr w:rsidR="00C31DC4" w:rsidTr="00D672E6">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Power Worker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8B63FB">
            <w:pPr>
              <w:pStyle w:val="AERtabletextright"/>
              <w:cnfStyle w:val="000000000000" w:firstRow="0" w:lastRow="0" w:firstColumn="0" w:lastColumn="0" w:oddVBand="0" w:evenVBand="0" w:oddHBand="0" w:evenHBand="0" w:firstRowFirstColumn="0" w:firstRowLastColumn="0" w:lastRowFirstColumn="0" w:lastRowLastColumn="0"/>
            </w:pPr>
            <w:r w:rsidRPr="00C31DC4">
              <w:t>52.88</w:t>
            </w:r>
          </w:p>
        </w:tc>
      </w:tr>
      <w:tr w:rsidR="008B63FB" w:rsidTr="008B6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Admin Employee</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8B63FB">
            <w:pPr>
              <w:pStyle w:val="AERtabletextright"/>
              <w:cnfStyle w:val="000000010000" w:firstRow="0" w:lastRow="0" w:firstColumn="0" w:lastColumn="0" w:oddVBand="0" w:evenVBand="0" w:oddHBand="0" w:evenHBand="1" w:firstRowFirstColumn="0" w:firstRowLastColumn="0" w:lastRowFirstColumn="0" w:lastRowLastColumn="0"/>
            </w:pPr>
            <w:r w:rsidRPr="00C31DC4">
              <w:t>31.25</w:t>
            </w:r>
          </w:p>
        </w:tc>
      </w:tr>
      <w:tr w:rsidR="00C31DC4" w:rsidTr="00D672E6">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Technical Service Person</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8B63FB">
            <w:pPr>
              <w:pStyle w:val="AERtabletextright"/>
              <w:cnfStyle w:val="000000000000" w:firstRow="0" w:lastRow="0" w:firstColumn="0" w:lastColumn="0" w:oddVBand="0" w:evenVBand="0" w:oddHBand="0" w:evenHBand="0" w:firstRowFirstColumn="0" w:firstRowLastColumn="0" w:lastRowFirstColumn="0" w:lastRowLastColumn="0"/>
            </w:pPr>
            <w:r w:rsidRPr="00C31DC4">
              <w:t>76.92</w:t>
            </w:r>
          </w:p>
        </w:tc>
      </w:tr>
      <w:tr w:rsidR="008B63FB" w:rsidTr="008B6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Electrical System Designer</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8B63FB">
            <w:pPr>
              <w:pStyle w:val="AERtabletextright"/>
              <w:cnfStyle w:val="000000010000" w:firstRow="0" w:lastRow="0" w:firstColumn="0" w:lastColumn="0" w:oddVBand="0" w:evenVBand="0" w:oddHBand="0" w:evenHBand="1" w:firstRowFirstColumn="0" w:firstRowLastColumn="0" w:lastRowFirstColumn="0" w:lastRowLastColumn="0"/>
            </w:pPr>
            <w:r w:rsidRPr="00C31DC4">
              <w:t>72.12</w:t>
            </w:r>
          </w:p>
        </w:tc>
      </w:tr>
      <w:tr w:rsidR="00C31DC4" w:rsidTr="00D672E6">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Supervisor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8B63FB">
            <w:pPr>
              <w:pStyle w:val="AERtabletextright"/>
              <w:cnfStyle w:val="000000000000" w:firstRow="0" w:lastRow="0" w:firstColumn="0" w:lastColumn="0" w:oddVBand="0" w:evenVBand="0" w:oddHBand="0" w:evenHBand="0" w:firstRowFirstColumn="0" w:firstRowLastColumn="0" w:lastRowFirstColumn="0" w:lastRowLastColumn="0"/>
            </w:pPr>
            <w:r w:rsidRPr="00C31DC4">
              <w:t>76.92</w:t>
            </w:r>
          </w:p>
        </w:tc>
      </w:tr>
      <w:tr w:rsidR="008B63FB" w:rsidTr="008B6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Para-Professional</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8B63FB">
            <w:pPr>
              <w:pStyle w:val="AERtabletextright"/>
              <w:cnfStyle w:val="000000010000" w:firstRow="0" w:lastRow="0" w:firstColumn="0" w:lastColumn="0" w:oddVBand="0" w:evenVBand="0" w:oddHBand="0" w:evenHBand="1" w:firstRowFirstColumn="0" w:firstRowLastColumn="0" w:lastRowFirstColumn="0" w:lastRowLastColumn="0"/>
            </w:pPr>
            <w:r w:rsidRPr="00C31DC4">
              <w:t>76.92</w:t>
            </w:r>
          </w:p>
        </w:tc>
      </w:tr>
      <w:tr w:rsidR="00C31DC4" w:rsidTr="00D672E6">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System Operator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8B63FB">
            <w:pPr>
              <w:pStyle w:val="AERtabletextright"/>
              <w:cnfStyle w:val="000000000000" w:firstRow="0" w:lastRow="0" w:firstColumn="0" w:lastColumn="0" w:oddVBand="0" w:evenVBand="0" w:oddHBand="0" w:evenHBand="0" w:firstRowFirstColumn="0" w:firstRowLastColumn="0" w:lastRowFirstColumn="0" w:lastRowLastColumn="0"/>
            </w:pPr>
            <w:r w:rsidRPr="00C31DC4">
              <w:t>N/A</w:t>
            </w:r>
          </w:p>
        </w:tc>
      </w:tr>
      <w:tr w:rsidR="008B63FB" w:rsidTr="008B6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Professional Managerial</w:t>
            </w:r>
          </w:p>
        </w:tc>
        <w:tc>
          <w:tcPr>
            <w:tcW w:w="2898" w:type="dxa"/>
          </w:tcPr>
          <w:p w:rsidR="00C31DC4" w:rsidRPr="00C31DC4" w:rsidRDefault="00C31DC4" w:rsidP="00C31DC4">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tcPr>
          <w:p w:rsidR="00C31DC4" w:rsidRPr="00C31DC4" w:rsidRDefault="00C31DC4" w:rsidP="008B63FB">
            <w:pPr>
              <w:pStyle w:val="AERtabletextright"/>
              <w:cnfStyle w:val="000000010000" w:firstRow="0" w:lastRow="0" w:firstColumn="0" w:lastColumn="0" w:oddVBand="0" w:evenVBand="0" w:oddHBand="0" w:evenHBand="1" w:firstRowFirstColumn="0" w:firstRowLastColumn="0" w:lastRowFirstColumn="0" w:lastRowLastColumn="0"/>
            </w:pPr>
            <w:r w:rsidRPr="00C31DC4">
              <w:t>72.12</w:t>
            </w:r>
          </w:p>
        </w:tc>
      </w:tr>
      <w:tr w:rsidR="00C31DC4" w:rsidTr="00D672E6">
        <w:tc>
          <w:tcPr>
            <w:cnfStyle w:val="001000000000" w:firstRow="0" w:lastRow="0" w:firstColumn="1" w:lastColumn="0" w:oddVBand="0" w:evenVBand="0" w:oddHBand="0" w:evenHBand="0" w:firstRowFirstColumn="0" w:firstRowLastColumn="0" w:lastRowFirstColumn="0" w:lastRowLastColumn="0"/>
            <w:tcW w:w="2897" w:type="dxa"/>
          </w:tcPr>
          <w:p w:rsidR="00C31DC4" w:rsidRPr="00C31DC4" w:rsidRDefault="00C31DC4" w:rsidP="008B63FB">
            <w:pPr>
              <w:pStyle w:val="AERtabletextleft"/>
            </w:pPr>
            <w:r w:rsidRPr="00C31DC4">
              <w:t>Manager</w:t>
            </w:r>
          </w:p>
        </w:tc>
        <w:tc>
          <w:tcPr>
            <w:tcW w:w="2898" w:type="dxa"/>
          </w:tcPr>
          <w:p w:rsidR="00C31DC4" w:rsidRPr="00C31DC4" w:rsidRDefault="00C31DC4" w:rsidP="00C31DC4">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tcPr>
          <w:p w:rsidR="00C31DC4" w:rsidRPr="00C31DC4" w:rsidRDefault="00C31DC4" w:rsidP="008B63FB">
            <w:pPr>
              <w:pStyle w:val="AERtabletextright"/>
              <w:cnfStyle w:val="000000000000" w:firstRow="0" w:lastRow="0" w:firstColumn="0" w:lastColumn="0" w:oddVBand="0" w:evenVBand="0" w:oddHBand="0" w:evenHBand="0" w:firstRowFirstColumn="0" w:firstRowLastColumn="0" w:lastRowFirstColumn="0" w:lastRowLastColumn="0"/>
            </w:pPr>
            <w:r w:rsidRPr="00C31DC4">
              <w:t>N/A</w:t>
            </w:r>
          </w:p>
        </w:tc>
      </w:tr>
    </w:tbl>
    <w:p w:rsidR="00D672E6" w:rsidRPr="00D672E6" w:rsidRDefault="00D672E6" w:rsidP="00D672E6">
      <w:pPr>
        <w:pStyle w:val="AERtablesource"/>
      </w:pPr>
      <w:bookmarkStart w:id="42" w:name="_Ref415684089"/>
      <w:bookmarkStart w:id="43" w:name="_Toc416346928"/>
      <w:r>
        <w:t>Source: AER a</w:t>
      </w:r>
      <w:r w:rsidRPr="00D672E6">
        <w:t>nalysis.</w:t>
      </w:r>
    </w:p>
    <w:p w:rsidR="00C31DC4" w:rsidRPr="00C31DC4" w:rsidRDefault="00C31DC4" w:rsidP="00C31DC4">
      <w:pPr>
        <w:pStyle w:val="Heading4"/>
      </w:pPr>
      <w:r w:rsidRPr="00C31DC4">
        <w:t>On-costs</w:t>
      </w:r>
      <w:bookmarkEnd w:id="42"/>
      <w:bookmarkEnd w:id="43"/>
    </w:p>
    <w:p w:rsidR="00C31DC4" w:rsidRPr="00C31DC4" w:rsidRDefault="00C31DC4" w:rsidP="00C31DC4">
      <w:r w:rsidRPr="00C31DC4">
        <w:t>We consider that a maximum on-cost rate of 43.5 per cent should apply to the Queensland distributors. We calculated this maximum on-cost rate by developing a 'bottom up' estimate of on-costs for the Queensland distributors, with reference to the following factors:</w:t>
      </w:r>
    </w:p>
    <w:p w:rsidR="00C31DC4" w:rsidRPr="00C31DC4" w:rsidRDefault="00C31DC4" w:rsidP="00C31DC4">
      <w:pPr>
        <w:pStyle w:val="AERbulletlistfirststyle"/>
      </w:pPr>
      <w:r w:rsidRPr="00C31DC4">
        <w:t>the superannuation levels included in each distributor's enterprise bargaining agreement</w:t>
      </w:r>
    </w:p>
    <w:p w:rsidR="00C31DC4" w:rsidRPr="00C31DC4" w:rsidRDefault="00C31DC4" w:rsidP="00C31DC4">
      <w:pPr>
        <w:pStyle w:val="AERbulletlistfirststyle"/>
      </w:pPr>
      <w:r w:rsidRPr="00C31DC4">
        <w:t>a conservative estimate of workers compensation premium</w:t>
      </w:r>
    </w:p>
    <w:p w:rsidR="00C31DC4" w:rsidRPr="00C31DC4" w:rsidRDefault="00C31DC4" w:rsidP="00C31DC4">
      <w:pPr>
        <w:pStyle w:val="AERbulletlistfirststyle"/>
      </w:pPr>
      <w:r w:rsidRPr="00C31DC4">
        <w:t>st</w:t>
      </w:r>
      <w:r w:rsidR="00ED517E">
        <w:t>andard payroll tax rates in Qld</w:t>
      </w:r>
    </w:p>
    <w:p w:rsidR="00C31DC4" w:rsidRPr="00C31DC4" w:rsidRDefault="00C31DC4" w:rsidP="00C31DC4">
      <w:pPr>
        <w:pStyle w:val="AERbulletlistfirststyle"/>
      </w:pPr>
      <w:proofErr w:type="gramStart"/>
      <w:r w:rsidRPr="00C31DC4">
        <w:t>annual</w:t>
      </w:r>
      <w:proofErr w:type="gramEnd"/>
      <w:r w:rsidRPr="00C31DC4">
        <w:t xml:space="preserve"> leave loading of 17.5 per cent loading on four weeks annual leave, which equates to 1.35 per cent of total salary</w:t>
      </w:r>
      <w:r w:rsidR="00ED517E">
        <w:t>.</w:t>
      </w:r>
    </w:p>
    <w:p w:rsidR="00C31DC4" w:rsidRPr="00C31DC4" w:rsidRDefault="00C31DC4" w:rsidP="00C31DC4">
      <w:pPr>
        <w:pStyle w:val="AERbulletlistfirststyle"/>
      </w:pPr>
      <w:proofErr w:type="gramStart"/>
      <w:r w:rsidRPr="00C31DC4">
        <w:t>a</w:t>
      </w:r>
      <w:proofErr w:type="gramEnd"/>
      <w:r w:rsidRPr="00C31DC4">
        <w:t xml:space="preserve"> conservative long service leave allowance based on three months leave for every ten years of service, equating to 2.5 per cent per year</w:t>
      </w:r>
      <w:r w:rsidR="00ED517E">
        <w:t>.</w:t>
      </w:r>
    </w:p>
    <w:p w:rsidR="00C31DC4" w:rsidRPr="00C31DC4" w:rsidRDefault="00C31DC4" w:rsidP="00C31DC4">
      <w:pPr>
        <w:pStyle w:val="AERbulletlistfirststyle"/>
      </w:pPr>
      <w:proofErr w:type="gramStart"/>
      <w:r w:rsidRPr="00C31DC4">
        <w:t>an</w:t>
      </w:r>
      <w:proofErr w:type="gramEnd"/>
      <w:r w:rsidRPr="00C31DC4">
        <w:t xml:space="preserve"> assumed rate of 18.18 per cent standard leave (including annual leave, sick leave, and public holidays) for all businesses.</w:t>
      </w:r>
    </w:p>
    <w:p w:rsidR="00C31DC4" w:rsidRPr="00C31DC4" w:rsidRDefault="00C31DC4" w:rsidP="00C31DC4">
      <w:pPr>
        <w:pStyle w:val="AERbulletlistfirststyle"/>
      </w:pPr>
      <w:r w:rsidRPr="00C31DC4">
        <w:lastRenderedPageBreak/>
        <w:t>We developed our numbers for each of these factors based on Ergon Energy's Enterprise Agreement and the Queensland State Payroll Tax.</w:t>
      </w:r>
      <w:r w:rsidRPr="00C31DC4">
        <w:rPr>
          <w:rStyle w:val="FootnoteReference"/>
        </w:rPr>
        <w:footnoteReference w:id="18"/>
      </w:r>
      <w:r w:rsidRPr="00C31DC4">
        <w:t xml:space="preserve"> We used this maximum on-cost rate of 43.5 per cent in deriving our maximum total labour rates. It provides the distribution business with a reasonable opportunity to recover at least its efficient costs. </w:t>
      </w:r>
    </w:p>
    <w:p w:rsidR="00C31DC4" w:rsidRPr="00C31DC4" w:rsidRDefault="00C31DC4" w:rsidP="00C31DC4">
      <w:r w:rsidRPr="00C31DC4">
        <w:fldChar w:fldCharType="begin"/>
      </w:r>
      <w:r w:rsidRPr="00C31DC4">
        <w:instrText xml:space="preserve"> REF _Ref416347453 \h </w:instrText>
      </w:r>
      <w:r w:rsidRPr="00C31DC4">
        <w:fldChar w:fldCharType="separate"/>
      </w:r>
      <w:r w:rsidR="00F16AE7" w:rsidRPr="00C31DC4">
        <w:t xml:space="preserve">Table </w:t>
      </w:r>
      <w:r w:rsidR="00F16AE7">
        <w:rPr>
          <w:noProof/>
        </w:rPr>
        <w:t>16</w:t>
      </w:r>
      <w:r w:rsidR="00F16AE7">
        <w:t>.</w:t>
      </w:r>
      <w:r w:rsidR="00F16AE7">
        <w:rPr>
          <w:noProof/>
        </w:rPr>
        <w:t>5</w:t>
      </w:r>
      <w:r w:rsidRPr="00C31DC4">
        <w:fldChar w:fldCharType="end"/>
      </w:r>
      <w:r w:rsidRPr="00C31DC4">
        <w:t xml:space="preserve"> shows our maximum on-cost rate and the breakdown of that on-cost rate. </w:t>
      </w:r>
    </w:p>
    <w:p w:rsidR="00C31DC4" w:rsidRPr="00C31DC4" w:rsidRDefault="00C31DC4" w:rsidP="00C31DC4">
      <w:pPr>
        <w:pStyle w:val="Caption"/>
      </w:pPr>
      <w:bookmarkStart w:id="44" w:name="_Ref416347453"/>
      <w:proofErr w:type="gramStart"/>
      <w:r w:rsidRPr="00C31DC4">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5</w:t>
      </w:r>
      <w:r w:rsidR="00F5521C">
        <w:fldChar w:fldCharType="end"/>
      </w:r>
      <w:bookmarkEnd w:id="44"/>
      <w:r w:rsidRPr="00C31DC4">
        <w:t>: On-cost rate breakdown and maximum, per cent</w:t>
      </w:r>
    </w:p>
    <w:tbl>
      <w:tblPr>
        <w:tblStyle w:val="AERtable-numbers"/>
        <w:tblW w:w="0" w:type="auto"/>
        <w:tblLook w:val="04A0" w:firstRow="1" w:lastRow="0" w:firstColumn="1" w:lastColumn="0" w:noHBand="0" w:noVBand="1"/>
      </w:tblPr>
      <w:tblGrid>
        <w:gridCol w:w="2528"/>
        <w:gridCol w:w="2469"/>
        <w:gridCol w:w="1848"/>
      </w:tblGrid>
      <w:tr w:rsidR="00C31DC4" w:rsidTr="003C1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On-Cost Rate Component</w:t>
            </w:r>
          </w:p>
        </w:tc>
        <w:tc>
          <w:tcPr>
            <w:tcW w:w="2469" w:type="dxa"/>
          </w:tcPr>
          <w:p w:rsidR="00C31DC4" w:rsidRPr="00C31DC4" w:rsidRDefault="00C31DC4" w:rsidP="00C31DC4">
            <w:pPr>
              <w:pStyle w:val="TableofFigures"/>
              <w:cnfStyle w:val="100000000000" w:firstRow="1" w:lastRow="0" w:firstColumn="0" w:lastColumn="0" w:oddVBand="0" w:evenVBand="0" w:oddHBand="0" w:evenHBand="0" w:firstRowFirstColumn="0" w:firstRowLastColumn="0" w:lastRowFirstColumn="0" w:lastRowLastColumn="0"/>
            </w:pPr>
            <w:r w:rsidRPr="00C31DC4">
              <w:t>Maximum Rates</w:t>
            </w:r>
          </w:p>
        </w:tc>
        <w:tc>
          <w:tcPr>
            <w:tcW w:w="1848" w:type="dxa"/>
          </w:tcPr>
          <w:p w:rsidR="00C31DC4" w:rsidRPr="00C31DC4" w:rsidRDefault="00C31DC4" w:rsidP="00C31DC4">
            <w:pPr>
              <w:pStyle w:val="TableofFigures"/>
              <w:cnfStyle w:val="100000000000" w:firstRow="1" w:lastRow="0" w:firstColumn="0" w:lastColumn="0" w:oddVBand="0" w:evenVBand="0" w:oddHBand="0" w:evenHBand="0" w:firstRowFirstColumn="0" w:firstRowLastColumn="0" w:lastRowFirstColumn="0" w:lastRowLastColumn="0"/>
            </w:pPr>
            <w:r w:rsidRPr="00C31DC4">
              <w:t>Ergon Energy's labour on-cost rate for the regulatory period</w:t>
            </w:r>
          </w:p>
        </w:tc>
      </w:tr>
      <w:tr w:rsidR="00C31DC4" w:rsidTr="003C1A48">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Standard Leave</w:t>
            </w:r>
          </w:p>
        </w:tc>
        <w:tc>
          <w:tcPr>
            <w:tcW w:w="2469"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pPr>
            <w:r w:rsidRPr="00C31DC4">
              <w:t>18.18</w:t>
            </w:r>
          </w:p>
        </w:tc>
        <w:tc>
          <w:tcPr>
            <w:tcW w:w="1848"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pPr>
          </w:p>
        </w:tc>
      </w:tr>
      <w:tr w:rsidR="00C31DC4" w:rsidTr="003C1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Superannuation</w:t>
            </w:r>
          </w:p>
        </w:tc>
        <w:tc>
          <w:tcPr>
            <w:tcW w:w="2469" w:type="dxa"/>
          </w:tcPr>
          <w:p w:rsidR="00C31DC4" w:rsidRPr="00C31DC4" w:rsidRDefault="00C31DC4" w:rsidP="00C31DC4">
            <w:pPr>
              <w:pStyle w:val="TableofFigures"/>
              <w:cnfStyle w:val="000000010000" w:firstRow="0" w:lastRow="0" w:firstColumn="0" w:lastColumn="0" w:oddVBand="0" w:evenVBand="0" w:oddHBand="0" w:evenHBand="1" w:firstRowFirstColumn="0" w:firstRowLastColumn="0" w:lastRowFirstColumn="0" w:lastRowLastColumn="0"/>
            </w:pPr>
            <w:r w:rsidRPr="00C31DC4">
              <w:t>9.00</w:t>
            </w:r>
          </w:p>
        </w:tc>
        <w:tc>
          <w:tcPr>
            <w:tcW w:w="1848" w:type="dxa"/>
          </w:tcPr>
          <w:p w:rsidR="00C31DC4" w:rsidRPr="00C31DC4" w:rsidRDefault="00C31DC4" w:rsidP="00C31DC4">
            <w:pPr>
              <w:pStyle w:val="TableofFigures"/>
              <w:cnfStyle w:val="000000010000" w:firstRow="0" w:lastRow="0" w:firstColumn="0" w:lastColumn="0" w:oddVBand="0" w:evenVBand="0" w:oddHBand="0" w:evenHBand="1" w:firstRowFirstColumn="0" w:firstRowLastColumn="0" w:lastRowFirstColumn="0" w:lastRowLastColumn="0"/>
            </w:pPr>
          </w:p>
        </w:tc>
      </w:tr>
      <w:tr w:rsidR="00C31DC4" w:rsidTr="003C1A48">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Workers Compensation</w:t>
            </w:r>
          </w:p>
        </w:tc>
        <w:tc>
          <w:tcPr>
            <w:tcW w:w="2469"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pPr>
            <w:r w:rsidRPr="00C31DC4">
              <w:t>2.25</w:t>
            </w:r>
          </w:p>
        </w:tc>
        <w:tc>
          <w:tcPr>
            <w:tcW w:w="1848"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pPr>
          </w:p>
        </w:tc>
      </w:tr>
      <w:tr w:rsidR="00C31DC4" w:rsidTr="003C1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Payroll Tax</w:t>
            </w:r>
          </w:p>
        </w:tc>
        <w:tc>
          <w:tcPr>
            <w:tcW w:w="2469" w:type="dxa"/>
          </w:tcPr>
          <w:p w:rsidR="00C31DC4" w:rsidRPr="00C31DC4" w:rsidRDefault="00C31DC4" w:rsidP="00C31DC4">
            <w:pPr>
              <w:pStyle w:val="TableofFigures"/>
              <w:cnfStyle w:val="000000010000" w:firstRow="0" w:lastRow="0" w:firstColumn="0" w:lastColumn="0" w:oddVBand="0" w:evenVBand="0" w:oddHBand="0" w:evenHBand="1" w:firstRowFirstColumn="0" w:firstRowLastColumn="0" w:lastRowFirstColumn="0" w:lastRowLastColumn="0"/>
            </w:pPr>
            <w:r w:rsidRPr="00C31DC4">
              <w:t>4.75</w:t>
            </w:r>
          </w:p>
        </w:tc>
        <w:tc>
          <w:tcPr>
            <w:tcW w:w="1848" w:type="dxa"/>
          </w:tcPr>
          <w:p w:rsidR="00C31DC4" w:rsidRPr="00C31DC4" w:rsidRDefault="00C31DC4" w:rsidP="00C31DC4">
            <w:pPr>
              <w:pStyle w:val="TableofFigures"/>
              <w:cnfStyle w:val="000000010000" w:firstRow="0" w:lastRow="0" w:firstColumn="0" w:lastColumn="0" w:oddVBand="0" w:evenVBand="0" w:oddHBand="0" w:evenHBand="1" w:firstRowFirstColumn="0" w:firstRowLastColumn="0" w:lastRowFirstColumn="0" w:lastRowLastColumn="0"/>
            </w:pPr>
          </w:p>
        </w:tc>
      </w:tr>
      <w:tr w:rsidR="00C31DC4" w:rsidTr="003C1A48">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Annual Leave Loading</w:t>
            </w:r>
          </w:p>
        </w:tc>
        <w:tc>
          <w:tcPr>
            <w:tcW w:w="2469"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pPr>
            <w:r w:rsidRPr="00C31DC4">
              <w:t>1.35</w:t>
            </w:r>
          </w:p>
        </w:tc>
        <w:tc>
          <w:tcPr>
            <w:tcW w:w="1848"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pPr>
          </w:p>
        </w:tc>
      </w:tr>
      <w:tr w:rsidR="00C31DC4" w:rsidTr="003C1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pPr>
            <w:r w:rsidRPr="00C31DC4">
              <w:t>Long Service Leave Allowance</w:t>
            </w:r>
          </w:p>
        </w:tc>
        <w:tc>
          <w:tcPr>
            <w:tcW w:w="2469" w:type="dxa"/>
          </w:tcPr>
          <w:p w:rsidR="00C31DC4" w:rsidRPr="00C31DC4" w:rsidRDefault="00C31DC4" w:rsidP="00C31DC4">
            <w:pPr>
              <w:pStyle w:val="TableofFigures"/>
              <w:cnfStyle w:val="000000010000" w:firstRow="0" w:lastRow="0" w:firstColumn="0" w:lastColumn="0" w:oddVBand="0" w:evenVBand="0" w:oddHBand="0" w:evenHBand="1" w:firstRowFirstColumn="0" w:firstRowLastColumn="0" w:lastRowFirstColumn="0" w:lastRowLastColumn="0"/>
            </w:pPr>
            <w:r w:rsidRPr="00C31DC4">
              <w:t>2.5</w:t>
            </w:r>
          </w:p>
        </w:tc>
        <w:tc>
          <w:tcPr>
            <w:tcW w:w="1848" w:type="dxa"/>
          </w:tcPr>
          <w:p w:rsidR="00C31DC4" w:rsidRPr="00C31DC4" w:rsidRDefault="00C31DC4" w:rsidP="00C31DC4">
            <w:pPr>
              <w:pStyle w:val="TableofFigures"/>
              <w:cnfStyle w:val="000000010000" w:firstRow="0" w:lastRow="0" w:firstColumn="0" w:lastColumn="0" w:oddVBand="0" w:evenVBand="0" w:oddHBand="0" w:evenHBand="1" w:firstRowFirstColumn="0" w:firstRowLastColumn="0" w:lastRowFirstColumn="0" w:lastRowLastColumn="0"/>
            </w:pPr>
          </w:p>
        </w:tc>
      </w:tr>
      <w:tr w:rsidR="00C31DC4" w:rsidRPr="00216DEC" w:rsidTr="003C1A48">
        <w:tc>
          <w:tcPr>
            <w:cnfStyle w:val="001000000000" w:firstRow="0" w:lastRow="0" w:firstColumn="1" w:lastColumn="0" w:oddVBand="0" w:evenVBand="0" w:oddHBand="0" w:evenHBand="0" w:firstRowFirstColumn="0" w:firstRowLastColumn="0" w:lastRowFirstColumn="0" w:lastRowLastColumn="0"/>
            <w:tcW w:w="2528" w:type="dxa"/>
          </w:tcPr>
          <w:p w:rsidR="00C31DC4" w:rsidRPr="00C31DC4" w:rsidRDefault="00C31DC4" w:rsidP="00C31DC4">
            <w:pPr>
              <w:pStyle w:val="TableofFigures"/>
              <w:rPr>
                <w:rStyle w:val="Strong"/>
              </w:rPr>
            </w:pPr>
            <w:r w:rsidRPr="00C31DC4">
              <w:rPr>
                <w:rStyle w:val="Strong"/>
              </w:rPr>
              <w:t>Total on-cost rate</w:t>
            </w:r>
          </w:p>
        </w:tc>
        <w:tc>
          <w:tcPr>
            <w:tcW w:w="2469"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rPr>
                <w:rStyle w:val="Strong"/>
              </w:rPr>
            </w:pPr>
            <w:r w:rsidRPr="00C31DC4">
              <w:rPr>
                <w:rStyle w:val="Strong"/>
              </w:rPr>
              <w:t>43.33</w:t>
            </w:r>
          </w:p>
        </w:tc>
        <w:tc>
          <w:tcPr>
            <w:tcW w:w="1848" w:type="dxa"/>
          </w:tcPr>
          <w:p w:rsidR="00C31DC4" w:rsidRPr="00C31DC4" w:rsidRDefault="00C31DC4" w:rsidP="00C31DC4">
            <w:pPr>
              <w:pStyle w:val="TableofFigures"/>
              <w:cnfStyle w:val="000000000000" w:firstRow="0" w:lastRow="0" w:firstColumn="0" w:lastColumn="0" w:oddVBand="0" w:evenVBand="0" w:oddHBand="0" w:evenHBand="0" w:firstRowFirstColumn="0" w:firstRowLastColumn="0" w:lastRowFirstColumn="0" w:lastRowLastColumn="0"/>
              <w:rPr>
                <w:rStyle w:val="Strong"/>
              </w:rPr>
            </w:pPr>
            <w:r w:rsidRPr="00C31DC4">
              <w:rPr>
                <w:rStyle w:val="Strong"/>
              </w:rPr>
              <w:t>43.5</w:t>
            </w:r>
          </w:p>
        </w:tc>
      </w:tr>
    </w:tbl>
    <w:p w:rsidR="00940B5B" w:rsidRDefault="00940B5B" w:rsidP="00940B5B">
      <w:pPr>
        <w:pStyle w:val="AERtablesource"/>
      </w:pPr>
      <w:bookmarkStart w:id="45" w:name="_Ref415684097"/>
      <w:bookmarkStart w:id="46" w:name="_Toc416346929"/>
      <w:r>
        <w:t>Source: AER analysis.</w:t>
      </w:r>
    </w:p>
    <w:p w:rsidR="00C31DC4" w:rsidRPr="00C31DC4" w:rsidRDefault="00C31DC4" w:rsidP="00C31DC4">
      <w:pPr>
        <w:pStyle w:val="Heading4"/>
      </w:pPr>
      <w:r w:rsidRPr="00C31DC4">
        <w:t>Overheads</w:t>
      </w:r>
      <w:bookmarkEnd w:id="45"/>
      <w:bookmarkEnd w:id="46"/>
    </w:p>
    <w:p w:rsidR="00C31DC4" w:rsidRPr="00C31DC4" w:rsidRDefault="00C31DC4" w:rsidP="00C31DC4">
      <w:r w:rsidRPr="00C31DC4">
        <w:t>We have determined the maximum overhead rate based on Marsden Jacob's report which assessed alternative control services for NSW and ACT distributors. Marsden Jacob recommended a 65 per cent overhead rate maximum in its report.</w:t>
      </w:r>
      <w:r w:rsidRPr="00C31DC4">
        <w:rPr>
          <w:rStyle w:val="FootnoteReference"/>
        </w:rPr>
        <w:footnoteReference w:id="19"/>
      </w:r>
      <w:r w:rsidRPr="00C31DC4">
        <w:t xml:space="preserve"> In recommending this maximum overhead rate, Marsden Jacob compared the overhead rates the ACT and NSW distributors proposed (in their initial regulatory proposals). Marsden Jacob found that </w:t>
      </w:r>
      <w:proofErr w:type="spellStart"/>
      <w:r w:rsidRPr="00C31DC4">
        <w:t>Ausgrid</w:t>
      </w:r>
      <w:proofErr w:type="spellEnd"/>
      <w:r w:rsidRPr="00C31DC4">
        <w:t xml:space="preserve"> and Endeavour Energy’s overhead rates were significantly higher than those of Essential Energy and </w:t>
      </w:r>
      <w:proofErr w:type="spellStart"/>
      <w:r w:rsidRPr="00C31DC4">
        <w:t>ActewAGL</w:t>
      </w:r>
      <w:proofErr w:type="spellEnd"/>
      <w:r w:rsidRPr="00C31DC4">
        <w:t>, as well as the Victorian businesses' overhead rates.</w:t>
      </w:r>
      <w:r w:rsidRPr="00C31DC4">
        <w:rPr>
          <w:rStyle w:val="FootnoteReference"/>
        </w:rPr>
        <w:footnoteReference w:id="20"/>
      </w:r>
      <w:r w:rsidRPr="00C31DC4">
        <w:t xml:space="preserve"> Marsden Jacob therefore recommended an </w:t>
      </w:r>
      <w:r w:rsidRPr="00C31DC4">
        <w:lastRenderedPageBreak/>
        <w:t xml:space="preserve">overhead rate maximum of 65 per cent, based on the maximum of only </w:t>
      </w:r>
      <w:proofErr w:type="spellStart"/>
      <w:r w:rsidRPr="00C31DC4">
        <w:t>ActewAGL</w:t>
      </w:r>
      <w:proofErr w:type="spellEnd"/>
      <w:r w:rsidRPr="00C31DC4">
        <w:t xml:space="preserve"> and Essential Energy’s proposed overhead rates.</w:t>
      </w:r>
      <w:r w:rsidR="00250358">
        <w:t xml:space="preserve"> Marsden Jacob's maximum overhead rates are also higher than the rates proposed by the Queensland distributors.</w:t>
      </w:r>
      <w:r w:rsidR="00250358">
        <w:rPr>
          <w:rStyle w:val="FootnoteReference"/>
        </w:rPr>
        <w:footnoteReference w:id="21"/>
      </w:r>
      <w:r w:rsidR="00250358">
        <w:t xml:space="preserve"> This adds further support to using Marsden Jacobs' maximum overhead rates to calculate maximum total labour rates. </w:t>
      </w:r>
      <w:r w:rsidRPr="00C31DC4">
        <w:t>We consider that:</w:t>
      </w:r>
    </w:p>
    <w:p w:rsidR="00C31DC4" w:rsidRPr="00C31DC4" w:rsidRDefault="00C31DC4" w:rsidP="00C31DC4">
      <w:pPr>
        <w:pStyle w:val="AERbulletlistfirststyle"/>
      </w:pPr>
      <w:r w:rsidRPr="00C31DC4">
        <w:t>an overhead rate maximum of 65 per cent should apply to all Qld distributors, and</w:t>
      </w:r>
    </w:p>
    <w:p w:rsidR="00C31DC4" w:rsidRPr="00C31DC4" w:rsidRDefault="00C31DC4" w:rsidP="00C31DC4">
      <w:pPr>
        <w:pStyle w:val="AERbulletlistfirststyle"/>
      </w:pPr>
      <w:proofErr w:type="gramStart"/>
      <w:r w:rsidRPr="00C31DC4">
        <w:t>maximum</w:t>
      </w:r>
      <w:proofErr w:type="gramEnd"/>
      <w:r w:rsidRPr="00C31DC4">
        <w:t xml:space="preserve"> total labour rates (which use an overhead rate of 65 per cent), are prudent. </w:t>
      </w:r>
    </w:p>
    <w:p w:rsidR="00C31DC4" w:rsidRPr="00C31DC4" w:rsidRDefault="00C31DC4" w:rsidP="00C31DC4">
      <w:pPr>
        <w:pStyle w:val="AERbulletlistfirststyle"/>
      </w:pPr>
      <w:r w:rsidRPr="00C31DC4">
        <w:t>It provides the distribution business with a reasonable opportunity to recover at least its efficient costs.</w:t>
      </w:r>
    </w:p>
    <w:p w:rsidR="00C31DC4" w:rsidRPr="00C31DC4" w:rsidRDefault="00C31DC4" w:rsidP="00C31DC4">
      <w:r w:rsidRPr="00C31DC4">
        <w:t>In its discussion of maximum overhead rates, Marsden Jacob noted:</w:t>
      </w:r>
    </w:p>
    <w:p w:rsidR="00C31DC4" w:rsidRPr="00C31DC4" w:rsidRDefault="00C31DC4" w:rsidP="00C31DC4">
      <w:pPr>
        <w:pStyle w:val="AERbulletlistfirststyle"/>
      </w:pPr>
      <w:r w:rsidRPr="00C31DC4">
        <w:t>the nature of the differences in overhead rates may be due to cost allocation issues</w:t>
      </w:r>
    </w:p>
    <w:p w:rsidR="00C31DC4" w:rsidRPr="00C31DC4" w:rsidRDefault="00C31DC4" w:rsidP="00C31DC4">
      <w:pPr>
        <w:pStyle w:val="AERbulletlistfirststyle"/>
      </w:pPr>
      <w:proofErr w:type="gramStart"/>
      <w:r w:rsidRPr="00C31DC4">
        <w:t>capping</w:t>
      </w:r>
      <w:proofErr w:type="gramEnd"/>
      <w:r w:rsidRPr="00C31DC4">
        <w:t xml:space="preserve"> the overhead rate may have unintended consequences for the broader cost allocation methodology</w:t>
      </w:r>
      <w:r w:rsidR="00ED517E">
        <w:t>.</w:t>
      </w:r>
    </w:p>
    <w:p w:rsidR="00C31DC4" w:rsidRPr="00C31DC4" w:rsidRDefault="00C31DC4" w:rsidP="00C31DC4">
      <w:pPr>
        <w:pStyle w:val="AERbulletlistfirststyle"/>
      </w:pPr>
      <w:proofErr w:type="gramStart"/>
      <w:r w:rsidRPr="00C31DC4">
        <w:t>we</w:t>
      </w:r>
      <w:proofErr w:type="gramEnd"/>
      <w:r w:rsidRPr="00C31DC4">
        <w:t xml:space="preserve"> should test the method of addressing overhead allocation vis a vis the cost allocation method.</w:t>
      </w:r>
      <w:r w:rsidRPr="00C31DC4">
        <w:rPr>
          <w:rStyle w:val="FootnoteReference"/>
        </w:rPr>
        <w:footnoteReference w:id="22"/>
      </w:r>
    </w:p>
    <w:p w:rsidR="00DE563D" w:rsidRDefault="00250358" w:rsidP="00593E90">
      <w:r w:rsidRPr="00D64A08">
        <w:t xml:space="preserve">We </w:t>
      </w:r>
      <w:r>
        <w:t xml:space="preserve">reviewed </w:t>
      </w:r>
      <w:r w:rsidRPr="00D64A08">
        <w:t xml:space="preserve">the objectives of our </w:t>
      </w:r>
      <w:r>
        <w:t xml:space="preserve">cost allocation </w:t>
      </w:r>
      <w:r w:rsidRPr="00D64A08">
        <w:t xml:space="preserve">guideline. </w:t>
      </w:r>
      <w:r>
        <w:t xml:space="preserve">The cost allocation method sets out the </w:t>
      </w:r>
      <w:r w:rsidRPr="00AB6B59">
        <w:t>principles and policies for attributing costs to, or allocating costs between, the categories of distribution services a distributor provides.</w:t>
      </w:r>
      <w:r>
        <w:t xml:space="preserve"> Hence, </w:t>
      </w:r>
      <w:r w:rsidRPr="00D64A08">
        <w:t xml:space="preserve">in approving a distributor’s </w:t>
      </w:r>
      <w:r>
        <w:t>cost allocation method</w:t>
      </w:r>
      <w:r w:rsidRPr="00D64A08">
        <w:t>, we approve the methodology it uses to allocate costs. This does not equate to approving the costs.</w:t>
      </w:r>
      <w:r>
        <w:t xml:space="preserve"> The approval of actual costs is subject to applicable requirements set out in the National Electricity Rules and the National Electricity Law</w:t>
      </w:r>
      <w:r w:rsidRPr="00D64A08">
        <w:t>.</w:t>
      </w:r>
      <w:r w:rsidRPr="00D64A08">
        <w:rPr>
          <w:rStyle w:val="FootnoteReference"/>
        </w:rPr>
        <w:footnoteReference w:id="23"/>
      </w:r>
      <w:r w:rsidRPr="00D64A08">
        <w:t xml:space="preserve"> </w:t>
      </w:r>
      <w:r>
        <w:t xml:space="preserve">Proper application of the cost allocation method does not indicate whether the distributor's expenditure, including overheads, </w:t>
      </w:r>
      <w:r w:rsidRPr="00AB6B59">
        <w:t>is at efficient levels</w:t>
      </w:r>
      <w:r w:rsidRPr="00780F26">
        <w:t xml:space="preserve"> </w:t>
      </w:r>
      <w:r>
        <w:t>or otherwise reflects the requirements of the NER, having regard to the revenue and pricing principles and the national electricity objective</w:t>
      </w:r>
      <w:r w:rsidRPr="00AB6B59">
        <w:t>.</w:t>
      </w:r>
      <w:r w:rsidRPr="00D64A08">
        <w:rPr>
          <w:rStyle w:val="FootnoteReference"/>
        </w:rPr>
        <w:footnoteReference w:id="24"/>
      </w:r>
      <w:r w:rsidRPr="00D64A08">
        <w:t xml:space="preserve"> </w:t>
      </w:r>
      <w:r>
        <w:t>By extension, proper application of the cost allocation method does not indicate whether the resulting overhead rates represent efficient levels</w:t>
      </w:r>
      <w:r w:rsidR="00AB76E0">
        <w:t>.</w:t>
      </w:r>
    </w:p>
    <w:p w:rsidR="000B1D07" w:rsidRDefault="000B1D07" w:rsidP="00F81300">
      <w:pPr>
        <w:pStyle w:val="Heading2"/>
      </w:pPr>
      <w:bookmarkStart w:id="47" w:name="_Toc417994611"/>
      <w:r>
        <w:t>Metering</w:t>
      </w:r>
      <w:bookmarkEnd w:id="47"/>
    </w:p>
    <w:p w:rsidR="000B1D07" w:rsidRPr="006C15B5" w:rsidRDefault="000B1D07" w:rsidP="000B1D07">
      <w:r w:rsidRPr="006C15B5">
        <w:t xml:space="preserve">Our </w:t>
      </w:r>
      <w:r w:rsidR="0050031D">
        <w:t>preliminary</w:t>
      </w:r>
      <w:r w:rsidRPr="006C15B5">
        <w:t xml:space="preserve"> decision on </w:t>
      </w:r>
      <w:r>
        <w:t>Ergon Energy's</w:t>
      </w:r>
      <w:r w:rsidRPr="006C15B5">
        <w:t xml:space="preserve"> metering proposal is made in the context of ongoing policy reform. We based our assessment on the N</w:t>
      </w:r>
      <w:r>
        <w:t xml:space="preserve">ational Electricity Rules </w:t>
      </w:r>
      <w:r>
        <w:lastRenderedPageBreak/>
        <w:t>(N</w:t>
      </w:r>
      <w:r w:rsidRPr="006C15B5">
        <w:t>ER</w:t>
      </w:r>
      <w:r>
        <w:t>)</w:t>
      </w:r>
      <w:r w:rsidRPr="006C15B5">
        <w:t xml:space="preserve"> in place at the time of this </w:t>
      </w:r>
      <w:r w:rsidR="0050031D">
        <w:t xml:space="preserve">preliminary </w:t>
      </w:r>
      <w:r w:rsidRPr="006C15B5">
        <w:t>decision, but have had regard to the likelihood of policy reform in the future</w:t>
      </w:r>
      <w:r>
        <w:t xml:space="preserve"> through rule changes that will apply during this regulatory period</w:t>
      </w:r>
      <w:r w:rsidRPr="006C15B5">
        <w:t>.</w:t>
      </w:r>
    </w:p>
    <w:p w:rsidR="000B1D07" w:rsidRPr="006C15B5" w:rsidRDefault="000B1D07" w:rsidP="000B1D07">
      <w:r w:rsidRPr="006C15B5">
        <w:t xml:space="preserve">Currently, competition in metering is limited to large customers in the national electricity market while regulated </w:t>
      </w:r>
      <w:r>
        <w:t>distributors</w:t>
      </w:r>
      <w:r w:rsidRPr="006C15B5">
        <w:t xml:space="preserve"> have the sole responsibility to provide small customers with metering services.</w:t>
      </w:r>
      <w:r>
        <w:rPr>
          <w:rStyle w:val="FootnoteReference"/>
        </w:rPr>
        <w:footnoteReference w:id="25"/>
      </w:r>
    </w:p>
    <w:p w:rsidR="000B1D07" w:rsidRDefault="000B1D07" w:rsidP="000B1D07">
      <w:r w:rsidRPr="006C15B5">
        <w:t xml:space="preserve">The Australian Energy Market Commission (AEMC) </w:t>
      </w:r>
      <w:r>
        <w:t xml:space="preserve">is undertaking a rule change process to </w:t>
      </w:r>
      <w:r w:rsidRPr="006C15B5">
        <w:t>expand competition in metering and related services to help facilitate a market led roll out of advanced metering technology</w:t>
      </w:r>
      <w:r>
        <w:t>, following proposals from the COAG Energy Council</w:t>
      </w:r>
      <w:r w:rsidRPr="006C15B5">
        <w:t xml:space="preserve">. </w:t>
      </w:r>
      <w:r>
        <w:t>The increased availability of advanced meters will enable the introduction of more cost reflective network prices and allow consumers to make more informed decisions about how they want to use energy services.</w:t>
      </w:r>
    </w:p>
    <w:p w:rsidR="000B1D07" w:rsidRDefault="000B1D07" w:rsidP="000B1D07">
      <w:r>
        <w:t xml:space="preserve">The </w:t>
      </w:r>
      <w:r w:rsidRPr="006C15B5">
        <w:t>AEMC published its draft rule</w:t>
      </w:r>
      <w:r>
        <w:t xml:space="preserve"> on 26 March 2015</w:t>
      </w:r>
      <w:r w:rsidRPr="006C15B5">
        <w:t>. It provides that</w:t>
      </w:r>
      <w:r>
        <w:t xml:space="preserve"> the AER should determine 'the arrangements for a DNSP to recover the residual costs of its regulated metering service in accordance with the existing regulatory framework'.</w:t>
      </w:r>
      <w:r>
        <w:rPr>
          <w:rStyle w:val="FootnoteReference"/>
        </w:rPr>
        <w:footnoteReference w:id="26"/>
      </w:r>
      <w:r>
        <w:t xml:space="preserve"> Other key features of the draft rule change include:</w:t>
      </w:r>
    </w:p>
    <w:p w:rsidR="000B1D07" w:rsidRDefault="000B1D07" w:rsidP="000B1D07">
      <w:pPr>
        <w:pStyle w:val="AERbulletlistfirststyle"/>
      </w:pPr>
      <w:r>
        <w:t>the transfer of the role and responsibilities of the existing 'Responsible Person' to a new type of Registered Participant called a Metering Coordinator</w:t>
      </w:r>
    </w:p>
    <w:p w:rsidR="000B1D07" w:rsidRDefault="000B1D07" w:rsidP="000B1D07">
      <w:pPr>
        <w:pStyle w:val="AERbulletlistfirststyle"/>
      </w:pPr>
      <w:r>
        <w:t>allowing any person to become a Metering Coordinator, subject to meeting the registration requirements</w:t>
      </w:r>
    </w:p>
    <w:p w:rsidR="000B1D07" w:rsidRDefault="000B1D07" w:rsidP="000B1D07">
      <w:pPr>
        <w:pStyle w:val="AERbulletlistfirststyle"/>
      </w:pPr>
      <w:r>
        <w:t>permitting a large customer to appoint its own Metering Coordinator</w:t>
      </w:r>
    </w:p>
    <w:p w:rsidR="000B1D07" w:rsidRDefault="000B1D07" w:rsidP="000B1D07">
      <w:pPr>
        <w:pStyle w:val="AERbulletlistfirststyle"/>
      </w:pPr>
      <w:proofErr w:type="gramStart"/>
      <w:r>
        <w:t>requiring</w:t>
      </w:r>
      <w:proofErr w:type="gramEnd"/>
      <w:r>
        <w:t xml:space="preserve"> a retailer to appoint the Metering Coordinator, except where a large customer has appointed its own Metering Coordinator.</w:t>
      </w:r>
      <w:r>
        <w:rPr>
          <w:rStyle w:val="FootnoteReference"/>
        </w:rPr>
        <w:footnoteReference w:id="27"/>
      </w:r>
      <w:r>
        <w:t xml:space="preserve">   </w:t>
      </w:r>
    </w:p>
    <w:p w:rsidR="000B1D07" w:rsidRDefault="000B1D07" w:rsidP="000B1D07">
      <w:r w:rsidRPr="006C15B5">
        <w:t xml:space="preserve">Our </w:t>
      </w:r>
      <w:r w:rsidR="0050031D">
        <w:t xml:space="preserve">preliminary </w:t>
      </w:r>
      <w:r w:rsidRPr="006C15B5">
        <w:t>decision takes the AEMC’s draft rule into account and establishes a regulatory framework for the 2015-</w:t>
      </w:r>
      <w:r w:rsidR="0050031D">
        <w:t xml:space="preserve">20 </w:t>
      </w:r>
      <w:r w:rsidRPr="006C15B5">
        <w:t xml:space="preserve">regulatory </w:t>
      </w:r>
      <w:proofErr w:type="gramStart"/>
      <w:r w:rsidRPr="006C15B5">
        <w:t>period</w:t>
      </w:r>
      <w:proofErr w:type="gramEnd"/>
      <w:r w:rsidRPr="006C15B5">
        <w:t xml:space="preserve"> which will be robust enough to handle the transition to competition onc</w:t>
      </w:r>
      <w:r>
        <w:t>e the rule change takes effect from 1 July 2017.</w:t>
      </w:r>
      <w:r>
        <w:rPr>
          <w:rStyle w:val="FootnoteReference"/>
        </w:rPr>
        <w:footnoteReference w:id="28"/>
      </w:r>
      <w:r>
        <w:t xml:space="preserve"> </w:t>
      </w:r>
      <w:r w:rsidRPr="006C15B5">
        <w:t>This involves having transparen</w:t>
      </w:r>
      <w:r>
        <w:t xml:space="preserve">t standalone prices for all new or </w:t>
      </w:r>
      <w:r w:rsidRPr="006C15B5">
        <w:t>upgraded meter connections and annual charges.</w:t>
      </w:r>
    </w:p>
    <w:p w:rsidR="000B1D07" w:rsidRDefault="000B1D07" w:rsidP="000B1D07">
      <w:r>
        <w:t>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preliminary decision is that switching customers continue to pay the capital cost component of the regulated annual metering service charge.</w:t>
      </w:r>
    </w:p>
    <w:p w:rsidR="000B1D07" w:rsidRDefault="000B1D07" w:rsidP="000B1D07">
      <w:pPr>
        <w:pStyle w:val="Heading3"/>
      </w:pPr>
      <w:bookmarkStart w:id="48" w:name="_Toc417318883"/>
      <w:bookmarkStart w:id="49" w:name="_Toc417994612"/>
      <w:r>
        <w:lastRenderedPageBreak/>
        <w:t>Preliminary decision</w:t>
      </w:r>
      <w:bookmarkEnd w:id="48"/>
      <w:bookmarkEnd w:id="49"/>
    </w:p>
    <w:p w:rsidR="000B1D07" w:rsidRPr="007F39F1" w:rsidRDefault="000B1D07" w:rsidP="000B1D07">
      <w:pPr>
        <w:numPr>
          <w:ilvl w:val="0"/>
          <w:numId w:val="25"/>
        </w:numPr>
      </w:pPr>
      <w:r w:rsidRPr="007F39F1">
        <w:t>Our preliminary decision is to maintain the alternative control services classification for type 5 and 6 metering services set out in our framework and approach.</w:t>
      </w:r>
      <w:r w:rsidRPr="007F39F1">
        <w:rPr>
          <w:rStyle w:val="FootnoteReference"/>
        </w:rPr>
        <w:footnoteReference w:id="29"/>
      </w:r>
      <w:r w:rsidRPr="007F39F1">
        <w:t xml:space="preserve"> We further maintain that the control mechanism for alternative control services will be caps on the prices of individual services.</w:t>
      </w:r>
      <w:r w:rsidRPr="007F39F1">
        <w:rPr>
          <w:rStyle w:val="FootnoteReference"/>
        </w:rPr>
        <w:footnoteReference w:id="30"/>
      </w:r>
      <w:r w:rsidRPr="007F39F1">
        <w:t xml:space="preserve"> </w:t>
      </w:r>
    </w:p>
    <w:p w:rsidR="000B1D07" w:rsidRDefault="000B1D07" w:rsidP="000B1D07">
      <w:pPr>
        <w:pStyle w:val="Heading4"/>
      </w:pPr>
      <w:bookmarkStart w:id="50" w:name="_Toc417318884"/>
      <w:r>
        <w:t>Structure of metering charges</w:t>
      </w:r>
      <w:bookmarkEnd w:id="50"/>
    </w:p>
    <w:p w:rsidR="000B1D07" w:rsidRPr="0023662E" w:rsidRDefault="000B1D07" w:rsidP="000B1D07">
      <w:pPr>
        <w:numPr>
          <w:ilvl w:val="0"/>
          <w:numId w:val="25"/>
        </w:numPr>
      </w:pPr>
      <w:bookmarkStart w:id="51" w:name="_Toc417318885"/>
      <w:r w:rsidRPr="0023662E">
        <w:t>We classify type 5 and 6 metering services as alternative control services. The control mechanism for alternative control metering services will be caps on the prices of individual services.</w:t>
      </w:r>
    </w:p>
    <w:p w:rsidR="000B1D07" w:rsidRPr="0023662E" w:rsidRDefault="000B1D07" w:rsidP="000B1D07">
      <w:pPr>
        <w:rPr>
          <w:rStyle w:val="AERbody"/>
        </w:rPr>
      </w:pPr>
      <w:r w:rsidRPr="0023662E">
        <w:rPr>
          <w:rStyle w:val="AERbody"/>
        </w:rPr>
        <w:t xml:space="preserve">Our </w:t>
      </w:r>
      <w:r>
        <w:rPr>
          <w:rStyle w:val="AERbody"/>
        </w:rPr>
        <w:t>preliminary</w:t>
      </w:r>
      <w:r w:rsidRPr="0023662E">
        <w:rPr>
          <w:rStyle w:val="AERbody"/>
        </w:rPr>
        <w:t xml:space="preserve"> decision approves two types of metering service charges:</w:t>
      </w:r>
    </w:p>
    <w:p w:rsidR="000B1D07" w:rsidRPr="0023662E" w:rsidRDefault="000B1D07" w:rsidP="000B1D07">
      <w:pPr>
        <w:pStyle w:val="AERbulletlistfirststyle"/>
        <w:rPr>
          <w:rStyle w:val="AERbody"/>
        </w:rPr>
      </w:pPr>
      <w:r w:rsidRPr="0023662E">
        <w:rPr>
          <w:rStyle w:val="AERbody"/>
        </w:rPr>
        <w:t>Upfront capital charge (for all new and upgraded meters installed from 1 July 2015)</w:t>
      </w:r>
    </w:p>
    <w:p w:rsidR="000B1D07" w:rsidRPr="0023662E" w:rsidRDefault="000B1D07" w:rsidP="000B1D07">
      <w:pPr>
        <w:pStyle w:val="AERbulletlistfirststyle"/>
        <w:rPr>
          <w:rStyle w:val="AERbody"/>
        </w:rPr>
      </w:pPr>
      <w:r w:rsidRPr="0023662E">
        <w:rPr>
          <w:rStyle w:val="AERbody"/>
        </w:rPr>
        <w:t>Annual charge comprising of two components:</w:t>
      </w:r>
    </w:p>
    <w:p w:rsidR="000B1D07" w:rsidRPr="0023662E" w:rsidRDefault="000B1D07" w:rsidP="000B1D07">
      <w:pPr>
        <w:pStyle w:val="AERbulletlistsecondstyle"/>
        <w:rPr>
          <w:rStyle w:val="AERbody"/>
        </w:rPr>
      </w:pPr>
      <w:r w:rsidRPr="0023662E">
        <w:rPr>
          <w:rStyle w:val="AERbody"/>
        </w:rPr>
        <w:t>capital —metering asset base (MAB) recovery</w:t>
      </w:r>
    </w:p>
    <w:p w:rsidR="000B1D07" w:rsidRPr="0023662E" w:rsidRDefault="000B1D07" w:rsidP="000B1D07">
      <w:pPr>
        <w:pStyle w:val="AERbulletlistsecondstyle"/>
        <w:rPr>
          <w:rStyle w:val="AERbody"/>
        </w:rPr>
      </w:pPr>
      <w:proofErr w:type="gramStart"/>
      <w:r w:rsidRPr="0023662E">
        <w:rPr>
          <w:rStyle w:val="AERbody"/>
        </w:rPr>
        <w:t>non-capital—</w:t>
      </w:r>
      <w:proofErr w:type="gramEnd"/>
      <w:r w:rsidRPr="0023662E">
        <w:rPr>
          <w:rStyle w:val="AERbody"/>
        </w:rPr>
        <w:t>operating expenditure and tax.</w:t>
      </w:r>
    </w:p>
    <w:p w:rsidR="000B1D07" w:rsidRPr="0023662E" w:rsidRDefault="000B1D07" w:rsidP="000B1D07">
      <w:pPr>
        <w:rPr>
          <w:rStyle w:val="AERbody"/>
        </w:rPr>
      </w:pPr>
      <w:r>
        <w:rPr>
          <w:rStyle w:val="AERbody"/>
        </w:rPr>
        <w:fldChar w:fldCharType="begin"/>
      </w:r>
      <w:r>
        <w:rPr>
          <w:rStyle w:val="AERbody"/>
        </w:rPr>
        <w:instrText xml:space="preserve"> REF _Ref417733834 \h </w:instrText>
      </w:r>
      <w:r>
        <w:rPr>
          <w:rStyle w:val="AERbody"/>
        </w:rPr>
      </w:r>
      <w:r>
        <w:rPr>
          <w:rStyle w:val="AERbody"/>
        </w:rPr>
        <w:fldChar w:fldCharType="separate"/>
      </w:r>
      <w:r w:rsidR="00F16AE7">
        <w:t xml:space="preserve">Figure </w:t>
      </w:r>
      <w:r w:rsidR="00F16AE7">
        <w:rPr>
          <w:noProof/>
        </w:rPr>
        <w:t>16</w:t>
      </w:r>
      <w:r w:rsidR="00F16AE7" w:rsidRPr="00EB7D0B">
        <w:t>.</w:t>
      </w:r>
      <w:r w:rsidR="00F16AE7">
        <w:rPr>
          <w:noProof/>
        </w:rPr>
        <w:t>3</w:t>
      </w:r>
      <w:r>
        <w:rPr>
          <w:rStyle w:val="AERbody"/>
        </w:rPr>
        <w:fldChar w:fldCharType="end"/>
      </w:r>
      <w:r>
        <w:rPr>
          <w:rStyle w:val="AERbody"/>
        </w:rPr>
        <w:t xml:space="preserve"> </w:t>
      </w:r>
      <w:r w:rsidRPr="0023662E">
        <w:rPr>
          <w:rStyle w:val="AERbody"/>
        </w:rPr>
        <w:t xml:space="preserve">depicts how the two regulated annual charge components relate to different metering customers. </w:t>
      </w:r>
    </w:p>
    <w:p w:rsidR="000B1D07" w:rsidRPr="00EB7D0B" w:rsidRDefault="000B1D07" w:rsidP="000B1D07">
      <w:pPr>
        <w:pStyle w:val="Caption"/>
      </w:pPr>
      <w:bookmarkStart w:id="52" w:name="_Ref417733834"/>
      <w:proofErr w:type="gramStart"/>
      <w:r>
        <w:lastRenderedPageBreak/>
        <w:t xml:space="preserve">Figure </w:t>
      </w:r>
      <w:proofErr w:type="gramEnd"/>
      <w:r w:rsidR="00F16AE7">
        <w:fldChar w:fldCharType="begin"/>
      </w:r>
      <w:r w:rsidR="00F16AE7">
        <w:instrText xml:space="preserve"> STYLEREF 1 \s </w:instrText>
      </w:r>
      <w:r w:rsidR="00F16AE7">
        <w:fldChar w:fldCharType="separate"/>
      </w:r>
      <w:r w:rsidR="00F16AE7">
        <w:rPr>
          <w:noProof/>
        </w:rPr>
        <w:t>16</w:t>
      </w:r>
      <w:r w:rsidR="00F16AE7">
        <w:fldChar w:fldCharType="end"/>
      </w:r>
      <w:proofErr w:type="gramStart"/>
      <w:r w:rsidRPr="00EB7D0B">
        <w:t>.</w:t>
      </w:r>
      <w:proofErr w:type="gramEnd"/>
      <w:r w:rsidRPr="00EB7D0B">
        <w:fldChar w:fldCharType="begin"/>
      </w:r>
      <w:r w:rsidRPr="00EB7D0B">
        <w:instrText xml:space="preserve"> SEQ Figure \* ARABIC \s 1 </w:instrText>
      </w:r>
      <w:r w:rsidRPr="00EB7D0B">
        <w:fldChar w:fldCharType="separate"/>
      </w:r>
      <w:r w:rsidR="00F16AE7">
        <w:rPr>
          <w:noProof/>
        </w:rPr>
        <w:t>3</w:t>
      </w:r>
      <w:r w:rsidRPr="00EB7D0B">
        <w:fldChar w:fldCharType="end"/>
      </w:r>
      <w:bookmarkEnd w:id="52"/>
      <w:r w:rsidR="0050031D">
        <w:t xml:space="preserve"> – P</w:t>
      </w:r>
      <w:r w:rsidRPr="00EB7D0B">
        <w:t>reliminary decision – applicable regulated annual charges</w:t>
      </w:r>
    </w:p>
    <w:p w:rsidR="000B1D07" w:rsidRDefault="000B1D07" w:rsidP="000B1D07">
      <w:pPr>
        <w:pStyle w:val="AERtablesource"/>
        <w:rPr>
          <w:rStyle w:val="AERbody"/>
        </w:rPr>
      </w:pPr>
      <w:r w:rsidRPr="000B1D07">
        <w:rPr>
          <w:noProof/>
          <w:lang w:eastAsia="en-AU"/>
        </w:rPr>
        <w:drawing>
          <wp:inline distT="0" distB="0" distL="0" distR="0" wp14:anchorId="544B0980" wp14:editId="5DB85056">
            <wp:extent cx="5270935" cy="4176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p>
    <w:p w:rsidR="000B1D07" w:rsidRDefault="000B1D07" w:rsidP="000B1D07">
      <w:pPr>
        <w:pStyle w:val="AERtablesource"/>
        <w:rPr>
          <w:rStyle w:val="AERbody"/>
        </w:rPr>
      </w:pPr>
    </w:p>
    <w:p w:rsidR="000B1D07" w:rsidRPr="0023662E" w:rsidRDefault="000B1D07" w:rsidP="000B1D07">
      <w:pPr>
        <w:pStyle w:val="AERtablesource"/>
        <w:rPr>
          <w:rStyle w:val="AERbody"/>
        </w:rPr>
      </w:pPr>
      <w:r>
        <w:rPr>
          <w:rStyle w:val="AERbody"/>
        </w:rPr>
        <w:tab/>
      </w:r>
      <w:r w:rsidRPr="000B1D07">
        <w:rPr>
          <w:rStyle w:val="AERbody"/>
        </w:rPr>
        <w:t>Source: AER analysis.</w:t>
      </w:r>
    </w:p>
    <w:p w:rsidR="000B1D07" w:rsidRPr="0023662E" w:rsidRDefault="000B1D07" w:rsidP="000B1D07">
      <w:pPr>
        <w:pStyle w:val="AERtablesource"/>
      </w:pPr>
      <w:r>
        <w:tab/>
      </w:r>
      <w:r w:rsidRPr="0023662E">
        <w:t>This diagram shows regulated annual charges only. In addition, customers who swi</w:t>
      </w:r>
      <w:r>
        <w:t xml:space="preserve">tch may incur charges for their </w:t>
      </w:r>
      <w:r w:rsidRPr="0023662E">
        <w:t xml:space="preserve">competitive advanced metering service. Any such charges are not subject to AER oversight and are not shown in the diagram above. </w:t>
      </w:r>
    </w:p>
    <w:p w:rsidR="000B1D07" w:rsidRPr="0023662E" w:rsidRDefault="000B1D07" w:rsidP="000B1D07">
      <w:pPr>
        <w:rPr>
          <w:rStyle w:val="Strong"/>
        </w:rPr>
      </w:pPr>
      <w:r w:rsidRPr="0023662E">
        <w:rPr>
          <w:rStyle w:val="Strong"/>
        </w:rPr>
        <w:t xml:space="preserve">Existing connections (before 30 June 2015) </w:t>
      </w:r>
    </w:p>
    <w:p w:rsidR="000B1D07" w:rsidRPr="0023662E" w:rsidRDefault="000B1D07" w:rsidP="000B1D07">
      <w:pPr>
        <w:rPr>
          <w:rStyle w:val="AERbody"/>
        </w:rPr>
      </w:pPr>
      <w:r w:rsidRPr="0023662E">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0B1D07" w:rsidRPr="0023662E" w:rsidRDefault="000B1D07" w:rsidP="000B1D07">
      <w:pPr>
        <w:rPr>
          <w:rStyle w:val="AERbody"/>
        </w:rPr>
      </w:pPr>
      <w:r w:rsidRPr="0023662E">
        <w:rPr>
          <w:rStyle w:val="AERbody"/>
        </w:rPr>
        <w:t>If a customer with an existing regulated metering connection on their premises receives a regulated type 5 or 6 metering service, they pay the following charges:</w:t>
      </w:r>
    </w:p>
    <w:p w:rsidR="000B1D07" w:rsidRPr="0023662E" w:rsidRDefault="000B1D07" w:rsidP="000B1D07">
      <w:pPr>
        <w:pStyle w:val="AERbulletlistfirststyle"/>
        <w:rPr>
          <w:rStyle w:val="AERbody"/>
        </w:rPr>
      </w:pPr>
      <w:r w:rsidRPr="0023662E">
        <w:rPr>
          <w:rStyle w:val="AERbody"/>
        </w:rPr>
        <w:t>Capital (MAB recovery</w:t>
      </w:r>
      <w:r w:rsidRPr="0023662E">
        <w:rPr>
          <w:rStyle w:val="FootnoteReference"/>
        </w:rPr>
        <w:footnoteReference w:id="31"/>
      </w:r>
      <w:r w:rsidRPr="0023662E">
        <w:rPr>
          <w:rStyle w:val="AERbody"/>
        </w:rPr>
        <w:t>) component of regulated annual metering charge</w:t>
      </w:r>
    </w:p>
    <w:p w:rsidR="000B1D07" w:rsidRPr="0023662E" w:rsidRDefault="000B1D07" w:rsidP="000B1D07">
      <w:pPr>
        <w:pStyle w:val="AERbulletlistfirststyle"/>
        <w:rPr>
          <w:rStyle w:val="AERbody"/>
        </w:rPr>
      </w:pPr>
      <w:r w:rsidRPr="0023662E">
        <w:rPr>
          <w:rStyle w:val="AERbody"/>
        </w:rPr>
        <w:t>Non-capital (</w:t>
      </w:r>
      <w:proofErr w:type="spellStart"/>
      <w:r w:rsidRPr="0023662E">
        <w:rPr>
          <w:rStyle w:val="AERbody"/>
        </w:rPr>
        <w:t>opex</w:t>
      </w:r>
      <w:proofErr w:type="spellEnd"/>
      <w:r w:rsidRPr="0023662E">
        <w:rPr>
          <w:rStyle w:val="AERbody"/>
        </w:rPr>
        <w:t xml:space="preserve"> and tax) component of the regulated annual metering charge</w:t>
      </w:r>
      <w:r w:rsidR="00B26F4C">
        <w:rPr>
          <w:rStyle w:val="AERbody"/>
        </w:rPr>
        <w:t>.</w:t>
      </w:r>
    </w:p>
    <w:p w:rsidR="000B1D07" w:rsidRPr="0023662E" w:rsidRDefault="000B1D07" w:rsidP="000B1D07">
      <w:pPr>
        <w:rPr>
          <w:rStyle w:val="AERbody"/>
        </w:rPr>
      </w:pPr>
      <w:r w:rsidRPr="0023662E">
        <w:rPr>
          <w:rStyle w:val="AERbody"/>
        </w:rPr>
        <w:lastRenderedPageBreak/>
        <w:t>If a customer with an existing regulated metering connection on their premises chooses to switch to a competitive advanced metering service (and no longer receives a regulated type 5 or 6 metering service) they stop paying the non-capital component of the regulated annual metering charge. They will pay the following charges:</w:t>
      </w:r>
    </w:p>
    <w:p w:rsidR="000B1D07" w:rsidRPr="0023662E" w:rsidRDefault="000B1D07" w:rsidP="000B1D07">
      <w:pPr>
        <w:pStyle w:val="AERbulletlistfirststyle"/>
        <w:rPr>
          <w:rStyle w:val="AERbody"/>
        </w:rPr>
      </w:pPr>
      <w:r w:rsidRPr="0023662E">
        <w:rPr>
          <w:rStyle w:val="AERbody"/>
        </w:rPr>
        <w:t>Capital component of the regulated annual metering charge.</w:t>
      </w:r>
    </w:p>
    <w:p w:rsidR="000B1D07" w:rsidRPr="0023662E" w:rsidRDefault="000B1D07" w:rsidP="000B1D07">
      <w:pPr>
        <w:pStyle w:val="ListContinue"/>
        <w:rPr>
          <w:rStyle w:val="AERbody"/>
        </w:rPr>
      </w:pPr>
      <w:r w:rsidRPr="0023662E">
        <w:rPr>
          <w:rStyle w:val="AERbody"/>
        </w:rPr>
        <w:t xml:space="preserve">This charge recovers the MAB from all customers with existing connections (from before 30 June 2015) on their premises, whether or not they subsequently switch from their existing regulated meter to an advanced meter. As a result, the diminishing </w:t>
      </w:r>
      <w:proofErr w:type="gramStart"/>
      <w:r w:rsidRPr="0023662E">
        <w:rPr>
          <w:rStyle w:val="AERbody"/>
        </w:rPr>
        <w:t>number</w:t>
      </w:r>
      <w:proofErr w:type="gramEnd"/>
      <w:r w:rsidRPr="0023662E">
        <w:rPr>
          <w:rStyle w:val="AERbody"/>
        </w:rPr>
        <w:t xml:space="preserve">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0B1D07" w:rsidRPr="0023662E" w:rsidRDefault="000B1D07" w:rsidP="000B1D07">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_Ref417733834 \h </w:instrText>
      </w:r>
      <w:r>
        <w:rPr>
          <w:rStyle w:val="AERbody"/>
        </w:rPr>
      </w:r>
      <w:r>
        <w:rPr>
          <w:rStyle w:val="AERbody"/>
        </w:rPr>
        <w:fldChar w:fldCharType="separate"/>
      </w:r>
      <w:r w:rsidR="00F16AE7">
        <w:t xml:space="preserve">Figure </w:t>
      </w:r>
      <w:r w:rsidR="00F16AE7">
        <w:rPr>
          <w:noProof/>
        </w:rPr>
        <w:t>16</w:t>
      </w:r>
      <w:r w:rsidR="00F16AE7" w:rsidRPr="00EB7D0B">
        <w:t>.</w:t>
      </w:r>
      <w:r w:rsidR="00F16AE7">
        <w:rPr>
          <w:noProof/>
        </w:rPr>
        <w:t>3</w:t>
      </w:r>
      <w:r>
        <w:rPr>
          <w:rStyle w:val="AERbody"/>
        </w:rPr>
        <w:fldChar w:fldCharType="end"/>
      </w:r>
      <w:r w:rsidRPr="0023662E">
        <w:rPr>
          <w:rStyle w:val="AERbody"/>
        </w:rPr>
        <w:t>.</w:t>
      </w:r>
    </w:p>
    <w:p w:rsidR="000B1D07" w:rsidRPr="0023662E" w:rsidRDefault="000B1D07" w:rsidP="000B1D07">
      <w:pPr>
        <w:rPr>
          <w:rStyle w:val="AERbody"/>
        </w:rPr>
      </w:pPr>
      <w:r w:rsidRPr="0023662E">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0B1D07" w:rsidRPr="0023662E" w:rsidRDefault="000B1D07" w:rsidP="000B1D07">
      <w:pPr>
        <w:rPr>
          <w:rStyle w:val="Strong"/>
        </w:rPr>
      </w:pPr>
      <w:r w:rsidRPr="0023662E">
        <w:rPr>
          <w:rStyle w:val="Strong"/>
        </w:rPr>
        <w:t>New connections (after 1 July 2015)</w:t>
      </w:r>
    </w:p>
    <w:p w:rsidR="000B1D07" w:rsidRPr="0023662E" w:rsidRDefault="000B1D07" w:rsidP="000B1D07">
      <w:pPr>
        <w:rPr>
          <w:rStyle w:val="AERbody"/>
        </w:rPr>
      </w:pPr>
      <w:r w:rsidRPr="0023662E">
        <w:rPr>
          <w:rStyle w:val="AERbody"/>
        </w:rPr>
        <w:t xml:space="preserve">For regulated new meter connections installed after 1 July 2015, the capital costs will be paid upfront by the customer. As such, no capital expenditure related to new meter connections installed after this date will be added to the metering asset base. </w:t>
      </w:r>
    </w:p>
    <w:p w:rsidR="000B1D07" w:rsidRDefault="000B1D07" w:rsidP="000B1D07">
      <w:pPr>
        <w:rPr>
          <w:rStyle w:val="AERbody"/>
        </w:rPr>
      </w:pPr>
      <w:r w:rsidRPr="0023662E">
        <w:rPr>
          <w:rStyle w:val="AERbody"/>
        </w:rPr>
        <w:t>If a customer has a new regulated metering connection that was installed on their premises after 1 July 2015 and receives a regulated type 5 or 6 metering service, they pay the following charges:</w:t>
      </w:r>
    </w:p>
    <w:p w:rsidR="000B1D07" w:rsidRPr="0023662E" w:rsidRDefault="000B1D07" w:rsidP="000B1D07">
      <w:pPr>
        <w:pStyle w:val="AERbulletlistfirststyle"/>
        <w:rPr>
          <w:rStyle w:val="AERbody"/>
        </w:rPr>
      </w:pPr>
      <w:r w:rsidRPr="0023662E">
        <w:rPr>
          <w:rStyle w:val="AERbody"/>
        </w:rPr>
        <w:t>Non-capital component of the regulated annual metering charge</w:t>
      </w:r>
    </w:p>
    <w:p w:rsidR="000B1D07" w:rsidRPr="00EB7D0B" w:rsidRDefault="000B1D07" w:rsidP="000B1D07">
      <w:pPr>
        <w:pStyle w:val="AERbulletlistfirststyle"/>
        <w:rPr>
          <w:rStyle w:val="AERbody"/>
        </w:rPr>
      </w:pPr>
      <w:r w:rsidRPr="0023662E">
        <w:rPr>
          <w:rStyle w:val="AERbody"/>
        </w:rPr>
        <w:t xml:space="preserve">As they have already paid for their capital component upfront, the only costs relating to their regulated metering service left to be recovered through annual charges are the non-capital costs.  </w:t>
      </w:r>
    </w:p>
    <w:p w:rsidR="000B1D07" w:rsidRPr="0023662E" w:rsidRDefault="000B1D07" w:rsidP="000B1D07">
      <w:pPr>
        <w:rPr>
          <w:rStyle w:val="AERbody"/>
        </w:rPr>
      </w:pPr>
      <w:r w:rsidRPr="0023662E">
        <w:rPr>
          <w:rStyle w:val="AERbody"/>
        </w:rPr>
        <w:t>If a customer has a new regulated metering connection on their premises and wants to switch to a competitive advanced metering service (and no longer receives a regulated type 5 or 6 metering service), they stop paying all regulated annual metering charges. They will pay the following charges:</w:t>
      </w:r>
    </w:p>
    <w:p w:rsidR="000B1D07" w:rsidRPr="0023662E" w:rsidRDefault="000B1D07" w:rsidP="000B1D07">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_Ref417733834 \h </w:instrText>
      </w:r>
      <w:r>
        <w:rPr>
          <w:rStyle w:val="AERbody"/>
        </w:rPr>
      </w:r>
      <w:r>
        <w:rPr>
          <w:rStyle w:val="AERbody"/>
        </w:rPr>
        <w:fldChar w:fldCharType="separate"/>
      </w:r>
      <w:r w:rsidR="00F16AE7">
        <w:t xml:space="preserve">Figure </w:t>
      </w:r>
      <w:r w:rsidR="00F16AE7">
        <w:rPr>
          <w:noProof/>
        </w:rPr>
        <w:t>16</w:t>
      </w:r>
      <w:r w:rsidR="00F16AE7" w:rsidRPr="00EB7D0B">
        <w:t>.</w:t>
      </w:r>
      <w:r w:rsidR="00F16AE7">
        <w:rPr>
          <w:noProof/>
        </w:rPr>
        <w:t>3</w:t>
      </w:r>
      <w:r>
        <w:rPr>
          <w:rStyle w:val="AERbody"/>
        </w:rPr>
        <w:fldChar w:fldCharType="end"/>
      </w:r>
      <w:r w:rsidRPr="0023662E">
        <w:rPr>
          <w:rStyle w:val="AERbody"/>
        </w:rPr>
        <w:t>.</w:t>
      </w:r>
    </w:p>
    <w:p w:rsidR="000B1D07" w:rsidRDefault="000B1D07" w:rsidP="000B1D07">
      <w:pPr>
        <w:pStyle w:val="Heading4"/>
      </w:pPr>
      <w:r>
        <w:lastRenderedPageBreak/>
        <w:t xml:space="preserve">Annual metering services </w:t>
      </w:r>
      <w:bookmarkEnd w:id="51"/>
    </w:p>
    <w:p w:rsidR="000B1D07" w:rsidRPr="004F62F1" w:rsidRDefault="000B1D07" w:rsidP="000B1D07">
      <w:r w:rsidRPr="004F62F1">
        <w:t xml:space="preserve">We generally accept </w:t>
      </w:r>
      <w:r>
        <w:t>Ergon Energy</w:t>
      </w:r>
      <w:r w:rsidRPr="004F62F1">
        <w:t>’s building block approach as the basis for establishing annual metering charges but not the</w:t>
      </w:r>
      <w:r>
        <w:t xml:space="preserve"> particular components</w:t>
      </w:r>
      <w:r w:rsidRPr="004F62F1">
        <w:t>:</w:t>
      </w:r>
    </w:p>
    <w:p w:rsidR="000B1D07" w:rsidRDefault="000B1D07" w:rsidP="000B1D07">
      <w:pPr>
        <w:pStyle w:val="AERbulletlistfirststyle"/>
      </w:pPr>
      <w:r>
        <w:t xml:space="preserve">Opening metering asset base </w:t>
      </w:r>
    </w:p>
    <w:p w:rsidR="000B1D07" w:rsidRPr="000B1D07" w:rsidRDefault="000B1D07" w:rsidP="000B1D07">
      <w:pPr>
        <w:pStyle w:val="AERbulletlistfirststyle"/>
      </w:pPr>
      <w:r w:rsidRPr="00415276">
        <w:t>Our preliminary decision is to approve an opening metering asset base (MAB) value</w:t>
      </w:r>
      <w:r w:rsidRPr="000B1D07">
        <w:t xml:space="preserve"> as at 1 July 2015 of $60.7 million and substitute it with Ergon Energy's proposed $61.6 million. </w:t>
      </w:r>
    </w:p>
    <w:p w:rsidR="000B1D07" w:rsidRDefault="000B1D07" w:rsidP="000B1D07">
      <w:pPr>
        <w:pStyle w:val="AERbulletlistfirststyle"/>
      </w:pPr>
      <w:r>
        <w:t>Depreciation</w:t>
      </w:r>
    </w:p>
    <w:p w:rsidR="000B1D07" w:rsidRPr="000B1D07" w:rsidRDefault="000B1D07" w:rsidP="000B1D07">
      <w:pPr>
        <w:pStyle w:val="AERbulletlistfirststyle"/>
      </w:pPr>
      <w:r w:rsidRPr="00415276">
        <w:t xml:space="preserve">Our preliminary decision accepts a standard asset </w:t>
      </w:r>
      <w:r w:rsidRPr="000B1D07">
        <w:t>lives of 15 years. This is instead of Ergon Energy's proposal to apply accelerated depreciation of 3 years for newly installed meters and 5 years for pre-existing metering assets.</w:t>
      </w:r>
      <w:r w:rsidRPr="000B1D07">
        <w:rPr>
          <w:rStyle w:val="FootnoteReference"/>
        </w:rPr>
        <w:footnoteReference w:id="32"/>
      </w:r>
      <w:r w:rsidRPr="000B1D07">
        <w:t xml:space="preserve"> </w:t>
      </w:r>
    </w:p>
    <w:p w:rsidR="000B1D07" w:rsidRPr="000B1D07" w:rsidRDefault="000B1D07" w:rsidP="000B1D07">
      <w:pPr>
        <w:pStyle w:val="AERbulletlistfirststyle"/>
      </w:pPr>
      <w:r>
        <w:t xml:space="preserve">We will apply forecast depreciation, consistent with our preliminary decision for standard control services. </w:t>
      </w:r>
    </w:p>
    <w:p w:rsidR="000B1D07" w:rsidRDefault="000B1D07" w:rsidP="000B1D07">
      <w:pPr>
        <w:pStyle w:val="AERbulletlistfirststyle"/>
      </w:pPr>
      <w:r>
        <w:t>Forecast capex</w:t>
      </w:r>
    </w:p>
    <w:p w:rsidR="000B1D07" w:rsidRPr="000B1D07" w:rsidRDefault="000B1D07" w:rsidP="000B1D07">
      <w:pPr>
        <w:pStyle w:val="AERbulletlistfirststyle"/>
      </w:pPr>
      <w:r w:rsidRPr="00415276">
        <w:t xml:space="preserve">We do not accept Ergon Energy’s proposed capex building block. Our preliminary decision allows $51.3 million in capex for annual metering charges instead of Ergon Energy’s proposed $129.1 million ($2014-15). Of the capex we have not accepted, </w:t>
      </w:r>
      <w:r w:rsidRPr="000B1D07">
        <w:t>approximately 71 percent relates to our preliminary decision to move the cost recovery of new connections from the annual metering charge to upfront payments. That is, Ergon Energy should still recover this expenditure, but via a different capitalisation policy.</w:t>
      </w:r>
    </w:p>
    <w:p w:rsidR="000B1D07" w:rsidRDefault="000B1D07" w:rsidP="000B1D07">
      <w:pPr>
        <w:pStyle w:val="AERbulletlistfirststyle"/>
      </w:pPr>
      <w:r>
        <w:t xml:space="preserve">Forecast </w:t>
      </w:r>
      <w:proofErr w:type="spellStart"/>
      <w:r>
        <w:t>opex</w:t>
      </w:r>
      <w:proofErr w:type="spellEnd"/>
    </w:p>
    <w:p w:rsidR="000B1D07" w:rsidRPr="000B1D07" w:rsidRDefault="000B1D07" w:rsidP="000B1D07">
      <w:pPr>
        <w:pStyle w:val="AERbulletlistfirststyle"/>
      </w:pPr>
      <w:bookmarkStart w:id="53" w:name="_Toc417318886"/>
      <w:r w:rsidRPr="007735A7">
        <w:t xml:space="preserve">In assessing the metering </w:t>
      </w:r>
      <w:proofErr w:type="spellStart"/>
      <w:r w:rsidRPr="007735A7">
        <w:t>opex</w:t>
      </w:r>
      <w:proofErr w:type="spellEnd"/>
      <w:r w:rsidRPr="007735A7">
        <w:t xml:space="preserve"> building block, we used a base-</w:t>
      </w:r>
      <w:r w:rsidRPr="000B1D07">
        <w:t xml:space="preserve">step-trend approach to develop an alternative forecast. Our cost assessment led us to accept $118.6 million in </w:t>
      </w:r>
      <w:proofErr w:type="spellStart"/>
      <w:r w:rsidRPr="000B1D07">
        <w:t>opex</w:t>
      </w:r>
      <w:proofErr w:type="spellEnd"/>
      <w:r w:rsidRPr="000B1D07">
        <w:t xml:space="preserve"> for annual metering charges and substitute that amount for the proposed $169.5 million ($2014-15). </w:t>
      </w:r>
    </w:p>
    <w:p w:rsidR="000B1D07" w:rsidRPr="003D498C" w:rsidRDefault="000B1D07" w:rsidP="000B1D07">
      <w:pPr>
        <w:pStyle w:val="Heading4"/>
      </w:pPr>
      <w:r>
        <w:t>Upfront capital charges</w:t>
      </w:r>
      <w:bookmarkEnd w:id="53"/>
    </w:p>
    <w:p w:rsidR="000B1D07" w:rsidRDefault="000B1D07" w:rsidP="000B1D07">
      <w:r>
        <w:t>Ergon Energy did not propose any upfront capital charges. We, however, consider their introduction to be economically efficient, with respect to new or upgraded connections. We have therefore included them in the structure of metering charges which we have accepted in this preliminary decision.</w:t>
      </w:r>
    </w:p>
    <w:p w:rsidR="000B1D07" w:rsidRDefault="000B1D07" w:rsidP="000B1D07">
      <w:pPr>
        <w:pStyle w:val="Heading4"/>
      </w:pPr>
      <w:bookmarkStart w:id="54" w:name="_Toc417318887"/>
      <w:r>
        <w:t>Metering exit fee</w:t>
      </w:r>
      <w:bookmarkEnd w:id="54"/>
    </w:p>
    <w:p w:rsidR="000B1D07" w:rsidRDefault="000B1D07" w:rsidP="000B1D07">
      <w:pPr>
        <w:rPr>
          <w:rStyle w:val="AERbody"/>
        </w:rPr>
      </w:pPr>
      <w:bookmarkStart w:id="55" w:name="_Ref417314709"/>
      <w:bookmarkStart w:id="56" w:name="_Toc417318888"/>
      <w:r>
        <w:rPr>
          <w:rStyle w:val="AERbody"/>
        </w:rPr>
        <w:t xml:space="preserve">Our preliminary decision for switching customers to continue paying the capital component of the regulated annual metering charge removes the need for </w:t>
      </w:r>
      <w:r w:rsidR="0050031D">
        <w:rPr>
          <w:rStyle w:val="AERbody"/>
        </w:rPr>
        <w:t>Ergon Energy</w:t>
      </w:r>
      <w:r>
        <w:rPr>
          <w:rStyle w:val="AERbody"/>
        </w:rPr>
        <w:t xml:space="preserve"> to recover residual metering asset value through an upfront exit fee. </w:t>
      </w:r>
    </w:p>
    <w:p w:rsidR="00AC72D2" w:rsidRDefault="00F5521C" w:rsidP="00AC72D2">
      <w:r>
        <w:lastRenderedPageBreak/>
        <w:t>We do not approve</w:t>
      </w:r>
      <w:r w:rsidR="00AC72D2">
        <w:t xml:space="preserve"> Ergon Energy</w:t>
      </w:r>
      <w:r>
        <w:t>'s proposal to recover administration costs relating to customers transferring to alternative metering providers</w:t>
      </w:r>
      <w:r w:rsidR="006A533C">
        <w:t xml:space="preserve"> through an exit fee</w:t>
      </w:r>
      <w:r>
        <w:t xml:space="preserve">. </w:t>
      </w:r>
      <w:r w:rsidR="00AC72D2" w:rsidRPr="004450FB">
        <w:t xml:space="preserve">We find that there are no additional tasks or functions </w:t>
      </w:r>
      <w:r w:rsidR="00AC72D2">
        <w:t xml:space="preserve">these </w:t>
      </w:r>
      <w:r w:rsidR="00AC72D2" w:rsidRPr="004450FB">
        <w:t>distributors will have to assume when customers change meter provider. Thus</w:t>
      </w:r>
      <w:r w:rsidR="00AC72D2">
        <w:t xml:space="preserve"> there are no incremental costs.</w:t>
      </w:r>
    </w:p>
    <w:p w:rsidR="006A533C" w:rsidRDefault="006A533C" w:rsidP="00AC72D2">
      <w:r>
        <w:t>Therefore, no metering exit fee applies.</w:t>
      </w:r>
    </w:p>
    <w:p w:rsidR="000B1D07" w:rsidRDefault="000B1D07" w:rsidP="000B1D07">
      <w:pPr>
        <w:pStyle w:val="Heading4"/>
      </w:pPr>
      <w:r>
        <w:t>Control mechanism</w:t>
      </w:r>
      <w:bookmarkEnd w:id="55"/>
      <w:bookmarkEnd w:id="56"/>
    </w:p>
    <w:p w:rsidR="000B1D07" w:rsidRPr="006614E3" w:rsidRDefault="000B1D07" w:rsidP="000B1D07">
      <w:r w:rsidRPr="006614E3">
        <w:t xml:space="preserve">Our </w:t>
      </w:r>
      <w:r>
        <w:t>preliminary</w:t>
      </w:r>
      <w:r w:rsidRPr="006614E3">
        <w:t xml:space="preserve"> decision is to apply price caps for individual type 5 and 6 metering services as the form of control. This means a schedule of prices is set for the first year. For the following year's the previous year’s prices are adjusted by CPI and an X factor. The control mechanism formula is set out below:</w:t>
      </w:r>
    </w:p>
    <w:p w:rsidR="000B1D07" w:rsidRPr="006614E3" w:rsidRDefault="00DA2823" w:rsidP="000B1D07">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0B1D07" w:rsidRPr="006614E3" w:rsidRDefault="000B1D07" w:rsidP="000B1D07">
      <w:pPr>
        <w:numPr>
          <w:ilvl w:val="0"/>
          <w:numId w:val="25"/>
        </w:numPr>
      </w:pPr>
      <w:r w:rsidRPr="006614E3">
        <w:t>Where:</w:t>
      </w:r>
    </w:p>
    <w:p w:rsidR="000B1D07" w:rsidRPr="006614E3" w:rsidRDefault="00DA2823" w:rsidP="000B1D07">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0B1D07" w:rsidRPr="006614E3">
        <w:t xml:space="preserve"> is the cap on the price of service i in year t-1</w:t>
      </w:r>
    </w:p>
    <w:p w:rsidR="000B1D07" w:rsidRPr="006614E3" w:rsidRDefault="00DA2823" w:rsidP="000B1D07">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0B1D07" w:rsidRPr="006614E3">
        <w:t xml:space="preserve"> is the</w:t>
      </w:r>
      <w:r w:rsidR="000B1D07">
        <w:t xml:space="preserve"> cap on the</w:t>
      </w:r>
      <w:r w:rsidR="000B1D07" w:rsidRPr="006614E3">
        <w:t xml:space="preserve"> price of service </w:t>
      </w:r>
      <w:proofErr w:type="spellStart"/>
      <w:r w:rsidR="000B1D07" w:rsidRPr="006614E3">
        <w:t>i</w:t>
      </w:r>
      <w:proofErr w:type="spellEnd"/>
      <w:r w:rsidR="000B1D07" w:rsidRPr="006614E3">
        <w:t xml:space="preserve"> in year t</w:t>
      </w:r>
    </w:p>
    <w:p w:rsidR="000B1D07" w:rsidRPr="006614E3" w:rsidRDefault="00DA2823" w:rsidP="000B1D07">
      <w:pPr>
        <w:numPr>
          <w:ilvl w:val="0"/>
          <w:numId w:val="25"/>
        </w:numPr>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0B1D07" w:rsidRPr="006614E3">
        <w:t xml:space="preserve"> </w:t>
      </w:r>
      <w:proofErr w:type="gramStart"/>
      <w:r w:rsidR="000B1D07" w:rsidRPr="006614E3">
        <w:t>is</w:t>
      </w:r>
      <w:proofErr w:type="gramEnd"/>
      <w:r w:rsidR="000B1D07" w:rsidRPr="006614E3">
        <w:t xml:space="preserve"> the annual percentage change in the Australian Bureau of Statistics (ABS) Consumer Price Index All Groups, Weighted Average of Eight Capital Cities from December in year t–2 to December in year t–1. For example, for the 2015–16 year, t–2 is December 2013 and t–1 is December 2014 and in the 2016–17 year, t–2 is December 2014 and t–1 is December 2015 and so on.  </w:t>
      </w:r>
    </w:p>
    <w:p w:rsidR="000B1D07" w:rsidRPr="006614E3" w:rsidRDefault="00DA2823" w:rsidP="000B1D07">
      <w:pPr>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0B1D07" w:rsidRPr="006614E3">
        <w:t xml:space="preserve"> is zero </w:t>
      </w:r>
    </w:p>
    <w:p w:rsidR="000B1D07" w:rsidRPr="006614E3" w:rsidRDefault="00DA2823" w:rsidP="000B1D07">
      <w:pPr>
        <w:numPr>
          <w:ilvl w:val="0"/>
          <w:numId w:val="25"/>
        </w:numPr>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0B1D07" w:rsidRPr="006614E3">
        <w:t xml:space="preserve"> is: </w:t>
      </w:r>
    </w:p>
    <w:p w:rsidR="000B1D07" w:rsidRPr="006614E3" w:rsidRDefault="000B1D07" w:rsidP="000B1D07">
      <w:proofErr w:type="gramStart"/>
      <w:r w:rsidRPr="006614E3">
        <w:t>for</w:t>
      </w:r>
      <w:proofErr w:type="gramEnd"/>
      <w:r w:rsidRPr="006614E3">
        <w:t xml:space="preserve"> the annual metering charges, the factors set out in </w:t>
      </w:r>
      <w:r w:rsidRPr="006614E3">
        <w:fldChar w:fldCharType="begin"/>
      </w:r>
      <w:r w:rsidRPr="006614E3">
        <w:instrText xml:space="preserve"> REF _Ref417593759 \h </w:instrText>
      </w:r>
      <w:r w:rsidRPr="006614E3">
        <w:fldChar w:fldCharType="separate"/>
      </w:r>
      <w:r w:rsidR="00F16AE7" w:rsidRPr="006614E3">
        <w:t xml:space="preserve">Table </w:t>
      </w:r>
      <w:r w:rsidR="00F16AE7">
        <w:rPr>
          <w:noProof/>
        </w:rPr>
        <w:t>16</w:t>
      </w:r>
      <w:r w:rsidR="00F16AE7">
        <w:t>.</w:t>
      </w:r>
      <w:r w:rsidR="00F16AE7">
        <w:rPr>
          <w:noProof/>
        </w:rPr>
        <w:t>6</w:t>
      </w:r>
      <w:r w:rsidRPr="006614E3">
        <w:fldChar w:fldCharType="end"/>
      </w:r>
    </w:p>
    <w:p w:rsidR="000B1D07" w:rsidRPr="006614E3" w:rsidRDefault="000B1D07" w:rsidP="000B1D07">
      <w:proofErr w:type="gramStart"/>
      <w:r w:rsidRPr="006614E3">
        <w:t>for</w:t>
      </w:r>
      <w:proofErr w:type="gramEnd"/>
      <w:r w:rsidRPr="006614E3">
        <w:t xml:space="preserve"> the upfront charges, the factors set out in </w:t>
      </w:r>
      <w:r w:rsidRPr="006614E3">
        <w:fldChar w:fldCharType="begin"/>
      </w:r>
      <w:r w:rsidRPr="006614E3">
        <w:instrText xml:space="preserve"> REF _Ref417593766 \h </w:instrText>
      </w:r>
      <w:r w:rsidRPr="006614E3">
        <w:fldChar w:fldCharType="separate"/>
      </w:r>
      <w:r w:rsidR="00F16AE7" w:rsidRPr="006614E3">
        <w:t xml:space="preserve">Table </w:t>
      </w:r>
      <w:r w:rsidR="00F16AE7">
        <w:rPr>
          <w:noProof/>
        </w:rPr>
        <w:t>16</w:t>
      </w:r>
      <w:r w:rsidR="00F16AE7">
        <w:t>.</w:t>
      </w:r>
      <w:r w:rsidR="00F16AE7">
        <w:rPr>
          <w:noProof/>
        </w:rPr>
        <w:t>7</w:t>
      </w:r>
      <w:r w:rsidRPr="006614E3">
        <w:fldChar w:fldCharType="end"/>
      </w:r>
      <w:r w:rsidRPr="006614E3">
        <w:t>.</w:t>
      </w:r>
    </w:p>
    <w:p w:rsidR="000B1D07" w:rsidRPr="006614E3" w:rsidRDefault="000B1D07" w:rsidP="000B1D07">
      <w:pPr>
        <w:pStyle w:val="Caption"/>
      </w:pPr>
      <w:r w:rsidRPr="006614E3">
        <w:t xml:space="preserve"> </w:t>
      </w:r>
      <w:bookmarkStart w:id="57" w:name="_Ref417593759"/>
      <w:proofErr w:type="gramStart"/>
      <w:r w:rsidRPr="006614E3">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6</w:t>
      </w:r>
      <w:r w:rsidR="00F5521C">
        <w:fldChar w:fldCharType="end"/>
      </w:r>
      <w:bookmarkEnd w:id="57"/>
      <w:r w:rsidRPr="006614E3">
        <w:tab/>
        <w:t>X–Factors for annual metering charges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0B1D07" w:rsidRPr="003A5DE5"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0B1D07" w:rsidRPr="006614E3" w:rsidRDefault="000B1D07" w:rsidP="000B1D07"/>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2016–17</w:t>
            </w:r>
          </w:p>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2017–18</w:t>
            </w:r>
          </w:p>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2018–19</w:t>
            </w:r>
          </w:p>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2019–20</w:t>
            </w:r>
          </w:p>
        </w:tc>
      </w:tr>
      <w:tr w:rsidR="000B1D07" w:rsidRPr="003A5DE5" w:rsidTr="0050031D">
        <w:tc>
          <w:tcPr>
            <w:cnfStyle w:val="001000000000" w:firstRow="0" w:lastRow="0" w:firstColumn="1" w:lastColumn="0" w:oddVBand="0" w:evenVBand="0" w:oddHBand="0" w:evenHBand="0" w:firstRowFirstColumn="0" w:firstRowLastColumn="0" w:lastRowFirstColumn="0" w:lastRowLastColumn="0"/>
            <w:tcW w:w="1737" w:type="dxa"/>
          </w:tcPr>
          <w:p w:rsidR="000B1D07" w:rsidRPr="000B1D07" w:rsidRDefault="000B1D07" w:rsidP="000B1D07">
            <w:r w:rsidRPr="006614E3">
              <w:t>X factor</w:t>
            </w:r>
          </w:p>
        </w:tc>
        <w:tc>
          <w:tcPr>
            <w:tcW w:w="173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t>–2.76</w:t>
            </w:r>
          </w:p>
        </w:tc>
        <w:tc>
          <w:tcPr>
            <w:tcW w:w="173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t>–2.76</w:t>
            </w:r>
          </w:p>
        </w:tc>
        <w:tc>
          <w:tcPr>
            <w:tcW w:w="173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t>–2.76</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t>–2.76</w:t>
            </w:r>
          </w:p>
        </w:tc>
      </w:tr>
    </w:tbl>
    <w:p w:rsidR="000B1D07" w:rsidRPr="006614E3" w:rsidRDefault="000B1D07" w:rsidP="000B1D07">
      <w:pPr>
        <w:pStyle w:val="AERtablesource"/>
      </w:pPr>
      <w:r w:rsidRPr="006614E3">
        <w:t>Source:</w:t>
      </w:r>
      <w:r w:rsidRPr="006614E3">
        <w:tab/>
        <w:t>AER analysis</w:t>
      </w:r>
    </w:p>
    <w:p w:rsidR="000B1D07" w:rsidRPr="006614E3" w:rsidRDefault="000B1D07" w:rsidP="000B1D07">
      <w:pPr>
        <w:pStyle w:val="Caption"/>
      </w:pPr>
      <w:bookmarkStart w:id="58" w:name="_Ref417593766"/>
      <w:proofErr w:type="gramStart"/>
      <w:r w:rsidRPr="006614E3">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7</w:t>
      </w:r>
      <w:r w:rsidR="00F5521C">
        <w:fldChar w:fldCharType="end"/>
      </w:r>
      <w:bookmarkEnd w:id="58"/>
      <w:r w:rsidRPr="006614E3">
        <w:tab/>
        <w:t>X–Factors for upfront capital charges (per cent)</w:t>
      </w:r>
    </w:p>
    <w:tbl>
      <w:tblPr>
        <w:tblStyle w:val="AERtable-numbers"/>
        <w:tblW w:w="0" w:type="auto"/>
        <w:tblLook w:val="04A0" w:firstRow="1" w:lastRow="0" w:firstColumn="1" w:lastColumn="0" w:noHBand="0" w:noVBand="1"/>
      </w:tblPr>
      <w:tblGrid>
        <w:gridCol w:w="1458"/>
        <w:gridCol w:w="1469"/>
        <w:gridCol w:w="1469"/>
        <w:gridCol w:w="1469"/>
        <w:gridCol w:w="1469"/>
        <w:gridCol w:w="1359"/>
      </w:tblGrid>
      <w:tr w:rsidR="000B1D07" w:rsidRPr="003A5DE5"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0B1D07" w:rsidRPr="006614E3" w:rsidRDefault="000B1D07" w:rsidP="000B1D07"/>
        </w:tc>
        <w:tc>
          <w:tcPr>
            <w:tcW w:w="146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2015–16</w:t>
            </w:r>
          </w:p>
        </w:tc>
        <w:tc>
          <w:tcPr>
            <w:tcW w:w="146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2016–17</w:t>
            </w:r>
          </w:p>
        </w:tc>
        <w:tc>
          <w:tcPr>
            <w:tcW w:w="146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2017–18</w:t>
            </w:r>
          </w:p>
        </w:tc>
        <w:tc>
          <w:tcPr>
            <w:tcW w:w="146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2018–19</w:t>
            </w:r>
          </w:p>
        </w:tc>
        <w:tc>
          <w:tcPr>
            <w:tcW w:w="135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6614E3">
              <w:t>2019–20</w:t>
            </w:r>
          </w:p>
        </w:tc>
      </w:tr>
      <w:tr w:rsidR="000B1D07" w:rsidTr="0050031D">
        <w:tc>
          <w:tcPr>
            <w:cnfStyle w:val="001000000000" w:firstRow="0" w:lastRow="0" w:firstColumn="1" w:lastColumn="0" w:oddVBand="0" w:evenVBand="0" w:oddHBand="0" w:evenHBand="0" w:firstRowFirstColumn="0" w:firstRowLastColumn="0" w:lastRowFirstColumn="0" w:lastRowLastColumn="0"/>
            <w:tcW w:w="1458" w:type="dxa"/>
          </w:tcPr>
          <w:p w:rsidR="000B1D07" w:rsidRPr="000B1D07" w:rsidRDefault="000B1D07" w:rsidP="000B1D07">
            <w:r w:rsidRPr="006614E3">
              <w:t>X factor</w:t>
            </w:r>
          </w:p>
        </w:tc>
        <w:tc>
          <w:tcPr>
            <w:tcW w:w="146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6614E3">
              <w:t>–0.22</w:t>
            </w:r>
          </w:p>
        </w:tc>
        <w:tc>
          <w:tcPr>
            <w:tcW w:w="146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6614E3">
              <w:t>–0.44</w:t>
            </w:r>
          </w:p>
        </w:tc>
        <w:tc>
          <w:tcPr>
            <w:tcW w:w="146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6614E3">
              <w:t>–0.43</w:t>
            </w:r>
          </w:p>
        </w:tc>
        <w:tc>
          <w:tcPr>
            <w:tcW w:w="146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6614E3">
              <w:t>–0.46</w:t>
            </w:r>
          </w:p>
        </w:tc>
        <w:tc>
          <w:tcPr>
            <w:tcW w:w="1359" w:type="dxa"/>
            <w:vAlign w:val="bottom"/>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6614E3">
              <w:t>–0.22</w:t>
            </w:r>
          </w:p>
        </w:tc>
      </w:tr>
    </w:tbl>
    <w:p w:rsidR="000B1D07" w:rsidRPr="006614E3" w:rsidRDefault="000B1D07" w:rsidP="000B1D07">
      <w:pPr>
        <w:pStyle w:val="AERtablesource"/>
      </w:pPr>
      <w:r w:rsidRPr="006614E3">
        <w:t>Source:</w:t>
      </w:r>
      <w:r w:rsidRPr="006614E3">
        <w:tab/>
        <w:t>AER analysis</w:t>
      </w:r>
    </w:p>
    <w:p w:rsidR="000B1D07" w:rsidRPr="006614E3" w:rsidRDefault="000B1D07" w:rsidP="000B1D07">
      <w:pPr>
        <w:numPr>
          <w:ilvl w:val="0"/>
          <w:numId w:val="25"/>
        </w:numPr>
      </w:pPr>
      <w:r w:rsidRPr="006614E3">
        <w:lastRenderedPageBreak/>
        <w:t xml:space="preserve">For the avoidance of doubt, when setting the prices for 2015–16,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Pr="006614E3">
        <w:t xml:space="preserve"> are prices being set for year 2015–16 and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Pr="006614E3">
        <w:t xml:space="preserve"> are prices from the year 2014–15. </w:t>
      </w:r>
    </w:p>
    <w:p w:rsidR="000B1D07" w:rsidRPr="006614E3" w:rsidRDefault="000B1D07" w:rsidP="000B1D07">
      <w:r w:rsidRPr="006614E3">
        <w:t xml:space="preserve">We will check for compliance with the control mechanism during the annual pricing process. To be compliant, </w:t>
      </w:r>
      <w:r>
        <w:t>Ergon Energy</w:t>
      </w:r>
      <w:r w:rsidRPr="006614E3">
        <w:t xml:space="preserve"> must annually adjust individual price caps in accordance with the control mechanism formula shown above. Further, </w:t>
      </w:r>
      <w:r>
        <w:t>Ergon Energy</w:t>
      </w:r>
      <w:r w:rsidRPr="006614E3">
        <w:t xml:space="preserve"> must show that individual prices are less than or equal to the approved price cap for that individual service through providing a copy of their published price list for that year</w:t>
      </w:r>
    </w:p>
    <w:p w:rsidR="000B1D07" w:rsidRDefault="000B1D07" w:rsidP="000B1D07">
      <w:pPr>
        <w:pStyle w:val="Heading3"/>
      </w:pPr>
      <w:bookmarkStart w:id="59" w:name="_Toc417318889"/>
      <w:bookmarkStart w:id="60" w:name="_Toc417994613"/>
      <w:r>
        <w:t>Ergon Energy's proposal</w:t>
      </w:r>
      <w:bookmarkEnd w:id="59"/>
      <w:bookmarkEnd w:id="60"/>
    </w:p>
    <w:p w:rsidR="000B1D07" w:rsidRDefault="000B1D07" w:rsidP="000B1D07">
      <w:pPr>
        <w:pStyle w:val="Heading4"/>
      </w:pPr>
      <w:r>
        <w:t>Structure of metering charges</w:t>
      </w:r>
    </w:p>
    <w:p w:rsidR="000B1D07" w:rsidRDefault="000B1D07" w:rsidP="000B1D07">
      <w:pPr>
        <w:numPr>
          <w:ilvl w:val="0"/>
          <w:numId w:val="25"/>
        </w:numPr>
      </w:pPr>
      <w:r w:rsidRPr="00415276">
        <w:t>Ergon Energy acc</w:t>
      </w:r>
      <w:r>
        <w:t>epted our decision to classify t</w:t>
      </w:r>
      <w:r w:rsidRPr="00415276">
        <w:t xml:space="preserve">ype 6 metering services as alternative control services and to apply price caps for individual services as the control mechanism. </w:t>
      </w:r>
      <w:r w:rsidRPr="00415276">
        <w:fldChar w:fldCharType="begin"/>
      </w:r>
      <w:r w:rsidRPr="00415276">
        <w:instrText xml:space="preserve"> REF _Ref416970879 \h </w:instrText>
      </w:r>
      <w:r w:rsidRPr="00415276">
        <w:fldChar w:fldCharType="separate"/>
      </w:r>
      <w:r w:rsidR="00F16AE7" w:rsidRPr="00415276">
        <w:t xml:space="preserve">Figure </w:t>
      </w:r>
      <w:r w:rsidR="00F16AE7">
        <w:rPr>
          <w:noProof/>
        </w:rPr>
        <w:t>16</w:t>
      </w:r>
      <w:r w:rsidR="00F16AE7">
        <w:t>.</w:t>
      </w:r>
      <w:r w:rsidR="00F16AE7">
        <w:rPr>
          <w:noProof/>
        </w:rPr>
        <w:t>4</w:t>
      </w:r>
      <w:r w:rsidRPr="00415276">
        <w:fldChar w:fldCharType="end"/>
      </w:r>
      <w:r w:rsidRPr="00415276">
        <w:t xml:space="preserve"> sets out the two types of metering services proposed by Ergon Energy. These are an annual metering service charge and an exit fee.</w:t>
      </w:r>
    </w:p>
    <w:p w:rsidR="000B1D07" w:rsidRPr="00415276" w:rsidRDefault="000B1D07" w:rsidP="000B1D07">
      <w:pPr>
        <w:pStyle w:val="Caption"/>
      </w:pPr>
      <w:bookmarkStart w:id="61" w:name="_Ref416970879"/>
      <w:proofErr w:type="gramStart"/>
      <w:r w:rsidRPr="00415276">
        <w:t xml:space="preserve">Figure </w:t>
      </w:r>
      <w:proofErr w:type="gramEnd"/>
      <w:r w:rsidRPr="000B1D07">
        <w:fldChar w:fldCharType="begin"/>
      </w:r>
      <w:r>
        <w:instrText xml:space="preserve"> STYLEREF 1 \s </w:instrText>
      </w:r>
      <w:r w:rsidRPr="000B1D07">
        <w:fldChar w:fldCharType="separate"/>
      </w:r>
      <w:r w:rsidR="00F16AE7">
        <w:rPr>
          <w:noProof/>
        </w:rPr>
        <w:t>16</w:t>
      </w:r>
      <w:r w:rsidRPr="000B1D07">
        <w:fldChar w:fldCharType="end"/>
      </w:r>
      <w:proofErr w:type="gramStart"/>
      <w:r>
        <w:t>.</w:t>
      </w:r>
      <w:proofErr w:type="gramEnd"/>
      <w:r>
        <w:fldChar w:fldCharType="begin"/>
      </w:r>
      <w:r>
        <w:instrText xml:space="preserve"> SEQ Figure \* ARABIC \s 1 </w:instrText>
      </w:r>
      <w:r>
        <w:fldChar w:fldCharType="separate"/>
      </w:r>
      <w:r w:rsidR="00F16AE7">
        <w:rPr>
          <w:noProof/>
        </w:rPr>
        <w:t>4</w:t>
      </w:r>
      <w:r>
        <w:fldChar w:fldCharType="end"/>
      </w:r>
      <w:bookmarkEnd w:id="61"/>
      <w:r w:rsidRPr="00415276">
        <w:t xml:space="preserve"> Proposed Metering Structure</w:t>
      </w:r>
    </w:p>
    <w:p w:rsidR="000B1D07" w:rsidRPr="00415276" w:rsidRDefault="000B1D07" w:rsidP="000B1D07">
      <w:pPr>
        <w:rPr>
          <w:rStyle w:val="Strong"/>
        </w:rPr>
      </w:pPr>
      <w:r w:rsidRPr="000B1D07">
        <w:rPr>
          <w:noProof/>
          <w:lang w:eastAsia="en-AU"/>
        </w:rPr>
        <w:drawing>
          <wp:inline distT="0" distB="0" distL="0" distR="0" wp14:anchorId="02EECF1C" wp14:editId="1E8C0CD0">
            <wp:extent cx="5716633" cy="2052536"/>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0436" cy="2053901"/>
                    </a:xfrm>
                    <a:prstGeom prst="rect">
                      <a:avLst/>
                    </a:prstGeom>
                    <a:noFill/>
                  </pic:spPr>
                </pic:pic>
              </a:graphicData>
            </a:graphic>
          </wp:inline>
        </w:drawing>
      </w:r>
    </w:p>
    <w:p w:rsidR="000B1D07" w:rsidRPr="00415276" w:rsidRDefault="000B1D07" w:rsidP="000B1D07">
      <w:pPr>
        <w:pStyle w:val="Heading4"/>
      </w:pPr>
      <w:bookmarkStart w:id="62" w:name="_Toc416972006"/>
      <w:bookmarkStart w:id="63" w:name="_Toc417318890"/>
      <w:r w:rsidRPr="00415276">
        <w:t>Annual metering service</w:t>
      </w:r>
      <w:bookmarkEnd w:id="62"/>
      <w:bookmarkEnd w:id="63"/>
      <w:r>
        <w:t>s</w:t>
      </w:r>
      <w:r w:rsidRPr="00415276">
        <w:t xml:space="preserve"> </w:t>
      </w:r>
    </w:p>
    <w:p w:rsidR="000B1D07" w:rsidRPr="00415276" w:rsidRDefault="000B1D07" w:rsidP="000B1D07">
      <w:pPr>
        <w:numPr>
          <w:ilvl w:val="0"/>
          <w:numId w:val="25"/>
        </w:numPr>
        <w:rPr>
          <w:rStyle w:val="AERbody"/>
        </w:rPr>
      </w:pPr>
      <w:bookmarkStart w:id="64" w:name="_Ref408240363"/>
      <w:r w:rsidRPr="00415276">
        <w:rPr>
          <w:rStyle w:val="AERbody"/>
        </w:rPr>
        <w:t xml:space="preserve">Ergon Energy proposed three annual metering service charges, a primary metering tariff and two secondary metering tariffs for controlled load and solar PV customers. </w:t>
      </w:r>
      <w:r w:rsidRPr="00415276">
        <w:rPr>
          <w:rStyle w:val="AERbody"/>
        </w:rPr>
        <w:fldChar w:fldCharType="begin"/>
      </w:r>
      <w:r w:rsidRPr="00415276">
        <w:rPr>
          <w:rStyle w:val="AERbody"/>
        </w:rPr>
        <w:instrText xml:space="preserve"> REF _Ref414367841 \h </w:instrText>
      </w:r>
      <w:r w:rsidRPr="00415276">
        <w:rPr>
          <w:rStyle w:val="AERbody"/>
        </w:rPr>
      </w:r>
      <w:r w:rsidRPr="00415276">
        <w:rPr>
          <w:rStyle w:val="AERbody"/>
        </w:rPr>
        <w:fldChar w:fldCharType="separate"/>
      </w:r>
      <w:r w:rsidR="00F16AE7" w:rsidRPr="00415276">
        <w:t xml:space="preserve">Table </w:t>
      </w:r>
      <w:r w:rsidR="00F16AE7">
        <w:rPr>
          <w:noProof/>
        </w:rPr>
        <w:t>16</w:t>
      </w:r>
      <w:r w:rsidR="00F16AE7">
        <w:t>.</w:t>
      </w:r>
      <w:r w:rsidR="00F16AE7">
        <w:rPr>
          <w:noProof/>
        </w:rPr>
        <w:t>8</w:t>
      </w:r>
      <w:r w:rsidRPr="00415276">
        <w:rPr>
          <w:rStyle w:val="AERbody"/>
        </w:rPr>
        <w:fldChar w:fldCharType="end"/>
      </w:r>
      <w:r w:rsidR="00FF02EE">
        <w:rPr>
          <w:rStyle w:val="AERbody"/>
        </w:rPr>
        <w:t>3</w:t>
      </w:r>
      <w:r w:rsidRPr="00415276">
        <w:rPr>
          <w:rStyle w:val="AERbody"/>
        </w:rPr>
        <w:t xml:space="preserve"> sets out Ergon Energy's proposed charges in each year of the 2015–20 regulatory period.</w:t>
      </w:r>
    </w:p>
    <w:p w:rsidR="000B1D07" w:rsidRPr="00415276" w:rsidRDefault="000B1D07" w:rsidP="000B1D07">
      <w:pPr>
        <w:pStyle w:val="Caption"/>
      </w:pPr>
      <w:bookmarkStart w:id="65" w:name="_Ref414367841"/>
      <w:proofErr w:type="gramStart"/>
      <w:r w:rsidRPr="00415276">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8</w:t>
      </w:r>
      <w:r w:rsidR="00F5521C">
        <w:fldChar w:fldCharType="end"/>
      </w:r>
      <w:bookmarkEnd w:id="64"/>
      <w:bookmarkEnd w:id="65"/>
      <w:r w:rsidRPr="00415276">
        <w:t xml:space="preserve"> - Proposed annual metering service charges</w:t>
      </w:r>
    </w:p>
    <w:tbl>
      <w:tblPr>
        <w:tblStyle w:val="AERtable-numbers"/>
        <w:tblW w:w="0" w:type="auto"/>
        <w:tblLook w:val="04A0" w:firstRow="1" w:lastRow="0" w:firstColumn="1" w:lastColumn="0" w:noHBand="0" w:noVBand="1"/>
      </w:tblPr>
      <w:tblGrid>
        <w:gridCol w:w="1486"/>
        <w:gridCol w:w="1441"/>
        <w:gridCol w:w="1441"/>
        <w:gridCol w:w="1441"/>
        <w:gridCol w:w="1442"/>
        <w:gridCol w:w="1442"/>
      </w:tblGrid>
      <w:tr w:rsidR="000B1D07"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B1D07" w:rsidRPr="000B1D07" w:rsidRDefault="000B1D07" w:rsidP="000B1D07">
            <w:pPr>
              <w:pStyle w:val="Tabletext"/>
              <w:rPr>
                <w:rStyle w:val="AERbody"/>
              </w:rPr>
            </w:pPr>
            <w:r w:rsidRPr="00415276">
              <w:t xml:space="preserve"> $/year, nominal</w:t>
            </w:r>
          </w:p>
        </w:tc>
        <w:tc>
          <w:tcPr>
            <w:tcW w:w="1540"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rPr>
                <w:rStyle w:val="AERbody"/>
              </w:rPr>
            </w:pPr>
            <w:r w:rsidRPr="00415276">
              <w:t>2015-16</w:t>
            </w:r>
          </w:p>
        </w:tc>
        <w:tc>
          <w:tcPr>
            <w:tcW w:w="1540"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rPr>
                <w:rStyle w:val="AERbody"/>
              </w:rPr>
            </w:pPr>
            <w:r w:rsidRPr="00415276">
              <w:t>2016-17</w:t>
            </w:r>
          </w:p>
        </w:tc>
        <w:tc>
          <w:tcPr>
            <w:tcW w:w="1540"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rPr>
                <w:rStyle w:val="AERbody"/>
              </w:rPr>
            </w:pPr>
            <w:r w:rsidRPr="00415276">
              <w:t>2017-18</w:t>
            </w:r>
          </w:p>
        </w:tc>
        <w:tc>
          <w:tcPr>
            <w:tcW w:w="1541"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rPr>
                <w:rStyle w:val="AERbody"/>
              </w:rPr>
            </w:pPr>
            <w:r w:rsidRPr="00415276">
              <w:t>2018-19</w:t>
            </w:r>
          </w:p>
        </w:tc>
        <w:tc>
          <w:tcPr>
            <w:tcW w:w="1541"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rPr>
                <w:rStyle w:val="AERbody"/>
              </w:rPr>
            </w:pPr>
            <w:r w:rsidRPr="00415276">
              <w:t>2019-20</w:t>
            </w:r>
          </w:p>
        </w:tc>
      </w:tr>
      <w:tr w:rsidR="000B1D07" w:rsidTr="0050031D">
        <w:tc>
          <w:tcPr>
            <w:cnfStyle w:val="001000000000" w:firstRow="0" w:lastRow="0" w:firstColumn="1" w:lastColumn="0" w:oddVBand="0" w:evenVBand="0" w:oddHBand="0" w:evenHBand="0" w:firstRowFirstColumn="0" w:firstRowLastColumn="0" w:lastRowFirstColumn="0" w:lastRowLastColumn="0"/>
            <w:tcW w:w="1540" w:type="dxa"/>
          </w:tcPr>
          <w:p w:rsidR="000B1D07" w:rsidRPr="000B1D07" w:rsidRDefault="000B1D07" w:rsidP="000B1D07">
            <w:pPr>
              <w:pStyle w:val="Tabletext"/>
              <w:rPr>
                <w:rStyle w:val="AERbody"/>
              </w:rPr>
            </w:pPr>
            <w:r w:rsidRPr="00415276">
              <w:t xml:space="preserve">Primary tariff </w:t>
            </w:r>
          </w:p>
        </w:tc>
        <w:tc>
          <w:tcPr>
            <w:tcW w:w="1540"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85.31</w:t>
            </w:r>
          </w:p>
        </w:tc>
        <w:tc>
          <w:tcPr>
            <w:tcW w:w="1540"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83.56</w:t>
            </w:r>
          </w:p>
        </w:tc>
        <w:tc>
          <w:tcPr>
            <w:tcW w:w="1540"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81.87</w:t>
            </w:r>
          </w:p>
        </w:tc>
        <w:tc>
          <w:tcPr>
            <w:tcW w:w="1541"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80.23</w:t>
            </w:r>
          </w:p>
        </w:tc>
        <w:tc>
          <w:tcPr>
            <w:tcW w:w="1541"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78.66</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0B1D07" w:rsidRPr="000B1D07" w:rsidRDefault="000B1D07" w:rsidP="000B1D07">
            <w:pPr>
              <w:pStyle w:val="Tabletext"/>
              <w:rPr>
                <w:rStyle w:val="AERbody"/>
              </w:rPr>
            </w:pPr>
            <w:r w:rsidRPr="00415276">
              <w:t xml:space="preserve">Controlled load </w:t>
            </w:r>
          </w:p>
        </w:tc>
        <w:tc>
          <w:tcPr>
            <w:tcW w:w="1540" w:type="dxa"/>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rPr>
                <w:rStyle w:val="AERbody"/>
              </w:rPr>
            </w:pPr>
            <w:r w:rsidRPr="00415276">
              <w:rPr>
                <w:rStyle w:val="AERbody"/>
              </w:rPr>
              <w:t>31.37</w:t>
            </w:r>
          </w:p>
        </w:tc>
        <w:tc>
          <w:tcPr>
            <w:tcW w:w="1540" w:type="dxa"/>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rPr>
                <w:rStyle w:val="AERbody"/>
              </w:rPr>
            </w:pPr>
            <w:r w:rsidRPr="00415276">
              <w:rPr>
                <w:rStyle w:val="AERbody"/>
              </w:rPr>
              <w:t>30.72</w:t>
            </w:r>
          </w:p>
        </w:tc>
        <w:tc>
          <w:tcPr>
            <w:tcW w:w="1540" w:type="dxa"/>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rPr>
                <w:rStyle w:val="AERbody"/>
              </w:rPr>
            </w:pPr>
            <w:r w:rsidRPr="00415276">
              <w:rPr>
                <w:rStyle w:val="AERbody"/>
              </w:rPr>
              <w:t>30.10</w:t>
            </w:r>
          </w:p>
        </w:tc>
        <w:tc>
          <w:tcPr>
            <w:tcW w:w="1541" w:type="dxa"/>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rPr>
                <w:rStyle w:val="AERbody"/>
              </w:rPr>
            </w:pPr>
            <w:r w:rsidRPr="00415276">
              <w:rPr>
                <w:rStyle w:val="AERbody"/>
              </w:rPr>
              <w:t>29.50</w:t>
            </w:r>
          </w:p>
        </w:tc>
        <w:tc>
          <w:tcPr>
            <w:tcW w:w="1541" w:type="dxa"/>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rPr>
                <w:rStyle w:val="AERbody"/>
              </w:rPr>
            </w:pPr>
            <w:r w:rsidRPr="00415276">
              <w:rPr>
                <w:rStyle w:val="AERbody"/>
              </w:rPr>
              <w:t>28.92</w:t>
            </w:r>
          </w:p>
        </w:tc>
      </w:tr>
      <w:tr w:rsidR="000B1D07" w:rsidTr="0050031D">
        <w:tc>
          <w:tcPr>
            <w:cnfStyle w:val="001000000000" w:firstRow="0" w:lastRow="0" w:firstColumn="1" w:lastColumn="0" w:oddVBand="0" w:evenVBand="0" w:oddHBand="0" w:evenHBand="0" w:firstRowFirstColumn="0" w:firstRowLastColumn="0" w:lastRowFirstColumn="0" w:lastRowLastColumn="0"/>
            <w:tcW w:w="1540" w:type="dxa"/>
          </w:tcPr>
          <w:p w:rsidR="000B1D07" w:rsidRPr="000B1D07" w:rsidRDefault="000B1D07" w:rsidP="000B1D07">
            <w:pPr>
              <w:pStyle w:val="Tabletext"/>
              <w:rPr>
                <w:rStyle w:val="AERbody"/>
              </w:rPr>
            </w:pPr>
            <w:r w:rsidRPr="00415276">
              <w:lastRenderedPageBreak/>
              <w:t xml:space="preserve">Solar </w:t>
            </w:r>
          </w:p>
        </w:tc>
        <w:tc>
          <w:tcPr>
            <w:tcW w:w="1540"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21.21</w:t>
            </w:r>
          </w:p>
        </w:tc>
        <w:tc>
          <w:tcPr>
            <w:tcW w:w="1540"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20.78</w:t>
            </w:r>
          </w:p>
        </w:tc>
        <w:tc>
          <w:tcPr>
            <w:tcW w:w="1540"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20.36</w:t>
            </w:r>
          </w:p>
        </w:tc>
        <w:tc>
          <w:tcPr>
            <w:tcW w:w="1541"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19.95</w:t>
            </w:r>
          </w:p>
        </w:tc>
        <w:tc>
          <w:tcPr>
            <w:tcW w:w="1541" w:type="dxa"/>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AERbody"/>
              </w:rPr>
            </w:pPr>
            <w:r w:rsidRPr="00415276">
              <w:rPr>
                <w:rStyle w:val="AERbody"/>
              </w:rPr>
              <w:t>19.56</w:t>
            </w:r>
          </w:p>
        </w:tc>
      </w:tr>
    </w:tbl>
    <w:p w:rsidR="000B1D07" w:rsidRPr="000B1D07" w:rsidRDefault="000B1D07" w:rsidP="000B1D07">
      <w:pPr>
        <w:pStyle w:val="AERtablesource"/>
        <w:rPr>
          <w:rStyle w:val="AERsuperscript"/>
        </w:rPr>
      </w:pPr>
      <w:r w:rsidRPr="000B1D07">
        <w:rPr>
          <w:rStyle w:val="AERsuperscript"/>
        </w:rPr>
        <w:t>Source: Ergon Energy, 2015-20 Regulatory Proposal, p 51, table 26</w:t>
      </w:r>
      <w:r>
        <w:rPr>
          <w:rStyle w:val="AERsuperscript"/>
        </w:rPr>
        <w:t>.</w:t>
      </w:r>
    </w:p>
    <w:p w:rsidR="000B1D07" w:rsidRPr="00415276" w:rsidRDefault="000B1D07" w:rsidP="000B1D07">
      <w:r w:rsidRPr="00415276">
        <w:t xml:space="preserve">Ergon Energy used a limited building block approach to determine the revenue requirements that are the basis for the proposed price caps in </w:t>
      </w:r>
      <w:r w:rsidRPr="00415276">
        <w:fldChar w:fldCharType="begin"/>
      </w:r>
      <w:r w:rsidRPr="00415276">
        <w:instrText xml:space="preserve"> REF _Ref414367841 \h </w:instrText>
      </w:r>
      <w:r w:rsidRPr="00415276">
        <w:fldChar w:fldCharType="separate"/>
      </w:r>
      <w:r w:rsidR="00F16AE7" w:rsidRPr="00415276">
        <w:t xml:space="preserve">Table </w:t>
      </w:r>
      <w:r w:rsidR="00F16AE7">
        <w:rPr>
          <w:noProof/>
        </w:rPr>
        <w:t>16</w:t>
      </w:r>
      <w:r w:rsidR="00F16AE7">
        <w:t>.</w:t>
      </w:r>
      <w:r w:rsidR="00F16AE7">
        <w:rPr>
          <w:noProof/>
        </w:rPr>
        <w:t>8</w:t>
      </w:r>
      <w:r w:rsidRPr="00415276">
        <w:fldChar w:fldCharType="end"/>
      </w:r>
      <w:r w:rsidRPr="00415276">
        <w:t xml:space="preserve">. The proposed building block components are shown in </w:t>
      </w:r>
      <w:r w:rsidRPr="00415276">
        <w:fldChar w:fldCharType="begin"/>
      </w:r>
      <w:r w:rsidRPr="00415276">
        <w:instrText xml:space="preserve"> REF _Ref414367872 \h </w:instrText>
      </w:r>
      <w:r w:rsidRPr="00415276">
        <w:fldChar w:fldCharType="separate"/>
      </w:r>
      <w:r w:rsidR="00F16AE7" w:rsidRPr="00415276">
        <w:t xml:space="preserve">Table </w:t>
      </w:r>
      <w:r w:rsidR="00F16AE7">
        <w:rPr>
          <w:noProof/>
        </w:rPr>
        <w:t>16</w:t>
      </w:r>
      <w:r w:rsidR="00F16AE7">
        <w:t>.</w:t>
      </w:r>
      <w:r w:rsidR="00F16AE7">
        <w:rPr>
          <w:noProof/>
        </w:rPr>
        <w:t>9</w:t>
      </w:r>
      <w:r w:rsidRPr="00415276">
        <w:fldChar w:fldCharType="end"/>
      </w:r>
      <w:r w:rsidRPr="00415276">
        <w:t xml:space="preserve">. </w:t>
      </w:r>
    </w:p>
    <w:p w:rsidR="000B1D07" w:rsidRPr="00415276" w:rsidRDefault="000B1D07" w:rsidP="000B1D07">
      <w:pPr>
        <w:pStyle w:val="Caption"/>
      </w:pPr>
      <w:bookmarkStart w:id="66" w:name="_Ref414367872"/>
      <w:proofErr w:type="gramStart"/>
      <w:r w:rsidRPr="00415276">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9</w:t>
      </w:r>
      <w:r w:rsidR="00F5521C">
        <w:fldChar w:fldCharType="end"/>
      </w:r>
      <w:bookmarkEnd w:id="66"/>
      <w:r w:rsidRPr="00415276">
        <w:t xml:space="preserve"> - Building block components for annual metering service charges</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0B1D07"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B1D07" w:rsidRPr="000B1D07" w:rsidRDefault="000B1D07" w:rsidP="000B1D07">
            <w:pPr>
              <w:pStyle w:val="Tabletext"/>
            </w:pPr>
            <w:r w:rsidRPr="00415276">
              <w:t xml:space="preserve"> $m, nominal</w:t>
            </w:r>
          </w:p>
        </w:tc>
        <w:tc>
          <w:tcPr>
            <w:tcW w:w="1449"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2015-16</w:t>
            </w:r>
          </w:p>
        </w:tc>
        <w:tc>
          <w:tcPr>
            <w:tcW w:w="1449"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2016-17</w:t>
            </w:r>
          </w:p>
        </w:tc>
        <w:tc>
          <w:tcPr>
            <w:tcW w:w="1449"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2017-18</w:t>
            </w:r>
          </w:p>
        </w:tc>
        <w:tc>
          <w:tcPr>
            <w:tcW w:w="1449"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2018-19</w:t>
            </w:r>
          </w:p>
        </w:tc>
        <w:tc>
          <w:tcPr>
            <w:tcW w:w="1449" w:type="dxa"/>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2019-20</w:t>
            </w:r>
          </w:p>
        </w:tc>
      </w:tr>
      <w:tr w:rsidR="000B1D07" w:rsidTr="0050031D">
        <w:tc>
          <w:tcPr>
            <w:cnfStyle w:val="001000000000" w:firstRow="0" w:lastRow="0" w:firstColumn="1" w:lastColumn="0" w:oddVBand="0" w:evenVBand="0" w:oddHBand="0" w:evenHBand="0" w:firstRowFirstColumn="0" w:firstRowLastColumn="0" w:lastRowFirstColumn="0" w:lastRowLastColumn="0"/>
            <w:tcW w:w="1448" w:type="dxa"/>
          </w:tcPr>
          <w:p w:rsidR="000B1D07" w:rsidRPr="000B1D07" w:rsidRDefault="000B1D07" w:rsidP="000B1D07">
            <w:pPr>
              <w:pStyle w:val="AERtabletextleft"/>
            </w:pPr>
            <w:r w:rsidRPr="00415276">
              <w:t>Return on capital</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4.9</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6.1</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6.8</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6.8</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5.9</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B1D07" w:rsidRPr="000B1D07" w:rsidRDefault="000B1D07" w:rsidP="000B1D07">
            <w:pPr>
              <w:pStyle w:val="AERtabletextleft"/>
            </w:pPr>
            <w:r w:rsidRPr="00415276">
              <w:t>Return of capital</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11.1</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19.9</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29.8</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40.7</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42.6</w:t>
            </w:r>
          </w:p>
        </w:tc>
      </w:tr>
      <w:tr w:rsidR="000B1D07" w:rsidTr="0050031D">
        <w:tc>
          <w:tcPr>
            <w:cnfStyle w:val="001000000000" w:firstRow="0" w:lastRow="0" w:firstColumn="1" w:lastColumn="0" w:oddVBand="0" w:evenVBand="0" w:oddHBand="0" w:evenHBand="0" w:firstRowFirstColumn="0" w:firstRowLastColumn="0" w:lastRowFirstColumn="0" w:lastRowLastColumn="0"/>
            <w:tcW w:w="1448" w:type="dxa"/>
          </w:tcPr>
          <w:p w:rsidR="000B1D07" w:rsidRPr="000B1D07" w:rsidRDefault="000B1D07" w:rsidP="000B1D07">
            <w:pPr>
              <w:pStyle w:val="AERtabletextleft"/>
            </w:pPr>
            <w:proofErr w:type="spellStart"/>
            <w:r w:rsidRPr="00415276">
              <w:t>Opex</w:t>
            </w:r>
            <w:proofErr w:type="spellEnd"/>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32.8</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34.4</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36.9</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39.0</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pPr>
            <w:r w:rsidRPr="00415276">
              <w:t>40.6</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B1D07" w:rsidRPr="000B1D07" w:rsidRDefault="000B1D07" w:rsidP="000B1D07">
            <w:pPr>
              <w:pStyle w:val="AERtabletextleft"/>
            </w:pPr>
            <w:r w:rsidRPr="00415276">
              <w:t>Tax allowance</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3.1</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5.6</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8.2</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11.0</w:t>
            </w:r>
          </w:p>
        </w:tc>
        <w:tc>
          <w:tcPr>
            <w:tcW w:w="1449" w:type="dxa"/>
          </w:tcPr>
          <w:p w:rsidR="000B1D07" w:rsidRPr="000B1D07" w:rsidRDefault="000B1D07" w:rsidP="000B1D07">
            <w:pPr>
              <w:pStyle w:val="AERtabletextleft"/>
              <w:cnfStyle w:val="000000010000" w:firstRow="0" w:lastRow="0" w:firstColumn="0" w:lastColumn="0" w:oddVBand="0" w:evenVBand="0" w:oddHBand="0" w:evenHBand="1" w:firstRowFirstColumn="0" w:firstRowLastColumn="0" w:lastRowFirstColumn="0" w:lastRowLastColumn="0"/>
            </w:pPr>
            <w:r w:rsidRPr="00415276">
              <w:t>11.1</w:t>
            </w:r>
          </w:p>
        </w:tc>
      </w:tr>
      <w:tr w:rsidR="000B1D07" w:rsidTr="0050031D">
        <w:tc>
          <w:tcPr>
            <w:cnfStyle w:val="001000000000" w:firstRow="0" w:lastRow="0" w:firstColumn="1" w:lastColumn="0" w:oddVBand="0" w:evenVBand="0" w:oddHBand="0" w:evenHBand="0" w:firstRowFirstColumn="0" w:firstRowLastColumn="0" w:lastRowFirstColumn="0" w:lastRowLastColumn="0"/>
            <w:tcW w:w="1448" w:type="dxa"/>
          </w:tcPr>
          <w:p w:rsidR="000B1D07" w:rsidRPr="000B1D07" w:rsidRDefault="000B1D07" w:rsidP="000B1D07">
            <w:pPr>
              <w:pStyle w:val="AERtabletextleft"/>
              <w:rPr>
                <w:rStyle w:val="Strong"/>
              </w:rPr>
            </w:pPr>
            <w:r w:rsidRPr="00415276">
              <w:rPr>
                <w:rStyle w:val="Strong"/>
              </w:rPr>
              <w:t>Proposed annual revenue requirement</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51.9</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66.0</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81.7</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97.5</w:t>
            </w:r>
          </w:p>
        </w:tc>
        <w:tc>
          <w:tcPr>
            <w:tcW w:w="1449" w:type="dxa"/>
          </w:tcPr>
          <w:p w:rsidR="000B1D07" w:rsidRPr="000B1D07" w:rsidRDefault="000B1D07" w:rsidP="000B1D07">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100.1</w:t>
            </w:r>
          </w:p>
        </w:tc>
      </w:tr>
    </w:tbl>
    <w:p w:rsidR="000B1D07" w:rsidRPr="00415276" w:rsidRDefault="000B1D07" w:rsidP="000B1D07">
      <w:pPr>
        <w:pStyle w:val="AERtablesource"/>
      </w:pPr>
      <w:r w:rsidRPr="000B1D07">
        <w:rPr>
          <w:rStyle w:val="AERbody"/>
        </w:rPr>
        <w:t xml:space="preserve">Source: </w:t>
      </w:r>
      <w:r w:rsidRPr="00415276">
        <w:t>Ergon Energy, 2015-20 Regulatory Proposal, p 50, table 24</w:t>
      </w:r>
      <w:r>
        <w:t>.</w:t>
      </w:r>
    </w:p>
    <w:p w:rsidR="000B1D07" w:rsidRPr="00415276" w:rsidRDefault="000B1D07" w:rsidP="000B1D07">
      <w:r>
        <w:t>Previously, all t</w:t>
      </w:r>
      <w:r w:rsidRPr="00415276">
        <w:t>ype 6 metering assets were included in</w:t>
      </w:r>
      <w:r>
        <w:t xml:space="preserve"> the</w:t>
      </w:r>
      <w:r w:rsidRPr="00415276">
        <w:t xml:space="preserve"> RAB for standard contr</w:t>
      </w:r>
      <w:r>
        <w:t>ol services. From 1 July 2015, t</w:t>
      </w:r>
      <w:r w:rsidRPr="00415276">
        <w:t>ype 6 metering assets and supporting assets will be separated out into a MAB. Ergon Energy proposed an opening MAB value of $</w:t>
      </w:r>
      <w:r w:rsidRPr="00415276">
        <w:rPr>
          <w:rStyle w:val="AERbody"/>
        </w:rPr>
        <w:t>61.6</w:t>
      </w:r>
      <w:r w:rsidRPr="00415276">
        <w:t xml:space="preserve"> million.</w:t>
      </w:r>
    </w:p>
    <w:p w:rsidR="000B1D07" w:rsidRPr="00415276" w:rsidRDefault="000B1D07" w:rsidP="000B1D07">
      <w:r w:rsidRPr="00415276">
        <w:t xml:space="preserve">Ergon Energy proposed accelerated 5 year depreciation of the opening MAB. It also proposed to expense all meters installed in the 2015-20 regulatory period (new connections, replacements, alterations and additions) over a period of 3 years which will avoid adding forecast capex to the MAB. </w:t>
      </w:r>
    </w:p>
    <w:p w:rsidR="000B1D07" w:rsidRPr="00415276" w:rsidRDefault="000B1D07" w:rsidP="000B1D07">
      <w:r w:rsidRPr="00415276">
        <w:t xml:space="preserve">The proposed forecast capex includes hardware capital costs associated with new connections, replacement, alterations and additions. It further includes the installation capital costs for new connections and replacement meters. However, with respect to the installation costs for alterations and additions, Ergon Energy proposed to charge customers upfront. This is as an ACS quoted service. </w:t>
      </w:r>
    </w:p>
    <w:p w:rsidR="000B1D07" w:rsidRPr="00415276" w:rsidRDefault="000B1D07" w:rsidP="000B1D07">
      <w:r w:rsidRPr="00415276">
        <w:t xml:space="preserve">Ergon Energy's proposed capex of $128.9 million ($2014-15) for the 2015-20 regulatory period. This is a 47 percent real increase in metering capex compared to the </w:t>
      </w:r>
      <w:r w:rsidRPr="00415276">
        <w:lastRenderedPageBreak/>
        <w:t xml:space="preserve">current regulatory period. This is entirely driven by an increase in the planned meter replacement program. </w:t>
      </w:r>
    </w:p>
    <w:p w:rsidR="000B1D07" w:rsidRPr="00415276" w:rsidRDefault="000B1D07" w:rsidP="000B1D07">
      <w:r w:rsidRPr="00415276">
        <w:t xml:space="preserve">Forecast </w:t>
      </w:r>
      <w:proofErr w:type="spellStart"/>
      <w:r w:rsidRPr="00415276">
        <w:t>opex</w:t>
      </w:r>
      <w:proofErr w:type="spellEnd"/>
      <w:r w:rsidRPr="00415276">
        <w:t xml:space="preserve"> was developed using base-step-trend methodology. Ergon Energy used revealed costs from a single year, 2012-13, as the base. It proposed a $1 million ($2014-15) step increase for preventative maintenance to meet AEMO requirements. </w:t>
      </w:r>
    </w:p>
    <w:p w:rsidR="000B1D07" w:rsidRPr="00415276" w:rsidRDefault="000B1D07" w:rsidP="000B1D07">
      <w:pPr>
        <w:rPr>
          <w:rStyle w:val="AERtexthighlight"/>
        </w:rPr>
      </w:pPr>
      <w:r w:rsidRPr="00415276">
        <w:t xml:space="preserve">Ergon Energy forecast 2 per cent annual growth in new connections. It forecasts alterations and additions due to solar to decrease compared with the current regulatory control period. </w:t>
      </w:r>
    </w:p>
    <w:p w:rsidR="000B1D07" w:rsidRPr="00415276" w:rsidRDefault="006A533C" w:rsidP="000B1D07">
      <w:pPr>
        <w:pStyle w:val="Heading4"/>
      </w:pPr>
      <w:bookmarkStart w:id="67" w:name="_Toc416972007"/>
      <w:bookmarkStart w:id="68" w:name="_Toc417318891"/>
      <w:r>
        <w:t>Metering e</w:t>
      </w:r>
      <w:r w:rsidR="000B1D07" w:rsidRPr="00415276">
        <w:t>xit fee</w:t>
      </w:r>
      <w:bookmarkEnd w:id="67"/>
      <w:bookmarkEnd w:id="68"/>
      <w:r w:rsidR="000B1D07" w:rsidRPr="00415276">
        <w:t xml:space="preserve"> </w:t>
      </w:r>
    </w:p>
    <w:p w:rsidR="000B1D07" w:rsidRPr="00415276" w:rsidRDefault="000B1D07" w:rsidP="000B1D07">
      <w:pPr>
        <w:numPr>
          <w:ilvl w:val="0"/>
          <w:numId w:val="25"/>
        </w:numPr>
        <w:rPr>
          <w:rStyle w:val="Strong"/>
        </w:rPr>
      </w:pPr>
      <w:r w:rsidRPr="00415276">
        <w:rPr>
          <w:rStyle w:val="AERbody"/>
        </w:rPr>
        <w:t>Ergon Energy have proposed a single exit fee that will apply if a customer chooses to move to another metering provider if competit</w:t>
      </w:r>
      <w:r>
        <w:rPr>
          <w:rStyle w:val="AERbody"/>
        </w:rPr>
        <w:t>ion is introduced for t</w:t>
      </w:r>
      <w:r w:rsidRPr="00415276">
        <w:rPr>
          <w:rStyle w:val="AERbody"/>
        </w:rPr>
        <w:t xml:space="preserve">ype 5 and 6 metering services. </w:t>
      </w:r>
    </w:p>
    <w:p w:rsidR="000B1D07" w:rsidRPr="00415276" w:rsidRDefault="000B1D07" w:rsidP="000B1D07">
      <w:pPr>
        <w:pStyle w:val="Caption"/>
      </w:pPr>
      <w:proofErr w:type="gramStart"/>
      <w:r w:rsidRPr="00415276">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10</w:t>
      </w:r>
      <w:r w:rsidR="00F5521C">
        <w:fldChar w:fldCharType="end"/>
      </w:r>
      <w:r w:rsidRPr="00415276">
        <w:t xml:space="preserve"> - Proposed exit fee</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0B1D07"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vAlign w:val="top"/>
          </w:tcPr>
          <w:p w:rsidR="000B1D07" w:rsidRPr="000B1D07" w:rsidRDefault="000B1D07" w:rsidP="000B1D07">
            <w:pPr>
              <w:pStyle w:val="Tabletext"/>
            </w:pPr>
            <w:r w:rsidRPr="00415276">
              <w:t>$ nominal</w:t>
            </w:r>
          </w:p>
        </w:tc>
        <w:tc>
          <w:tcPr>
            <w:tcW w:w="1449" w:type="dxa"/>
            <w:vAlign w:val="top"/>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2015-16</w:t>
            </w:r>
          </w:p>
        </w:tc>
        <w:tc>
          <w:tcPr>
            <w:tcW w:w="1449" w:type="dxa"/>
            <w:vAlign w:val="top"/>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2016-17</w:t>
            </w:r>
          </w:p>
        </w:tc>
        <w:tc>
          <w:tcPr>
            <w:tcW w:w="1449" w:type="dxa"/>
            <w:vAlign w:val="top"/>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2017-18</w:t>
            </w:r>
          </w:p>
        </w:tc>
        <w:tc>
          <w:tcPr>
            <w:tcW w:w="1449" w:type="dxa"/>
            <w:vAlign w:val="top"/>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2018-19</w:t>
            </w:r>
          </w:p>
        </w:tc>
        <w:tc>
          <w:tcPr>
            <w:tcW w:w="1449" w:type="dxa"/>
            <w:vAlign w:val="top"/>
          </w:tcPr>
          <w:p w:rsidR="000B1D07" w:rsidRPr="000B1D07" w:rsidRDefault="000B1D07" w:rsidP="000B1D07">
            <w:pPr>
              <w:pStyle w:val="Tabletext"/>
              <w:cnfStyle w:val="100000000000" w:firstRow="1" w:lastRow="0" w:firstColumn="0" w:lastColumn="0" w:oddVBand="0" w:evenVBand="0" w:oddHBand="0" w:evenHBand="0" w:firstRowFirstColumn="0" w:firstRowLastColumn="0" w:lastRowFirstColumn="0" w:lastRowLastColumn="0"/>
            </w:pPr>
            <w:r w:rsidRPr="00415276">
              <w:t>2019-20</w:t>
            </w:r>
          </w:p>
        </w:tc>
      </w:tr>
      <w:tr w:rsidR="000B1D07" w:rsidTr="0050031D">
        <w:tc>
          <w:tcPr>
            <w:cnfStyle w:val="001000000000" w:firstRow="0" w:lastRow="0" w:firstColumn="1" w:lastColumn="0" w:oddVBand="0" w:evenVBand="0" w:oddHBand="0" w:evenHBand="0" w:firstRowFirstColumn="0" w:firstRowLastColumn="0" w:lastRowFirstColumn="0" w:lastRowLastColumn="0"/>
            <w:tcW w:w="1448" w:type="dxa"/>
            <w:vAlign w:val="top"/>
          </w:tcPr>
          <w:p w:rsidR="000B1D07" w:rsidRPr="000B1D07" w:rsidRDefault="000B1D07" w:rsidP="000B1D07">
            <w:pPr>
              <w:pStyle w:val="Tabletext"/>
            </w:pPr>
            <w:r w:rsidRPr="00415276">
              <w:t>Exit admin fee</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pPr>
            <w:r w:rsidRPr="00415276">
              <w:t>50.53</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pPr>
            <w:r w:rsidRPr="00415276">
              <w:t>53.10</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pPr>
            <w:r w:rsidRPr="00415276">
              <w:t>57.21</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pPr>
            <w:r w:rsidRPr="00415276">
              <w:t>60.66</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pPr>
            <w:r w:rsidRPr="00415276">
              <w:t>63.44</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vAlign w:val="top"/>
          </w:tcPr>
          <w:p w:rsidR="000B1D07" w:rsidRPr="000B1D07" w:rsidRDefault="000B1D07" w:rsidP="000B1D07">
            <w:pPr>
              <w:pStyle w:val="Tabletext"/>
            </w:pPr>
            <w:r w:rsidRPr="00415276">
              <w:t>Exit asset fee</w:t>
            </w:r>
          </w:p>
        </w:tc>
        <w:tc>
          <w:tcPr>
            <w:tcW w:w="1449" w:type="dxa"/>
            <w:vAlign w:val="bottom"/>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pPr>
            <w:r w:rsidRPr="00415276">
              <w:t>86.44</w:t>
            </w:r>
          </w:p>
        </w:tc>
        <w:tc>
          <w:tcPr>
            <w:tcW w:w="1449" w:type="dxa"/>
            <w:vAlign w:val="bottom"/>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pPr>
            <w:r w:rsidRPr="00415276">
              <w:t>102.69</w:t>
            </w:r>
          </w:p>
        </w:tc>
        <w:tc>
          <w:tcPr>
            <w:tcW w:w="1449" w:type="dxa"/>
            <w:vAlign w:val="bottom"/>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pPr>
            <w:r w:rsidRPr="00415276">
              <w:t>108.50</w:t>
            </w:r>
          </w:p>
        </w:tc>
        <w:tc>
          <w:tcPr>
            <w:tcW w:w="1449" w:type="dxa"/>
            <w:vAlign w:val="bottom"/>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pPr>
            <w:r w:rsidRPr="00415276">
              <w:t>103.34</w:t>
            </w:r>
          </w:p>
        </w:tc>
        <w:tc>
          <w:tcPr>
            <w:tcW w:w="1449" w:type="dxa"/>
            <w:vAlign w:val="bottom"/>
          </w:tcPr>
          <w:p w:rsidR="000B1D07" w:rsidRPr="000B1D07" w:rsidRDefault="000B1D07" w:rsidP="000B1D07">
            <w:pPr>
              <w:pStyle w:val="Tabletext"/>
              <w:cnfStyle w:val="000000010000" w:firstRow="0" w:lastRow="0" w:firstColumn="0" w:lastColumn="0" w:oddVBand="0" w:evenVBand="0" w:oddHBand="0" w:evenHBand="1" w:firstRowFirstColumn="0" w:firstRowLastColumn="0" w:lastRowFirstColumn="0" w:lastRowLastColumn="0"/>
            </w:pPr>
            <w:r w:rsidRPr="00415276">
              <w:t>85.68</w:t>
            </w:r>
          </w:p>
        </w:tc>
      </w:tr>
      <w:tr w:rsidR="000B1D07" w:rsidTr="0050031D">
        <w:tc>
          <w:tcPr>
            <w:cnfStyle w:val="001000000000" w:firstRow="0" w:lastRow="0" w:firstColumn="1" w:lastColumn="0" w:oddVBand="0" w:evenVBand="0" w:oddHBand="0" w:evenHBand="0" w:firstRowFirstColumn="0" w:firstRowLastColumn="0" w:lastRowFirstColumn="0" w:lastRowLastColumn="0"/>
            <w:tcW w:w="1448" w:type="dxa"/>
            <w:vAlign w:val="top"/>
          </w:tcPr>
          <w:p w:rsidR="000B1D07" w:rsidRPr="000B1D07" w:rsidRDefault="000B1D07" w:rsidP="000B1D07">
            <w:pPr>
              <w:pStyle w:val="Tabletext"/>
              <w:rPr>
                <w:rStyle w:val="Strong"/>
              </w:rPr>
            </w:pPr>
            <w:r w:rsidRPr="00415276">
              <w:rPr>
                <w:rStyle w:val="Strong"/>
              </w:rPr>
              <w:t>Total exit fee</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136.97</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155.78</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165.71</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164.00</w:t>
            </w:r>
          </w:p>
        </w:tc>
        <w:tc>
          <w:tcPr>
            <w:tcW w:w="1449" w:type="dxa"/>
            <w:vAlign w:val="bottom"/>
          </w:tcPr>
          <w:p w:rsidR="000B1D07" w:rsidRPr="000B1D07" w:rsidRDefault="000B1D07" w:rsidP="000B1D0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415276">
              <w:rPr>
                <w:rStyle w:val="Strong"/>
              </w:rPr>
              <w:t>149.13</w:t>
            </w:r>
          </w:p>
        </w:tc>
      </w:tr>
    </w:tbl>
    <w:p w:rsidR="000B1D07" w:rsidRPr="004526EE" w:rsidRDefault="000B1D07" w:rsidP="000B1D07">
      <w:pPr>
        <w:pStyle w:val="AERtablesource"/>
      </w:pPr>
      <w:r w:rsidRPr="004526EE">
        <w:t>Source: Ergon Energy, 2015-20 Regulatory Proposal, p 51, table 26</w:t>
      </w:r>
    </w:p>
    <w:p w:rsidR="000B1D07" w:rsidRPr="004526EE" w:rsidRDefault="000B1D07" w:rsidP="000B1D07">
      <w:pPr>
        <w:rPr>
          <w:rStyle w:val="AERbody"/>
        </w:rPr>
      </w:pPr>
      <w:r w:rsidRPr="004526EE">
        <w:rPr>
          <w:rStyle w:val="AERbody"/>
        </w:rPr>
        <w:t xml:space="preserve">The administration fee is based on the labour cost of taking 35 minutes of an administration employee's time to process a customer transfer in Ergon Energy's systems. </w:t>
      </w:r>
    </w:p>
    <w:p w:rsidR="000B1D07" w:rsidRPr="004526EE" w:rsidRDefault="000B1D07" w:rsidP="000B1D07">
      <w:pPr>
        <w:rPr>
          <w:rStyle w:val="AERbody"/>
        </w:rPr>
      </w:pPr>
      <w:r w:rsidRPr="004526EE">
        <w:rPr>
          <w:rStyle w:val="AERbody"/>
        </w:rPr>
        <w:t xml:space="preserve">The asset fee is the average residual value of the forecast MAB divided by forecast primary metering tariff numbers in the relevant year. </w:t>
      </w:r>
    </w:p>
    <w:p w:rsidR="000B1D07" w:rsidRDefault="000B1D07" w:rsidP="000B1D07">
      <w:pPr>
        <w:pStyle w:val="Heading3"/>
      </w:pPr>
      <w:bookmarkStart w:id="69" w:name="_Toc417994614"/>
      <w:r>
        <w:t>AER's assessment approach</w:t>
      </w:r>
      <w:bookmarkEnd w:id="69"/>
    </w:p>
    <w:p w:rsidR="000B1D07" w:rsidRPr="004526EE" w:rsidRDefault="000B1D07" w:rsidP="000B1D07">
      <w:r w:rsidRPr="004526EE">
        <w:t xml:space="preserve">Our assessment approach first considered </w:t>
      </w:r>
      <w:r>
        <w:t>Ergon Energy</w:t>
      </w:r>
      <w:r w:rsidRPr="004526EE">
        <w:t xml:space="preserve">'s proposed structure of metering services. We then considered </w:t>
      </w:r>
      <w:r>
        <w:t>Ergon Energy</w:t>
      </w:r>
      <w:r w:rsidRPr="004526EE">
        <w:t>'s proposed costs, tailoring our assessment approach according to each type of charge.</w:t>
      </w:r>
    </w:p>
    <w:p w:rsidR="000B1D07" w:rsidRPr="004526EE" w:rsidRDefault="000B1D07" w:rsidP="000B1D07">
      <w:pPr>
        <w:pStyle w:val="Heading4"/>
      </w:pPr>
      <w:bookmarkStart w:id="70" w:name="_Ref415219630"/>
      <w:bookmarkStart w:id="71" w:name="_Toc417318200"/>
      <w:r w:rsidRPr="004526EE">
        <w:t>Structure of metering services</w:t>
      </w:r>
      <w:bookmarkEnd w:id="70"/>
      <w:bookmarkEnd w:id="71"/>
    </w:p>
    <w:p w:rsidR="000B1D07" w:rsidRPr="00A46690" w:rsidRDefault="000B1D07" w:rsidP="000B1D07">
      <w:pPr>
        <w:numPr>
          <w:ilvl w:val="0"/>
          <w:numId w:val="25"/>
        </w:numPr>
      </w:pPr>
      <w:bookmarkStart w:id="72" w:name="_Toc417318201"/>
      <w:r w:rsidRPr="00A46690">
        <w:t xml:space="preserve">We considered </w:t>
      </w:r>
      <w:r>
        <w:t>Ergon Energy</w:t>
      </w:r>
      <w:r w:rsidRPr="00A46690">
        <w:t xml:space="preserve"> proposed structure of metering services and whether it complies with our Framework and Approach. </w:t>
      </w:r>
    </w:p>
    <w:p w:rsidR="000B1D07" w:rsidRPr="00A46690" w:rsidRDefault="000B1D07" w:rsidP="000B1D07">
      <w:pPr>
        <w:numPr>
          <w:ilvl w:val="0"/>
          <w:numId w:val="25"/>
        </w:numPr>
      </w:pPr>
      <w:r w:rsidRPr="00A46690">
        <w:t xml:space="preserve">Our Framework and Approach, published in April 2014, sets out our proposed service classification and control mechanism for </w:t>
      </w:r>
      <w:r>
        <w:t>Ergon Energy's</w:t>
      </w:r>
      <w:r w:rsidRPr="00A46690">
        <w:t xml:space="preserve"> distribution services in the </w:t>
      </w:r>
      <w:r w:rsidRPr="00A46690">
        <w:lastRenderedPageBreak/>
        <w:t xml:space="preserve">2015–20 regulatory control period. In that way, it establishes a structure of metering services for which </w:t>
      </w:r>
      <w:r>
        <w:t>Ergon Energy's</w:t>
      </w:r>
      <w:r w:rsidRPr="00A46690">
        <w:t xml:space="preserve"> regulatory proposal should comply. </w:t>
      </w:r>
    </w:p>
    <w:p w:rsidR="000B1D07" w:rsidRDefault="000B1D07" w:rsidP="000B1D07">
      <w:pPr>
        <w:numPr>
          <w:ilvl w:val="0"/>
          <w:numId w:val="25"/>
        </w:numPr>
      </w:pPr>
      <w:r w:rsidRPr="00A46690">
        <w:t>For type 5 and 6 metering services, our Framework and Approach specified an alternative control service classification.</w:t>
      </w:r>
      <w:r w:rsidRPr="00A46690">
        <w:rPr>
          <w:rStyle w:val="FootnoteReference"/>
        </w:rPr>
        <w:footnoteReference w:id="33"/>
      </w:r>
      <w:r w:rsidRPr="00A46690">
        <w:t xml:space="preserve"> It also stated that the control mechanism would be a cap on the price of individual services.</w:t>
      </w:r>
      <w:r w:rsidRPr="00A46690">
        <w:rPr>
          <w:rStyle w:val="FootnoteReference"/>
        </w:rPr>
        <w:footnoteReference w:id="34"/>
      </w:r>
      <w:r w:rsidRPr="00A46690">
        <w:t xml:space="preserve"> In making our assessment of </w:t>
      </w:r>
      <w:r>
        <w:t>Ergon Energy's</w:t>
      </w:r>
      <w:r w:rsidRPr="00A46690">
        <w:t xml:space="preserve"> proposed structure of metering services, we considered these aspects of our Framework and Approach.  </w:t>
      </w:r>
    </w:p>
    <w:p w:rsidR="000B1D07" w:rsidRPr="009B3B0B" w:rsidRDefault="000B1D07" w:rsidP="000B1D07">
      <w:pPr>
        <w:numPr>
          <w:ilvl w:val="0"/>
          <w:numId w:val="25"/>
        </w:numPr>
      </w:pPr>
      <w:r w:rsidRPr="009B3B0B">
        <w:rPr>
          <w:rStyle w:val="AERbody"/>
        </w:rPr>
        <w:t>AEMC's draft rule change does not specify a method, but considered that the AER should determine how distributors recover residual capital costs of its regulated metering service</w:t>
      </w:r>
      <w:r w:rsidRPr="009B3B0B">
        <w:t xml:space="preserve"> in accordance with the existing regulatory framework.</w:t>
      </w:r>
      <w:r w:rsidRPr="009B3B0B">
        <w:rPr>
          <w:rStyle w:val="FootnoteReference"/>
        </w:rPr>
        <w:footnoteReference w:id="35"/>
      </w:r>
      <w:r w:rsidRPr="009B3B0B">
        <w:t xml:space="preserve"> </w:t>
      </w:r>
    </w:p>
    <w:p w:rsidR="000B1D07" w:rsidRPr="00A46690" w:rsidRDefault="000B1D07" w:rsidP="000B1D07">
      <w:pPr>
        <w:numPr>
          <w:ilvl w:val="0"/>
          <w:numId w:val="25"/>
        </w:numPr>
      </w:pPr>
      <w:r w:rsidRPr="00A46690">
        <w:t>We also considered requirements in the NER. In particular, the service classification and control mechanism factors.</w:t>
      </w:r>
      <w:r w:rsidRPr="00A46690">
        <w:rPr>
          <w:rStyle w:val="FootnoteReference"/>
        </w:rPr>
        <w:footnoteReference w:id="36"/>
      </w:r>
      <w:r w:rsidRPr="00A46690">
        <w:t xml:space="preserve"> They require us to consider whether it is more appropriate to allocate metering services costs through annual charges, upfront fees or network charges recovered from all customers. </w:t>
      </w:r>
      <w:r w:rsidRPr="00A46690">
        <w:fldChar w:fldCharType="begin"/>
      </w:r>
      <w:r w:rsidRPr="00A46690">
        <w:instrText xml:space="preserve"> REF _Ref416343469 \h </w:instrText>
      </w:r>
      <w:r w:rsidRPr="00A46690">
        <w:fldChar w:fldCharType="separate"/>
      </w:r>
      <w:r w:rsidR="00F16AE7" w:rsidRPr="00A46690">
        <w:t xml:space="preserve">Table </w:t>
      </w:r>
      <w:r w:rsidR="00F16AE7">
        <w:rPr>
          <w:noProof/>
        </w:rPr>
        <w:t>16</w:t>
      </w:r>
      <w:r w:rsidR="00F16AE7">
        <w:t>.</w:t>
      </w:r>
      <w:r w:rsidR="00F16AE7">
        <w:rPr>
          <w:noProof/>
        </w:rPr>
        <w:t>11</w:t>
      </w:r>
      <w:r w:rsidRPr="00A46690">
        <w:fldChar w:fldCharType="end"/>
      </w:r>
      <w:r w:rsidRPr="00A46690">
        <w:t xml:space="preserve"> sets out the factors which we have considered.</w:t>
      </w:r>
    </w:p>
    <w:p w:rsidR="000B1D07" w:rsidRPr="00A46690" w:rsidRDefault="000B1D07" w:rsidP="000B1D07">
      <w:pPr>
        <w:pStyle w:val="Caption"/>
      </w:pPr>
      <w:bookmarkStart w:id="73" w:name="_Ref416343469"/>
      <w:proofErr w:type="gramStart"/>
      <w:r w:rsidRPr="00A46690">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11</w:t>
      </w:r>
      <w:r w:rsidR="00F5521C">
        <w:fldChar w:fldCharType="end"/>
      </w:r>
      <w:bookmarkEnd w:id="73"/>
      <w:r w:rsidRPr="00A46690">
        <w:tab/>
        <w:t>Classification and control mechanism factors</w:t>
      </w:r>
    </w:p>
    <w:tbl>
      <w:tblPr>
        <w:tblStyle w:val="AERtable-text0"/>
        <w:tblW w:w="0" w:type="auto"/>
        <w:tblLook w:val="04A0" w:firstRow="1" w:lastRow="0" w:firstColumn="1" w:lastColumn="0" w:noHBand="0" w:noVBand="1"/>
      </w:tblPr>
      <w:tblGrid>
        <w:gridCol w:w="4346"/>
        <w:gridCol w:w="4347"/>
      </w:tblGrid>
      <w:tr w:rsidR="000B1D07" w:rsidTr="0050031D">
        <w:trPr>
          <w:cnfStyle w:val="100000000000" w:firstRow="1" w:lastRow="0" w:firstColumn="0" w:lastColumn="0" w:oddVBand="0" w:evenVBand="0" w:oddHBand="0" w:evenHBand="0" w:firstRowFirstColumn="0" w:firstRowLastColumn="0" w:lastRowFirstColumn="0" w:lastRowLastColumn="0"/>
        </w:trPr>
        <w:tc>
          <w:tcPr>
            <w:tcW w:w="4346" w:type="dxa"/>
          </w:tcPr>
          <w:p w:rsidR="000B1D07" w:rsidRPr="00A46690" w:rsidRDefault="000B1D07" w:rsidP="000B1D07">
            <w:pPr>
              <w:numPr>
                <w:ilvl w:val="0"/>
                <w:numId w:val="25"/>
              </w:numPr>
            </w:pPr>
            <w:r w:rsidRPr="00A46690">
              <w:t>Classification factors</w:t>
            </w:r>
          </w:p>
        </w:tc>
        <w:tc>
          <w:tcPr>
            <w:tcW w:w="4347" w:type="dxa"/>
          </w:tcPr>
          <w:p w:rsidR="000B1D07" w:rsidRPr="00A46690" w:rsidRDefault="000B1D07" w:rsidP="000B1D07">
            <w:pPr>
              <w:numPr>
                <w:ilvl w:val="0"/>
                <w:numId w:val="25"/>
              </w:numPr>
            </w:pPr>
            <w:r w:rsidRPr="00A46690">
              <w:t>Control mechanism factors</w:t>
            </w:r>
          </w:p>
        </w:tc>
      </w:tr>
      <w:tr w:rsidR="000B1D07" w:rsidTr="0050031D">
        <w:tc>
          <w:tcPr>
            <w:tcW w:w="4346" w:type="dxa"/>
          </w:tcPr>
          <w:p w:rsidR="000B1D07" w:rsidRPr="00A46690" w:rsidRDefault="000B1D07" w:rsidP="000B1D07">
            <w:pPr>
              <w:numPr>
                <w:ilvl w:val="0"/>
                <w:numId w:val="25"/>
              </w:numPr>
            </w:pPr>
            <w:r w:rsidRPr="00A46690">
              <w:t>Potential for development of competition in the relevant market and how the classification might influence that potential</w:t>
            </w:r>
          </w:p>
        </w:tc>
        <w:tc>
          <w:tcPr>
            <w:tcW w:w="4347" w:type="dxa"/>
          </w:tcPr>
          <w:p w:rsidR="000B1D07" w:rsidRPr="00A46690" w:rsidRDefault="000B1D07" w:rsidP="000B1D07">
            <w:pPr>
              <w:numPr>
                <w:ilvl w:val="0"/>
                <w:numId w:val="25"/>
              </w:numPr>
            </w:pPr>
            <w:r w:rsidRPr="00A46690">
              <w:t>Potential for development of competition in the relevant market and how the control mechanism might influence that potential</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tcW w:w="4346" w:type="dxa"/>
          </w:tcPr>
          <w:p w:rsidR="000B1D07" w:rsidRPr="000B1D07" w:rsidRDefault="000B1D07" w:rsidP="000B1D07">
            <w:r w:rsidRPr="00A46690">
              <w:t>The possible effects of classification on administrative costs of the AER, the distribution business and users or potential users</w:t>
            </w:r>
          </w:p>
        </w:tc>
        <w:tc>
          <w:tcPr>
            <w:tcW w:w="4347" w:type="dxa"/>
          </w:tcPr>
          <w:p w:rsidR="000B1D07" w:rsidRPr="000B1D07" w:rsidRDefault="000B1D07" w:rsidP="000B1D07">
            <w:r w:rsidRPr="00A46690">
              <w:t>The possible effects of the control mechanism on administrative costs of the AER, the distribution business and users or potential users</w:t>
            </w:r>
          </w:p>
        </w:tc>
      </w:tr>
      <w:tr w:rsidR="000B1D07" w:rsidTr="0050031D">
        <w:tc>
          <w:tcPr>
            <w:tcW w:w="4346" w:type="dxa"/>
          </w:tcPr>
          <w:p w:rsidR="000B1D07" w:rsidRPr="00A46690" w:rsidRDefault="000B1D07" w:rsidP="000B1D07">
            <w:pPr>
              <w:numPr>
                <w:ilvl w:val="0"/>
                <w:numId w:val="25"/>
              </w:numPr>
            </w:pPr>
            <w:r w:rsidRPr="00A46690">
              <w:t>The regulatory approach (if any) applicable to the relevant service immediately before the commencement of the distribution determination for which the classification is made</w:t>
            </w:r>
          </w:p>
        </w:tc>
        <w:tc>
          <w:tcPr>
            <w:tcW w:w="4347" w:type="dxa"/>
          </w:tcPr>
          <w:p w:rsidR="000B1D07" w:rsidRPr="00A46690" w:rsidRDefault="000B1D07" w:rsidP="000B1D07">
            <w:pPr>
              <w:numPr>
                <w:ilvl w:val="0"/>
                <w:numId w:val="25"/>
              </w:numPr>
            </w:pPr>
            <w:r w:rsidRPr="00A46690">
              <w:t>The regulatory arrangements (if any) applicable to the relevant service immediately before the commencement of the distribution determination for which the classification is made</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tcW w:w="4346" w:type="dxa"/>
          </w:tcPr>
          <w:p w:rsidR="000B1D07" w:rsidRPr="00A46690" w:rsidRDefault="000B1D07" w:rsidP="000B1D07">
            <w:pPr>
              <w:numPr>
                <w:ilvl w:val="0"/>
                <w:numId w:val="25"/>
              </w:numPr>
            </w:pPr>
            <w:r w:rsidRPr="00A46690">
              <w:t>The desirability of a consistent regulatory approach to similar services (both within and beyond the relevant jurisdiction)</w:t>
            </w:r>
          </w:p>
        </w:tc>
        <w:tc>
          <w:tcPr>
            <w:tcW w:w="4347" w:type="dxa"/>
          </w:tcPr>
          <w:p w:rsidR="000B1D07" w:rsidRPr="00A46690" w:rsidRDefault="000B1D07" w:rsidP="000B1D07">
            <w:pPr>
              <w:numPr>
                <w:ilvl w:val="0"/>
                <w:numId w:val="25"/>
              </w:numPr>
            </w:pPr>
            <w:r w:rsidRPr="00A46690">
              <w:t>The desirability of a consistent regulatory arrangements to similar services (both within and beyond the relevant jurisdiction)</w:t>
            </w:r>
          </w:p>
        </w:tc>
      </w:tr>
      <w:tr w:rsidR="000B1D07" w:rsidTr="0050031D">
        <w:tc>
          <w:tcPr>
            <w:tcW w:w="4346" w:type="dxa"/>
          </w:tcPr>
          <w:p w:rsidR="000B1D07" w:rsidRPr="00A46690" w:rsidRDefault="000B1D07" w:rsidP="000B1D07">
            <w:pPr>
              <w:numPr>
                <w:ilvl w:val="0"/>
                <w:numId w:val="25"/>
              </w:numPr>
            </w:pPr>
            <w:r w:rsidRPr="00A46690">
              <w:t>The extent of the costs of providing the relevant service are directly attributable to the person to which the service is provided</w:t>
            </w:r>
          </w:p>
        </w:tc>
        <w:tc>
          <w:tcPr>
            <w:tcW w:w="4347" w:type="dxa"/>
          </w:tcPr>
          <w:p w:rsidR="000B1D07" w:rsidRPr="00A46690" w:rsidRDefault="000B1D07" w:rsidP="000B1D07">
            <w:pPr>
              <w:numPr>
                <w:ilvl w:val="0"/>
                <w:numId w:val="25"/>
              </w:numPr>
            </w:pPr>
            <w:r w:rsidRPr="00A46690">
              <w:t>Any other relevant factor</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tcW w:w="4346" w:type="dxa"/>
          </w:tcPr>
          <w:p w:rsidR="000B1D07" w:rsidRPr="00A46690" w:rsidRDefault="000B1D07" w:rsidP="000B1D07">
            <w:pPr>
              <w:numPr>
                <w:ilvl w:val="0"/>
                <w:numId w:val="25"/>
              </w:numPr>
            </w:pPr>
            <w:r w:rsidRPr="00A46690">
              <w:t>Any other relevant factor</w:t>
            </w:r>
          </w:p>
        </w:tc>
        <w:tc>
          <w:tcPr>
            <w:tcW w:w="4347" w:type="dxa"/>
          </w:tcPr>
          <w:p w:rsidR="000B1D07" w:rsidRPr="00A46690" w:rsidRDefault="000B1D07" w:rsidP="000B1D07">
            <w:pPr>
              <w:numPr>
                <w:ilvl w:val="0"/>
                <w:numId w:val="25"/>
              </w:numPr>
            </w:pPr>
          </w:p>
        </w:tc>
      </w:tr>
    </w:tbl>
    <w:p w:rsidR="000B1D07" w:rsidRPr="00A46690" w:rsidRDefault="000B1D07" w:rsidP="000B1D07">
      <w:pPr>
        <w:pStyle w:val="Source"/>
      </w:pPr>
      <w:r w:rsidRPr="00A46690">
        <w:t>Source:</w:t>
      </w:r>
      <w:r w:rsidRPr="00A46690">
        <w:tab/>
        <w:t>NER, cl. 6.2.2(c) and cl. 6.2.5(d).</w:t>
      </w:r>
    </w:p>
    <w:p w:rsidR="000B1D07" w:rsidRPr="00A46690" w:rsidRDefault="000B1D07" w:rsidP="000B1D07">
      <w:r w:rsidRPr="00A46690">
        <w:lastRenderedPageBreak/>
        <w:t>The desirability for consistency between regulatory approaches and arrangements is both a classification and control mechanism factor. In taking these factors into accou</w:t>
      </w:r>
      <w:r w:rsidR="00B26F4C">
        <w:t xml:space="preserve">nt, we considered our </w:t>
      </w:r>
      <w:r w:rsidRPr="00A46690">
        <w:t xml:space="preserve">determinations on the NSW ACT 2014–15 and 2015–19 regulatory </w:t>
      </w:r>
      <w:r w:rsidR="00B26F4C">
        <w:t xml:space="preserve">control periods. In those </w:t>
      </w:r>
      <w:r w:rsidRPr="00A46690">
        <w:t xml:space="preserve">determinations we approved a structure of metering services which included separate charges for existing and new or upgraded customers. </w:t>
      </w:r>
    </w:p>
    <w:p w:rsidR="000B1D07" w:rsidRPr="00A46690" w:rsidRDefault="000B1D07" w:rsidP="000B1D07">
      <w:r w:rsidRPr="00A46690">
        <w:t>We also had regard to the revenue and pricing principles in the national electricity law which include providing a distributor with a reasonable opportunity to recover at least its efficient costs.</w:t>
      </w:r>
      <w:r w:rsidRPr="00A46690">
        <w:rPr>
          <w:rStyle w:val="FootnoteReference"/>
        </w:rPr>
        <w:footnoteReference w:id="37"/>
      </w:r>
      <w:r w:rsidRPr="00A46690">
        <w:t xml:space="preserve"> </w:t>
      </w:r>
    </w:p>
    <w:p w:rsidR="000B1D07" w:rsidRPr="004526EE" w:rsidRDefault="000B1D07" w:rsidP="000B1D07">
      <w:pPr>
        <w:pStyle w:val="Heading4"/>
      </w:pPr>
      <w:bookmarkStart w:id="74" w:name="_Toc417318202"/>
      <w:bookmarkEnd w:id="72"/>
      <w:r>
        <w:t xml:space="preserve"> </w:t>
      </w:r>
      <w:r w:rsidRPr="004526EE">
        <w:t xml:space="preserve">Annual metering </w:t>
      </w:r>
      <w:bookmarkEnd w:id="74"/>
      <w:r>
        <w:t>services</w:t>
      </w:r>
    </w:p>
    <w:p w:rsidR="000B1D07" w:rsidRPr="004526EE" w:rsidRDefault="000B1D07" w:rsidP="000B1D07">
      <w:bookmarkStart w:id="75" w:name="_Toc403144139"/>
      <w:r>
        <w:t>We assessed Ergon Energy</w:t>
      </w:r>
      <w:r w:rsidRPr="004526EE">
        <w:t xml:space="preserve">'s proposed </w:t>
      </w:r>
      <w:r>
        <w:t xml:space="preserve">opening MAB, depreciation, forecast capex and forecast </w:t>
      </w:r>
      <w:proofErr w:type="spellStart"/>
      <w:r>
        <w:t>opex</w:t>
      </w:r>
      <w:proofErr w:type="spellEnd"/>
      <w:r>
        <w:t xml:space="preserve"> </w:t>
      </w:r>
      <w:r w:rsidRPr="004526EE">
        <w:t xml:space="preserve">components associated with the annual metering service. </w:t>
      </w:r>
    </w:p>
    <w:p w:rsidR="000B1D07" w:rsidRPr="000B1D07" w:rsidRDefault="000B1D07" w:rsidP="000B1D07">
      <w:pPr>
        <w:pStyle w:val="Heading5"/>
      </w:pPr>
      <w:bookmarkStart w:id="76" w:name="_Toc416356464"/>
      <w:bookmarkStart w:id="77" w:name="_Toc417318204"/>
      <w:r w:rsidRPr="004526EE">
        <w:t>Opening metering asset base</w:t>
      </w:r>
      <w:bookmarkEnd w:id="76"/>
      <w:bookmarkEnd w:id="77"/>
    </w:p>
    <w:p w:rsidR="000B1D07" w:rsidRPr="004526EE" w:rsidRDefault="000B1D07" w:rsidP="000B1D07">
      <w:pPr>
        <w:numPr>
          <w:ilvl w:val="0"/>
          <w:numId w:val="25"/>
        </w:numPr>
      </w:pPr>
      <w:r w:rsidRPr="004526EE">
        <w:t xml:space="preserve">In assessing the proposed opening metering asset base, we reviewed how </w:t>
      </w:r>
      <w:r>
        <w:t>Ergon Energy</w:t>
      </w:r>
      <w:r w:rsidRPr="004526EE">
        <w:t xml:space="preserve"> had separated its proposed opening metering asset base (MAB) as at 1 July 201</w:t>
      </w:r>
      <w:r>
        <w:t>5</w:t>
      </w:r>
      <w:r w:rsidRPr="004526EE">
        <w:t xml:space="preserve">, from the RAB for standard control services. </w:t>
      </w:r>
    </w:p>
    <w:p w:rsidR="000B1D07" w:rsidRPr="000B1D07" w:rsidRDefault="000B1D07" w:rsidP="000B1D07">
      <w:pPr>
        <w:pStyle w:val="Heading5"/>
      </w:pPr>
      <w:bookmarkStart w:id="78" w:name="_Toc416356465"/>
      <w:bookmarkStart w:id="79" w:name="_Toc417318205"/>
      <w:r w:rsidRPr="004526EE">
        <w:t>Depreciation</w:t>
      </w:r>
      <w:bookmarkEnd w:id="78"/>
      <w:bookmarkEnd w:id="79"/>
    </w:p>
    <w:p w:rsidR="000B1D07" w:rsidRPr="004526EE" w:rsidRDefault="000B1D07" w:rsidP="000B1D07">
      <w:r w:rsidRPr="004526EE">
        <w:t xml:space="preserve">We also considered the remaining asset lives </w:t>
      </w:r>
      <w:r>
        <w:t>Ergon Energy</w:t>
      </w:r>
      <w:r w:rsidRPr="004526EE">
        <w:t xml:space="preserve"> proposed and had regard to the opening of competition to metering services.</w:t>
      </w:r>
    </w:p>
    <w:p w:rsidR="000B1D07" w:rsidRPr="000B1D07" w:rsidRDefault="000B1D07" w:rsidP="000B1D07">
      <w:pPr>
        <w:pStyle w:val="Heading5"/>
      </w:pPr>
      <w:bookmarkStart w:id="80" w:name="_Toc416356466"/>
      <w:bookmarkStart w:id="81" w:name="_Toc417318206"/>
      <w:r w:rsidRPr="004526EE">
        <w:t>Forecast capital expenditure</w:t>
      </w:r>
      <w:bookmarkEnd w:id="80"/>
      <w:bookmarkEnd w:id="81"/>
      <w:r w:rsidRPr="004526EE">
        <w:t xml:space="preserve"> </w:t>
      </w:r>
    </w:p>
    <w:p w:rsidR="000B1D07" w:rsidRPr="00B15C63" w:rsidRDefault="000B1D07" w:rsidP="000B1D07">
      <w:r w:rsidRPr="004526EE">
        <w:t xml:space="preserve">In assessing the proposed forecast capital expenditure, </w:t>
      </w:r>
      <w:r w:rsidRPr="00B15C63">
        <w:t xml:space="preserve">we first considered any legislative or regulatory requirements regarding meter type and then reviewed </w:t>
      </w:r>
      <w:r w:rsidR="0050031D">
        <w:t>Ergon Energy</w:t>
      </w:r>
      <w:r w:rsidRPr="00B15C63">
        <w:t>'s ‘unit costs’ and ‘volume forecasts’. More specifically, we assessed the proposed:</w:t>
      </w:r>
    </w:p>
    <w:p w:rsidR="000B1D07" w:rsidRPr="00B15C63" w:rsidRDefault="000B1D07" w:rsidP="000B1D07">
      <w:pPr>
        <w:pStyle w:val="AERbulletlistfirststyle"/>
      </w:pPr>
      <w:r w:rsidRPr="00B15C63">
        <w:t xml:space="preserve">'material' and 'non–material' unit costs   </w:t>
      </w:r>
    </w:p>
    <w:p w:rsidR="000B1D07" w:rsidRDefault="000B1D07" w:rsidP="000B1D07">
      <w:pPr>
        <w:pStyle w:val="AERbulletlistfirststyle"/>
      </w:pPr>
      <w:proofErr w:type="gramStart"/>
      <w:r w:rsidRPr="00B15C63">
        <w:t>volume</w:t>
      </w:r>
      <w:proofErr w:type="gramEnd"/>
      <w:r w:rsidRPr="00B15C63">
        <w:t xml:space="preserve"> of ‘reactive’ and ‘proactive’ replacements.</w:t>
      </w:r>
    </w:p>
    <w:p w:rsidR="000B1D07" w:rsidRPr="000B1D07" w:rsidRDefault="000B1D07" w:rsidP="000B1D07">
      <w:pPr>
        <w:pStyle w:val="Heading5"/>
      </w:pPr>
      <w:bookmarkStart w:id="82" w:name="_Toc416356467"/>
      <w:bookmarkStart w:id="83" w:name="_Toc417318207"/>
      <w:r w:rsidRPr="004526EE">
        <w:t>Forecast operating expenditure</w:t>
      </w:r>
      <w:bookmarkEnd w:id="82"/>
      <w:bookmarkEnd w:id="83"/>
    </w:p>
    <w:p w:rsidR="000B1D07" w:rsidRPr="004526EE" w:rsidRDefault="000B1D07" w:rsidP="000B1D07">
      <w:pPr>
        <w:numPr>
          <w:ilvl w:val="0"/>
          <w:numId w:val="25"/>
        </w:numPr>
      </w:pPr>
      <w:r w:rsidRPr="004526EE">
        <w:t>Operating expenditure refers to the operating, maintenance and other non–capital costs, including labour, incurred in the provision of metering services.</w:t>
      </w:r>
    </w:p>
    <w:p w:rsidR="000B1D07" w:rsidRPr="004526EE" w:rsidRDefault="000B1D07" w:rsidP="000B1D07">
      <w:pPr>
        <w:numPr>
          <w:ilvl w:val="0"/>
          <w:numId w:val="25"/>
        </w:numPr>
      </w:pPr>
      <w:r w:rsidRPr="004526EE">
        <w:t xml:space="preserve">To develop our alternative forecast for metering operating expenditure, we used a top-down ‘base, step and trend’ approach which we explain further below. </w:t>
      </w:r>
    </w:p>
    <w:p w:rsidR="000B1D07" w:rsidRPr="000B1D07" w:rsidRDefault="000B1D07" w:rsidP="000B1D07">
      <w:pPr>
        <w:pStyle w:val="Heading6"/>
      </w:pPr>
      <w:bookmarkStart w:id="84" w:name="_Toc416356468"/>
      <w:bookmarkStart w:id="85" w:name="_Ref416425137"/>
      <w:bookmarkStart w:id="86" w:name="_Ref416701130"/>
      <w:bookmarkStart w:id="87" w:name="_Toc417318208"/>
      <w:r w:rsidRPr="004526EE">
        <w:t>Base</w:t>
      </w:r>
      <w:bookmarkEnd w:id="84"/>
      <w:bookmarkEnd w:id="85"/>
      <w:bookmarkEnd w:id="86"/>
      <w:bookmarkEnd w:id="87"/>
    </w:p>
    <w:p w:rsidR="000B1D07" w:rsidRPr="004526EE" w:rsidRDefault="000B1D07" w:rsidP="000B1D07">
      <w:pPr>
        <w:numPr>
          <w:ilvl w:val="0"/>
          <w:numId w:val="25"/>
        </w:numPr>
      </w:pPr>
      <w:r w:rsidRPr="004526EE">
        <w:t xml:space="preserve">As operating expenditure is largely recurrent in nature, we considered </w:t>
      </w:r>
      <w:r>
        <w:t>Ergon Energy</w:t>
      </w:r>
      <w:r w:rsidRPr="004526EE">
        <w:t>'</w:t>
      </w:r>
      <w:r>
        <w:t>s</w:t>
      </w:r>
      <w:r w:rsidRPr="004526EE">
        <w:t xml:space="preserve"> historical costs to be a useful starting point to establish a base to forecast future costs. </w:t>
      </w:r>
      <w:r w:rsidRPr="004526EE">
        <w:lastRenderedPageBreak/>
        <w:t xml:space="preserve">We also used benchmarking to assess the relative efficiency of the base year compared with comparable network businesses in the national electricity market. </w:t>
      </w:r>
    </w:p>
    <w:p w:rsidR="000B1D07" w:rsidRPr="004526EE" w:rsidRDefault="000B1D07" w:rsidP="000B1D07">
      <w:r w:rsidRPr="004526EE">
        <w:t>Our base assessment uses historical data over a five year period, rather than selecting a single base year. Given tha</w:t>
      </w:r>
      <w:r w:rsidR="00B26F4C">
        <w:t>t we do not apply an efficiency</w:t>
      </w:r>
      <w:r w:rsidRPr="004526EE">
        <w:t xml:space="preserve"> benefit sharing scheme (EBSS) to alternative control services, we consider an average of multiple years to be a better measure of a business’ efficient base; it avoids any incentive to ‘load’ a single base year with expenditure going forward.</w:t>
      </w:r>
    </w:p>
    <w:p w:rsidR="000B1D07" w:rsidRPr="004526EE" w:rsidRDefault="000B1D07" w:rsidP="000B1D07">
      <w:r w:rsidRPr="004526EE">
        <w:t>We used '</w:t>
      </w:r>
      <w:proofErr w:type="spellStart"/>
      <w:r w:rsidRPr="004526EE">
        <w:t>opex</w:t>
      </w:r>
      <w:proofErr w:type="spellEnd"/>
      <w:r w:rsidRPr="004526EE">
        <w:t xml:space="preserve"> for metering' data collected in our economic benchmarking regulatory information notices (RIN). This audited data is suitable for comparison because the data provided by the distributors was prepared according to a consistent set of instructions and definitions.</w:t>
      </w:r>
      <w:r w:rsidRPr="004526EE">
        <w:rPr>
          <w:rStyle w:val="FootnoteReference"/>
        </w:rPr>
        <w:footnoteReference w:id="38"/>
      </w:r>
      <w:r w:rsidRPr="004526EE">
        <w:t xml:space="preserve"> </w:t>
      </w:r>
    </w:p>
    <w:p w:rsidR="000B1D07" w:rsidRDefault="000B1D07" w:rsidP="000B1D07">
      <w:r w:rsidRPr="004526EE">
        <w:t xml:space="preserve">Our metering assessment relates to annual charges for default type 5 and 6 metering services common to all regulated metering customers. In some jurisdictions, there are also ancillary metering services paid for by customers specifically requesting a service like an off-cycle meter read or a meter accuracy test. However, the economic benchmarking metering </w:t>
      </w:r>
      <w:proofErr w:type="spellStart"/>
      <w:r w:rsidRPr="004526EE">
        <w:t>opex</w:t>
      </w:r>
      <w:proofErr w:type="spellEnd"/>
      <w:r w:rsidRPr="004526EE">
        <w:t xml:space="preserve"> data does not distinguish between ancillary and default metering services. Thus, we adjusted base metering operating expenditure data to exclude ancillary metering service costs. </w:t>
      </w:r>
    </w:p>
    <w:p w:rsidR="000B1D07" w:rsidRPr="00A0308A" w:rsidRDefault="000B1D07" w:rsidP="000B1D07">
      <w:pPr>
        <w:numPr>
          <w:ilvl w:val="0"/>
          <w:numId w:val="25"/>
        </w:numPr>
      </w:pPr>
      <w:r w:rsidRPr="00A0308A">
        <w:t xml:space="preserve">With this adjusted base data, we then performed our benchmarking analysis. We used a partial performance indicator for our benchmarking analysis. This compared historic annual metering </w:t>
      </w:r>
      <w:proofErr w:type="spellStart"/>
      <w:r w:rsidRPr="00A0308A">
        <w:t>opex</w:t>
      </w:r>
      <w:proofErr w:type="spellEnd"/>
      <w:r w:rsidRPr="00A0308A">
        <w:t xml:space="preserve"> per customer ac</w:t>
      </w:r>
      <w:r>
        <w:t>ross non-Victorian distributors</w:t>
      </w:r>
      <w:r w:rsidRPr="00A0308A">
        <w:t xml:space="preserve"> in the national electricity market.</w:t>
      </w:r>
    </w:p>
    <w:p w:rsidR="000B1D07" w:rsidRPr="00A0308A" w:rsidRDefault="000B1D07" w:rsidP="000B1D07">
      <w:pPr>
        <w:numPr>
          <w:ilvl w:val="0"/>
          <w:numId w:val="25"/>
        </w:numPr>
      </w:pPr>
      <w:r w:rsidRPr="00A0308A">
        <w:t xml:space="preserve">Our benchmarking analysis for metering is a simpler version than what we used to assess standard control </w:t>
      </w:r>
      <w:proofErr w:type="spellStart"/>
      <w:r w:rsidRPr="00A0308A">
        <w:t>opex</w:t>
      </w:r>
      <w:proofErr w:type="spellEnd"/>
      <w:r w:rsidRPr="00A0308A">
        <w:t xml:space="preserve">. This reflects the generally lighter handed regulatory approach to alternative control services compared with standard control services. For example, our econometric modelling results we used to assess standard control </w:t>
      </w:r>
      <w:proofErr w:type="spellStart"/>
      <w:r w:rsidRPr="00A0308A">
        <w:t>opex</w:t>
      </w:r>
      <w:proofErr w:type="spellEnd"/>
      <w:r w:rsidRPr="00A0308A">
        <w:t xml:space="preserve"> were based on data for network services and therefore do not strictly apply to metering services. </w:t>
      </w:r>
    </w:p>
    <w:p w:rsidR="000B1D07" w:rsidRPr="004526EE" w:rsidRDefault="000B1D07" w:rsidP="000B1D07">
      <w:pPr>
        <w:numPr>
          <w:ilvl w:val="0"/>
          <w:numId w:val="25"/>
        </w:numPr>
      </w:pPr>
      <w:r w:rsidRPr="004526EE">
        <w:t xml:space="preserve">We then adjusted the benchmarking results for customer density. This is a network characteristic that is an exogenous influence on operating expenditure requirements. </w:t>
      </w:r>
    </w:p>
    <w:p w:rsidR="000B1D07" w:rsidRPr="000B1D07" w:rsidRDefault="000B1D07" w:rsidP="000B1D07">
      <w:pPr>
        <w:pStyle w:val="Heading6"/>
      </w:pPr>
      <w:bookmarkStart w:id="88" w:name="_Toc416356469"/>
      <w:bookmarkStart w:id="89" w:name="_Toc417318209"/>
      <w:r w:rsidRPr="004526EE">
        <w:t>Step changes</w:t>
      </w:r>
      <w:bookmarkEnd w:id="88"/>
      <w:bookmarkEnd w:id="89"/>
    </w:p>
    <w:p w:rsidR="000B1D07" w:rsidRPr="004526EE" w:rsidRDefault="000B1D07" w:rsidP="000B1D07">
      <w:pPr>
        <w:numPr>
          <w:ilvl w:val="0"/>
          <w:numId w:val="25"/>
        </w:numPr>
      </w:pPr>
      <w:bookmarkStart w:id="90" w:name="_Toc416356470"/>
      <w:r w:rsidRPr="004526EE">
        <w:t xml:space="preserve">When assessing a distributor's proposed step changes, we consider whether they are needed for the total </w:t>
      </w:r>
      <w:proofErr w:type="spellStart"/>
      <w:r w:rsidRPr="004526EE">
        <w:t>opex</w:t>
      </w:r>
      <w:proofErr w:type="spellEnd"/>
      <w:r w:rsidRPr="004526EE">
        <w:t xml:space="preserve"> forecast to reasonably reflect the </w:t>
      </w:r>
      <w:proofErr w:type="spellStart"/>
      <w:r w:rsidRPr="004526EE">
        <w:t>opex</w:t>
      </w:r>
      <w:proofErr w:type="spellEnd"/>
      <w:r w:rsidRPr="004526EE">
        <w:t xml:space="preserve"> criteria.</w:t>
      </w:r>
      <w:r w:rsidRPr="004526EE">
        <w:rPr>
          <w:rStyle w:val="FootnoteReference"/>
        </w:rPr>
        <w:footnoteReference w:id="39"/>
      </w:r>
      <w:r w:rsidRPr="004526EE">
        <w:t xml:space="preserve"> Our assessment approach is consistent with our </w:t>
      </w:r>
      <w:r w:rsidRPr="004526EE">
        <w:rPr>
          <w:rStyle w:val="AERtextitalic"/>
        </w:rPr>
        <w:t>Expenditure forecast assessment guideline</w:t>
      </w:r>
      <w:r w:rsidRPr="004526EE">
        <w:t>.</w:t>
      </w:r>
      <w:r w:rsidRPr="004526EE">
        <w:rPr>
          <w:rStyle w:val="FootnoteReference"/>
        </w:rPr>
        <w:footnoteReference w:id="40"/>
      </w:r>
    </w:p>
    <w:p w:rsidR="000B1D07" w:rsidRPr="004526EE" w:rsidRDefault="000B1D07" w:rsidP="000B1D07">
      <w:pPr>
        <w:numPr>
          <w:ilvl w:val="0"/>
          <w:numId w:val="25"/>
        </w:numPr>
      </w:pPr>
      <w:r w:rsidRPr="004526EE">
        <w:lastRenderedPageBreak/>
        <w:t xml:space="preserve">We generally consider an efficient base level of </w:t>
      </w:r>
      <w:proofErr w:type="spellStart"/>
      <w:r w:rsidRPr="004526EE">
        <w:t>opex</w:t>
      </w:r>
      <w:proofErr w:type="spellEnd"/>
      <w:r w:rsidRPr="004526EE">
        <w:t xml:space="preserve"> is sufficient for a prudent and efficient distributor to meet all existing regulatory obligations. This is the same regardless of whether we forecast an efficient base level of </w:t>
      </w:r>
      <w:proofErr w:type="spellStart"/>
      <w:r w:rsidRPr="004526EE">
        <w:t>opex</w:t>
      </w:r>
      <w:proofErr w:type="spellEnd"/>
      <w:r w:rsidRPr="004526EE">
        <w:t xml:space="preserve"> based on the service provider's own costs or the efficient costs of comparable benchmark providers. We only include a step change in our </w:t>
      </w:r>
      <w:proofErr w:type="spellStart"/>
      <w:r w:rsidRPr="004526EE">
        <w:t>opex</w:t>
      </w:r>
      <w:proofErr w:type="spellEnd"/>
      <w:r w:rsidRPr="004526EE">
        <w:t xml:space="preserve"> forecast if we are satisfied a prudent and efficient service provider would need an increase in its </w:t>
      </w:r>
      <w:proofErr w:type="spellStart"/>
      <w:r w:rsidRPr="004526EE">
        <w:t>opex</w:t>
      </w:r>
      <w:proofErr w:type="spellEnd"/>
      <w:r w:rsidRPr="004526EE">
        <w:t>.</w:t>
      </w:r>
    </w:p>
    <w:p w:rsidR="000B1D07" w:rsidRPr="004526EE" w:rsidRDefault="000B1D07" w:rsidP="000B1D07">
      <w:pPr>
        <w:numPr>
          <w:ilvl w:val="0"/>
          <w:numId w:val="25"/>
        </w:numPr>
      </w:pPr>
      <w:r w:rsidRPr="004526EE">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0B1D07" w:rsidRPr="000B1D07" w:rsidRDefault="000B1D07" w:rsidP="000B1D07">
      <w:pPr>
        <w:pStyle w:val="Heading6"/>
      </w:pPr>
      <w:bookmarkStart w:id="91" w:name="_Toc417318210"/>
      <w:r w:rsidRPr="004526EE">
        <w:t>Trend</w:t>
      </w:r>
      <w:bookmarkEnd w:id="90"/>
      <w:bookmarkEnd w:id="91"/>
    </w:p>
    <w:p w:rsidR="000B1D07" w:rsidRDefault="000B1D07" w:rsidP="000B1D07">
      <w:pPr>
        <w:numPr>
          <w:ilvl w:val="0"/>
          <w:numId w:val="25"/>
        </w:numPr>
      </w:pPr>
      <w:r>
        <w:t xml:space="preserve">We then trended forward base </w:t>
      </w:r>
      <w:proofErr w:type="spellStart"/>
      <w:r>
        <w:t>opex</w:t>
      </w:r>
      <w:proofErr w:type="spellEnd"/>
      <w:r>
        <w:t xml:space="preserve"> (plus any step changes) by considering forecast changes in output, price and productivity. </w:t>
      </w:r>
    </w:p>
    <w:p w:rsidR="000B1D07" w:rsidRPr="004526EE" w:rsidRDefault="000B1D07" w:rsidP="000B1D07">
      <w:pPr>
        <w:numPr>
          <w:ilvl w:val="0"/>
          <w:numId w:val="25"/>
        </w:numPr>
      </w:pPr>
      <w:r w:rsidRPr="004526EE">
        <w:t>For both capital and operating expenditure, we had regard to the capital and operating expenditure objectives and criteria in chapter 6 of the NER.</w:t>
      </w:r>
      <w:r w:rsidRPr="004526EE">
        <w:rPr>
          <w:rStyle w:val="FootnoteReference"/>
        </w:rPr>
        <w:footnoteReference w:id="41"/>
      </w:r>
      <w:r w:rsidRPr="004526EE">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business’s forecast, the capital and operating expenditure objectives and criteria state we should consider:</w:t>
      </w:r>
    </w:p>
    <w:p w:rsidR="000B1D07" w:rsidRPr="004526EE" w:rsidRDefault="000B1D07" w:rsidP="000B1D07">
      <w:pPr>
        <w:pStyle w:val="AERbulletlistfirststyle"/>
      </w:pPr>
      <w:r w:rsidRPr="004526EE">
        <w:t>the efficient costs required</w:t>
      </w:r>
    </w:p>
    <w:p w:rsidR="000B1D07" w:rsidRPr="004526EE" w:rsidRDefault="000B1D07" w:rsidP="000B1D07">
      <w:pPr>
        <w:pStyle w:val="AERbulletlistfirststyle"/>
      </w:pPr>
      <w:r w:rsidRPr="004526EE">
        <w:t>the costs a prudent operator would incur</w:t>
      </w:r>
    </w:p>
    <w:p w:rsidR="000B1D07" w:rsidRPr="004526EE" w:rsidRDefault="000B1D07" w:rsidP="000B1D07">
      <w:pPr>
        <w:pStyle w:val="AERbulletlistfirststyle"/>
      </w:pPr>
      <w:proofErr w:type="gramStart"/>
      <w:r w:rsidRPr="004526EE">
        <w:t>whether</w:t>
      </w:r>
      <w:proofErr w:type="gramEnd"/>
      <w:r w:rsidRPr="004526EE">
        <w:t xml:space="preserve"> the proposed cost inputs are realistic.</w:t>
      </w:r>
      <w:r w:rsidRPr="004526EE">
        <w:rPr>
          <w:rStyle w:val="FootnoteReference"/>
        </w:rPr>
        <w:footnoteReference w:id="42"/>
      </w:r>
      <w:r w:rsidRPr="004526EE">
        <w:t xml:space="preserve">  </w:t>
      </w:r>
    </w:p>
    <w:p w:rsidR="000B1D07" w:rsidRPr="004526EE" w:rsidRDefault="000B1D07" w:rsidP="000B1D07">
      <w:pPr>
        <w:pStyle w:val="Heading4"/>
      </w:pPr>
      <w:bookmarkStart w:id="92" w:name="_Toc416356471"/>
      <w:bookmarkStart w:id="93" w:name="_Toc417318211"/>
      <w:r w:rsidRPr="004526EE">
        <w:t>Upfront capital charge</w:t>
      </w:r>
      <w:bookmarkEnd w:id="92"/>
      <w:bookmarkEnd w:id="93"/>
    </w:p>
    <w:p w:rsidR="000B1D07" w:rsidRDefault="000B1D07" w:rsidP="000B1D07">
      <w:r>
        <w:t>Ergon Energy</w:t>
      </w:r>
      <w:r w:rsidRPr="004526EE">
        <w:t xml:space="preserve"> did not propose any upfront capital charges. We nonetheless provided the distributor with an opportunity to comment on how such charges should be calculated.</w:t>
      </w:r>
      <w:r w:rsidRPr="004526EE">
        <w:rPr>
          <w:rStyle w:val="FootnoteReference"/>
        </w:rPr>
        <w:footnoteReference w:id="43"/>
      </w:r>
      <w:r w:rsidRPr="004526EE">
        <w:t xml:space="preserve"> Our preliminary decision took those comments into account, along with a report we received from Marsden Jacob. This report recommended the maximum material and non–material unit costs we should accept. </w:t>
      </w:r>
    </w:p>
    <w:p w:rsidR="000B1D07" w:rsidRDefault="000B1D07" w:rsidP="000B1D07">
      <w:pPr>
        <w:pStyle w:val="Heading4"/>
      </w:pPr>
      <w:r>
        <w:t>Metering exit fee</w:t>
      </w:r>
    </w:p>
    <w:p w:rsidR="000B1D07" w:rsidRDefault="000B1D07" w:rsidP="000B1D07">
      <w:r>
        <w:t xml:space="preserve">We considered the appropriate method to recover the residual metering asset value as part of our structure of metering charges assessment. </w:t>
      </w:r>
    </w:p>
    <w:p w:rsidR="00AC72D2" w:rsidRPr="00AF0AD5" w:rsidRDefault="00AC72D2" w:rsidP="00AC72D2">
      <w:bookmarkStart w:id="94" w:name="_Toc417318212"/>
      <w:r>
        <w:lastRenderedPageBreak/>
        <w:t>With regard to the administration component of the proposed exit fee, w</w:t>
      </w:r>
      <w:r w:rsidRPr="00AF0AD5">
        <w:t xml:space="preserve">e must balance revenue recovery for the efficient costs of </w:t>
      </w:r>
      <w:r>
        <w:t xml:space="preserve">the </w:t>
      </w:r>
      <w:r w:rsidRPr="00AF0AD5">
        <w:t xml:space="preserve">distributor’s service provision </w:t>
      </w:r>
      <w:r>
        <w:t>with</w:t>
      </w:r>
      <w:r w:rsidRPr="00AF0AD5">
        <w:t xml:space="preserve"> identifying and removing barriers to entry and competition</w:t>
      </w:r>
      <w:r>
        <w:t>, consistent with the proposed metering rule change submitted by the COAG Energy Council and currently being deliberated by the Australian Energy Market Commission</w:t>
      </w:r>
      <w:r w:rsidRPr="00AF0AD5">
        <w:t>.</w:t>
      </w:r>
      <w:r>
        <w:rPr>
          <w:rStyle w:val="FootnoteReference"/>
        </w:rPr>
        <w:footnoteReference w:id="44"/>
      </w:r>
    </w:p>
    <w:p w:rsidR="00AC72D2" w:rsidRPr="00AF0AD5" w:rsidRDefault="00AC72D2" w:rsidP="00AC72D2">
      <w:r w:rsidRPr="00AF0AD5">
        <w:t xml:space="preserve">We </w:t>
      </w:r>
      <w:r>
        <w:t>undertook a cost</w:t>
      </w:r>
      <w:r w:rsidRPr="00AF0AD5">
        <w:t xml:space="preserve"> assessment</w:t>
      </w:r>
      <w:r>
        <w:t xml:space="preserve"> underlying the proposed meter transfer fees</w:t>
      </w:r>
      <w:r w:rsidRPr="00AF0AD5">
        <w:t xml:space="preserve"> </w:t>
      </w:r>
      <w:r>
        <w:t xml:space="preserve">to determine the efficiency of those costs. To asses costs we considered </w:t>
      </w:r>
      <w:r w:rsidRPr="00AF0AD5">
        <w:t>the activities either required, or reasonab</w:t>
      </w:r>
      <w:r>
        <w:t>ly expected to be required, for a</w:t>
      </w:r>
      <w:r w:rsidRPr="00AF0AD5">
        <w:t xml:space="preserve"> meter transfer</w:t>
      </w:r>
      <w:r>
        <w:t>, by both a distributor and a competing metering provider</w:t>
      </w:r>
      <w:r w:rsidRPr="00AF0AD5">
        <w:t xml:space="preserve">. </w:t>
      </w:r>
      <w:r>
        <w:t>We had regard to the costs</w:t>
      </w:r>
      <w:r w:rsidRPr="00AF0AD5">
        <w:t xml:space="preserve"> estimated to be incurred from such activities in New South Wales</w:t>
      </w:r>
      <w:r>
        <w:t>,</w:t>
      </w:r>
      <w:r w:rsidRPr="00AF0AD5">
        <w:t xml:space="preserve"> </w:t>
      </w:r>
      <w:r>
        <w:t xml:space="preserve">the Australian Capital Territory, </w:t>
      </w:r>
      <w:r w:rsidRPr="00AF0AD5">
        <w:t>Queensland and</w:t>
      </w:r>
      <w:r>
        <w:t xml:space="preserve"> South Australia</w:t>
      </w:r>
      <w:r w:rsidRPr="00AF0AD5">
        <w:t xml:space="preserve">. Victorian distributors are under a State Government mandated smart meter roll out, and so meter transfer is not a comparable activity that can be presently </w:t>
      </w:r>
      <w:r>
        <w:t xml:space="preserve">undertaken and therefore </w:t>
      </w:r>
      <w:r w:rsidRPr="00AF0AD5">
        <w:t>benchmarked</w:t>
      </w:r>
      <w:r>
        <w:t xml:space="preserve">. </w:t>
      </w:r>
    </w:p>
    <w:p w:rsidR="00AC72D2" w:rsidRPr="00AF0AD5" w:rsidRDefault="00AC72D2" w:rsidP="00AC72D2">
      <w:r>
        <w:t xml:space="preserve">We consulted with first and second tier retailers and </w:t>
      </w:r>
      <w:r w:rsidRPr="00AF0AD5">
        <w:t xml:space="preserve">the Australian Energy Market Operator to ascertain those activities necessary for the efficient transfer of </w:t>
      </w:r>
      <w:r>
        <w:t xml:space="preserve">meter </w:t>
      </w:r>
      <w:r w:rsidRPr="00AF0AD5">
        <w:t>customers</w:t>
      </w:r>
      <w:r>
        <w:t xml:space="preserve"> among service providers</w:t>
      </w:r>
      <w:r w:rsidRPr="00AF0AD5">
        <w:t xml:space="preserve">. The </w:t>
      </w:r>
      <w:r>
        <w:t xml:space="preserve">New South Wales and Australian Capital Territory </w:t>
      </w:r>
      <w:r w:rsidRPr="00AF0AD5">
        <w:t>distributors</w:t>
      </w:r>
      <w:r>
        <w:t>'</w:t>
      </w:r>
      <w:r w:rsidRPr="00AF0AD5">
        <w:t xml:space="preserve"> revised revenue proposals</w:t>
      </w:r>
      <w:r>
        <w:t>, and the initial proposals from Queensland and South Australia's distributors,</w:t>
      </w:r>
      <w:r w:rsidRPr="00AF0AD5">
        <w:t xml:space="preserve"> outlined the activities they would undertake to transfer customers. </w:t>
      </w:r>
    </w:p>
    <w:p w:rsidR="000B1D07" w:rsidRPr="004526EE" w:rsidRDefault="000B1D07" w:rsidP="000B1D07">
      <w:pPr>
        <w:pStyle w:val="Heading3"/>
      </w:pPr>
      <w:bookmarkStart w:id="95" w:name="_Toc417994615"/>
      <w:r w:rsidRPr="004526EE">
        <w:t>Interrelationships</w:t>
      </w:r>
      <w:bookmarkEnd w:id="75"/>
      <w:bookmarkEnd w:id="94"/>
      <w:bookmarkEnd w:id="95"/>
    </w:p>
    <w:p w:rsidR="000B1D07" w:rsidRPr="004526EE" w:rsidRDefault="000B1D07" w:rsidP="000B1D07">
      <w:pPr>
        <w:rPr>
          <w:rStyle w:val="AERbody"/>
        </w:rPr>
      </w:pPr>
      <w:r w:rsidRPr="004526EE">
        <w:rPr>
          <w:rStyle w:val="AERbody"/>
        </w:rPr>
        <w:t xml:space="preserve">Our preliminary decision should provide </w:t>
      </w:r>
      <w:r>
        <w:rPr>
          <w:rStyle w:val="AERbody"/>
        </w:rPr>
        <w:t>Ergon Energy</w:t>
      </w:r>
      <w:r w:rsidRPr="004526EE">
        <w:rPr>
          <w:rStyle w:val="AERbody"/>
        </w:rPr>
        <w:t>'s with an opportunity to recover at least its efficient costs.</w:t>
      </w:r>
      <w:r w:rsidRPr="004526EE">
        <w:rPr>
          <w:rStyle w:val="FootnoteReference"/>
        </w:rPr>
        <w:footnoteReference w:id="45"/>
      </w:r>
      <w:r w:rsidRPr="004526EE">
        <w:rPr>
          <w:rStyle w:val="AERbody"/>
        </w:rPr>
        <w:t xml:space="preserve"> This includes, where relevant, providing enough expenditure for the business to repay its debt financing costs and earn a reasonable return on its investments. </w:t>
      </w:r>
    </w:p>
    <w:p w:rsidR="000B1D07" w:rsidRPr="004526EE" w:rsidRDefault="000B1D07" w:rsidP="000B1D07">
      <w:pPr>
        <w:rPr>
          <w:rStyle w:val="AERbody"/>
        </w:rPr>
      </w:pPr>
      <w:r w:rsidRPr="004526EE">
        <w:rPr>
          <w:rStyle w:val="AERbody"/>
        </w:rPr>
        <w:t xml:space="preserve">Our preliminary decision on </w:t>
      </w:r>
      <w:r>
        <w:rPr>
          <w:rStyle w:val="AERbody"/>
        </w:rPr>
        <w:t>Ergon Energy</w:t>
      </w:r>
      <w:r w:rsidRPr="004526EE">
        <w:rPr>
          <w:rStyle w:val="AERbody"/>
        </w:rPr>
        <w:t>'s alternative control metering proposal, therefore, interrelates with our assessment of its proposed rate of return. Refer to attachment 3 of this preliminary decision for the rate of return we accept for direct control services,</w:t>
      </w:r>
      <w:r w:rsidRPr="004526EE">
        <w:rPr>
          <w:rStyle w:val="FootnoteReference"/>
        </w:rPr>
        <w:t xml:space="preserve"> </w:t>
      </w:r>
      <w:r w:rsidRPr="004526EE">
        <w:rPr>
          <w:rStyle w:val="FootnoteReference"/>
        </w:rPr>
        <w:footnoteReference w:id="46"/>
      </w:r>
      <w:r w:rsidRPr="004526EE">
        <w:rPr>
          <w:rStyle w:val="AERbody"/>
        </w:rPr>
        <w:t xml:space="preserve"> along wit</w:t>
      </w:r>
      <w:r>
        <w:rPr>
          <w:rStyle w:val="AERbody"/>
        </w:rPr>
        <w:t>h our reasons. U</w:t>
      </w:r>
      <w:r w:rsidRPr="004526EE">
        <w:rPr>
          <w:rStyle w:val="AERbody"/>
        </w:rPr>
        <w:t xml:space="preserve">nlike standard control services, we will not be annually adjusting for the return on debt for alternative control services. The only annual changes for price caps for alternative control services will be consistent with our price control mechanism formula set out in </w:t>
      </w:r>
      <w:r w:rsidRPr="004526EE">
        <w:rPr>
          <w:rStyle w:val="AERbody"/>
        </w:rPr>
        <w:fldChar w:fldCharType="begin"/>
      </w:r>
      <w:r w:rsidRPr="004526EE">
        <w:rPr>
          <w:rStyle w:val="AERbody"/>
        </w:rPr>
        <w:instrText xml:space="preserve"> REF _Ref417314709 \r \h </w:instrText>
      </w:r>
      <w:r w:rsidRPr="004526EE">
        <w:rPr>
          <w:rStyle w:val="AERbody"/>
        </w:rPr>
      </w:r>
      <w:r w:rsidRPr="004526EE">
        <w:rPr>
          <w:rStyle w:val="AERbody"/>
        </w:rPr>
        <w:fldChar w:fldCharType="separate"/>
      </w:r>
      <w:r w:rsidR="00F16AE7">
        <w:rPr>
          <w:rStyle w:val="AERbody"/>
        </w:rPr>
        <w:t>0</w:t>
      </w:r>
      <w:r w:rsidRPr="004526EE">
        <w:rPr>
          <w:rStyle w:val="AERbody"/>
        </w:rPr>
        <w:fldChar w:fldCharType="end"/>
      </w:r>
      <w:r w:rsidRPr="004526EE">
        <w:rPr>
          <w:rStyle w:val="AERbody"/>
        </w:rPr>
        <w:t>.</w:t>
      </w:r>
    </w:p>
    <w:p w:rsidR="000B1D07" w:rsidRDefault="000B1D07" w:rsidP="000B1D07">
      <w:pPr>
        <w:pStyle w:val="Heading3"/>
      </w:pPr>
      <w:bookmarkStart w:id="96" w:name="_Toc417994616"/>
      <w:r>
        <w:t>Reasons for preliminary decision</w:t>
      </w:r>
      <w:bookmarkEnd w:id="96"/>
    </w:p>
    <w:p w:rsidR="000B1D07" w:rsidRPr="004526EE" w:rsidRDefault="000B1D07" w:rsidP="000B1D07">
      <w:r w:rsidRPr="004526EE">
        <w:t>Our reasons for not accepting Ergon Energy's proposed annual metering services charge and the transfer/exit fee are discussed in this section. We also set out our reasons for not accepting Ergon Energy's proposed structure of metering services.</w:t>
      </w:r>
    </w:p>
    <w:p w:rsidR="000B1D07" w:rsidRDefault="000B1D07" w:rsidP="000B1D07">
      <w:pPr>
        <w:pStyle w:val="Heading4"/>
      </w:pPr>
      <w:bookmarkStart w:id="97" w:name="_Toc416972030"/>
      <w:r>
        <w:lastRenderedPageBreak/>
        <w:t>Structure of metering charges</w:t>
      </w:r>
    </w:p>
    <w:p w:rsidR="000B1D07" w:rsidRPr="00825E03" w:rsidRDefault="000B1D07" w:rsidP="000B1D07">
      <w:pPr>
        <w:rPr>
          <w:rStyle w:val="AERbody"/>
        </w:rPr>
      </w:pPr>
      <w:r w:rsidRPr="00825E03">
        <w:rPr>
          <w:rStyle w:val="AERbody"/>
        </w:rPr>
        <w:t xml:space="preserve">Our </w:t>
      </w:r>
      <w:r>
        <w:rPr>
          <w:rStyle w:val="AERbody"/>
        </w:rPr>
        <w:t>preliminary</w:t>
      </w:r>
      <w:r w:rsidRPr="00825E03">
        <w:rPr>
          <w:rStyle w:val="AERbody"/>
        </w:rPr>
        <w:t xml:space="preserve"> decision approves two types of charges:</w:t>
      </w:r>
    </w:p>
    <w:p w:rsidR="000B1D07" w:rsidRPr="00825E03" w:rsidRDefault="000B1D07" w:rsidP="000B1D07">
      <w:pPr>
        <w:pStyle w:val="AERbulletlistfirststyle"/>
        <w:rPr>
          <w:rStyle w:val="AERbody"/>
        </w:rPr>
      </w:pPr>
      <w:r w:rsidRPr="00825E03">
        <w:rPr>
          <w:rStyle w:val="AERbody"/>
        </w:rPr>
        <w:t>Upfront capital charge (for all new and upgraded meters installed from 1 July 2015)</w:t>
      </w:r>
    </w:p>
    <w:p w:rsidR="000B1D07" w:rsidRPr="00825E03" w:rsidRDefault="000B1D07" w:rsidP="000B1D07">
      <w:pPr>
        <w:pStyle w:val="AERbulletlistfirststyle"/>
        <w:rPr>
          <w:rStyle w:val="AERbody"/>
        </w:rPr>
      </w:pPr>
      <w:r w:rsidRPr="00825E03">
        <w:rPr>
          <w:rStyle w:val="AERbody"/>
        </w:rPr>
        <w:t>Annual charge comprising two components</w:t>
      </w:r>
    </w:p>
    <w:p w:rsidR="000B1D07" w:rsidRPr="00825E03" w:rsidRDefault="000B1D07" w:rsidP="000B1D07">
      <w:pPr>
        <w:pStyle w:val="AERbulletlistsecondstyle"/>
        <w:rPr>
          <w:rStyle w:val="AERbody"/>
        </w:rPr>
      </w:pPr>
      <w:r w:rsidRPr="00825E03">
        <w:rPr>
          <w:rStyle w:val="AERbody"/>
        </w:rPr>
        <w:t>Capital—metering asset base (MAB) recovery</w:t>
      </w:r>
    </w:p>
    <w:p w:rsidR="000B1D07" w:rsidRPr="00825E03" w:rsidRDefault="000B1D07" w:rsidP="000B1D07">
      <w:pPr>
        <w:pStyle w:val="AERbulletlistsecondstyle"/>
        <w:rPr>
          <w:rStyle w:val="AERbody"/>
        </w:rPr>
      </w:pPr>
      <w:proofErr w:type="gramStart"/>
      <w:r w:rsidRPr="00825E03">
        <w:rPr>
          <w:rStyle w:val="AERbody"/>
        </w:rPr>
        <w:t>non-capital—</w:t>
      </w:r>
      <w:proofErr w:type="gramEnd"/>
      <w:r w:rsidRPr="00825E03">
        <w:rPr>
          <w:rStyle w:val="AERbody"/>
        </w:rPr>
        <w:t>operating expenditure and tax.</w:t>
      </w:r>
    </w:p>
    <w:p w:rsidR="000B1D07" w:rsidRPr="00825E03" w:rsidRDefault="000B1D07" w:rsidP="000B1D07">
      <w:r w:rsidRPr="00825E03">
        <w:t>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w:t>
      </w:r>
      <w:r>
        <w:t>nstalled in the upcoming 2015–20</w:t>
      </w:r>
      <w:r w:rsidRPr="00825E03">
        <w:t xml:space="preserve"> regulatory control period. By charging upfront, we avoid having to forecast capital expenditure for new and upgraded metering installations that may not eventuate. </w:t>
      </w:r>
    </w:p>
    <w:p w:rsidR="000B1D07" w:rsidRPr="00825E03" w:rsidRDefault="000B1D07" w:rsidP="000B1D07">
      <w:r w:rsidRPr="00825E03">
        <w:t>To better meet the distribution pricing principles, it important for annual charges to be set on a cost-reflective basis. It is particularly significant in the context of expanding competition in metering. Previously, metering was a standard control service and the related metering costs were bundled into general network tariffs. There was no transparency around the costs of providing regulated metering services. By setting cost-reflective regulated metering charges, customers will be able to compare the costs of their current regulated service with offers from alternative metering providers when competition begins.</w:t>
      </w:r>
    </w:p>
    <w:p w:rsidR="000B1D07" w:rsidRPr="00825E03" w:rsidRDefault="000B1D07" w:rsidP="000B1D07">
      <w:r w:rsidRPr="00825E03">
        <w:t>We consider that a cost-reflective annual charge for new metering connections installed after 1 July 2015 should only consist of non-capital costs (operating expenditure and tax). This is because the capital cost of meters installed after 1 July 2015 would have been fully customer funded. In contrast, pre 30 June 2015 customers on a regulated type 5 or 6 metering service who have not paid for the meter upfront should contribute to the MAB recovery through their annual charge. That is, they pay a cost-reflective annual charge that includes both capital and non-capital components. This is the way such customers pay for their regulated metering services now.</w:t>
      </w:r>
    </w:p>
    <w:p w:rsidR="000B1D07" w:rsidRPr="00825E03" w:rsidRDefault="000B1D07" w:rsidP="000B1D07">
      <w:r w:rsidRPr="00825E03">
        <w:t xml:space="preserve">However, if a customer chooses to switch to a competitive metering provider, the capital component of the annual charge would become stranded for the distributor. That is unless there is a mechanism for recovering that cost. It is important to recognise that customers pay the capital costs of a meter on an annual basis, they represent an amortised cost (that is, have been paid for upfront by the distributor and then recovered gradually over time from customers). Past capital expenditure is a fixed cost because it does not vary with how many customers switch; the capital costs have already been incurred by the distributor to provide a regulated metering service. This is </w:t>
      </w:r>
      <w:r w:rsidRPr="00825E03">
        <w:lastRenderedPageBreak/>
        <w:t>in contrast to metering operating expenditure, such as meter reading costs, which are largely variable. This means the distributor can avoid those costs if a customer switches.</w:t>
      </w:r>
      <w:r w:rsidRPr="00825E03">
        <w:rPr>
          <w:rStyle w:val="FootnoteReference"/>
        </w:rPr>
        <w:footnoteReference w:id="47"/>
      </w:r>
    </w:p>
    <w:p w:rsidR="000B1D07" w:rsidRPr="00825E03" w:rsidRDefault="000B1D07" w:rsidP="000B1D07">
      <w:r w:rsidRPr="00825E03">
        <w:t>QCOSS considers "</w:t>
      </w:r>
      <w:r w:rsidRPr="00825E03">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rsidRPr="00825E03">
        <w:t>."</w:t>
      </w:r>
      <w:r w:rsidRPr="00825E03">
        <w:rPr>
          <w:rStyle w:val="AERsuperscript"/>
        </w:rPr>
        <w:footnoteReference w:id="48"/>
      </w:r>
      <w:r w:rsidRPr="00825E03">
        <w:t xml:space="preserve"> But this effectively means that the distributor would be unable to recover the undepreciated residual value of those meters. The revenue and pricing principles provide that distributors should have a reasonable opportunity to recover at least their efficient costs. We therefore consider it appropriate that distributors recover their fixed capital costs that were incurred in providing regulated metering services. </w:t>
      </w:r>
    </w:p>
    <w:p w:rsidR="000B1D07" w:rsidRPr="00825E03" w:rsidRDefault="000B1D07" w:rsidP="000B1D07">
      <w:pPr>
        <w:rPr>
          <w:rStyle w:val="AERbody"/>
        </w:rPr>
      </w:pPr>
      <w:r w:rsidRPr="00825E03">
        <w:rPr>
          <w:rStyle w:val="AERbody"/>
        </w:rPr>
        <w:t xml:space="preserve">Accordingly, we considered the most appropriate way to recover metering capital costs incurred in providing regulated metering services that risk becoming stranded if a customer switches. </w:t>
      </w:r>
    </w:p>
    <w:p w:rsidR="000B1D07" w:rsidRPr="00825E03" w:rsidRDefault="0050031D" w:rsidP="000B1D07">
      <w:pPr>
        <w:rPr>
          <w:rStyle w:val="AERbody"/>
        </w:rPr>
      </w:pPr>
      <w:r>
        <w:rPr>
          <w:rStyle w:val="AERbody"/>
        </w:rPr>
        <w:t xml:space="preserve">Ergon Energy </w:t>
      </w:r>
      <w:r w:rsidR="000B1D07">
        <w:rPr>
          <w:rStyle w:val="AERbody"/>
        </w:rPr>
        <w:t xml:space="preserve">proposed </w:t>
      </w:r>
      <w:r w:rsidR="000B1D07" w:rsidRPr="00825E03">
        <w:rPr>
          <w:rStyle w:val="AERbody"/>
        </w:rPr>
        <w:t>an upfront exit fee when a customer wished to switch to a competitive metering provider. This would ensure they recovered their metering capital costs for existing meters that would otherwise become stranded.</w:t>
      </w:r>
    </w:p>
    <w:p w:rsidR="000B1D07" w:rsidRPr="00825E03" w:rsidRDefault="000B1D07" w:rsidP="000B1D07">
      <w:pPr>
        <w:rPr>
          <w:rStyle w:val="AERbody"/>
        </w:rPr>
      </w:pPr>
      <w:r w:rsidRPr="00825E03">
        <w:rPr>
          <w:rStyle w:val="AERbody"/>
        </w:rPr>
        <w:t>However various stakeholders raised concerns that a large upfront exit fee would be a barrier to competitive entry and to the take up of advanced metering.</w:t>
      </w:r>
      <w:r w:rsidRPr="00825E03">
        <w:rPr>
          <w:rStyle w:val="FootnoteReference"/>
        </w:rPr>
        <w:footnoteReference w:id="49"/>
      </w:r>
      <w:r w:rsidRPr="00825E03">
        <w:rPr>
          <w:rStyle w:val="AERbody"/>
        </w:rPr>
        <w:t xml:space="preserve"> In particular, it potentially creates a first mover disadvantage because a market-led smart meter rollout is predicated on the customer not having to pay any charges upfront.</w:t>
      </w:r>
      <w:r w:rsidRPr="00825E03">
        <w:rPr>
          <w:rStyle w:val="FootnoteReference"/>
        </w:rPr>
        <w:footnoteReference w:id="50"/>
      </w:r>
      <w:r w:rsidRPr="00825E03">
        <w:rPr>
          <w:rStyle w:val="AERbody"/>
        </w:rPr>
        <w:t xml:space="preserve"> Therefore, the first mover competitive metering provider may have to pay for both an exit fee as well as the new smart meter—and bear the risk of those sunk costs if the customer decided to move to another competitive metering provider. We find that exit fees create a regulatory barrier to a market-led roll out of advanced metering. </w:t>
      </w:r>
    </w:p>
    <w:p w:rsidR="000B1D07" w:rsidRPr="00825E03" w:rsidRDefault="000B1D07" w:rsidP="000B1D07">
      <w:pPr>
        <w:rPr>
          <w:rStyle w:val="AERbody"/>
        </w:rPr>
      </w:pPr>
      <w:r w:rsidRPr="00825E03">
        <w:rPr>
          <w:rStyle w:val="AERbody"/>
        </w:rPr>
        <w:t>There are several methods of ensuring distributors can recover capital costs incurred in providing regulated metering services. After extensive consultation with stakeholders</w:t>
      </w:r>
      <w:r w:rsidRPr="00825E03">
        <w:rPr>
          <w:rStyle w:val="FootnoteReference"/>
        </w:rPr>
        <w:footnoteReference w:id="51"/>
      </w:r>
      <w:r w:rsidRPr="00825E03">
        <w:rPr>
          <w:rStyle w:val="AERbody"/>
        </w:rPr>
        <w:t xml:space="preserve">, we decided on a method that we considered best balances the </w:t>
      </w:r>
      <w:r w:rsidRPr="00825E03">
        <w:rPr>
          <w:rStyle w:val="AERbody"/>
        </w:rPr>
        <w:lastRenderedPageBreak/>
        <w:t xml:space="preserve">objectives of distributors and customers and meets regulatory objectives to promote competition in metering services. </w:t>
      </w:r>
    </w:p>
    <w:p w:rsidR="000B1D07" w:rsidRPr="00825E03" w:rsidRDefault="000B1D07" w:rsidP="000B1D07">
      <w:r w:rsidRPr="00825E03">
        <w:t>Based on economic principles, the efficient investment signal to switch to unregulated metering would be to set individual exit fees based on the remaining economic value of the individual meter associated with the customer making the decision to switch.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any remaining economic value of the existing regulated meter.</w:t>
      </w:r>
    </w:p>
    <w:p w:rsidR="000B1D07" w:rsidRPr="00825E03" w:rsidRDefault="000B1D07" w:rsidP="000B1D07">
      <w:r w:rsidRPr="00825E03">
        <w:t xml:space="preserve">Although we considered that at a theoretical level this option has merit, at a practical level it has substantial shortcomings for a range of reasons. Firstly there is limited information as most distribution businesses do not record information about asset type or age at the individual customer level. Secondly, we are not satisfied that the amount distribution businesses are entitled to recover (based on actual costs) necessarily corresponds to the remaining economic value of a meter. For example, if a meter fails, distributors are still allowed to recover the capital costs that were incurred to provide that meter originally–even though the meter is no longer in service and therefore </w:t>
      </w:r>
      <w:proofErr w:type="gramStart"/>
      <w:r w:rsidRPr="00825E03">
        <w:t>has</w:t>
      </w:r>
      <w:proofErr w:type="gramEnd"/>
      <w:r w:rsidRPr="00825E03">
        <w:t xml:space="preserve"> no economic value. Also, 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 not customers.</w:t>
      </w:r>
    </w:p>
    <w:p w:rsidR="000B1D07" w:rsidRPr="00825E03" w:rsidRDefault="000B1D07" w:rsidP="000B1D07">
      <w:pPr>
        <w:rPr>
          <w:rStyle w:val="AERbody"/>
        </w:rPr>
      </w:pPr>
      <w:r w:rsidRPr="00825E03">
        <w:rPr>
          <w:rStyle w:val="AERbody"/>
        </w:rPr>
        <w:t xml:space="preserve">We consider our </w:t>
      </w:r>
      <w:r w:rsidR="0050031D">
        <w:rPr>
          <w:rStyle w:val="AERbody"/>
        </w:rPr>
        <w:t xml:space="preserve">preliminary </w:t>
      </w:r>
      <w:r w:rsidRPr="00825E03">
        <w:rPr>
          <w:rStyle w:val="AERbody"/>
        </w:rPr>
        <w:t xml:space="preserve">decision </w:t>
      </w:r>
      <w:r w:rsidRPr="00825E03">
        <w:t>to have switching customers continue to pay for the capital costs associated with the regulated metering service</w:t>
      </w:r>
      <w:r>
        <w:t xml:space="preserve"> better </w:t>
      </w:r>
      <w:r w:rsidRPr="00825E03">
        <w:rPr>
          <w:rStyle w:val="AERbody"/>
        </w:rPr>
        <w:t xml:space="preserve">meets the regulatory objectives under the NEL and NER, than </w:t>
      </w:r>
      <w:r w:rsidR="0050031D">
        <w:rPr>
          <w:rStyle w:val="AERbody"/>
        </w:rPr>
        <w:t>Ergon Energy</w:t>
      </w:r>
      <w:r>
        <w:rPr>
          <w:rStyle w:val="AERbody"/>
        </w:rPr>
        <w:t>'s</w:t>
      </w:r>
      <w:r w:rsidRPr="00825E03">
        <w:rPr>
          <w:rStyle w:val="AERbody"/>
        </w:rPr>
        <w:t xml:space="preserve"> proposal</w:t>
      </w:r>
      <w:r>
        <w:rPr>
          <w:rStyle w:val="AERbody"/>
        </w:rPr>
        <w:t xml:space="preserve">. </w:t>
      </w:r>
      <w:r w:rsidRPr="00825E03">
        <w:rPr>
          <w:rStyle w:val="AERbody"/>
        </w:rPr>
        <w:t>We considered:</w:t>
      </w:r>
    </w:p>
    <w:p w:rsidR="000B1D07" w:rsidRPr="00825E03" w:rsidRDefault="000B1D07" w:rsidP="000B1D07">
      <w:pPr>
        <w:pStyle w:val="AERbulletlistfirststyle"/>
      </w:pPr>
      <w:r w:rsidRPr="00825E03">
        <w:t xml:space="preserve">Impact on competition </w:t>
      </w:r>
    </w:p>
    <w:p w:rsidR="000B1D07" w:rsidRPr="001F196E" w:rsidRDefault="000B1D07" w:rsidP="000B1D07">
      <w:pPr>
        <w:pStyle w:val="AERbulletlistsecondstyle"/>
        <w:rPr>
          <w:rStyle w:val="AERbody"/>
        </w:rPr>
      </w:pPr>
      <w:r w:rsidRPr="001F196E">
        <w:rPr>
          <w:rStyle w:val="AERbody"/>
        </w:rPr>
        <w:t xml:space="preserve">Our preliminary decision removes the upfront exit fee which was identified as the primary barrier to competitive entry by stakeholders </w:t>
      </w:r>
    </w:p>
    <w:p w:rsidR="000B1D07" w:rsidRPr="001F196E" w:rsidRDefault="000B1D07" w:rsidP="000B1D07">
      <w:pPr>
        <w:pStyle w:val="AERbulletlistsecondstyle"/>
        <w:rPr>
          <w:rStyle w:val="AERbody"/>
        </w:rPr>
      </w:pPr>
      <w:r w:rsidRPr="001F196E">
        <w:rPr>
          <w:rStyle w:val="AERbody"/>
        </w:rPr>
        <w:t>Our preliminary decision removes concerns about first mover disadvantage that would arise if the first mover had to pay the upfront exit fee and risk being undercut by another competitive provider that does not fa</w:t>
      </w:r>
      <w:r w:rsidR="004B5317">
        <w:rPr>
          <w:rStyle w:val="AERbody"/>
        </w:rPr>
        <w:t>ce the exit fee. Under the preliminary</w:t>
      </w:r>
      <w:r w:rsidRPr="001F196E">
        <w:rPr>
          <w:rStyle w:val="AERbody"/>
        </w:rPr>
        <w:t xml:space="preserve"> decision, the customer is charged the capital component of the regulated annual metering charge directly.  </w:t>
      </w:r>
    </w:p>
    <w:p w:rsidR="000B1D07" w:rsidRPr="00825E03" w:rsidRDefault="000B1D07" w:rsidP="000B1D07">
      <w:pPr>
        <w:pStyle w:val="AERbulletlistfirststyle"/>
      </w:pPr>
      <w:r w:rsidRPr="00825E03">
        <w:t>Administrative simplicity</w:t>
      </w:r>
    </w:p>
    <w:p w:rsidR="000B1D07" w:rsidRPr="00825E03" w:rsidRDefault="000B1D07" w:rsidP="000B1D07">
      <w:pPr>
        <w:pStyle w:val="AERbulletlistsecondstyle"/>
      </w:pPr>
      <w:r>
        <w:t xml:space="preserve">Our preliminary </w:t>
      </w:r>
      <w:r w:rsidRPr="00825E03">
        <w:t xml:space="preserve">decision makes use of existing information that </w:t>
      </w:r>
      <w:r w:rsidR="0050031D">
        <w:t>Ergon Energy</w:t>
      </w:r>
      <w:r w:rsidRPr="00825E03">
        <w:t xml:space="preserve"> has, rather than relying on further information on the remaining </w:t>
      </w:r>
      <w:r w:rsidRPr="00825E03">
        <w:lastRenderedPageBreak/>
        <w:t>economic or technical life of individual metering assets which would be difficult to determine.</w:t>
      </w:r>
    </w:p>
    <w:p w:rsidR="000B1D07" w:rsidRPr="00825E03" w:rsidRDefault="000B1D07" w:rsidP="000B1D07">
      <w:pPr>
        <w:pStyle w:val="AERbulletlistfirststyle"/>
      </w:pPr>
      <w:r w:rsidRPr="00825E03">
        <w:t>The directly attributed cost to minimise cross subsidies</w:t>
      </w:r>
    </w:p>
    <w:p w:rsidR="000B1D07" w:rsidRPr="00825E03" w:rsidRDefault="000B1D07" w:rsidP="000B1D07">
      <w:pPr>
        <w:pStyle w:val="AERbulletlistsecondstyle"/>
      </w:pPr>
      <w:r w:rsidRPr="00825E03">
        <w:t xml:space="preserve">Our </w:t>
      </w:r>
      <w:r>
        <w:t xml:space="preserve">preliminary </w:t>
      </w:r>
      <w:r w:rsidRPr="00825E03">
        <w:t xml:space="preserve">decision involves continuing to charge switching customers an ongoing regulated annual charge to recover metering capital costs associated with their past regulated metering service. We considered whether it was appropriate to continue to charge a regulated annual charge when a customer is no longer receiving an active regulated metering service. We consider that it is appropriate to charge switched customers for fixed capital costs associated with their past regulated metering services because 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pricing principles </w:t>
      </w:r>
    </w:p>
    <w:p w:rsidR="000B1D07" w:rsidRPr="00825E03" w:rsidRDefault="000B1D07" w:rsidP="000B1D07">
      <w:pPr>
        <w:pStyle w:val="AERbulletlistsecondstyle"/>
      </w:pPr>
      <w:r w:rsidRPr="00825E03">
        <w:t xml:space="preserve">Under our </w:t>
      </w:r>
      <w:r>
        <w:t>preliminary</w:t>
      </w:r>
      <w:r w:rsidRPr="00825E03">
        <w:t xml:space="preserve"> decision, only customers at premises which currently or previously had a type 5 or 6 metering service will be paying for the capital costs incurred in providing type 5 and 6 metering services </w:t>
      </w:r>
    </w:p>
    <w:p w:rsidR="000B1D07" w:rsidRPr="00825E03" w:rsidRDefault="000B1D07" w:rsidP="000B1D07">
      <w:pPr>
        <w:pStyle w:val="AERbulletlistsecondstyle"/>
      </w:pPr>
      <w:r w:rsidRPr="00825E03">
        <w:t xml:space="preserve">Nonetheless, our </w:t>
      </w:r>
      <w:r>
        <w:t xml:space="preserve">preliminary </w:t>
      </w:r>
      <w:r w:rsidRPr="00825E03">
        <w:t xml:space="preserve">decision still involves some cross subsidy. This is because the capital component of the annual charge is based on the average depreciated value of the MAB. We consider this is appropriate given that we do not have granular information on the customer's specific meter asset type or age </w:t>
      </w:r>
    </w:p>
    <w:p w:rsidR="000B1D07" w:rsidRPr="00825E03" w:rsidRDefault="000B1D07" w:rsidP="000B1D07">
      <w:pPr>
        <w:pStyle w:val="AERbulletlistsecondstyle"/>
      </w:pPr>
      <w:r w:rsidRPr="00825E03">
        <w:t>Another form of cross subsidy is that the regulated annual charge (capital) a switching customer will pay for includes some recovery of forecast replacement capital expenditure that is not linked to the switched customer's past regulated metering service. The opening MAB value is based on past capital expenditure. The MAB is not forecast to grow much because from 1 July 2015, all new and upgraded meters will be paid for upfront and will therefore not be included in the MAB. However, some forecast capital expenditure relating to replacement meters will be added to the MAB.</w:t>
      </w:r>
      <w:r w:rsidRPr="00825E03">
        <w:rPr>
          <w:rStyle w:val="FootnoteReference"/>
        </w:rPr>
        <w:footnoteReference w:id="52"/>
      </w:r>
      <w:r w:rsidRPr="00825E03">
        <w:t xml:space="preserve"> However, this is expected to be an interim issue as it is likely that distributors will not be able to install replacement meters after the metering rule change comes into effect on 1 July 2017</w:t>
      </w:r>
      <w:r w:rsidRPr="00825E03">
        <w:rPr>
          <w:rStyle w:val="FootnoteReference"/>
        </w:rPr>
        <w:footnoteReference w:id="53"/>
      </w:r>
      <w:r w:rsidRPr="00825E03">
        <w:t xml:space="preserve"> </w:t>
      </w:r>
    </w:p>
    <w:p w:rsidR="000B1D07" w:rsidRPr="00825E03" w:rsidRDefault="000B1D07" w:rsidP="000B1D07">
      <w:pPr>
        <w:pStyle w:val="AERbulletlistsecondstyle"/>
      </w:pPr>
      <w:r w:rsidRPr="00825E03">
        <w:t xml:space="preserve">Our </w:t>
      </w:r>
      <w:r w:rsidR="0050031D">
        <w:t xml:space="preserve">preliminary </w:t>
      </w:r>
      <w:r w:rsidRPr="00825E03">
        <w:t xml:space="preserve">decision to charge for new and upgraded meters upfront removes the risk of future cross subsidy. This is because by charging capital costs upfront, it is directly attributed and paid for by the customer choosing </w:t>
      </w:r>
      <w:r w:rsidRPr="00825E03">
        <w:lastRenderedPageBreak/>
        <w:t xml:space="preserve">to install that meter. There is no risk of metering capital costs becoming stranded. </w:t>
      </w:r>
    </w:p>
    <w:p w:rsidR="000B1D07" w:rsidRPr="004526EE" w:rsidRDefault="000B1D07" w:rsidP="000B1D07">
      <w:pPr>
        <w:pStyle w:val="Heading4"/>
      </w:pPr>
      <w:bookmarkStart w:id="98" w:name="_Ref417643815"/>
      <w:r w:rsidRPr="004526EE">
        <w:t>Annual metering services</w:t>
      </w:r>
      <w:bookmarkEnd w:id="97"/>
      <w:bookmarkEnd w:id="98"/>
    </w:p>
    <w:p w:rsidR="000B1D07" w:rsidRPr="004526EE" w:rsidRDefault="000B1D07" w:rsidP="000B1D07">
      <w:r w:rsidRPr="004526EE">
        <w:t xml:space="preserve">Our preliminary decision is to not accept Ergon Energy's total proposed building block requirement for annual metering services. We accept a building block approach to setting charges but not the following components of Ergon Energy's proposal: </w:t>
      </w:r>
    </w:p>
    <w:p w:rsidR="000B1D07" w:rsidRPr="004526EE" w:rsidRDefault="000B1D07" w:rsidP="000B1D07">
      <w:pPr>
        <w:pStyle w:val="AERbulletlistfirststyle"/>
      </w:pPr>
      <w:r w:rsidRPr="004526EE">
        <w:t>capex</w:t>
      </w:r>
    </w:p>
    <w:p w:rsidR="000B1D07" w:rsidRPr="004526EE" w:rsidRDefault="000B1D07" w:rsidP="000B1D07">
      <w:pPr>
        <w:pStyle w:val="AERbulletlistfirststyle"/>
      </w:pPr>
      <w:proofErr w:type="spellStart"/>
      <w:r w:rsidRPr="004526EE">
        <w:t>opex</w:t>
      </w:r>
      <w:proofErr w:type="spellEnd"/>
    </w:p>
    <w:p w:rsidR="000B1D07" w:rsidRPr="004526EE" w:rsidRDefault="000B1D07" w:rsidP="000B1D07">
      <w:pPr>
        <w:pStyle w:val="AERbulletlistfirststyle"/>
      </w:pPr>
      <w:proofErr w:type="gramStart"/>
      <w:r w:rsidRPr="004526EE">
        <w:t>opening</w:t>
      </w:r>
      <w:proofErr w:type="gramEnd"/>
      <w:r w:rsidRPr="004526EE">
        <w:t xml:space="preserve"> metering RAB.</w:t>
      </w:r>
    </w:p>
    <w:p w:rsidR="000B1D07" w:rsidRPr="004526EE" w:rsidRDefault="000B1D07" w:rsidP="000B1D07">
      <w:r w:rsidRPr="004526EE">
        <w:t xml:space="preserve">This has led us to reject Ergon Energy's proposed annual metering service charges. Our alternative price caps are set out in appendix </w:t>
      </w:r>
      <w:r>
        <w:rPr>
          <w:rStyle w:val="AERbody"/>
        </w:rPr>
        <w:t>A</w:t>
      </w:r>
      <w:r w:rsidRPr="004526EE">
        <w:t xml:space="preserve">. </w:t>
      </w:r>
    </w:p>
    <w:p w:rsidR="000B1D07" w:rsidRPr="000B1D07" w:rsidRDefault="000B1D07" w:rsidP="000B1D07">
      <w:pPr>
        <w:pStyle w:val="Heading5"/>
      </w:pPr>
      <w:bookmarkStart w:id="99" w:name="_Toc416972031"/>
      <w:r w:rsidRPr="004526EE">
        <w:t>Opening metering asset base</w:t>
      </w:r>
      <w:bookmarkEnd w:id="99"/>
    </w:p>
    <w:p w:rsidR="000B1D07" w:rsidRPr="000B1D07" w:rsidRDefault="000B1D07" w:rsidP="004B5317">
      <w:r w:rsidRPr="004526EE">
        <w:t xml:space="preserve">Our preliminary decision is to approve an opening </w:t>
      </w:r>
      <w:r w:rsidRPr="000B1D07">
        <w:t xml:space="preserve">MAB value as at 1 July 2015 of $60.7 million compared to </w:t>
      </w:r>
      <w:r w:rsidR="0050031D">
        <w:t>Ergon Energy</w:t>
      </w:r>
      <w:r w:rsidRPr="000B1D07">
        <w:t xml:space="preserve">'s proposed $61.6 million ($nominal). </w:t>
      </w:r>
    </w:p>
    <w:p w:rsidR="000B1D07" w:rsidRPr="000B1D07" w:rsidRDefault="000B1D07" w:rsidP="004B5317">
      <w:r w:rsidRPr="004526EE">
        <w:t xml:space="preserve">To calculate the opening MAB, we reclassified metering assets from standard to alternative control services. This is consistent with our F&amp;A service </w:t>
      </w:r>
      <w:r w:rsidRPr="000B1D07">
        <w:t>classification.</w:t>
      </w:r>
      <w:r w:rsidRPr="000B1D07">
        <w:rPr>
          <w:rStyle w:val="FootnoteReference"/>
        </w:rPr>
        <w:footnoteReference w:id="54"/>
      </w:r>
      <w:r w:rsidRPr="000B1D07">
        <w:t xml:space="preserve"> Ergon Energy's proposal also moved meters from its standard control services RAB. However, to correct an error in the remaining asset lives, we have made a small change to the amount moved over to the opening MAB value. For more information, see attachment 2.</w:t>
      </w:r>
    </w:p>
    <w:p w:rsidR="000B1D07" w:rsidRPr="000B1D07" w:rsidRDefault="000B1D07" w:rsidP="000B1D07">
      <w:pPr>
        <w:pStyle w:val="Heading5"/>
      </w:pPr>
      <w:bookmarkStart w:id="100" w:name="_Toc416972032"/>
      <w:r w:rsidRPr="004526EE">
        <w:t>Depreciation</w:t>
      </w:r>
      <w:bookmarkEnd w:id="100"/>
    </w:p>
    <w:p w:rsidR="000B1D07" w:rsidRPr="000B1D07" w:rsidRDefault="000B1D07" w:rsidP="004B5317">
      <w:r w:rsidRPr="004526EE">
        <w:t xml:space="preserve">Our preliminary decision accepts a standard asset </w:t>
      </w:r>
      <w:r w:rsidRPr="000B1D07">
        <w:t>lives of 15 years. This is instead of Ergon Energy's proposal to apply accelerated depreciation of 3 years for newly installed meters and 5 years for pre-existing metering assets.</w:t>
      </w:r>
      <w:r w:rsidRPr="000B1D07">
        <w:rPr>
          <w:rStyle w:val="FootnoteReference"/>
        </w:rPr>
        <w:footnoteReference w:id="55"/>
      </w:r>
      <w:r w:rsidRPr="000B1D07">
        <w:t xml:space="preserve"> </w:t>
      </w:r>
    </w:p>
    <w:p w:rsidR="000B1D07" w:rsidRPr="000B1D07" w:rsidRDefault="000B1D07" w:rsidP="004B5317">
      <w:r w:rsidRPr="004526EE">
        <w:t>In support of its proposal for accelerated depreciation, Ergon Energy stated that its approach would assist in minimising the risk of stranded assets following the opening up of competition in metering.</w:t>
      </w:r>
      <w:r w:rsidRPr="000B1D07">
        <w:rPr>
          <w:rStyle w:val="FootnoteReference"/>
        </w:rPr>
        <w:footnoteReference w:id="56"/>
      </w:r>
      <w:r w:rsidRPr="000B1D07">
        <w:t xml:space="preserve"> We do not, however, accept that this risk is significant enough to warrant the proposed asset lives. The Queensland Council of Social Services shared this position, noting that </w:t>
      </w:r>
      <w:r w:rsidR="0050031D">
        <w:t>Ergon Energy</w:t>
      </w:r>
      <w:r w:rsidRPr="000B1D07">
        <w:t xml:space="preserve"> proposed 15 year for its assets. It continued:</w:t>
      </w:r>
    </w:p>
    <w:p w:rsidR="000B1D07" w:rsidRPr="004526EE" w:rsidRDefault="000B1D07" w:rsidP="000B1D07">
      <w:pPr>
        <w:pStyle w:val="AERquote"/>
      </w:pPr>
      <w:r w:rsidRPr="004526EE">
        <w:t xml:space="preserve">While QCOSS recognises that smart meters may render existing accumulation meters obsolete prior to the end of their standard life, QCOSS considers </w:t>
      </w:r>
      <w:r w:rsidR="0050031D">
        <w:t xml:space="preserve">Ergon </w:t>
      </w:r>
      <w:proofErr w:type="spellStart"/>
      <w:r w:rsidR="0050031D">
        <w:t>Energy'</w:t>
      </w:r>
      <w:r w:rsidRPr="004526EE">
        <w:t>’s</w:t>
      </w:r>
      <w:proofErr w:type="spellEnd"/>
      <w:r w:rsidRPr="004526EE">
        <w:t xml:space="preserve"> approach [to depreciation] much more reasonable. Furthermore, </w:t>
      </w:r>
      <w:r w:rsidRPr="004526EE">
        <w:lastRenderedPageBreak/>
        <w:t>competition in metering services is likely to emerge in Southeast Queensland [Energex’s distribution area] at a faster rate than in regional Queensland [Ergon Energy’s distribution area].</w:t>
      </w:r>
      <w:r w:rsidRPr="004526EE">
        <w:rPr>
          <w:rStyle w:val="FootnoteReference"/>
        </w:rPr>
        <w:footnoteReference w:id="57"/>
      </w:r>
    </w:p>
    <w:p w:rsidR="000B1D07" w:rsidRPr="000B1D07" w:rsidRDefault="000B1D07" w:rsidP="004B5317">
      <w:r w:rsidRPr="004526EE">
        <w:t xml:space="preserve">We agree with QCOSS’ submission. For both newly installed and pre–existing meters, we have </w:t>
      </w:r>
      <w:r w:rsidRPr="000B1D07">
        <w:t xml:space="preserve">substituted Ergon Energy’s proposed standard asset life proposal with 15 years. We have selected 15 years because this is the expected technical lifetime of the meters. We also have corrected a minor error in Ergon Energy’s proposal, leading to a small change in the remaining asset lives of its metering assets. For more information about that adjustment, see attachment 2. </w:t>
      </w:r>
    </w:p>
    <w:p w:rsidR="000B1D07" w:rsidRPr="000B1D07" w:rsidRDefault="000B1D07" w:rsidP="004B5317">
      <w:r w:rsidRPr="004526EE">
        <w:t xml:space="preserve">We confirm that forecast, as opposed to </w:t>
      </w:r>
      <w:proofErr w:type="gramStart"/>
      <w:r w:rsidRPr="004526EE">
        <w:t>actual,</w:t>
      </w:r>
      <w:proofErr w:type="gramEnd"/>
      <w:r w:rsidRPr="004526EE">
        <w:t xml:space="preserve"> depreciation will apply to determining Ergon Energy’s opening MAB at the commencement of the 2015–20 regulatory control period. This is consistent with our preliminary decision for standard control services.</w:t>
      </w:r>
    </w:p>
    <w:p w:rsidR="000B1D07" w:rsidRPr="000B1D07" w:rsidRDefault="000B1D07" w:rsidP="000B1D07">
      <w:pPr>
        <w:pStyle w:val="Heading5"/>
      </w:pPr>
      <w:bookmarkStart w:id="101" w:name="_Toc416972033"/>
      <w:r w:rsidRPr="004526EE">
        <w:t>Capex building block</w:t>
      </w:r>
      <w:bookmarkEnd w:id="101"/>
    </w:p>
    <w:p w:rsidR="000B1D07" w:rsidRPr="004526EE" w:rsidRDefault="000B1D07" w:rsidP="000B1D07">
      <w:r w:rsidRPr="004526EE">
        <w:t xml:space="preserve">Our preliminary decision accepts $51.3 million in capex for annual metering services compared to Ergon Energy's proposed $129.1 million (2014–15). </w:t>
      </w:r>
    </w:p>
    <w:p w:rsidR="000B1D07" w:rsidRPr="004526EE" w:rsidRDefault="000B1D07" w:rsidP="000B1D07">
      <w:r w:rsidRPr="004526EE">
        <w:t xml:space="preserve">When considering direct costs only, most of the capex we have not approved in our preliminary decision (71 percent or </w:t>
      </w:r>
      <w:r>
        <w:t>$35.7</w:t>
      </w:r>
      <w:r w:rsidRPr="00262988">
        <w:rPr>
          <w:rStyle w:val="AERbody"/>
        </w:rPr>
        <w:t xml:space="preserve"> </w:t>
      </w:r>
      <w:r w:rsidRPr="004526EE">
        <w:t>million) relates to moving the cost recovery of two services within 'customer initiated works' category.</w:t>
      </w:r>
      <w:r w:rsidRPr="004526EE">
        <w:rPr>
          <w:rStyle w:val="FootnoteReference"/>
        </w:rPr>
        <w:footnoteReference w:id="58"/>
      </w:r>
      <w:r w:rsidRPr="004526EE">
        <w:t xml:space="preserve"> These are new connections and metering alterations and additions. Our preliminary decision moves the cost recovery of these services from the annual metering charge to upfront payments, made by customers directly to Ergon Energy. As such, Ergon Energy should still recover its costs associated with these customer initiated works; however, this will occur via a different capitalisation policy. </w:t>
      </w:r>
    </w:p>
    <w:p w:rsidR="000B1D07" w:rsidRPr="004526EE" w:rsidRDefault="000B1D07" w:rsidP="000B1D07">
      <w:r w:rsidRPr="004526EE">
        <w:fldChar w:fldCharType="begin"/>
      </w:r>
      <w:r w:rsidRPr="004526EE">
        <w:instrText xml:space="preserve"> REF _Ref415226744 \h </w:instrText>
      </w:r>
      <w:r w:rsidRPr="004526EE">
        <w:fldChar w:fldCharType="separate"/>
      </w:r>
      <w:r w:rsidR="00F16AE7" w:rsidRPr="004526EE">
        <w:t xml:space="preserve">Table </w:t>
      </w:r>
      <w:r w:rsidR="00F16AE7">
        <w:rPr>
          <w:noProof/>
        </w:rPr>
        <w:t>16</w:t>
      </w:r>
      <w:r w:rsidR="00F16AE7">
        <w:t>.</w:t>
      </w:r>
      <w:r w:rsidR="00F16AE7">
        <w:rPr>
          <w:noProof/>
        </w:rPr>
        <w:t>12</w:t>
      </w:r>
      <w:r w:rsidRPr="004526EE">
        <w:fldChar w:fldCharType="end"/>
      </w:r>
      <w:r w:rsidRPr="004526EE">
        <w:t xml:space="preserve"> sets out Ergon Energy's proposed capex and our preliminary decision on each cost category. The adjustment we made to Ergon Energy's indirect costs (overheads) was made in proportion to our substitute for direct costs. It therefore reflects our reallocation of some costs associated with customer initiated works, from the annual metering charge to upfront payments. </w:t>
      </w:r>
    </w:p>
    <w:p w:rsidR="000B1D07" w:rsidRPr="004526EE" w:rsidRDefault="000B1D07" w:rsidP="000B1D07">
      <w:pPr>
        <w:pStyle w:val="Caption"/>
      </w:pPr>
      <w:bookmarkStart w:id="102" w:name="_Ref415226744"/>
      <w:proofErr w:type="gramStart"/>
      <w:r w:rsidRPr="004526EE">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12</w:t>
      </w:r>
      <w:r w:rsidR="00F5521C">
        <w:fldChar w:fldCharType="end"/>
      </w:r>
      <w:bookmarkEnd w:id="102"/>
      <w:r w:rsidRPr="004526EE">
        <w:tab/>
        <w:t xml:space="preserve">Historical, proposed and substitute capex for metering annual services ($ million 2014–15) </w:t>
      </w:r>
    </w:p>
    <w:tbl>
      <w:tblPr>
        <w:tblStyle w:val="AERtable-numbers"/>
        <w:tblW w:w="0" w:type="auto"/>
        <w:tblLook w:val="04A0" w:firstRow="1" w:lastRow="0" w:firstColumn="1" w:lastColumn="0" w:noHBand="0" w:noVBand="1"/>
      </w:tblPr>
      <w:tblGrid>
        <w:gridCol w:w="2128"/>
        <w:gridCol w:w="1024"/>
        <w:gridCol w:w="1338"/>
        <w:gridCol w:w="1398"/>
        <w:gridCol w:w="1398"/>
        <w:gridCol w:w="1407"/>
      </w:tblGrid>
      <w:tr w:rsidR="000B1D07" w:rsidTr="001659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8" w:type="dxa"/>
          </w:tcPr>
          <w:p w:rsidR="000B1D07" w:rsidRPr="004526EE" w:rsidRDefault="000B1D07" w:rsidP="000B1D07"/>
        </w:tc>
        <w:tc>
          <w:tcPr>
            <w:tcW w:w="1024"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2010–15</w:t>
            </w:r>
          </w:p>
        </w:tc>
        <w:tc>
          <w:tcPr>
            <w:tcW w:w="1338"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Proposed</w:t>
            </w:r>
          </w:p>
        </w:tc>
        <w:tc>
          <w:tcPr>
            <w:tcW w:w="1398"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Unit cost adjustment</w:t>
            </w:r>
          </w:p>
        </w:tc>
        <w:tc>
          <w:tcPr>
            <w:tcW w:w="1398"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Volume adjustment</w:t>
            </w:r>
          </w:p>
        </w:tc>
        <w:tc>
          <w:tcPr>
            <w:tcW w:w="1407"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Preliminary decision</w:t>
            </w:r>
          </w:p>
        </w:tc>
      </w:tr>
      <w:tr w:rsidR="000B1D07" w:rsidTr="0050031D">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r w:rsidRPr="004526EE">
              <w:t>New</w:t>
            </w:r>
            <w:r w:rsidRPr="000B1D07">
              <w:t xml:space="preserve"> connections</w:t>
            </w:r>
          </w:p>
        </w:tc>
        <w:tc>
          <w:tcPr>
            <w:tcW w:w="1024"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14.7</w:t>
            </w:r>
          </w:p>
        </w:tc>
        <w:tc>
          <w:tcPr>
            <w:tcW w:w="13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16.6</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0.0</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16.6</w:t>
            </w:r>
          </w:p>
        </w:tc>
        <w:tc>
          <w:tcPr>
            <w:tcW w:w="1407"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0.0</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r w:rsidRPr="004526EE">
              <w:t>Alterations and additions</w:t>
            </w:r>
          </w:p>
        </w:tc>
        <w:tc>
          <w:tcPr>
            <w:tcW w:w="1024"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29.7</w:t>
            </w:r>
          </w:p>
        </w:tc>
        <w:tc>
          <w:tcPr>
            <w:tcW w:w="133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19.1</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19.1</w:t>
            </w:r>
          </w:p>
        </w:tc>
        <w:tc>
          <w:tcPr>
            <w:tcW w:w="1407"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r>
      <w:tr w:rsidR="000B1D07" w:rsidTr="0050031D">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r w:rsidRPr="004526EE">
              <w:lastRenderedPageBreak/>
              <w:t>Corrective maintenance</w:t>
            </w:r>
          </w:p>
        </w:tc>
        <w:tc>
          <w:tcPr>
            <w:tcW w:w="1024"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7.7</w:t>
            </w:r>
          </w:p>
        </w:tc>
        <w:tc>
          <w:tcPr>
            <w:tcW w:w="13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7.8</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0.0</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0.0</w:t>
            </w:r>
          </w:p>
        </w:tc>
        <w:tc>
          <w:tcPr>
            <w:tcW w:w="1407"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7.8</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pPr>
              <w:rPr>
                <w:rStyle w:val="Strong"/>
              </w:rPr>
            </w:pPr>
            <w:r w:rsidRPr="004526EE">
              <w:rPr>
                <w:rStyle w:val="Strong"/>
              </w:rPr>
              <w:t>Customer initiated works</w:t>
            </w:r>
          </w:p>
        </w:tc>
        <w:tc>
          <w:tcPr>
            <w:tcW w:w="1024" w:type="dxa"/>
          </w:tcPr>
          <w:p w:rsidR="000B1D07" w:rsidRPr="004526EE" w:rsidRDefault="000B1D07" w:rsidP="000B1D07">
            <w:pPr>
              <w:cnfStyle w:val="000000010000" w:firstRow="0" w:lastRow="0" w:firstColumn="0" w:lastColumn="0" w:oddVBand="0" w:evenVBand="0" w:oddHBand="0" w:evenHBand="1" w:firstRowFirstColumn="0" w:firstRowLastColumn="0" w:lastRowFirstColumn="0" w:lastRowLastColumn="0"/>
              <w:rPr>
                <w:rStyle w:val="Strong"/>
              </w:rPr>
            </w:pPr>
          </w:p>
        </w:tc>
        <w:tc>
          <w:tcPr>
            <w:tcW w:w="133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rPr>
                <w:rStyle w:val="Strong"/>
              </w:rPr>
            </w:pPr>
            <w:r w:rsidRPr="004526EE">
              <w:rPr>
                <w:rStyle w:val="Strong"/>
              </w:rPr>
              <w:t>43.5</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rPr>
                <w:rStyle w:val="Strong"/>
              </w:rPr>
            </w:pPr>
            <w:r w:rsidRPr="004526EE">
              <w:rPr>
                <w:rStyle w:val="Strong"/>
              </w:rPr>
              <w:t>0.0</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rPr>
                <w:rStyle w:val="Strong"/>
              </w:rPr>
            </w:pPr>
            <w:r w:rsidRPr="004526EE">
              <w:rPr>
                <w:rStyle w:val="Strong"/>
              </w:rPr>
              <w:t>35.7</w:t>
            </w:r>
          </w:p>
        </w:tc>
        <w:tc>
          <w:tcPr>
            <w:tcW w:w="1407"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rPr>
                <w:rStyle w:val="Strong"/>
              </w:rPr>
            </w:pPr>
            <w:r w:rsidRPr="004526EE">
              <w:rPr>
                <w:rStyle w:val="Strong"/>
              </w:rPr>
              <w:t>7.8</w:t>
            </w:r>
          </w:p>
        </w:tc>
      </w:tr>
      <w:tr w:rsidR="000B1D07" w:rsidTr="0050031D">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r w:rsidRPr="004526EE">
              <w:t>Replacement</w:t>
            </w:r>
          </w:p>
        </w:tc>
        <w:tc>
          <w:tcPr>
            <w:tcW w:w="1024"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3.9</w:t>
            </w:r>
          </w:p>
        </w:tc>
        <w:tc>
          <w:tcPr>
            <w:tcW w:w="13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36.5</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0.0</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14.4</w:t>
            </w:r>
          </w:p>
        </w:tc>
        <w:tc>
          <w:tcPr>
            <w:tcW w:w="1407"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22.1</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r w:rsidRPr="004526EE">
              <w:t>Other system</w:t>
            </w:r>
          </w:p>
        </w:tc>
        <w:tc>
          <w:tcPr>
            <w:tcW w:w="1024"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c>
          <w:tcPr>
            <w:tcW w:w="133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2.7</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c>
          <w:tcPr>
            <w:tcW w:w="1407"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2.7</w:t>
            </w:r>
          </w:p>
        </w:tc>
      </w:tr>
      <w:tr w:rsidR="000B1D07" w:rsidTr="0050031D">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pPr>
              <w:rPr>
                <w:rStyle w:val="Strong"/>
              </w:rPr>
            </w:pPr>
            <w:r w:rsidRPr="004526EE">
              <w:rPr>
                <w:rStyle w:val="Strong"/>
              </w:rPr>
              <w:t xml:space="preserve">Total </w:t>
            </w:r>
            <w:r w:rsidRPr="000B1D07">
              <w:rPr>
                <w:rStyle w:val="Strong"/>
              </w:rPr>
              <w:t>direct costs</w:t>
            </w:r>
          </w:p>
        </w:tc>
        <w:tc>
          <w:tcPr>
            <w:tcW w:w="1024"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56.0</w:t>
            </w:r>
          </w:p>
        </w:tc>
        <w:tc>
          <w:tcPr>
            <w:tcW w:w="13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82.7</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0.0</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50.1</w:t>
            </w:r>
          </w:p>
        </w:tc>
        <w:tc>
          <w:tcPr>
            <w:tcW w:w="1407"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32.6</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r w:rsidRPr="004526EE">
              <w:t>Overheads</w:t>
            </w:r>
          </w:p>
        </w:tc>
        <w:tc>
          <w:tcPr>
            <w:tcW w:w="1024"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c>
          <w:tcPr>
            <w:tcW w:w="133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46.4</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0.0</w:t>
            </w:r>
          </w:p>
        </w:tc>
        <w:tc>
          <w:tcPr>
            <w:tcW w:w="13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28.1</w:t>
            </w:r>
          </w:p>
        </w:tc>
        <w:tc>
          <w:tcPr>
            <w:tcW w:w="1407"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18.3</w:t>
            </w:r>
          </w:p>
        </w:tc>
      </w:tr>
      <w:tr w:rsidR="000B1D07" w:rsidTr="0050031D">
        <w:tc>
          <w:tcPr>
            <w:cnfStyle w:val="001000000000" w:firstRow="0" w:lastRow="0" w:firstColumn="1" w:lastColumn="0" w:oddVBand="0" w:evenVBand="0" w:oddHBand="0" w:evenHBand="0" w:firstRowFirstColumn="0" w:firstRowLastColumn="0" w:lastRowFirstColumn="0" w:lastRowLastColumn="0"/>
            <w:tcW w:w="2128" w:type="dxa"/>
          </w:tcPr>
          <w:p w:rsidR="000B1D07" w:rsidRPr="000B1D07" w:rsidRDefault="000B1D07" w:rsidP="000B1D07">
            <w:pPr>
              <w:rPr>
                <w:rStyle w:val="Strong"/>
              </w:rPr>
            </w:pPr>
            <w:r w:rsidRPr="004526EE">
              <w:rPr>
                <w:rStyle w:val="Strong"/>
              </w:rPr>
              <w:t>Total</w:t>
            </w:r>
          </w:p>
        </w:tc>
        <w:tc>
          <w:tcPr>
            <w:tcW w:w="1024"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56.0</w:t>
            </w:r>
          </w:p>
        </w:tc>
        <w:tc>
          <w:tcPr>
            <w:tcW w:w="13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129.1</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0.0</w:t>
            </w:r>
          </w:p>
        </w:tc>
        <w:tc>
          <w:tcPr>
            <w:tcW w:w="13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78.2</w:t>
            </w:r>
          </w:p>
        </w:tc>
        <w:tc>
          <w:tcPr>
            <w:tcW w:w="1407"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rPr>
                <w:rStyle w:val="Strong"/>
              </w:rPr>
            </w:pPr>
            <w:r w:rsidRPr="004526EE">
              <w:rPr>
                <w:rStyle w:val="Strong"/>
              </w:rPr>
              <w:t>51.3</w:t>
            </w:r>
          </w:p>
        </w:tc>
      </w:tr>
    </w:tbl>
    <w:p w:rsidR="000B1D07" w:rsidRPr="000B1D07" w:rsidRDefault="000B1D07" w:rsidP="000B1D07">
      <w:pPr>
        <w:pStyle w:val="Heading5"/>
      </w:pPr>
      <w:bookmarkStart w:id="103" w:name="_Toc416972034"/>
      <w:r w:rsidRPr="004526EE">
        <w:t>Unit costs</w:t>
      </w:r>
      <w:bookmarkEnd w:id="103"/>
    </w:p>
    <w:p w:rsidR="000B1D07" w:rsidRPr="000B1D07" w:rsidRDefault="000B1D07" w:rsidP="000B1D07">
      <w:pPr>
        <w:pStyle w:val="Heading6"/>
      </w:pPr>
      <w:bookmarkStart w:id="104" w:name="_Toc416972035"/>
      <w:r w:rsidRPr="004526EE">
        <w:t>Material unit costs</w:t>
      </w:r>
      <w:bookmarkEnd w:id="104"/>
    </w:p>
    <w:p w:rsidR="000B1D07" w:rsidRPr="004526EE" w:rsidRDefault="000B1D07" w:rsidP="000B1D07">
      <w:r w:rsidRPr="004526EE">
        <w:t>We accept Ergon Energy's proposed material unit costs. In reaching this preliminary decision, we took into account the jurisdictional requirements for which Ergon Energy must comply. We also assessed the proposed material unit costs against the market ranges our consultant, Marsden Jacob Associates, observed.</w:t>
      </w:r>
    </w:p>
    <w:p w:rsidR="000B1D07" w:rsidRPr="004526EE" w:rsidRDefault="000B1D07" w:rsidP="000B1D07">
      <w:r w:rsidRPr="004526EE">
        <w:t xml:space="preserve">In Queensland, jurisdictional requirements specify that Ergon Energy must install </w:t>
      </w:r>
      <w:r>
        <w:t>t</w:t>
      </w:r>
      <w:r w:rsidRPr="004526EE">
        <w:t>ype 5 interval meters. These meters m</w:t>
      </w:r>
      <w:r>
        <w:t>ust be upgradable for use in a t</w:t>
      </w:r>
      <w:r w:rsidRPr="004526EE">
        <w:t>ype 4 smart metering installation.</w:t>
      </w:r>
      <w:r w:rsidRPr="004526EE">
        <w:rPr>
          <w:rStyle w:val="FootnoteReference"/>
        </w:rPr>
        <w:footnoteReference w:id="59"/>
      </w:r>
      <w:r w:rsidRPr="004526EE">
        <w:t xml:space="preserve"> Until upgraded, the interval meters</w:t>
      </w:r>
      <w:r>
        <w:t xml:space="preserve"> are read by Ergon Energy on a t</w:t>
      </w:r>
      <w:r w:rsidRPr="004526EE">
        <w:t xml:space="preserve">ype 6 accumulation </w:t>
      </w:r>
      <w:proofErr w:type="gramStart"/>
      <w:r w:rsidRPr="004526EE">
        <w:t>basis</w:t>
      </w:r>
      <w:proofErr w:type="gramEnd"/>
      <w:r w:rsidRPr="004526EE">
        <w:t>.</w:t>
      </w:r>
    </w:p>
    <w:p w:rsidR="000B1D07" w:rsidRPr="004526EE" w:rsidRDefault="000B1D07" w:rsidP="000B1D07">
      <w:r w:rsidRPr="004526EE">
        <w:t xml:space="preserve">We accept that the jurisdictional requirement is legally binding on Ergon Energy and must be complied with. In assessing the proposed unit costs we have not considered if it would be more prudent for Ergon Energy to install accumulation, instead of the proposed, interval meters. </w:t>
      </w:r>
    </w:p>
    <w:p w:rsidR="000B1D07" w:rsidRPr="000B1D07" w:rsidRDefault="000B1D07" w:rsidP="000B1D07">
      <w:pPr>
        <w:pStyle w:val="AERbulletlistfirststyle"/>
      </w:pPr>
      <w:r w:rsidRPr="004526EE">
        <w:t>When disregarding whether it is prudent or not to install interval meters, we conclude that Ergon Energy's proposed material unit costs should be accepted. Ergon Energy's proposed material unit costs were forecast using an average replacement cost in 2012–13. In that regard, it did not propose unit costs for single, dual and three phase meters, like other businesses have in their regulatory proposals, such as Energex.</w:t>
      </w:r>
      <w:r w:rsidRPr="000B1D07">
        <w:rPr>
          <w:rStyle w:val="FootnoteReference"/>
        </w:rPr>
        <w:footnoteReference w:id="60"/>
      </w:r>
      <w:r w:rsidRPr="000B1D07">
        <w:t xml:space="preserve"> It instead trended forward an historical average.</w:t>
      </w:r>
    </w:p>
    <w:p w:rsidR="000B1D07" w:rsidRPr="000B1D07" w:rsidRDefault="000B1D07" w:rsidP="000B1D07">
      <w:pPr>
        <w:pStyle w:val="AERbulletlistfirststyle"/>
      </w:pPr>
      <w:r w:rsidRPr="004526EE">
        <w:t>We assessed Ergon Energy's historical average to be efficient. Specifically, we assessed Ergon Energy's proposed average material unit costs as lower than the weighted average material unit cost Energex put forward in its regulatory proposal. Since we assessed Energex's proposed material unit costs for single, dual and three phase meters to be within our observed market ranges,</w:t>
      </w:r>
      <w:r w:rsidRPr="000B1D07">
        <w:rPr>
          <w:rStyle w:val="FootnoteReference"/>
        </w:rPr>
        <w:footnoteReference w:id="61"/>
      </w:r>
      <w:r w:rsidRPr="000B1D07">
        <w:t xml:space="preserve"> we have come to </w:t>
      </w:r>
      <w:r w:rsidRPr="000B1D07">
        <w:lastRenderedPageBreak/>
        <w:t xml:space="preserve">the same conclusion for Ergon Energy. Therefore our preliminary decision is to make no adjustments to the proposed capex for material unit costs. </w:t>
      </w:r>
    </w:p>
    <w:p w:rsidR="000B1D07" w:rsidRPr="000B1D07" w:rsidRDefault="000B1D07" w:rsidP="000B1D07">
      <w:pPr>
        <w:pStyle w:val="Heading6"/>
      </w:pPr>
      <w:bookmarkStart w:id="105" w:name="_Toc416972036"/>
      <w:r w:rsidRPr="004526EE">
        <w:t>Non–material cost</w:t>
      </w:r>
      <w:bookmarkEnd w:id="105"/>
    </w:p>
    <w:p w:rsidR="000B1D07" w:rsidRPr="004526EE" w:rsidRDefault="000B1D07" w:rsidP="000B1D07">
      <w:r w:rsidRPr="004526EE">
        <w:t>In assessing Ergon Energy's proposed non–material unit costs we developed a range which we would be willing to accept. We also took the non–material unit costs of other non–Victorian distribution businesses in the national electricity market into account.</w:t>
      </w:r>
    </w:p>
    <w:p w:rsidR="000B1D07" w:rsidRPr="004526EE" w:rsidRDefault="000B1D07" w:rsidP="000B1D07">
      <w:r w:rsidRPr="004526EE">
        <w:t xml:space="preserve">To devise our range for non–material unit cost, we applied a bottom up approach. This involved estimating a reasonable hourly rate for a metering technician and an average time required to replace a meter. We also accounted for the time it would take to travel from site to site. With regard to indirect costs, we took a conservative approach. This led to us developing a wide range for non–material unit costs which we would consider to be reasonable.  </w:t>
      </w:r>
    </w:p>
    <w:p w:rsidR="000B1D07" w:rsidRPr="004526EE" w:rsidRDefault="000B1D07" w:rsidP="000B1D07">
      <w:r w:rsidRPr="004526EE">
        <w:t>We accept Ergon Energy's proposed non–material unit costs. The amount is within the limits we developed using our bottom up approach. In addition, it is among the lowest of the non–Victorian distribution businesses' non–material unit costs.</w:t>
      </w:r>
    </w:p>
    <w:p w:rsidR="000B1D07" w:rsidRPr="000B1D07" w:rsidRDefault="000B1D07" w:rsidP="000B1D07">
      <w:pPr>
        <w:pStyle w:val="Heading5"/>
      </w:pPr>
      <w:bookmarkStart w:id="106" w:name="_Toc416972037"/>
      <w:r w:rsidRPr="004526EE">
        <w:t>Forecast volumes</w:t>
      </w:r>
      <w:bookmarkEnd w:id="106"/>
    </w:p>
    <w:p w:rsidR="000B1D07" w:rsidRPr="004526EE" w:rsidRDefault="000B1D07" w:rsidP="000B1D07">
      <w:r w:rsidRPr="004526EE">
        <w:t xml:space="preserve">We do not accept Ergon Energy's forecast volume of customer initiated connections. This is because our preliminary decision applies a different capitalisation policy to Ergon Energy's proposal. We also substitute Ergon Energy's proposed volume forecast for replacements. </w:t>
      </w:r>
      <w:r>
        <w:fldChar w:fldCharType="begin"/>
      </w:r>
      <w:r>
        <w:instrText xml:space="preserve"> REF _Ref417634637 \h </w:instrText>
      </w:r>
      <w:r>
        <w:fldChar w:fldCharType="separate"/>
      </w:r>
      <w:r w:rsidR="00F16AE7" w:rsidRPr="004526EE">
        <w:t xml:space="preserve">Table </w:t>
      </w:r>
      <w:r w:rsidR="00F16AE7">
        <w:rPr>
          <w:noProof/>
        </w:rPr>
        <w:t>16</w:t>
      </w:r>
      <w:r w:rsidR="00F16AE7">
        <w:t>.</w:t>
      </w:r>
      <w:r w:rsidR="00F16AE7">
        <w:rPr>
          <w:noProof/>
        </w:rPr>
        <w:t>13</w:t>
      </w:r>
      <w:r>
        <w:fldChar w:fldCharType="end"/>
      </w:r>
      <w:r>
        <w:t xml:space="preserve"> </w:t>
      </w:r>
      <w:r w:rsidRPr="004526EE">
        <w:t>sets out Ergon Energy's forecasts against our preliminary decision.</w:t>
      </w:r>
    </w:p>
    <w:p w:rsidR="000B1D07" w:rsidRPr="004526EE" w:rsidRDefault="000B1D07" w:rsidP="000B1D07">
      <w:pPr>
        <w:pStyle w:val="Caption"/>
      </w:pPr>
      <w:bookmarkStart w:id="107" w:name="_Ref417634637"/>
      <w:proofErr w:type="gramStart"/>
      <w:r w:rsidRPr="004526EE">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13</w:t>
      </w:r>
      <w:r w:rsidR="00F5521C">
        <w:fldChar w:fldCharType="end"/>
      </w:r>
      <w:bookmarkEnd w:id="107"/>
      <w:r w:rsidRPr="004526EE">
        <w:tab/>
        <w:t>Forecast and approved volumes of meter replacements</w:t>
      </w:r>
    </w:p>
    <w:tbl>
      <w:tblPr>
        <w:tblStyle w:val="AERtable-numbers"/>
        <w:tblW w:w="0" w:type="auto"/>
        <w:tblLook w:val="04A0" w:firstRow="1" w:lastRow="0" w:firstColumn="1" w:lastColumn="0" w:noHBand="0" w:noVBand="1"/>
      </w:tblPr>
      <w:tblGrid>
        <w:gridCol w:w="2897"/>
        <w:gridCol w:w="2898"/>
        <w:gridCol w:w="2898"/>
      </w:tblGrid>
      <w:tr w:rsidR="000B1D07"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0B1D07" w:rsidRPr="004526EE" w:rsidRDefault="000B1D07" w:rsidP="000B1D07"/>
        </w:tc>
        <w:tc>
          <w:tcPr>
            <w:tcW w:w="2898"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Forecast</w:t>
            </w:r>
          </w:p>
        </w:tc>
        <w:tc>
          <w:tcPr>
            <w:tcW w:w="2898"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Preliminary decision</w:t>
            </w:r>
          </w:p>
        </w:tc>
      </w:tr>
      <w:tr w:rsidR="000B1D07" w:rsidTr="0050031D">
        <w:tc>
          <w:tcPr>
            <w:cnfStyle w:val="001000000000" w:firstRow="0" w:lastRow="0" w:firstColumn="1" w:lastColumn="0" w:oddVBand="0" w:evenVBand="0" w:oddHBand="0" w:evenHBand="0" w:firstRowFirstColumn="0" w:firstRowLastColumn="0" w:lastRowFirstColumn="0" w:lastRowLastColumn="0"/>
            <w:tcW w:w="2897" w:type="dxa"/>
          </w:tcPr>
          <w:p w:rsidR="000B1D07" w:rsidRPr="000B1D07" w:rsidRDefault="000B1D07" w:rsidP="000B1D07">
            <w:pPr>
              <w:rPr>
                <w:rStyle w:val="Strong"/>
              </w:rPr>
            </w:pPr>
            <w:r w:rsidRPr="004526EE">
              <w:rPr>
                <w:rStyle w:val="Strong"/>
              </w:rPr>
              <w:t>Customer initiated works</w:t>
            </w:r>
          </w:p>
        </w:tc>
        <w:tc>
          <w:tcPr>
            <w:tcW w:w="2898" w:type="dxa"/>
          </w:tcPr>
          <w:p w:rsidR="000B1D07" w:rsidRPr="004526EE" w:rsidRDefault="000B1D07" w:rsidP="000B1D07">
            <w:pPr>
              <w:cnfStyle w:val="000000000000" w:firstRow="0" w:lastRow="0" w:firstColumn="0" w:lastColumn="0" w:oddVBand="0" w:evenVBand="0" w:oddHBand="0" w:evenHBand="0" w:firstRowFirstColumn="0" w:firstRowLastColumn="0" w:lastRowFirstColumn="0" w:lastRowLastColumn="0"/>
            </w:pPr>
          </w:p>
        </w:tc>
        <w:tc>
          <w:tcPr>
            <w:tcW w:w="2898" w:type="dxa"/>
          </w:tcPr>
          <w:p w:rsidR="000B1D07" w:rsidRPr="004526EE" w:rsidRDefault="000B1D07" w:rsidP="000B1D07">
            <w:pPr>
              <w:cnfStyle w:val="000000000000" w:firstRow="0" w:lastRow="0" w:firstColumn="0" w:lastColumn="0" w:oddVBand="0" w:evenVBand="0" w:oddHBand="0" w:evenHBand="0" w:firstRowFirstColumn="0" w:firstRowLastColumn="0" w:lastRowFirstColumn="0" w:lastRowLastColumn="0"/>
            </w:pP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0B1D07" w:rsidRPr="000B1D07" w:rsidRDefault="000B1D07" w:rsidP="000B1D07">
            <w:r w:rsidRPr="004526EE">
              <w:t xml:space="preserve">               New connection meters</w:t>
            </w:r>
          </w:p>
        </w:tc>
        <w:tc>
          <w:tcPr>
            <w:tcW w:w="28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78 353</w:t>
            </w:r>
          </w:p>
        </w:tc>
        <w:tc>
          <w:tcPr>
            <w:tcW w:w="28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0</w:t>
            </w:r>
          </w:p>
        </w:tc>
      </w:tr>
      <w:tr w:rsidR="000B1D07" w:rsidTr="0050031D">
        <w:tc>
          <w:tcPr>
            <w:cnfStyle w:val="001000000000" w:firstRow="0" w:lastRow="0" w:firstColumn="1" w:lastColumn="0" w:oddVBand="0" w:evenVBand="0" w:oddHBand="0" w:evenHBand="0" w:firstRowFirstColumn="0" w:firstRowLastColumn="0" w:lastRowFirstColumn="0" w:lastRowLastColumn="0"/>
            <w:tcW w:w="2897" w:type="dxa"/>
          </w:tcPr>
          <w:p w:rsidR="000B1D07" w:rsidRPr="000B1D07" w:rsidRDefault="000B1D07" w:rsidP="000B1D07">
            <w:pPr>
              <w:rPr>
                <w:rStyle w:val="Strong"/>
              </w:rPr>
            </w:pPr>
            <w:r w:rsidRPr="004526EE">
              <w:t xml:space="preserve">               Alterations and additions</w:t>
            </w:r>
          </w:p>
        </w:tc>
        <w:tc>
          <w:tcPr>
            <w:tcW w:w="28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125 375</w:t>
            </w:r>
          </w:p>
        </w:tc>
        <w:tc>
          <w:tcPr>
            <w:tcW w:w="28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0</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0B1D07" w:rsidRPr="000B1D07" w:rsidRDefault="000B1D07" w:rsidP="000B1D07">
            <w:r w:rsidRPr="004526EE">
              <w:t xml:space="preserve">               Corrective maintenance</w:t>
            </w:r>
          </w:p>
        </w:tc>
        <w:tc>
          <w:tcPr>
            <w:tcW w:w="28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49 250</w:t>
            </w:r>
          </w:p>
        </w:tc>
        <w:tc>
          <w:tcPr>
            <w:tcW w:w="289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49 250</w:t>
            </w:r>
          </w:p>
        </w:tc>
      </w:tr>
      <w:tr w:rsidR="000B1D07" w:rsidTr="0050031D">
        <w:tc>
          <w:tcPr>
            <w:cnfStyle w:val="001000000000" w:firstRow="0" w:lastRow="0" w:firstColumn="1" w:lastColumn="0" w:oddVBand="0" w:evenVBand="0" w:oddHBand="0" w:evenHBand="0" w:firstRowFirstColumn="0" w:firstRowLastColumn="0" w:lastRowFirstColumn="0" w:lastRowLastColumn="0"/>
            <w:tcW w:w="2897" w:type="dxa"/>
          </w:tcPr>
          <w:p w:rsidR="000B1D07" w:rsidRPr="000B1D07" w:rsidRDefault="000B1D07" w:rsidP="000B1D07">
            <w:r w:rsidRPr="004526EE">
              <w:t>Replacements</w:t>
            </w:r>
          </w:p>
        </w:tc>
        <w:tc>
          <w:tcPr>
            <w:tcW w:w="28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124 720</w:t>
            </w:r>
          </w:p>
        </w:tc>
        <w:tc>
          <w:tcPr>
            <w:tcW w:w="289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65 669</w:t>
            </w:r>
          </w:p>
        </w:tc>
      </w:tr>
    </w:tbl>
    <w:p w:rsidR="000B1D07" w:rsidRPr="00165979" w:rsidRDefault="000B1D07" w:rsidP="00165979">
      <w:pPr>
        <w:pStyle w:val="AERtablesource"/>
      </w:pPr>
      <w:r w:rsidRPr="00165979">
        <w:rPr>
          <w:rStyle w:val="AERbody"/>
          <w:sz w:val="16"/>
        </w:rPr>
        <w:t xml:space="preserve">Source: </w:t>
      </w:r>
      <w:r w:rsidRPr="00165979">
        <w:rPr>
          <w:rStyle w:val="AERbody"/>
          <w:sz w:val="16"/>
        </w:rPr>
        <w:tab/>
        <w:t xml:space="preserve">Ergon Energy, </w:t>
      </w:r>
      <w:r w:rsidRPr="00165979">
        <w:rPr>
          <w:rStyle w:val="AERtextitalic"/>
          <w:i w:val="0"/>
        </w:rPr>
        <w:t>Regulatory proposal, Attachment 05.03.01</w:t>
      </w:r>
      <w:r w:rsidRPr="00165979">
        <w:rPr>
          <w:rStyle w:val="AERbody"/>
          <w:sz w:val="16"/>
        </w:rPr>
        <w:t xml:space="preserve">, p. 17. </w:t>
      </w:r>
      <w:r w:rsidRPr="00165979">
        <w:rPr>
          <w:rStyle w:val="AERbody"/>
          <w:sz w:val="16"/>
        </w:rPr>
        <w:tab/>
      </w:r>
    </w:p>
    <w:p w:rsidR="000B1D07" w:rsidRPr="000B1D07" w:rsidRDefault="000B1D07" w:rsidP="000B1D07">
      <w:pPr>
        <w:pStyle w:val="Heading6"/>
      </w:pPr>
      <w:bookmarkStart w:id="108" w:name="_Toc416972038"/>
      <w:r w:rsidRPr="004526EE">
        <w:t>New connections</w:t>
      </w:r>
      <w:bookmarkEnd w:id="108"/>
    </w:p>
    <w:p w:rsidR="000B1D07" w:rsidRPr="004526EE" w:rsidRDefault="000B1D07" w:rsidP="000B1D07">
      <w:r w:rsidRPr="004526EE">
        <w:t>We do not accept any forecast volumes associated with new connections. Consistent with previous AER decisions,</w:t>
      </w:r>
      <w:r w:rsidRPr="004526EE">
        <w:rPr>
          <w:rStyle w:val="FootnoteReference"/>
        </w:rPr>
        <w:footnoteReference w:id="62"/>
      </w:r>
      <w:r w:rsidRPr="004526EE">
        <w:t xml:space="preserve"> we consider there to be substantial benefits if Ergon </w:t>
      </w:r>
      <w:r w:rsidRPr="004526EE">
        <w:lastRenderedPageBreak/>
        <w:t xml:space="preserve">Energy changes its capitalisation policy. This is so that the costs of installing meters at new connections are not recovered through the annual metering charge, but as upfront payments.  </w:t>
      </w:r>
    </w:p>
    <w:p w:rsidR="000B1D07" w:rsidRPr="004526EE" w:rsidRDefault="000B1D07" w:rsidP="000B1D07">
      <w:r w:rsidRPr="004526EE">
        <w:t xml:space="preserve">Our preliminary decision is based on the AEMC's metering rule change. When implemented, our approach to Ergon Energy's capitalisation policy for new connections (upfront payments) should help level the competitive playing field for new meters. This is by shifting how Ergon Energy's capital costs are recovered, from the annual metering services charge, where costs are smeared across all customers, to an upfront payment which new entrants to the market are able to compete with in terms of price.     </w:t>
      </w:r>
    </w:p>
    <w:p w:rsidR="000B1D07" w:rsidRPr="004526EE" w:rsidRDefault="000B1D07" w:rsidP="000B1D07">
      <w:pPr>
        <w:numPr>
          <w:ilvl w:val="0"/>
          <w:numId w:val="25"/>
        </w:numPr>
      </w:pPr>
      <w:r w:rsidRPr="004526EE">
        <w:t>This change in capitalisation policy for new connections has a significant impact on the capex building block component of annual metering charges. Notwithstanding this, Ergon Energy will still be able to recover its costs. The only difference between our preliminary decision and Ergon Energy's proposal is that the cost of new connections will be recovered via upfront capital contributions, rather than as part of annual metering charges.</w:t>
      </w:r>
    </w:p>
    <w:p w:rsidR="000B1D07" w:rsidRPr="004526EE" w:rsidRDefault="000B1D07" w:rsidP="000B1D07">
      <w:pPr>
        <w:numPr>
          <w:ilvl w:val="0"/>
          <w:numId w:val="25"/>
        </w:numPr>
      </w:pPr>
      <w:r w:rsidRPr="004526EE">
        <w:t xml:space="preserve">We therefore do not approve any of the forecast new connections and metering additions and alterations. The upfront charges our preliminary decision accepts for these customer initiated works are set out in Appendix </w:t>
      </w:r>
      <w:r>
        <w:rPr>
          <w:rStyle w:val="AERbody"/>
        </w:rPr>
        <w:t>A</w:t>
      </w:r>
      <w:r w:rsidRPr="004526EE">
        <w:t xml:space="preserve">.  </w:t>
      </w:r>
    </w:p>
    <w:p w:rsidR="000B1D07" w:rsidRPr="000B1D07" w:rsidRDefault="000B1D07" w:rsidP="000B1D07">
      <w:pPr>
        <w:pStyle w:val="Heading6"/>
      </w:pPr>
      <w:bookmarkStart w:id="109" w:name="_Toc416972039"/>
      <w:r w:rsidRPr="004526EE">
        <w:t>Replacements</w:t>
      </w:r>
      <w:bookmarkEnd w:id="109"/>
    </w:p>
    <w:p w:rsidR="000B1D07" w:rsidRPr="004526EE" w:rsidRDefault="000B1D07" w:rsidP="000B1D07">
      <w:r w:rsidRPr="004526EE">
        <w:t>Our preliminary decision is to not accept Ergon Energy's proposed volume forecast for meter replacements. We substitute Ergon Energy's proposed 108 450 replacements with 65 669, which we consider to be more reflective of the business' compliance obligations in the 2015–20 regulatory control period.</w:t>
      </w:r>
    </w:p>
    <w:p w:rsidR="000B1D07" w:rsidRPr="004526EE" w:rsidRDefault="000B1D07" w:rsidP="000B1D07">
      <w:r w:rsidRPr="004526EE">
        <w:t>Ergon Energy's proposed replacement program is informed by regulatory obligations under the NER and Australian Standard 1284.13.</w:t>
      </w:r>
      <w:r w:rsidRPr="004526EE">
        <w:rPr>
          <w:rStyle w:val="FootnoteReference"/>
        </w:rPr>
        <w:footnoteReference w:id="63"/>
      </w:r>
      <w:r w:rsidRPr="004526EE">
        <w:t xml:space="preserve">  Together these regulatory instruments create requirements on Ergon Energy to test the accuracy of its meters. More specifically, Chapter 7 of the NER establishes the maximum allowable overall error limits for a meter recording </w:t>
      </w:r>
      <w:r>
        <w:t>a customer's energy usage. For t</w:t>
      </w:r>
      <w:r w:rsidRPr="004526EE">
        <w:t>ype 5 meters this is an error reading of +/-1.5 percent at a full load.</w:t>
      </w:r>
      <w:r w:rsidRPr="004526EE">
        <w:rPr>
          <w:rStyle w:val="FootnoteReference"/>
        </w:rPr>
        <w:footnoteReference w:id="64"/>
      </w:r>
      <w:r>
        <w:t xml:space="preserve"> For t</w:t>
      </w:r>
      <w:r w:rsidRPr="004526EE">
        <w:t>ype 6 meters it is +/-2.0 percent.</w:t>
      </w:r>
      <w:r w:rsidRPr="004526EE">
        <w:rPr>
          <w:rStyle w:val="FootnoteReference"/>
        </w:rPr>
        <w:footnoteReference w:id="65"/>
      </w:r>
      <w:r w:rsidRPr="004526EE">
        <w:t xml:space="preserve"> Because it would be inefficient to test every meter in service against these error reading levels, Australian Standard 1284.13 establishes a process for taking 'samples' of a broader meter 'population'.  </w:t>
      </w:r>
    </w:p>
    <w:p w:rsidR="000B1D07" w:rsidRPr="004526EE" w:rsidRDefault="000B1D07" w:rsidP="000B1D07">
      <w:r w:rsidRPr="004526EE">
        <w:t xml:space="preserve">For example, if 1 201 meters of a particular make and model are in service, then Australian Standard 1284.13 requires that 125 sample tests have to be taken. This is to check their accuracy against the NER error limits. But if more meters of a different </w:t>
      </w:r>
      <w:r w:rsidRPr="004526EE">
        <w:lastRenderedPageBreak/>
        <w:t xml:space="preserve">make and model are in service, then the sample size must be greater. For example, a population of 150 001 meters requires a sample size of 800. </w:t>
      </w:r>
    </w:p>
    <w:p w:rsidR="000B1D07" w:rsidRPr="004526EE" w:rsidRDefault="000B1D07" w:rsidP="000B1D07">
      <w:r w:rsidRPr="004526EE">
        <w:t>When a set number of meters in a sample fail the NER accuracy limits, the entire population needs to be replaced in a time framework agreed to with AEMO.</w:t>
      </w:r>
      <w:r w:rsidRPr="004526EE">
        <w:rPr>
          <w:rStyle w:val="FootnoteReference"/>
        </w:rPr>
        <w:footnoteReference w:id="66"/>
      </w:r>
      <w:r w:rsidRPr="004526EE">
        <w:t xml:space="preserve"> The maximum number of fails which can occur before replacement is triggered is called the 'acceptable quality level'. This level is specified in Australian Standard 1284.13 and it varies according to the size of the meter population; the more meters in service, the greater the failure rate required. </w:t>
      </w:r>
    </w:p>
    <w:p w:rsidR="000B1D07" w:rsidRPr="004526EE" w:rsidRDefault="000B1D07" w:rsidP="000B1D07">
      <w:r w:rsidRPr="004526EE">
        <w:t xml:space="preserve">In summary, Australian Standard 1284.13 and Chapter 7 of the NER create a rigorous regime for determining when replacement should occur. It establishes a statistical method to determine if there are too many meters in a population recording energy inaccurately such that the entire population can be said to have failed and should be replaced. Where we consider that threshold for replacement to be passed, we accept Ergon Energy is under a regulatory obligation to replace a family of meters, consisting of a particular make and model. </w:t>
      </w:r>
    </w:p>
    <w:p w:rsidR="000B1D07" w:rsidRPr="004526EE" w:rsidRDefault="000B1D07" w:rsidP="000B1D07">
      <w:r w:rsidRPr="004526EE">
        <w:t xml:space="preserve">We nonetheless consider Ergon Energy's forecast volume of replacements to be overstated. </w:t>
      </w:r>
      <w:r w:rsidRPr="004526EE">
        <w:fldChar w:fldCharType="begin"/>
      </w:r>
      <w:r w:rsidRPr="004526EE">
        <w:instrText xml:space="preserve"> REF _Ref415477938 \h </w:instrText>
      </w:r>
      <w:r w:rsidRPr="004526EE">
        <w:fldChar w:fldCharType="separate"/>
      </w:r>
      <w:r w:rsidR="00F16AE7" w:rsidRPr="004526EE">
        <w:t xml:space="preserve">Table </w:t>
      </w:r>
      <w:r w:rsidR="00F16AE7">
        <w:rPr>
          <w:noProof/>
        </w:rPr>
        <w:t>16</w:t>
      </w:r>
      <w:r w:rsidR="00F16AE7">
        <w:t>.</w:t>
      </w:r>
      <w:r w:rsidR="00F16AE7">
        <w:rPr>
          <w:noProof/>
        </w:rPr>
        <w:t>14</w:t>
      </w:r>
      <w:r w:rsidRPr="004526EE">
        <w:fldChar w:fldCharType="end"/>
      </w:r>
      <w:r w:rsidRPr="004526EE">
        <w:t xml:space="preserve"> sets out the components of Ergon Energy's forecast and our assessment. Specifically, our preliminary decision does not accept 42 781 meter replacements with the description 'Warburton </w:t>
      </w:r>
      <w:proofErr w:type="spellStart"/>
      <w:r w:rsidRPr="004526EE">
        <w:t>Franki</w:t>
      </w:r>
      <w:proofErr w:type="spellEnd"/>
      <w:r w:rsidRPr="004526EE">
        <w:t xml:space="preserve"> type WF2' and a further 1 000 called '</w:t>
      </w:r>
      <w:proofErr w:type="spellStart"/>
      <w:r w:rsidRPr="004526EE">
        <w:t>Ferannti</w:t>
      </w:r>
      <w:proofErr w:type="spellEnd"/>
      <w:r w:rsidRPr="004526EE">
        <w:t xml:space="preserve"> Type TM2c'. It does, however, accept the balance of the remaining proposed meter replacements (64 519). </w:t>
      </w:r>
    </w:p>
    <w:p w:rsidR="000B1D07" w:rsidRPr="004526EE" w:rsidRDefault="000B1D07" w:rsidP="000B1D07">
      <w:pPr>
        <w:pStyle w:val="Caption"/>
      </w:pPr>
      <w:bookmarkStart w:id="110" w:name="_Ref415477938"/>
      <w:proofErr w:type="gramStart"/>
      <w:r w:rsidRPr="004526EE">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14</w:t>
      </w:r>
      <w:r w:rsidR="00F5521C">
        <w:fldChar w:fldCharType="end"/>
      </w:r>
      <w:bookmarkEnd w:id="110"/>
      <w:r w:rsidRPr="004526EE">
        <w:tab/>
        <w:t>Proposed and approved replacement volumes</w:t>
      </w:r>
    </w:p>
    <w:tbl>
      <w:tblPr>
        <w:tblStyle w:val="AERtable-text1"/>
        <w:tblW w:w="0" w:type="auto"/>
        <w:tblInd w:w="0" w:type="dxa"/>
        <w:tblLook w:val="04A0" w:firstRow="1" w:lastRow="0" w:firstColumn="1" w:lastColumn="0" w:noHBand="0" w:noVBand="1"/>
      </w:tblPr>
      <w:tblGrid>
        <w:gridCol w:w="2373"/>
        <w:gridCol w:w="2294"/>
        <w:gridCol w:w="2013"/>
        <w:gridCol w:w="2013"/>
      </w:tblGrid>
      <w:tr w:rsidR="000B1D07" w:rsidTr="0050031D">
        <w:trPr>
          <w:cnfStyle w:val="100000000000" w:firstRow="1" w:lastRow="0" w:firstColumn="0" w:lastColumn="0" w:oddVBand="0" w:evenVBand="0" w:oddHBand="0" w:evenHBand="0" w:firstRowFirstColumn="0" w:firstRowLastColumn="0" w:lastRowFirstColumn="0" w:lastRowLastColumn="0"/>
        </w:trPr>
        <w:tc>
          <w:tcPr>
            <w:tcW w:w="2373" w:type="dxa"/>
          </w:tcPr>
          <w:p w:rsidR="000B1D07" w:rsidRPr="000B1D07" w:rsidRDefault="000B1D07" w:rsidP="000B1D07">
            <w:r w:rsidRPr="004526EE">
              <w:t>Description</w:t>
            </w:r>
          </w:p>
        </w:tc>
        <w:tc>
          <w:tcPr>
            <w:tcW w:w="2294" w:type="dxa"/>
          </w:tcPr>
          <w:p w:rsidR="000B1D07" w:rsidRPr="000B1D07" w:rsidRDefault="000B1D07" w:rsidP="000B1D07">
            <w:r w:rsidRPr="004526EE">
              <w:t>Reason for replacement</w:t>
            </w:r>
          </w:p>
        </w:tc>
        <w:tc>
          <w:tcPr>
            <w:tcW w:w="2013" w:type="dxa"/>
          </w:tcPr>
          <w:p w:rsidR="000B1D07" w:rsidRPr="000B1D07" w:rsidRDefault="000B1D07" w:rsidP="000B1D07">
            <w:r w:rsidRPr="004526EE">
              <w:t>Forecast volume</w:t>
            </w:r>
          </w:p>
        </w:tc>
        <w:tc>
          <w:tcPr>
            <w:tcW w:w="2013" w:type="dxa"/>
          </w:tcPr>
          <w:p w:rsidR="000B1D07" w:rsidRPr="000B1D07" w:rsidRDefault="000B1D07" w:rsidP="000B1D07">
            <w:r w:rsidRPr="004526EE">
              <w:t>Approved volume</w:t>
            </w:r>
          </w:p>
        </w:tc>
      </w:tr>
      <w:tr w:rsidR="000B1D07" w:rsidTr="0050031D">
        <w:tc>
          <w:tcPr>
            <w:tcW w:w="2373" w:type="dxa"/>
          </w:tcPr>
          <w:p w:rsidR="000B1D07" w:rsidRPr="000B1D07" w:rsidRDefault="000B1D07" w:rsidP="000B1D07">
            <w:r w:rsidRPr="004526EE">
              <w:t>EMMCO type BAZ meters</w:t>
            </w:r>
          </w:p>
        </w:tc>
        <w:tc>
          <w:tcPr>
            <w:tcW w:w="2294" w:type="dxa"/>
          </w:tcPr>
          <w:p w:rsidR="000B1D07" w:rsidRPr="000B1D07" w:rsidRDefault="000B1D07" w:rsidP="000B1D07">
            <w:r w:rsidRPr="004526EE">
              <w:t>Non–compliant</w:t>
            </w:r>
          </w:p>
        </w:tc>
        <w:tc>
          <w:tcPr>
            <w:tcW w:w="2013" w:type="dxa"/>
          </w:tcPr>
          <w:p w:rsidR="000B1D07" w:rsidRPr="000B1D07" w:rsidRDefault="000B1D07" w:rsidP="000B1D07">
            <w:r w:rsidRPr="004526EE">
              <w:t>61 219</w:t>
            </w:r>
          </w:p>
        </w:tc>
        <w:tc>
          <w:tcPr>
            <w:tcW w:w="2013" w:type="dxa"/>
          </w:tcPr>
          <w:p w:rsidR="000B1D07" w:rsidRPr="000B1D07" w:rsidRDefault="000B1D07" w:rsidP="000B1D07">
            <w:r w:rsidRPr="004526EE">
              <w:t>61 219</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tcW w:w="2373" w:type="dxa"/>
          </w:tcPr>
          <w:p w:rsidR="000B1D07" w:rsidRPr="000B1D07" w:rsidRDefault="000B1D07" w:rsidP="000B1D07">
            <w:r w:rsidRPr="004526EE">
              <w:t xml:space="preserve">Warburton </w:t>
            </w:r>
            <w:proofErr w:type="spellStart"/>
            <w:r w:rsidRPr="004526EE">
              <w:t>Franki</w:t>
            </w:r>
            <w:proofErr w:type="spellEnd"/>
            <w:r w:rsidRPr="004526EE">
              <w:t xml:space="preserve"> type WF2</w:t>
            </w:r>
          </w:p>
        </w:tc>
        <w:tc>
          <w:tcPr>
            <w:tcW w:w="2294" w:type="dxa"/>
          </w:tcPr>
          <w:p w:rsidR="000B1D07" w:rsidRPr="000B1D07" w:rsidRDefault="000B1D07" w:rsidP="000B1D07">
            <w:r w:rsidRPr="004526EE">
              <w:t>End</w:t>
            </w:r>
            <w:r w:rsidRPr="000B1D07">
              <w:t xml:space="preserve"> of life</w:t>
            </w:r>
          </w:p>
        </w:tc>
        <w:tc>
          <w:tcPr>
            <w:tcW w:w="2013" w:type="dxa"/>
          </w:tcPr>
          <w:p w:rsidR="000B1D07" w:rsidRPr="000B1D07" w:rsidRDefault="000B1D07" w:rsidP="000B1D07">
            <w:r w:rsidRPr="004526EE">
              <w:t>42 781</w:t>
            </w:r>
          </w:p>
        </w:tc>
        <w:tc>
          <w:tcPr>
            <w:tcW w:w="2013" w:type="dxa"/>
          </w:tcPr>
          <w:p w:rsidR="000B1D07" w:rsidRPr="000B1D07" w:rsidRDefault="000B1D07" w:rsidP="000B1D07">
            <w:r w:rsidRPr="004526EE">
              <w:t>0</w:t>
            </w:r>
          </w:p>
        </w:tc>
      </w:tr>
      <w:tr w:rsidR="000B1D07" w:rsidTr="0050031D">
        <w:tc>
          <w:tcPr>
            <w:tcW w:w="2373" w:type="dxa"/>
          </w:tcPr>
          <w:p w:rsidR="000B1D07" w:rsidRPr="000B1D07" w:rsidRDefault="000B1D07" w:rsidP="000B1D07">
            <w:r w:rsidRPr="004526EE">
              <w:t>Ferranti Type TM2c</w:t>
            </w:r>
          </w:p>
        </w:tc>
        <w:tc>
          <w:tcPr>
            <w:tcW w:w="2294" w:type="dxa"/>
          </w:tcPr>
          <w:p w:rsidR="000B1D07" w:rsidRPr="000B1D07" w:rsidRDefault="000B1D07" w:rsidP="000B1D07">
            <w:r w:rsidRPr="004526EE">
              <w:t>End of life</w:t>
            </w:r>
          </w:p>
        </w:tc>
        <w:tc>
          <w:tcPr>
            <w:tcW w:w="2013" w:type="dxa"/>
          </w:tcPr>
          <w:p w:rsidR="000B1D07" w:rsidRPr="000B1D07" w:rsidRDefault="000B1D07" w:rsidP="000B1D07">
            <w:r w:rsidRPr="004526EE">
              <w:t>1 000</w:t>
            </w:r>
          </w:p>
        </w:tc>
        <w:tc>
          <w:tcPr>
            <w:tcW w:w="2013" w:type="dxa"/>
          </w:tcPr>
          <w:p w:rsidR="000B1D07" w:rsidRPr="000B1D07" w:rsidRDefault="000B1D07" w:rsidP="000B1D07">
            <w:r w:rsidRPr="004526EE">
              <w:t>0</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tcW w:w="2373" w:type="dxa"/>
          </w:tcPr>
          <w:p w:rsidR="000B1D07" w:rsidRPr="000B1D07" w:rsidRDefault="000B1D07" w:rsidP="000B1D07">
            <w:r w:rsidRPr="004526EE">
              <w:t>EMMCO type MC, AS and HMT</w:t>
            </w:r>
          </w:p>
        </w:tc>
        <w:tc>
          <w:tcPr>
            <w:tcW w:w="2294" w:type="dxa"/>
          </w:tcPr>
          <w:p w:rsidR="000B1D07" w:rsidRPr="000B1D07" w:rsidRDefault="000B1D07" w:rsidP="000B1D07">
            <w:r w:rsidRPr="004526EE">
              <w:t>Unidentified non–compliant meters</w:t>
            </w:r>
          </w:p>
        </w:tc>
        <w:tc>
          <w:tcPr>
            <w:tcW w:w="2013" w:type="dxa"/>
          </w:tcPr>
          <w:p w:rsidR="000B1D07" w:rsidRPr="000B1D07" w:rsidRDefault="000B1D07" w:rsidP="000B1D07">
            <w:r w:rsidRPr="004526EE">
              <w:t>150</w:t>
            </w:r>
          </w:p>
        </w:tc>
        <w:tc>
          <w:tcPr>
            <w:tcW w:w="2013" w:type="dxa"/>
          </w:tcPr>
          <w:p w:rsidR="000B1D07" w:rsidRPr="000B1D07" w:rsidRDefault="000B1D07" w:rsidP="000B1D07">
            <w:r w:rsidRPr="004526EE">
              <w:t>150</w:t>
            </w:r>
          </w:p>
        </w:tc>
      </w:tr>
      <w:tr w:rsidR="000B1D07" w:rsidTr="0050031D">
        <w:tc>
          <w:tcPr>
            <w:tcW w:w="2373" w:type="dxa"/>
          </w:tcPr>
          <w:p w:rsidR="000B1D07" w:rsidRPr="000B1D07" w:rsidRDefault="000B1D07" w:rsidP="000B1D07">
            <w:proofErr w:type="spellStart"/>
            <w:r w:rsidRPr="004526EE">
              <w:t>Enermet</w:t>
            </w:r>
            <w:proofErr w:type="spellEnd"/>
            <w:r w:rsidRPr="004526EE">
              <w:t xml:space="preserve"> K410/Tk410</w:t>
            </w:r>
          </w:p>
        </w:tc>
        <w:tc>
          <w:tcPr>
            <w:tcW w:w="2294" w:type="dxa"/>
          </w:tcPr>
          <w:p w:rsidR="000B1D07" w:rsidRPr="000B1D07" w:rsidRDefault="000B1D07" w:rsidP="000B1D07">
            <w:r w:rsidRPr="004526EE">
              <w:t>Failing component</w:t>
            </w:r>
          </w:p>
        </w:tc>
        <w:tc>
          <w:tcPr>
            <w:tcW w:w="2013" w:type="dxa"/>
          </w:tcPr>
          <w:p w:rsidR="000B1D07" w:rsidRPr="000B1D07" w:rsidRDefault="000B1D07" w:rsidP="000B1D07">
            <w:r w:rsidRPr="004526EE">
              <w:t>2 000</w:t>
            </w:r>
          </w:p>
        </w:tc>
        <w:tc>
          <w:tcPr>
            <w:tcW w:w="2013" w:type="dxa"/>
          </w:tcPr>
          <w:p w:rsidR="000B1D07" w:rsidRPr="000B1D07" w:rsidRDefault="000B1D07" w:rsidP="000B1D07">
            <w:r w:rsidRPr="004526EE">
              <w:t>2 000</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tcW w:w="2373" w:type="dxa"/>
          </w:tcPr>
          <w:p w:rsidR="000B1D07" w:rsidRPr="000B1D07" w:rsidRDefault="000B1D07" w:rsidP="000B1D07">
            <w:r w:rsidRPr="004526EE">
              <w:t>Nilsen EMS 2100</w:t>
            </w:r>
          </w:p>
        </w:tc>
        <w:tc>
          <w:tcPr>
            <w:tcW w:w="2294" w:type="dxa"/>
          </w:tcPr>
          <w:p w:rsidR="000B1D07" w:rsidRPr="000B1D07" w:rsidRDefault="000B1D07" w:rsidP="000B1D07">
            <w:r w:rsidRPr="004526EE">
              <w:t>Failing displace</w:t>
            </w:r>
          </w:p>
        </w:tc>
        <w:tc>
          <w:tcPr>
            <w:tcW w:w="2013" w:type="dxa"/>
          </w:tcPr>
          <w:p w:rsidR="000B1D07" w:rsidRPr="000B1D07" w:rsidRDefault="000B1D07" w:rsidP="000B1D07">
            <w:r w:rsidRPr="004526EE">
              <w:t>1 300</w:t>
            </w:r>
          </w:p>
        </w:tc>
        <w:tc>
          <w:tcPr>
            <w:tcW w:w="2013" w:type="dxa"/>
          </w:tcPr>
          <w:p w:rsidR="000B1D07" w:rsidRPr="000B1D07" w:rsidRDefault="000B1D07" w:rsidP="000B1D07">
            <w:r w:rsidRPr="004526EE">
              <w:t>1 300</w:t>
            </w:r>
          </w:p>
        </w:tc>
      </w:tr>
      <w:tr w:rsidR="000B1D07" w:rsidTr="0050031D">
        <w:tc>
          <w:tcPr>
            <w:tcW w:w="2373" w:type="dxa"/>
          </w:tcPr>
          <w:p w:rsidR="000B1D07" w:rsidRPr="000B1D07" w:rsidRDefault="000B1D07" w:rsidP="000B1D07">
            <w:r w:rsidRPr="004526EE">
              <w:t>Total</w:t>
            </w:r>
          </w:p>
        </w:tc>
        <w:tc>
          <w:tcPr>
            <w:tcW w:w="2294" w:type="dxa"/>
          </w:tcPr>
          <w:p w:rsidR="000B1D07" w:rsidRPr="004526EE" w:rsidRDefault="000B1D07" w:rsidP="000B1D07"/>
        </w:tc>
        <w:tc>
          <w:tcPr>
            <w:tcW w:w="2013" w:type="dxa"/>
          </w:tcPr>
          <w:p w:rsidR="000B1D07" w:rsidRPr="000B1D07" w:rsidRDefault="000B1D07" w:rsidP="000B1D07">
            <w:r w:rsidRPr="004526EE">
              <w:t>108 450</w:t>
            </w:r>
          </w:p>
        </w:tc>
        <w:tc>
          <w:tcPr>
            <w:tcW w:w="2013" w:type="dxa"/>
          </w:tcPr>
          <w:p w:rsidR="000B1D07" w:rsidRPr="000B1D07" w:rsidRDefault="000B1D07" w:rsidP="000B1D07">
            <w:r w:rsidRPr="004526EE">
              <w:t>64 519</w:t>
            </w:r>
          </w:p>
        </w:tc>
      </w:tr>
    </w:tbl>
    <w:p w:rsidR="000B1D07" w:rsidRPr="004526EE" w:rsidRDefault="000B1D07" w:rsidP="000B1D07">
      <w:pPr>
        <w:pStyle w:val="Source"/>
      </w:pPr>
      <w:r w:rsidRPr="004526EE">
        <w:t xml:space="preserve">Source: </w:t>
      </w:r>
      <w:r w:rsidRPr="004526EE">
        <w:tab/>
        <w:t xml:space="preserve">AER, </w:t>
      </w:r>
      <w:r w:rsidRPr="004526EE">
        <w:rPr>
          <w:rStyle w:val="AERtextitalic"/>
        </w:rPr>
        <w:t>Response to AER Ergon 043 (2</w:t>
      </w:r>
      <w:proofErr w:type="gramStart"/>
      <w:r w:rsidRPr="004526EE">
        <w:rPr>
          <w:rStyle w:val="AERtextitalic"/>
        </w:rPr>
        <w:t>)(</w:t>
      </w:r>
      <w:proofErr w:type="gramEnd"/>
      <w:r w:rsidRPr="004526EE">
        <w:rPr>
          <w:rStyle w:val="AERtextitalic"/>
        </w:rPr>
        <w:t>3)</w:t>
      </w:r>
      <w:r w:rsidRPr="004526EE">
        <w:t>, 11 February 2015, p. 1–2.</w:t>
      </w:r>
    </w:p>
    <w:p w:rsidR="000B1D07" w:rsidRPr="004526EE" w:rsidRDefault="000B1D07" w:rsidP="000B1D07">
      <w:r w:rsidRPr="004526EE">
        <w:t xml:space="preserve">Our preliminary decision accepts that the replacement of 61 219 meters with the 'EMMCO type BAZ' description need to be replaced. This is because these meters belong to a family which has failed accuracy limits set out in Australian Standard </w:t>
      </w:r>
      <w:r w:rsidRPr="004526EE">
        <w:lastRenderedPageBreak/>
        <w:t>1284.13 and Chapter 7 of the NER. We also accept that a small amount of meters which have already failed sample testing may be identified from time to time. Our preliminary decision accordingly accepts a further 150 unidentified non–compliant meters, together with the replacement of a total of 3 300 meters which have failing components.</w:t>
      </w:r>
    </w:p>
    <w:p w:rsidR="000B1D07" w:rsidRPr="004526EE" w:rsidRDefault="000B1D07" w:rsidP="000B1D07">
      <w:r w:rsidRPr="004526EE">
        <w:t xml:space="preserve">We do not accept the replacement of the Warburton </w:t>
      </w:r>
      <w:proofErr w:type="spellStart"/>
      <w:r w:rsidRPr="004526EE">
        <w:t>Franki</w:t>
      </w:r>
      <w:proofErr w:type="spellEnd"/>
      <w:r w:rsidRPr="004526EE">
        <w:t xml:space="preserve"> meter family because the results of Ergon Energy's sample testing show that it has not failed the accuracy limits set out in Australian Standard 1284.13 and Chapter 7 of the NER.</w:t>
      </w:r>
      <w:r w:rsidRPr="004526EE">
        <w:rPr>
          <w:rStyle w:val="FootnoteReference"/>
        </w:rPr>
        <w:footnoteReference w:id="67"/>
      </w:r>
      <w:r w:rsidRPr="004526EE">
        <w:t xml:space="preserve"> Ergon Energy acknowledged that this was the case in an information response to us.</w:t>
      </w:r>
      <w:r w:rsidRPr="004526EE">
        <w:rPr>
          <w:rStyle w:val="FootnoteReference"/>
        </w:rPr>
        <w:footnoteReference w:id="68"/>
      </w:r>
      <w:r w:rsidRPr="004526EE">
        <w:t xml:space="preserve"> But it stated that the Warburton </w:t>
      </w:r>
      <w:proofErr w:type="spellStart"/>
      <w:r w:rsidRPr="004526EE">
        <w:t>Franki</w:t>
      </w:r>
      <w:proofErr w:type="spellEnd"/>
      <w:r w:rsidRPr="004526EE">
        <w:t xml:space="preserve"> meters should still be replaced given their advanced age; they were manufactured more than 50 years ago.</w:t>
      </w:r>
      <w:r w:rsidRPr="004526EE">
        <w:rPr>
          <w:rStyle w:val="FootnoteReference"/>
        </w:rPr>
        <w:footnoteReference w:id="69"/>
      </w:r>
      <w:r w:rsidRPr="004526EE">
        <w:t xml:space="preserve"> Similarly, it proposed the replacement of the Ferranti meter family because they were purchased in 1965.</w:t>
      </w:r>
      <w:r w:rsidRPr="004526EE">
        <w:rPr>
          <w:rStyle w:val="FootnoteReference"/>
        </w:rPr>
        <w:footnoteReference w:id="70"/>
      </w:r>
    </w:p>
    <w:p w:rsidR="000B1D07" w:rsidRPr="004526EE" w:rsidRDefault="000B1D07" w:rsidP="000B1D07">
      <w:r w:rsidRPr="004526EE">
        <w:t xml:space="preserve">In the absence of further evidence supporting their replacement, we do not consider age alone to be a good basis on which to replace a meter family. It has been noted that Australian Standard 1284.13 and Chapter 7 of the NER establish a rigorous regime for determining whether a population of meters needs to be replaced. We consider Ergon Energy's proposal to replace meters on the basis of age, circumvents that regime. It would also likely lead to the replacement of meters in excess of the distribution business' actual requirements. We therefore have only accepted the replacement of meters which are supported by actual data showing they have failed the prescribed accuracy limits. </w:t>
      </w:r>
    </w:p>
    <w:p w:rsidR="000B1D07" w:rsidRPr="000B1D07" w:rsidRDefault="000B1D07" w:rsidP="000B1D07">
      <w:pPr>
        <w:pStyle w:val="Heading5"/>
      </w:pPr>
      <w:bookmarkStart w:id="111" w:name="_Toc416972040"/>
      <w:proofErr w:type="spellStart"/>
      <w:r w:rsidRPr="004526EE">
        <w:t>Opex</w:t>
      </w:r>
      <w:bookmarkEnd w:id="111"/>
      <w:proofErr w:type="spellEnd"/>
    </w:p>
    <w:p w:rsidR="000B1D07" w:rsidRPr="004526EE" w:rsidRDefault="000B1D07" w:rsidP="000B1D07">
      <w:pPr>
        <w:numPr>
          <w:ilvl w:val="0"/>
          <w:numId w:val="25"/>
        </w:numPr>
      </w:pPr>
      <w:r>
        <w:t>We accept $118.6</w:t>
      </w:r>
      <w:r w:rsidRPr="004526EE">
        <w:t xml:space="preserve"> million in </w:t>
      </w:r>
      <w:proofErr w:type="spellStart"/>
      <w:r w:rsidRPr="004526EE">
        <w:t>opex</w:t>
      </w:r>
      <w:proofErr w:type="spellEnd"/>
      <w:r w:rsidRPr="004526EE">
        <w:t xml:space="preserve"> for annual metering services compared to Ergon Energy's proposed $169.5 million ($2014–15). This is about 70 per cent of the total proposed </w:t>
      </w:r>
      <w:proofErr w:type="spellStart"/>
      <w:r w:rsidRPr="004526EE">
        <w:t>opex</w:t>
      </w:r>
      <w:proofErr w:type="spellEnd"/>
      <w:r w:rsidRPr="004526EE">
        <w:t xml:space="preserve">. </w:t>
      </w:r>
    </w:p>
    <w:p w:rsidR="000B1D07" w:rsidRPr="004526EE" w:rsidRDefault="000B1D07" w:rsidP="000B1D07">
      <w:pPr>
        <w:numPr>
          <w:ilvl w:val="0"/>
          <w:numId w:val="25"/>
        </w:numPr>
      </w:pPr>
      <w:r w:rsidRPr="004526EE">
        <w:t xml:space="preserve">The following base, step and trend sections explain how we arrived at our alternative forecast for metering </w:t>
      </w:r>
      <w:proofErr w:type="spellStart"/>
      <w:r w:rsidRPr="004526EE">
        <w:t>opex</w:t>
      </w:r>
      <w:proofErr w:type="spellEnd"/>
      <w:r w:rsidRPr="004526EE">
        <w:t xml:space="preserve">. </w:t>
      </w:r>
    </w:p>
    <w:p w:rsidR="000B1D07" w:rsidRPr="000B1D07" w:rsidRDefault="000B1D07" w:rsidP="000B1D07">
      <w:pPr>
        <w:pStyle w:val="Heading6"/>
      </w:pPr>
      <w:bookmarkStart w:id="112" w:name="_Toc416356491"/>
      <w:bookmarkStart w:id="113" w:name="_Ref416875598"/>
      <w:bookmarkStart w:id="114" w:name="_Ref416875605"/>
      <w:bookmarkStart w:id="115" w:name="_Toc416972041"/>
      <w:r>
        <w:t>B</w:t>
      </w:r>
      <w:r w:rsidRPr="000B1D07">
        <w:t>ase</w:t>
      </w:r>
      <w:bookmarkEnd w:id="112"/>
      <w:bookmarkEnd w:id="113"/>
      <w:bookmarkEnd w:id="114"/>
      <w:bookmarkEnd w:id="115"/>
      <w:r w:rsidRPr="000B1D07">
        <w:t xml:space="preserve"> </w:t>
      </w:r>
    </w:p>
    <w:p w:rsidR="000B1D07" w:rsidRPr="004526EE" w:rsidRDefault="000B1D07" w:rsidP="000B1D07">
      <w:r w:rsidRPr="004526EE">
        <w:t xml:space="preserve">The initial step in our assessment of Ergon Energy's proposed </w:t>
      </w:r>
      <w:proofErr w:type="spellStart"/>
      <w:r w:rsidRPr="004526EE">
        <w:t>opex</w:t>
      </w:r>
      <w:proofErr w:type="spellEnd"/>
      <w:r w:rsidRPr="004526EE">
        <w:t xml:space="preserve"> was to consider its 'base' level of expenditure. We looked at what Ergon Energy's base should be, from two different perspectives. These were Ergon Energy's historical </w:t>
      </w:r>
      <w:proofErr w:type="spellStart"/>
      <w:r w:rsidRPr="004526EE">
        <w:t>opex</w:t>
      </w:r>
      <w:proofErr w:type="spellEnd"/>
      <w:r w:rsidRPr="004526EE">
        <w:t xml:space="preserve"> and its performance against benchmarking. </w:t>
      </w:r>
    </w:p>
    <w:p w:rsidR="000B1D07" w:rsidRDefault="000B1D07" w:rsidP="000B1D07">
      <w:r w:rsidRPr="004526EE">
        <w:t xml:space="preserve">With assessing historical expenditure, we consider Ergon Energy's base should be at least as efficient as its costs in previous years. We observed Ergon Energy's historic </w:t>
      </w:r>
      <w:proofErr w:type="spellStart"/>
      <w:r w:rsidRPr="004526EE">
        <w:t>opex</w:t>
      </w:r>
      <w:proofErr w:type="spellEnd"/>
      <w:r w:rsidRPr="004526EE">
        <w:t xml:space="preserve"> over a five year period. </w:t>
      </w:r>
    </w:p>
    <w:p w:rsidR="000B1D07" w:rsidRDefault="000B1D07" w:rsidP="000B1D07">
      <w:r>
        <w:lastRenderedPageBreak/>
        <w:t xml:space="preserve">Ergon Energy did not rely on RIN data for their historical </w:t>
      </w:r>
      <w:proofErr w:type="spellStart"/>
      <w:r>
        <w:t>opex</w:t>
      </w:r>
      <w:proofErr w:type="spellEnd"/>
      <w:r>
        <w:t>:</w:t>
      </w:r>
    </w:p>
    <w:p w:rsidR="000B1D07" w:rsidRDefault="000B1D07" w:rsidP="000B1D07">
      <w:pPr>
        <w:pStyle w:val="AERquote"/>
      </w:pPr>
      <w:r>
        <w:t xml:space="preserve">The AER's Regulatory Information Notice (RIN) specifically separates out metering expenditure into a number of </w:t>
      </w:r>
      <w:proofErr w:type="spellStart"/>
      <w:r>
        <w:t>opex</w:t>
      </w:r>
      <w:proofErr w:type="spellEnd"/>
      <w:r>
        <w:t xml:space="preserve"> </w:t>
      </w:r>
      <w:proofErr w:type="gramStart"/>
      <w:r>
        <w:t>categories,</w:t>
      </w:r>
      <w:proofErr w:type="gramEnd"/>
      <w:r>
        <w:t xml:space="preserve"> however these categories are not aligned to the AER's F&amp;A requirements, nor are they mutually exclusive or collectively exhaustive. Ergon Energy has therefore developed reasonable estimates of historical </w:t>
      </w:r>
      <w:proofErr w:type="spellStart"/>
      <w:r>
        <w:t>opex</w:t>
      </w:r>
      <w:proofErr w:type="spellEnd"/>
      <w:r>
        <w:t xml:space="preserve"> that align to its forecast in order to enable comparison.</w:t>
      </w:r>
      <w:r>
        <w:rPr>
          <w:rStyle w:val="FootnoteReference"/>
        </w:rPr>
        <w:footnoteReference w:id="71"/>
      </w:r>
    </w:p>
    <w:p w:rsidR="000B1D07" w:rsidRDefault="000B1D07" w:rsidP="000B1D07">
      <w:r>
        <w:t xml:space="preserve">Ergon Energy's concerns appear to relate to our category analysis RIN data which does separate metering expenditure into particular </w:t>
      </w:r>
      <w:proofErr w:type="spellStart"/>
      <w:r>
        <w:t>opex</w:t>
      </w:r>
      <w:proofErr w:type="spellEnd"/>
      <w:r>
        <w:t xml:space="preserve"> categories (such as meter testing, scheduled meter reads, meter maintenance). </w:t>
      </w:r>
    </w:p>
    <w:p w:rsidR="000B1D07" w:rsidRDefault="000B1D07" w:rsidP="000B1D07">
      <w:r>
        <w:t>However, we have relied on economic benchmarking RIN data '</w:t>
      </w:r>
      <w:proofErr w:type="spellStart"/>
      <w:r>
        <w:t>opex</w:t>
      </w:r>
      <w:proofErr w:type="spellEnd"/>
      <w:r>
        <w:t xml:space="preserve"> for metering.'</w:t>
      </w:r>
      <w:r>
        <w:rPr>
          <w:rStyle w:val="FootnoteReference"/>
        </w:rPr>
        <w:footnoteReference w:id="72"/>
      </w:r>
      <w:r>
        <w:t xml:space="preserve"> We consider that this data is appropriate to determine historic metering </w:t>
      </w:r>
      <w:proofErr w:type="spellStart"/>
      <w:r>
        <w:t>opex</w:t>
      </w:r>
      <w:proofErr w:type="spellEnd"/>
      <w:r>
        <w:t xml:space="preserve"> because it is audited, prepared across distributors using consistent instructions and definitions. In particular, the definition of metering services is:</w:t>
      </w:r>
    </w:p>
    <w:p w:rsidR="000B1D07" w:rsidRDefault="000B1D07" w:rsidP="000B1D07">
      <w:pPr>
        <w:pStyle w:val="AERquote"/>
      </w:pPr>
      <w:r w:rsidRPr="00304404">
        <w:t xml:space="preserve">Type 5-7 Metering Services as defined in the National Electricity Rules. Metering Services includes the installation, replacement, operation and maintenance (including meter </w:t>
      </w:r>
      <w:r>
        <w:t>reading) of type 5 to 7 Meters.</w:t>
      </w:r>
      <w:r>
        <w:rPr>
          <w:rStyle w:val="FootnoteReference"/>
        </w:rPr>
        <w:footnoteReference w:id="73"/>
      </w:r>
    </w:p>
    <w:p w:rsidR="000B1D07" w:rsidRDefault="000B1D07" w:rsidP="000B1D07">
      <w:r w:rsidRPr="00304404">
        <w:t xml:space="preserve">We consider that the </w:t>
      </w:r>
      <w:r>
        <w:t xml:space="preserve">economic benchmarking </w:t>
      </w:r>
      <w:r w:rsidRPr="00304404">
        <w:t xml:space="preserve">RIN definition is </w:t>
      </w:r>
      <w:r>
        <w:t>sufficiently</w:t>
      </w:r>
      <w:r w:rsidRPr="00304404">
        <w:t xml:space="preserve"> broad and does not in any way limit </w:t>
      </w:r>
      <w:r>
        <w:t>distributors</w:t>
      </w:r>
      <w:r w:rsidRPr="00304404">
        <w:t xml:space="preserve"> from including any metering related costs to that category. </w:t>
      </w:r>
      <w:r>
        <w:t>Further, the economic benchmarking RIN data is submitted in accordance with current cost allocation methods, which means that overheads are already accounted for.</w:t>
      </w:r>
    </w:p>
    <w:p w:rsidR="000B1D07" w:rsidRPr="004526EE" w:rsidRDefault="000B1D07" w:rsidP="000B1D07">
      <w:pPr>
        <w:numPr>
          <w:ilvl w:val="0"/>
          <w:numId w:val="25"/>
        </w:numPr>
      </w:pPr>
      <w:r w:rsidRPr="004526EE">
        <w:t xml:space="preserve">Consistent with our approach for standard control services, we examined the proposed base by applying benchmarking. To do this we used a partial performance indicator which compared Ergon Energy's proposed </w:t>
      </w:r>
      <w:proofErr w:type="spellStart"/>
      <w:r w:rsidRPr="004526EE">
        <w:t>opex</w:t>
      </w:r>
      <w:proofErr w:type="spellEnd"/>
      <w:r w:rsidRPr="004526EE">
        <w:t xml:space="preserve"> per customer against other non-Victorian </w:t>
      </w:r>
      <w:r>
        <w:t>distribution businesses in the National Electricity M</w:t>
      </w:r>
      <w:r w:rsidRPr="004526EE">
        <w:t xml:space="preserve">arket.  </w:t>
      </w:r>
    </w:p>
    <w:p w:rsidR="000B1D07" w:rsidRPr="004526EE" w:rsidRDefault="000B1D07" w:rsidP="000B1D07">
      <w:r w:rsidRPr="004526EE">
        <w:t xml:space="preserve">When comparing Ergon Energy's proposed </w:t>
      </w:r>
      <w:proofErr w:type="spellStart"/>
      <w:r w:rsidRPr="004526EE">
        <w:t>opex</w:t>
      </w:r>
      <w:proofErr w:type="spellEnd"/>
      <w:r w:rsidRPr="004526EE">
        <w:t xml:space="preserve"> to its peers, we normalised our results by accounting for customer density. We calculated this as the number of customers a distribution business has per kilometre of line length. We took customer density into account because, all things equal, businesses with a low customer density ar</w:t>
      </w:r>
      <w:r>
        <w:t xml:space="preserve">e likely to require higher </w:t>
      </w:r>
      <w:proofErr w:type="spellStart"/>
      <w:r>
        <w:t>opex</w:t>
      </w:r>
      <w:proofErr w:type="spellEnd"/>
      <w:r w:rsidRPr="004526EE">
        <w:t xml:space="preserve">. For example, this could be because of longer travel times to service customers. </w:t>
      </w:r>
      <w:r w:rsidRPr="004526EE">
        <w:fldChar w:fldCharType="begin"/>
      </w:r>
      <w:r w:rsidRPr="004526EE">
        <w:instrText xml:space="preserve"> REF _Ref416875264 \h </w:instrText>
      </w:r>
      <w:r w:rsidRPr="004526EE">
        <w:fldChar w:fldCharType="separate"/>
      </w:r>
      <w:r w:rsidR="00F16AE7" w:rsidRPr="004526EE">
        <w:t xml:space="preserve">Figure </w:t>
      </w:r>
      <w:r w:rsidR="00F16AE7">
        <w:rPr>
          <w:noProof/>
        </w:rPr>
        <w:t>16</w:t>
      </w:r>
      <w:r w:rsidR="00F16AE7">
        <w:t>.</w:t>
      </w:r>
      <w:r w:rsidR="00F16AE7">
        <w:rPr>
          <w:noProof/>
        </w:rPr>
        <w:t>5</w:t>
      </w:r>
      <w:r w:rsidRPr="004526EE">
        <w:fldChar w:fldCharType="end"/>
      </w:r>
      <w:r w:rsidRPr="004526EE">
        <w:t xml:space="preserve"> shows the results of our benchmarking.</w:t>
      </w:r>
    </w:p>
    <w:p w:rsidR="000B1D07" w:rsidRPr="004526EE" w:rsidRDefault="000B1D07" w:rsidP="000B1D07">
      <w:pPr>
        <w:pStyle w:val="Caption"/>
      </w:pPr>
      <w:bookmarkStart w:id="116" w:name="_Ref416875264"/>
      <w:proofErr w:type="gramStart"/>
      <w:r w:rsidRPr="004526EE">
        <w:lastRenderedPageBreak/>
        <w:t xml:space="preserve">Figure </w:t>
      </w:r>
      <w:proofErr w:type="gramEnd"/>
      <w:r w:rsidRPr="000B1D07">
        <w:fldChar w:fldCharType="begin"/>
      </w:r>
      <w:r>
        <w:instrText xml:space="preserve"> STYLEREF 1 \s </w:instrText>
      </w:r>
      <w:r w:rsidRPr="000B1D07">
        <w:fldChar w:fldCharType="separate"/>
      </w:r>
      <w:r w:rsidR="00F16AE7">
        <w:rPr>
          <w:noProof/>
        </w:rPr>
        <w:t>16</w:t>
      </w:r>
      <w:r w:rsidRPr="000B1D07">
        <w:fldChar w:fldCharType="end"/>
      </w:r>
      <w:proofErr w:type="gramStart"/>
      <w:r>
        <w:t>.</w:t>
      </w:r>
      <w:proofErr w:type="gramEnd"/>
      <w:r>
        <w:fldChar w:fldCharType="begin"/>
      </w:r>
      <w:r>
        <w:instrText xml:space="preserve"> SEQ Figure \* ARABIC \s 1 </w:instrText>
      </w:r>
      <w:r>
        <w:fldChar w:fldCharType="separate"/>
      </w:r>
      <w:r w:rsidR="00F16AE7">
        <w:rPr>
          <w:noProof/>
        </w:rPr>
        <w:t>5</w:t>
      </w:r>
      <w:r>
        <w:fldChar w:fldCharType="end"/>
      </w:r>
      <w:bookmarkEnd w:id="116"/>
      <w:r w:rsidRPr="004526EE">
        <w:tab/>
        <w:t xml:space="preserve">Benchmarking of annual metering </w:t>
      </w:r>
      <w:proofErr w:type="spellStart"/>
      <w:r w:rsidRPr="004526EE">
        <w:t>opex</w:t>
      </w:r>
      <w:proofErr w:type="spellEnd"/>
      <w:r w:rsidRPr="004526EE">
        <w:t xml:space="preserve"> per customer ($ 2014–15)</w:t>
      </w:r>
    </w:p>
    <w:p w:rsidR="000B1D07" w:rsidRPr="004526EE" w:rsidRDefault="000B1D07" w:rsidP="000B1D07">
      <w:r w:rsidRPr="000B1D07">
        <w:rPr>
          <w:noProof/>
          <w:lang w:eastAsia="en-AU"/>
        </w:rPr>
        <w:drawing>
          <wp:inline distT="0" distB="0" distL="0" distR="0" wp14:anchorId="7DD43E69" wp14:editId="526B317D">
            <wp:extent cx="5382895" cy="3524109"/>
            <wp:effectExtent l="0" t="0" r="825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1D07" w:rsidRPr="004526EE" w:rsidRDefault="000B1D07" w:rsidP="000B1D07">
      <w:pPr>
        <w:pStyle w:val="Source"/>
      </w:pPr>
      <w:r w:rsidRPr="004526EE">
        <w:t>Source:</w:t>
      </w:r>
      <w:r w:rsidRPr="004526EE">
        <w:tab/>
        <w:t>AER analysis</w:t>
      </w:r>
    </w:p>
    <w:p w:rsidR="000B1D07" w:rsidRPr="004526EE" w:rsidRDefault="000B1D07" w:rsidP="000B1D07">
      <w:r>
        <w:t xml:space="preserve">We observe is a strong correlation between customer density and costs, and so we can reasonably </w:t>
      </w:r>
      <w:r w:rsidRPr="0015250A">
        <w:t xml:space="preserve">expect </w:t>
      </w:r>
      <w:r>
        <w:t>Ergon Energy</w:t>
      </w:r>
      <w:r w:rsidRPr="0015250A">
        <w:t xml:space="preserve"> to require no more </w:t>
      </w:r>
      <w:proofErr w:type="spellStart"/>
      <w:r>
        <w:t>opex</w:t>
      </w:r>
      <w:proofErr w:type="spellEnd"/>
      <w:r w:rsidRPr="0015250A">
        <w:t xml:space="preserve"> per customer than a distribution business with a similar</w:t>
      </w:r>
      <w:r>
        <w:t>ly</w:t>
      </w:r>
      <w:r w:rsidRPr="0015250A">
        <w:t xml:space="preserve"> dense network. </w:t>
      </w:r>
      <w:r>
        <w:t>W</w:t>
      </w:r>
      <w:r w:rsidRPr="004526EE">
        <w:t xml:space="preserve">e </w:t>
      </w:r>
      <w:r>
        <w:t xml:space="preserve">therefore </w:t>
      </w:r>
      <w:r w:rsidRPr="004526EE">
        <w:t xml:space="preserve">selected Essential Energy as the relevant comparator. In doing so, we observed that in the provision of metering services Ergon Energy incurs less </w:t>
      </w:r>
      <w:proofErr w:type="spellStart"/>
      <w:r w:rsidRPr="004526EE">
        <w:t>opex</w:t>
      </w:r>
      <w:proofErr w:type="spellEnd"/>
      <w:r w:rsidRPr="004526EE">
        <w:t xml:space="preserve"> per customer than Essential Energy. The former incurs $32 on a per customer b</w:t>
      </w:r>
      <w:r>
        <w:t>asis while the latter spends $45</w:t>
      </w:r>
      <w:r w:rsidRPr="004526EE">
        <w:t xml:space="preserve">. We conclude from this that, when normalising for </w:t>
      </w:r>
      <w:r>
        <w:t xml:space="preserve">customer </w:t>
      </w:r>
      <w:r w:rsidRPr="004526EE">
        <w:t>density, Ergon Energy is relatively efficient.</w:t>
      </w:r>
      <w:r w:rsidRPr="004526EE">
        <w:rPr>
          <w:rStyle w:val="FootnoteReference"/>
        </w:rPr>
        <w:footnoteReference w:id="74"/>
      </w:r>
      <w:r w:rsidRPr="004526EE">
        <w:t xml:space="preserve"> As a consequence, we did not make an efficiency related adjustment to its base </w:t>
      </w:r>
      <w:proofErr w:type="spellStart"/>
      <w:r w:rsidRPr="004526EE">
        <w:t>opex</w:t>
      </w:r>
      <w:proofErr w:type="spellEnd"/>
      <w:r w:rsidRPr="004526EE">
        <w:t>.</w:t>
      </w:r>
    </w:p>
    <w:p w:rsidR="000B1D07" w:rsidRPr="004526EE" w:rsidRDefault="000B1D07" w:rsidP="000B1D07">
      <w:r w:rsidRPr="004526EE">
        <w:t xml:space="preserve">We have therefore accepted Ergon Energy's historical </w:t>
      </w:r>
      <w:proofErr w:type="spellStart"/>
      <w:r w:rsidRPr="004526EE">
        <w:t>opex</w:t>
      </w:r>
      <w:proofErr w:type="spellEnd"/>
      <w:r w:rsidRPr="004526EE">
        <w:t xml:space="preserve"> of $32 per customer/year as the base for setting forecast </w:t>
      </w:r>
      <w:proofErr w:type="spellStart"/>
      <w:r w:rsidRPr="004526EE">
        <w:t>opex</w:t>
      </w:r>
      <w:proofErr w:type="spellEnd"/>
      <w:r w:rsidRPr="004526EE">
        <w:t xml:space="preserve"> in the 2015-20 regulatory control </w:t>
      </w:r>
      <w:proofErr w:type="gramStart"/>
      <w:r w:rsidRPr="004526EE">
        <w:t>period</w:t>
      </w:r>
      <w:proofErr w:type="gramEnd"/>
      <w:r w:rsidRPr="004526EE">
        <w:t xml:space="preserve">.  </w:t>
      </w:r>
    </w:p>
    <w:p w:rsidR="000B1D07" w:rsidRPr="000B1D07" w:rsidRDefault="000B1D07" w:rsidP="000B1D07">
      <w:pPr>
        <w:pStyle w:val="Heading6"/>
      </w:pPr>
      <w:bookmarkStart w:id="117" w:name="_Toc416265567"/>
      <w:bookmarkStart w:id="118" w:name="_Toc416356492"/>
      <w:bookmarkStart w:id="119" w:name="_Ref416427079"/>
      <w:bookmarkStart w:id="120" w:name="_Ref416704093"/>
      <w:bookmarkStart w:id="121" w:name="_Ref416716546"/>
      <w:bookmarkStart w:id="122" w:name="_Ref416716577"/>
      <w:bookmarkStart w:id="123" w:name="_Toc416972042"/>
      <w:bookmarkEnd w:id="117"/>
      <w:r w:rsidRPr="004526EE">
        <w:t>Step changes</w:t>
      </w:r>
      <w:bookmarkEnd w:id="118"/>
      <w:bookmarkEnd w:id="119"/>
      <w:bookmarkEnd w:id="120"/>
      <w:bookmarkEnd w:id="121"/>
      <w:bookmarkEnd w:id="122"/>
      <w:bookmarkEnd w:id="123"/>
    </w:p>
    <w:p w:rsidR="000B1D07" w:rsidRPr="004526EE" w:rsidRDefault="000B1D07" w:rsidP="000B1D07">
      <w:r w:rsidRPr="004526EE">
        <w:t xml:space="preserve">We do not accept Ergon Energy's proposed $1 million step change for preventive meter maintenance in the 2015–16 year. Ergon Energy stated that this step change is required to meet regulatory obligations that the Australian Energy Market Operator has </w:t>
      </w:r>
      <w:r w:rsidRPr="004526EE">
        <w:lastRenderedPageBreak/>
        <w:t>imposed on it. This is with respect to 'meter testing and conformance to defined accuracy parameters'.</w:t>
      </w:r>
      <w:r w:rsidRPr="004526EE">
        <w:rPr>
          <w:rStyle w:val="FootnoteReference"/>
        </w:rPr>
        <w:footnoteReference w:id="75"/>
      </w:r>
      <w:r w:rsidRPr="004526EE">
        <w:t xml:space="preserve"> </w:t>
      </w:r>
    </w:p>
    <w:p w:rsidR="000B1D07" w:rsidRPr="004526EE" w:rsidRDefault="000B1D07" w:rsidP="000B1D07">
      <w:pPr>
        <w:numPr>
          <w:ilvl w:val="0"/>
          <w:numId w:val="25"/>
        </w:numPr>
      </w:pPr>
      <w:r w:rsidRPr="004526EE">
        <w:t>We approached AEMO about Ergon Energy's metering testing obligations. We were informed that the work associated with the proposed step change is not a new regulatory obligation.</w:t>
      </w:r>
      <w:r w:rsidRPr="004526EE">
        <w:rPr>
          <w:rStyle w:val="FootnoteReference"/>
        </w:rPr>
        <w:footnoteReference w:id="76"/>
      </w:r>
      <w:r w:rsidRPr="004526EE">
        <w:t xml:space="preserve">  For that reason, we do not accept Ergon Energy's proposal. As noted in our expenditure guidelines, step changes relate to a new obligation or some change in a service provider's operating environment beyond its control.</w:t>
      </w:r>
      <w:r w:rsidRPr="004526EE">
        <w:rPr>
          <w:rStyle w:val="FootnoteReference"/>
        </w:rPr>
        <w:footnoteReference w:id="77"/>
      </w:r>
      <w:r w:rsidRPr="004526EE">
        <w:t xml:space="preserve"> This is not the case in relation to Ergon Energy's proposed step change.</w:t>
      </w:r>
    </w:p>
    <w:p w:rsidR="000B1D07" w:rsidRPr="000B1D07" w:rsidRDefault="000B1D07" w:rsidP="000B1D07">
      <w:pPr>
        <w:pStyle w:val="Heading6"/>
      </w:pPr>
      <w:bookmarkStart w:id="124" w:name="_Toc416356493"/>
      <w:bookmarkStart w:id="125" w:name="_Toc416972043"/>
      <w:r w:rsidRPr="004526EE">
        <w:t>Trend</w:t>
      </w:r>
      <w:bookmarkEnd w:id="124"/>
      <w:bookmarkEnd w:id="125"/>
      <w:r w:rsidRPr="004526EE">
        <w:t xml:space="preserve"> </w:t>
      </w:r>
    </w:p>
    <w:p w:rsidR="000B1D07" w:rsidRDefault="000B1D07" w:rsidP="000B1D07">
      <w:r>
        <w:t>We trended the base forward for forecast metering customer growth. We have applied zero forecast real price and productivity growth.</w:t>
      </w:r>
    </w:p>
    <w:p w:rsidR="000B1D07" w:rsidRDefault="000B1D07" w:rsidP="000B1D07">
      <w:r>
        <w:t xml:space="preserve">Our analysis for base metering </w:t>
      </w:r>
      <w:proofErr w:type="spellStart"/>
      <w:r>
        <w:t>opex</w:t>
      </w:r>
      <w:proofErr w:type="spellEnd"/>
      <w:r>
        <w:t xml:space="preserve"> used average data from 2008–09 to 2012–13. One would expect to see metering </w:t>
      </w:r>
      <w:proofErr w:type="spellStart"/>
      <w:r>
        <w:t>opex</w:t>
      </w:r>
      <w:proofErr w:type="spellEnd"/>
      <w:r>
        <w:t xml:space="preserve"> per customer increasing over the period if there was real price growth. </w:t>
      </w:r>
    </w:p>
    <w:p w:rsidR="000B1D07" w:rsidRDefault="000B1D07" w:rsidP="000B1D07">
      <w:pPr>
        <w:pStyle w:val="Caption"/>
      </w:pPr>
      <w:bookmarkStart w:id="126" w:name="_Ref417577167"/>
      <w:proofErr w:type="gramStart"/>
      <w:r>
        <w:t xml:space="preserve">Figure </w:t>
      </w:r>
      <w:proofErr w:type="gramEnd"/>
      <w:r w:rsidRPr="000B1D07">
        <w:fldChar w:fldCharType="begin"/>
      </w:r>
      <w:r>
        <w:instrText xml:space="preserve"> STYLEREF 1 \s </w:instrText>
      </w:r>
      <w:r w:rsidRPr="000B1D07">
        <w:fldChar w:fldCharType="separate"/>
      </w:r>
      <w:r w:rsidR="00F16AE7">
        <w:rPr>
          <w:noProof/>
        </w:rPr>
        <w:t>16</w:t>
      </w:r>
      <w:r w:rsidRPr="000B1D07">
        <w:fldChar w:fldCharType="end"/>
      </w:r>
      <w:proofErr w:type="gramStart"/>
      <w:r>
        <w:t>.</w:t>
      </w:r>
      <w:proofErr w:type="gramEnd"/>
      <w:r>
        <w:fldChar w:fldCharType="begin"/>
      </w:r>
      <w:r>
        <w:instrText xml:space="preserve"> SEQ Figure \* ARABIC \s 1 </w:instrText>
      </w:r>
      <w:r>
        <w:fldChar w:fldCharType="separate"/>
      </w:r>
      <w:r w:rsidR="00F16AE7">
        <w:rPr>
          <w:noProof/>
        </w:rPr>
        <w:t>6</w:t>
      </w:r>
      <w:r>
        <w:fldChar w:fldCharType="end"/>
      </w:r>
      <w:bookmarkEnd w:id="126"/>
      <w:r>
        <w:tab/>
        <w:t xml:space="preserve">Annual default </w:t>
      </w:r>
      <w:proofErr w:type="spellStart"/>
      <w:r>
        <w:t>opex</w:t>
      </w:r>
      <w:proofErr w:type="spellEnd"/>
      <w:r>
        <w:t xml:space="preserve"> per customer</w:t>
      </w:r>
    </w:p>
    <w:p w:rsidR="000B1D07" w:rsidRDefault="000B1D07" w:rsidP="000B1D07">
      <w:r w:rsidRPr="000B1D07">
        <w:rPr>
          <w:noProof/>
          <w:lang w:eastAsia="en-AU"/>
        </w:rPr>
        <w:drawing>
          <wp:inline distT="0" distB="0" distL="0" distR="0" wp14:anchorId="75565F19" wp14:editId="0D8B485B">
            <wp:extent cx="4310380" cy="2914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0380" cy="2914015"/>
                    </a:xfrm>
                    <a:prstGeom prst="rect">
                      <a:avLst/>
                    </a:prstGeom>
                    <a:noFill/>
                  </pic:spPr>
                </pic:pic>
              </a:graphicData>
            </a:graphic>
          </wp:inline>
        </w:drawing>
      </w:r>
    </w:p>
    <w:p w:rsidR="000B1D07" w:rsidRDefault="000B1D07" w:rsidP="000B1D07"/>
    <w:p w:rsidR="000B1D07" w:rsidRDefault="000B1D07" w:rsidP="000B1D07">
      <w:r>
        <w:t xml:space="preserve">However, </w:t>
      </w:r>
      <w:r>
        <w:fldChar w:fldCharType="begin"/>
      </w:r>
      <w:r>
        <w:instrText xml:space="preserve"> REF _Ref417577167 \h </w:instrText>
      </w:r>
      <w:r>
        <w:fldChar w:fldCharType="separate"/>
      </w:r>
      <w:r w:rsidR="00F16AE7">
        <w:t xml:space="preserve">Figure </w:t>
      </w:r>
      <w:r w:rsidR="00F16AE7">
        <w:rPr>
          <w:noProof/>
        </w:rPr>
        <w:t>16</w:t>
      </w:r>
      <w:r w:rsidR="00F16AE7">
        <w:t>.</w:t>
      </w:r>
      <w:r w:rsidR="00F16AE7">
        <w:rPr>
          <w:noProof/>
        </w:rPr>
        <w:t>6</w:t>
      </w:r>
      <w:r>
        <w:fldChar w:fldCharType="end"/>
      </w:r>
      <w:r>
        <w:t xml:space="preserve"> shows that Ergon Energy's metering </w:t>
      </w:r>
      <w:proofErr w:type="spellStart"/>
      <w:r>
        <w:t>opex</w:t>
      </w:r>
      <w:proofErr w:type="spellEnd"/>
      <w:r>
        <w:t xml:space="preserve"> per customer was reasonably stable and dipped in 2012–13. The industry average was stable over the period. This implies that either there were no real price increases over this period, or </w:t>
      </w:r>
      <w:r>
        <w:lastRenderedPageBreak/>
        <w:t xml:space="preserve">the distributors were able to offset these real price increases with productivity improvements. </w:t>
      </w:r>
    </w:p>
    <w:p w:rsidR="000B1D07" w:rsidRDefault="000B1D07" w:rsidP="000B1D07">
      <w:r>
        <w:t>Ergon Energy expressed a similar view:</w:t>
      </w:r>
    </w:p>
    <w:p w:rsidR="000B1D07" w:rsidRDefault="000B1D07" w:rsidP="000B1D07">
      <w:pPr>
        <w:pStyle w:val="AERquote"/>
      </w:pPr>
      <w:r>
        <w:t xml:space="preserve">Overall, historical </w:t>
      </w:r>
      <w:proofErr w:type="spellStart"/>
      <w:r>
        <w:t>opex</w:t>
      </w:r>
      <w:proofErr w:type="spellEnd"/>
      <w:r>
        <w:t xml:space="preserve"> has been relatively flat over 2010–15 in real terms, despite the volume of sites increasing by over 1% per annum over the period. This is due to Ergon Energy's productivity improvements implemented over the regulatory control period, including additional outsourcing where the market was more cost effective than internal resources.</w:t>
      </w:r>
      <w:r>
        <w:rPr>
          <w:rStyle w:val="FootnoteReference"/>
        </w:rPr>
        <w:footnoteReference w:id="78"/>
      </w:r>
    </w:p>
    <w:p w:rsidR="000B1D07" w:rsidRDefault="000B1D07" w:rsidP="000B1D07">
      <w:r>
        <w:t xml:space="preserve">Given that </w:t>
      </w:r>
      <w:proofErr w:type="spellStart"/>
      <w:r>
        <w:t>opex</w:t>
      </w:r>
      <w:proofErr w:type="spellEnd"/>
      <w:r>
        <w:t xml:space="preserve"> is largely recurrent and metering </w:t>
      </w:r>
      <w:proofErr w:type="spellStart"/>
      <w:r>
        <w:t>opex</w:t>
      </w:r>
      <w:proofErr w:type="spellEnd"/>
      <w:r>
        <w:t xml:space="preserve"> per customer has not been increasing, we do not forecast metering </w:t>
      </w:r>
      <w:proofErr w:type="spellStart"/>
      <w:r>
        <w:t>opex</w:t>
      </w:r>
      <w:proofErr w:type="spellEnd"/>
      <w:r>
        <w:t xml:space="preserve"> per customer to increase in the 2015–20 regulatory control period. Therefore, we apply zero real price and productivity growth.   </w:t>
      </w:r>
    </w:p>
    <w:p w:rsidR="000B1D07" w:rsidRPr="004526EE" w:rsidRDefault="000B1D07" w:rsidP="000B1D07">
      <w:r w:rsidRPr="004526EE">
        <w:t>This arrives at an alt</w:t>
      </w:r>
      <w:r>
        <w:t xml:space="preserve">ernative </w:t>
      </w:r>
      <w:proofErr w:type="spellStart"/>
      <w:r>
        <w:t>opex</w:t>
      </w:r>
      <w:proofErr w:type="spellEnd"/>
      <w:r>
        <w:t xml:space="preserve"> forecast of $118.6</w:t>
      </w:r>
      <w:r w:rsidRPr="004526EE">
        <w:t xml:space="preserve"> million ($2014–15). </w:t>
      </w:r>
    </w:p>
    <w:p w:rsidR="000B1D07" w:rsidRPr="004526EE" w:rsidRDefault="000B1D07" w:rsidP="000B1D07">
      <w:pPr>
        <w:pStyle w:val="Heading4"/>
      </w:pPr>
      <w:bookmarkStart w:id="127" w:name="_Toc416881283"/>
      <w:bookmarkStart w:id="128" w:name="_Toc416972044"/>
      <w:bookmarkEnd w:id="127"/>
      <w:r w:rsidRPr="004526EE">
        <w:t>Upfront charges</w:t>
      </w:r>
      <w:bookmarkEnd w:id="128"/>
    </w:p>
    <w:p w:rsidR="000B1D07" w:rsidRPr="004526EE" w:rsidRDefault="000B1D07" w:rsidP="000B1D07">
      <w:r w:rsidRPr="004526EE">
        <w:t xml:space="preserve">Ergon Energy's proposal did not include any upfront charges. Our preliminary decision, however, is to move the cost recovery of customer initiated capital works from the annual metering service charge to an upfront payment. This will be made directly by customers to Ergon Energy at the time of installation. </w:t>
      </w:r>
    </w:p>
    <w:p w:rsidR="000B1D07" w:rsidRPr="000B1D07" w:rsidRDefault="000B1D07" w:rsidP="000B1D07">
      <w:pPr>
        <w:pStyle w:val="Heading5"/>
      </w:pPr>
      <w:r w:rsidRPr="004526EE">
        <w:t>Policy reasons</w:t>
      </w:r>
    </w:p>
    <w:p w:rsidR="000B1D07" w:rsidRPr="004526EE" w:rsidRDefault="000B1D07" w:rsidP="000B1D07">
      <w:r w:rsidRPr="004526EE">
        <w:t xml:space="preserve">By moving the cost recovery of customer initiated capital works, we have amended Ergon Energy's proposed structure of metering services. In making this preliminary decision we had regard to certain factors (see </w:t>
      </w:r>
      <w:r w:rsidRPr="004526EE">
        <w:fldChar w:fldCharType="begin"/>
      </w:r>
      <w:r w:rsidRPr="004526EE">
        <w:instrText xml:space="preserve"> REF _Ref415219630 \r \h </w:instrText>
      </w:r>
      <w:r w:rsidRPr="004526EE">
        <w:fldChar w:fldCharType="separate"/>
      </w:r>
      <w:r w:rsidR="00F16AE7">
        <w:t>16.2.3.1</w:t>
      </w:r>
      <w:r w:rsidRPr="004526EE">
        <w:fldChar w:fldCharType="end"/>
      </w:r>
      <w:r w:rsidRPr="004526EE">
        <w:t>). These include:</w:t>
      </w:r>
    </w:p>
    <w:p w:rsidR="000B1D07" w:rsidRPr="004526EE" w:rsidRDefault="000B1D07" w:rsidP="000B1D07">
      <w:pPr>
        <w:pStyle w:val="AERbulletlistfirststyle"/>
      </w:pPr>
      <w:r w:rsidRPr="004526EE">
        <w:t xml:space="preserve">how the control mechanism may influence the potential for competition in unregulated metering </w:t>
      </w:r>
    </w:p>
    <w:p w:rsidR="000B1D07" w:rsidRPr="004526EE" w:rsidRDefault="000B1D07" w:rsidP="000B1D07">
      <w:pPr>
        <w:pStyle w:val="AERbulletlistfirststyle"/>
      </w:pPr>
      <w:r w:rsidRPr="004526EE">
        <w:t>the regulatory arrangements that applied in the most recent distribution determination</w:t>
      </w:r>
    </w:p>
    <w:p w:rsidR="000B1D07" w:rsidRPr="004526EE" w:rsidRDefault="000B1D07" w:rsidP="000B1D07">
      <w:pPr>
        <w:pStyle w:val="AERbulletlistfirststyle"/>
      </w:pPr>
      <w:proofErr w:type="gramStart"/>
      <w:r w:rsidRPr="004526EE">
        <w:t>the</w:t>
      </w:r>
      <w:proofErr w:type="gramEnd"/>
      <w:r w:rsidRPr="004526EE">
        <w:t xml:space="preserve"> desirability for consistency of regulatory arrangements for similar.</w:t>
      </w:r>
    </w:p>
    <w:p w:rsidR="000B1D07" w:rsidRPr="00262988" w:rsidRDefault="000B1D07" w:rsidP="000B1D07">
      <w:pPr>
        <w:rPr>
          <w:rStyle w:val="AERbody"/>
        </w:rPr>
      </w:pPr>
      <w:r w:rsidRPr="00262988">
        <w:rPr>
          <w:rStyle w:val="AERbody"/>
        </w:rPr>
        <w:t xml:space="preserve">With regard to the desirability for consistency, we took into account our draft determinations on the NSW ACT 2014–15 and 2015–19 regulatory control periods. In those draft determinations we approved a structure of metering services which included separate charges for existing and new/upgraded customers. </w:t>
      </w:r>
    </w:p>
    <w:p w:rsidR="000B1D07" w:rsidRPr="004526EE" w:rsidRDefault="000B1D07" w:rsidP="000B1D07">
      <w:r w:rsidRPr="004526EE">
        <w:t xml:space="preserve">We consider the same approach should be applied in Queensland, with respect to the cost recovery of new connections and metering alterations and additions </w:t>
      </w:r>
      <w:r>
        <w:t xml:space="preserve">made by Ergon Energy. As noted in section </w:t>
      </w:r>
      <w:r>
        <w:fldChar w:fldCharType="begin"/>
      </w:r>
      <w:r>
        <w:instrText xml:space="preserve"> REF _Ref417643815 \r \h </w:instrText>
      </w:r>
      <w:r>
        <w:fldChar w:fldCharType="separate"/>
      </w:r>
      <w:r w:rsidR="00F16AE7">
        <w:t>16.2.5.2</w:t>
      </w:r>
      <w:r>
        <w:fldChar w:fldCharType="end"/>
      </w:r>
      <w:r w:rsidRPr="004526EE">
        <w:t xml:space="preserve">, this preliminary decision is principally driven by the AEMC's metering rule change. When implemented, our approach to Ergon Energy's capitalisation policy (upfront payments) should help level the </w:t>
      </w:r>
      <w:r w:rsidRPr="004526EE">
        <w:lastRenderedPageBreak/>
        <w:t xml:space="preserve">competitive playing field for new meters. This is by shifting how Ergon Energy's capital costs are recovered, from the annual metering services charge, where costs are smeared across all customers, to an upfront payment which new entrants to the market are able to compete with in terms of price.    </w:t>
      </w:r>
    </w:p>
    <w:p w:rsidR="000B1D07" w:rsidRPr="004526EE" w:rsidRDefault="000B1D07" w:rsidP="000B1D07">
      <w:r w:rsidRPr="004526EE">
        <w:t>We also had regard to the revenue and pricing principles in the national electricity law which include providing a distributor with a reasonable opportunity to recover at least its efficient costs.</w:t>
      </w:r>
      <w:r w:rsidRPr="004526EE">
        <w:rPr>
          <w:rStyle w:val="FootnoteReference"/>
        </w:rPr>
        <w:footnoteReference w:id="79"/>
      </w:r>
      <w:r w:rsidRPr="004526EE">
        <w:t xml:space="preserve"> On this requirement, we note that Ergon Energy proposed $35.7 million (2014–15) for new connections, metering alterations and additions in the 2015–20 regulatory control </w:t>
      </w:r>
      <w:proofErr w:type="gramStart"/>
      <w:r w:rsidRPr="004526EE">
        <w:t>period</w:t>
      </w:r>
      <w:proofErr w:type="gramEnd"/>
      <w:r w:rsidRPr="004526EE">
        <w:t xml:space="preserve">, which we are not accepting. Notwithstanding, Ergon Energy will still be able to recover its efficient costs, as required under the revenue and pricing principles. However, this will be via a different capitalisation policy; that is, via an upfront payment, as opposed to through the annual metering charge. </w:t>
      </w:r>
    </w:p>
    <w:p w:rsidR="000B1D07" w:rsidRPr="000B1D07" w:rsidRDefault="000B1D07" w:rsidP="000B1D07">
      <w:pPr>
        <w:pStyle w:val="Heading5"/>
      </w:pPr>
      <w:r w:rsidRPr="004526EE">
        <w:t>Calculation of upfront charges</w:t>
      </w:r>
    </w:p>
    <w:p w:rsidR="000B1D07" w:rsidRPr="004526EE" w:rsidRDefault="000B1D07" w:rsidP="000B1D07">
      <w:r w:rsidRPr="004526EE">
        <w:t>We have calculated the upfront capital charge for customer initiated capital works using Ergon Energy's proposed costs for similar work. Specifically, we have used the proposed costs for installation of an additional meter, which is classified in our F&amp;A and in this preliminary decision as a 'quoted service'. We selected this quoted service because the installation of an additional meter involves the same type of activities as customer initiated capital works.</w:t>
      </w:r>
    </w:p>
    <w:p w:rsidR="000B1D07" w:rsidRPr="004526EE" w:rsidRDefault="000B1D07" w:rsidP="000B1D07">
      <w:r w:rsidRPr="004526EE">
        <w:t>Ergon Energy's proposed costs for installation of an additional meter is 'based on an estimate of labour resources required to perform this service (a technical service person) and the use of a light commercial vehicle'.</w:t>
      </w:r>
      <w:r w:rsidRPr="004526EE">
        <w:rPr>
          <w:rStyle w:val="FootnoteReference"/>
        </w:rPr>
        <w:footnoteReference w:id="80"/>
      </w:r>
      <w:r w:rsidRPr="004526EE">
        <w:t xml:space="preserve"> It included a capital allowance, but not an allowance for materials or contractor services. </w:t>
      </w:r>
    </w:p>
    <w:p w:rsidR="000B1D07" w:rsidRDefault="000B1D07" w:rsidP="000B1D07">
      <w:r w:rsidRPr="004526EE">
        <w:t xml:space="preserve">To calculate the upfront capital charge, we took Ergon Energy's proposed costs for installation of an additional meter, inclusive of the proposed labour and capital allowance, and added the forecast cost of materials. In adding the material costs, we established three charges. These are for single phase, dual element, and three phase </w:t>
      </w:r>
      <w:r>
        <w:t>t</w:t>
      </w:r>
      <w:r w:rsidRPr="004526EE">
        <w:t>ype 6 meters. These material costs were derived from our consultant, Marsden Jacob, and represent the 'top end' of the observed market range for the category of meters Ergon Energy installs.</w:t>
      </w:r>
      <w:r w:rsidRPr="004526EE">
        <w:rPr>
          <w:rStyle w:val="FootnoteReference"/>
        </w:rPr>
        <w:footnoteReference w:id="81"/>
      </w:r>
      <w:r w:rsidRPr="004526EE">
        <w:t xml:space="preserve"> </w:t>
      </w:r>
      <w:r w:rsidRPr="004526EE">
        <w:fldChar w:fldCharType="begin"/>
      </w:r>
      <w:r w:rsidRPr="004526EE">
        <w:instrText xml:space="preserve"> REF _Ref417290026 \h </w:instrText>
      </w:r>
      <w:r w:rsidRPr="004526EE">
        <w:fldChar w:fldCharType="separate"/>
      </w:r>
      <w:r w:rsidR="00F16AE7" w:rsidRPr="004526EE">
        <w:t xml:space="preserve">Table </w:t>
      </w:r>
      <w:r w:rsidR="00F16AE7">
        <w:rPr>
          <w:noProof/>
        </w:rPr>
        <w:t>16</w:t>
      </w:r>
      <w:r w:rsidR="00F16AE7">
        <w:t>.</w:t>
      </w:r>
      <w:r w:rsidR="00F16AE7">
        <w:rPr>
          <w:noProof/>
        </w:rPr>
        <w:t>15</w:t>
      </w:r>
      <w:r w:rsidRPr="004526EE">
        <w:fldChar w:fldCharType="end"/>
      </w:r>
      <w:r w:rsidRPr="004526EE">
        <w:t xml:space="preserve"> sets out our calculation of the upfront capital charge for Ergon Energy.</w:t>
      </w:r>
    </w:p>
    <w:p w:rsidR="00165979" w:rsidRPr="004526EE" w:rsidRDefault="00165979" w:rsidP="000B1D07"/>
    <w:p w:rsidR="000B1D07" w:rsidRPr="004526EE" w:rsidRDefault="000B1D07" w:rsidP="000B1D07">
      <w:pPr>
        <w:pStyle w:val="Caption"/>
      </w:pPr>
      <w:bookmarkStart w:id="129" w:name="_Ref417290026"/>
      <w:proofErr w:type="gramStart"/>
      <w:r w:rsidRPr="004526EE">
        <w:lastRenderedPageBreak/>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15</w:t>
      </w:r>
      <w:r w:rsidR="00F5521C">
        <w:fldChar w:fldCharType="end"/>
      </w:r>
      <w:bookmarkEnd w:id="129"/>
      <w:r w:rsidRPr="004526EE">
        <w:tab/>
        <w:t>Upfront charge for customer initiated capital works ($ nominal)</w:t>
      </w:r>
    </w:p>
    <w:tbl>
      <w:tblPr>
        <w:tblStyle w:val="AERtable-numbers"/>
        <w:tblW w:w="0" w:type="auto"/>
        <w:tblLook w:val="04A0" w:firstRow="1" w:lastRow="0" w:firstColumn="1" w:lastColumn="0" w:noHBand="0" w:noVBand="1"/>
      </w:tblPr>
      <w:tblGrid>
        <w:gridCol w:w="1738"/>
        <w:gridCol w:w="1738"/>
        <w:gridCol w:w="1739"/>
        <w:gridCol w:w="1739"/>
        <w:gridCol w:w="1739"/>
      </w:tblGrid>
      <w:tr w:rsidR="000B1D07" w:rsidTr="0050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0B1D07" w:rsidRPr="000B1D07" w:rsidRDefault="000B1D07" w:rsidP="000B1D07">
            <w:r w:rsidRPr="004526EE">
              <w:t>Meter</w:t>
            </w:r>
          </w:p>
        </w:tc>
        <w:tc>
          <w:tcPr>
            <w:tcW w:w="1738"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Materials</w:t>
            </w:r>
          </w:p>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Labour</w:t>
            </w:r>
          </w:p>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Capital allowance</w:t>
            </w:r>
          </w:p>
        </w:tc>
        <w:tc>
          <w:tcPr>
            <w:tcW w:w="1739" w:type="dxa"/>
          </w:tcPr>
          <w:p w:rsidR="000B1D07" w:rsidRPr="000B1D07" w:rsidRDefault="000B1D07" w:rsidP="000B1D07">
            <w:pPr>
              <w:cnfStyle w:val="100000000000" w:firstRow="1" w:lastRow="0" w:firstColumn="0" w:lastColumn="0" w:oddVBand="0" w:evenVBand="0" w:oddHBand="0" w:evenHBand="0" w:firstRowFirstColumn="0" w:firstRowLastColumn="0" w:lastRowFirstColumn="0" w:lastRowLastColumn="0"/>
            </w:pPr>
            <w:r w:rsidRPr="004526EE">
              <w:t>Total</w:t>
            </w:r>
          </w:p>
        </w:tc>
      </w:tr>
      <w:tr w:rsidR="000B1D07" w:rsidTr="0050031D">
        <w:tc>
          <w:tcPr>
            <w:cnfStyle w:val="001000000000" w:firstRow="0" w:lastRow="0" w:firstColumn="1" w:lastColumn="0" w:oddVBand="0" w:evenVBand="0" w:oddHBand="0" w:evenHBand="0" w:firstRowFirstColumn="0" w:firstRowLastColumn="0" w:lastRowFirstColumn="0" w:lastRowLastColumn="0"/>
            <w:tcW w:w="1738" w:type="dxa"/>
          </w:tcPr>
          <w:p w:rsidR="000B1D07" w:rsidRPr="000B1D07" w:rsidRDefault="000B1D07" w:rsidP="000B1D07">
            <w:r w:rsidRPr="004526EE">
              <w:t>Single phase</w:t>
            </w:r>
          </w:p>
        </w:tc>
        <w:tc>
          <w:tcPr>
            <w:tcW w:w="17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100</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250.18</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43.45</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393.63</w:t>
            </w:r>
          </w:p>
        </w:tc>
      </w:tr>
      <w:tr w:rsidR="000B1D07" w:rsidTr="00500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0B1D07" w:rsidRPr="000B1D07" w:rsidRDefault="000B1D07" w:rsidP="000B1D07">
            <w:r w:rsidRPr="004526EE">
              <w:t>Dual element</w:t>
            </w:r>
          </w:p>
        </w:tc>
        <w:tc>
          <w:tcPr>
            <w:tcW w:w="1738"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150</w:t>
            </w:r>
          </w:p>
        </w:tc>
        <w:tc>
          <w:tcPr>
            <w:tcW w:w="1739"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250.18</w:t>
            </w:r>
          </w:p>
        </w:tc>
        <w:tc>
          <w:tcPr>
            <w:tcW w:w="1739"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43.45</w:t>
            </w:r>
          </w:p>
        </w:tc>
        <w:tc>
          <w:tcPr>
            <w:tcW w:w="1739" w:type="dxa"/>
          </w:tcPr>
          <w:p w:rsidR="000B1D07" w:rsidRPr="000B1D07" w:rsidRDefault="000B1D07" w:rsidP="000B1D07">
            <w:pPr>
              <w:cnfStyle w:val="000000010000" w:firstRow="0" w:lastRow="0" w:firstColumn="0" w:lastColumn="0" w:oddVBand="0" w:evenVBand="0" w:oddHBand="0" w:evenHBand="1" w:firstRowFirstColumn="0" w:firstRowLastColumn="0" w:lastRowFirstColumn="0" w:lastRowLastColumn="0"/>
            </w:pPr>
            <w:r w:rsidRPr="004526EE">
              <w:t>443.63</w:t>
            </w:r>
          </w:p>
        </w:tc>
      </w:tr>
      <w:tr w:rsidR="000B1D07" w:rsidTr="0050031D">
        <w:tc>
          <w:tcPr>
            <w:cnfStyle w:val="001000000000" w:firstRow="0" w:lastRow="0" w:firstColumn="1" w:lastColumn="0" w:oddVBand="0" w:evenVBand="0" w:oddHBand="0" w:evenHBand="0" w:firstRowFirstColumn="0" w:firstRowLastColumn="0" w:lastRowFirstColumn="0" w:lastRowLastColumn="0"/>
            <w:tcW w:w="1738" w:type="dxa"/>
          </w:tcPr>
          <w:p w:rsidR="000B1D07" w:rsidRPr="000B1D07" w:rsidRDefault="000B1D07" w:rsidP="000B1D07">
            <w:r w:rsidRPr="004526EE">
              <w:t>Three phase</w:t>
            </w:r>
          </w:p>
        </w:tc>
        <w:tc>
          <w:tcPr>
            <w:tcW w:w="1738"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189.27</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250.18</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43.45</w:t>
            </w:r>
          </w:p>
        </w:tc>
        <w:tc>
          <w:tcPr>
            <w:tcW w:w="1739" w:type="dxa"/>
          </w:tcPr>
          <w:p w:rsidR="000B1D07" w:rsidRPr="000B1D07" w:rsidRDefault="000B1D07" w:rsidP="000B1D07">
            <w:pPr>
              <w:cnfStyle w:val="000000000000" w:firstRow="0" w:lastRow="0" w:firstColumn="0" w:lastColumn="0" w:oddVBand="0" w:evenVBand="0" w:oddHBand="0" w:evenHBand="0" w:firstRowFirstColumn="0" w:firstRowLastColumn="0" w:lastRowFirstColumn="0" w:lastRowLastColumn="0"/>
            </w:pPr>
            <w:r w:rsidRPr="004526EE">
              <w:t>482.90</w:t>
            </w:r>
          </w:p>
        </w:tc>
      </w:tr>
    </w:tbl>
    <w:p w:rsidR="000B1D07" w:rsidRPr="004526EE" w:rsidRDefault="000B1D07" w:rsidP="000B1D07">
      <w:pPr>
        <w:pStyle w:val="AERtablesource"/>
      </w:pPr>
      <w:r w:rsidRPr="004526EE">
        <w:t>Source:</w:t>
      </w:r>
      <w:r w:rsidRPr="004526EE">
        <w:tab/>
        <w:t xml:space="preserve">Ergon </w:t>
      </w:r>
      <w:r w:rsidR="0050031D">
        <w:t>Energy</w:t>
      </w:r>
      <w:r w:rsidRPr="004526EE">
        <w:t xml:space="preserve">, </w:t>
      </w:r>
      <w:r w:rsidRPr="004526EE">
        <w:rPr>
          <w:rStyle w:val="AERtextitalic"/>
        </w:rPr>
        <w:t>Regulatory proposal, Attachment 05.05.01: Inputs and assumptions for ACS (redacted)</w:t>
      </w:r>
      <w:r w:rsidRPr="004526EE">
        <w:t xml:space="preserve">, November 2014, p. 34; Marsden Jacob Associates, </w:t>
      </w:r>
      <w:r w:rsidRPr="004526EE">
        <w:rPr>
          <w:rStyle w:val="AERtextitalic"/>
        </w:rPr>
        <w:t>Consultant report to the AER on Alternative Control Services</w:t>
      </w:r>
      <w:r w:rsidRPr="004526EE">
        <w:t>, October 2014, section 2.1.1.</w:t>
      </w:r>
    </w:p>
    <w:p w:rsidR="000B1D07" w:rsidRPr="004526EE" w:rsidRDefault="000B1D07" w:rsidP="000B1D07">
      <w:r w:rsidRPr="004526EE">
        <w:t>We approached Ergon Energy about the calculation of the upfront capital charge. In an information response to us, Ergon Energy proposed separate charges for single, dual element, and three phase meters.</w:t>
      </w:r>
      <w:r w:rsidRPr="004526EE">
        <w:rPr>
          <w:rStyle w:val="FootnoteReference"/>
        </w:rPr>
        <w:footnoteReference w:id="82"/>
      </w:r>
      <w:r w:rsidRPr="004526EE">
        <w:t xml:space="preserve"> We have implemented this, by adjusting for different material unit costs. </w:t>
      </w:r>
    </w:p>
    <w:p w:rsidR="000B1D07" w:rsidRDefault="000B1D07" w:rsidP="000B1D07">
      <w:r w:rsidRPr="004526EE">
        <w:t>Ergon Energy proposed separate charges for urban and rural customers, to take into account longer travel times.</w:t>
      </w:r>
      <w:r w:rsidRPr="004526EE">
        <w:rPr>
          <w:rStyle w:val="FootnoteReference"/>
        </w:rPr>
        <w:footnoteReference w:id="83"/>
      </w:r>
      <w:r w:rsidRPr="004526EE">
        <w:t xml:space="preserve"> We have not accepted this aspect of Ergon Energy's proposal. Rather, we have applied a flat labour rate for all installation, which is consistent with Ergon Energy's proposal for ACS quoted services. It is also consistent with the proposed upfront capital charges Essential Energy proposed as part of its 2015–19 determination. We consider this to be significant because Essential Energy has similar network characteristics to Ergon Energy. </w:t>
      </w:r>
    </w:p>
    <w:p w:rsidR="000B1D07" w:rsidRPr="00A46690" w:rsidRDefault="000B1D07" w:rsidP="000B1D07">
      <w:r w:rsidRPr="00A46690">
        <w:t xml:space="preserve">We have determined that the upfront capital charge should be annually adjusted for labour price changes. In coming to this conclusion, we note that our </w:t>
      </w:r>
      <w:r w:rsidR="0050031D">
        <w:t>preliminary</w:t>
      </w:r>
      <w:r w:rsidRPr="00A46690">
        <w:t xml:space="preserve"> decision has determined that ancillary service fees will be subject to such annual adjustments. The upfront capital charge recovers similar costs to ancillary services fees. It follows that labour price changes should be accounted for in our price control for the upfront capital charge. We have done this in our control mechanism decision in section </w:t>
      </w:r>
      <w:r>
        <w:fldChar w:fldCharType="begin"/>
      </w:r>
      <w:r>
        <w:instrText xml:space="preserve"> REF _Ref417314709 \r \h </w:instrText>
      </w:r>
      <w:r>
        <w:fldChar w:fldCharType="separate"/>
      </w:r>
      <w:r w:rsidR="00F16AE7">
        <w:t>0</w:t>
      </w:r>
      <w:r>
        <w:fldChar w:fldCharType="end"/>
      </w:r>
      <w:r>
        <w:t xml:space="preserve"> </w:t>
      </w:r>
      <w:r w:rsidRPr="00A46690">
        <w:t xml:space="preserve">above. </w:t>
      </w:r>
    </w:p>
    <w:p w:rsidR="000B1D07" w:rsidRPr="004526EE" w:rsidRDefault="000B1D07" w:rsidP="000B1D07">
      <w:r w:rsidRPr="00A46690">
        <w:t xml:space="preserve">Not all of the costs associated with the upfront capital charge relate to labour. To take this into account, when making our price control decision we have used a weighted X-factor. Specifically, we observed that about 60 percent of the costs relating to the upfront capital charge are attributable to labour. In setting the X-factor, we therefore applied a weighting of 60 percent to the labour price changes, which we have forecast in this </w:t>
      </w:r>
      <w:r w:rsidR="0050031D">
        <w:t xml:space="preserve">preliminary </w:t>
      </w:r>
      <w:r w:rsidRPr="00A46690">
        <w:t>decision.</w:t>
      </w:r>
      <w:r w:rsidRPr="00A46690">
        <w:rPr>
          <w:rStyle w:val="FootnoteReference"/>
        </w:rPr>
        <w:footnoteReference w:id="84"/>
      </w:r>
      <w:r w:rsidRPr="00A46690">
        <w:t xml:space="preserve"> </w:t>
      </w:r>
    </w:p>
    <w:p w:rsidR="000B1D07" w:rsidRDefault="000B1D07" w:rsidP="000B1D07">
      <w:r>
        <w:t>Attachment A</w:t>
      </w:r>
      <w:r w:rsidRPr="004526EE">
        <w:t xml:space="preserve"> sets out the upfront capital charges we have approved in this preliminary decision.</w:t>
      </w:r>
    </w:p>
    <w:p w:rsidR="000B1D07" w:rsidRDefault="000B1D07" w:rsidP="000B1D07">
      <w:pPr>
        <w:pStyle w:val="Heading4"/>
      </w:pPr>
      <w:r>
        <w:lastRenderedPageBreak/>
        <w:t>Metering exit fee</w:t>
      </w:r>
    </w:p>
    <w:p w:rsidR="000B1D07" w:rsidRPr="00CC10E6" w:rsidRDefault="000B1D07" w:rsidP="000B1D07">
      <w:r w:rsidRPr="00CC10E6">
        <w:t xml:space="preserve">Our preliminary decision to continue charging switched customer for the capital component of the annual metering charge. Therefore, there is no risk of stranded assets that need to be recovered through an exit fee. </w:t>
      </w:r>
    </w:p>
    <w:p w:rsidR="00F5521C" w:rsidRDefault="00F5521C" w:rsidP="00F5521C">
      <w:r w:rsidRPr="00F5521C">
        <w:t>We do not approve Ergon Energy's proposal to recover administration costs relating to customers transferring to alternative metering providers</w:t>
      </w:r>
      <w:r w:rsidR="006A533C">
        <w:t xml:space="preserve"> through an exit fee</w:t>
      </w:r>
      <w:r w:rsidRPr="00F5521C">
        <w:t>. We find that there are no additional tasks or functions these distributors will have to assume when customers change meter provider. Thus there are no incremental costs.</w:t>
      </w:r>
    </w:p>
    <w:p w:rsidR="00F5521C" w:rsidRPr="002F77E3" w:rsidRDefault="00F5521C" w:rsidP="00F5521C">
      <w:r w:rsidRPr="002F77E3">
        <w:t>In assessing all distributors’ proposed meter transfer fees</w:t>
      </w:r>
      <w:r>
        <w:t>,</w:t>
      </w:r>
      <w:r w:rsidRPr="002F77E3">
        <w:t xml:space="preserve"> our main focus is on the types of activities that are undertaken by retailers, distributors and metering providers in the </w:t>
      </w:r>
      <w:r>
        <w:t>N</w:t>
      </w:r>
      <w:r w:rsidRPr="002F77E3">
        <w:t xml:space="preserve">ational </w:t>
      </w:r>
      <w:r>
        <w:t>E</w:t>
      </w:r>
      <w:r w:rsidRPr="002F77E3">
        <w:t xml:space="preserve">lectricity </w:t>
      </w:r>
      <w:r>
        <w:t>M</w:t>
      </w:r>
      <w:r w:rsidRPr="002F77E3">
        <w:t xml:space="preserve">arket when a customer churns from a distributor </w:t>
      </w:r>
      <w:r>
        <w:t xml:space="preserve">owned </w:t>
      </w:r>
      <w:r w:rsidRPr="002F77E3">
        <w:t xml:space="preserve">meter. We also looked at the methodologies distributors adopted to establish the fee. </w:t>
      </w:r>
      <w:r>
        <w:t>Furthermore, b</w:t>
      </w:r>
      <w:r w:rsidRPr="002F77E3">
        <w:t xml:space="preserve">ecause there is an alternative provider to that of the distributor, those providers’ approach to dealing with customer meter churn and any associated costs </w:t>
      </w:r>
      <w:r>
        <w:t xml:space="preserve">should provide a </w:t>
      </w:r>
      <w:r w:rsidRPr="002F77E3">
        <w:t>direct comparator for that of the monopoly business.</w:t>
      </w:r>
      <w:r w:rsidRPr="004F28DE">
        <w:rPr>
          <w:rStyle w:val="AERsuperscript"/>
        </w:rPr>
        <w:footnoteReference w:id="85"/>
      </w:r>
    </w:p>
    <w:p w:rsidR="00F5521C" w:rsidRPr="002F77E3" w:rsidRDefault="00F5521C" w:rsidP="00F5521C">
      <w:r>
        <w:t>Retailers submitted</w:t>
      </w:r>
      <w:r w:rsidRPr="002F77E3">
        <w:t xml:space="preserve"> that </w:t>
      </w:r>
      <w:r>
        <w:t xml:space="preserve">any activities undertaken by the distributors was no different from existing data entry/system management functions undertaken as part of normal business practice and that any incremental </w:t>
      </w:r>
      <w:r w:rsidRPr="002F77E3">
        <w:t xml:space="preserve">costs associated with ‘administration’ </w:t>
      </w:r>
      <w:r>
        <w:t>w</w:t>
      </w:r>
      <w:r w:rsidRPr="002F77E3">
        <w:t>ould be absorbed by the entity acquiring the metering customer.</w:t>
      </w:r>
      <w:r>
        <w:rPr>
          <w:rStyle w:val="FootnoteReference"/>
        </w:rPr>
        <w:footnoteReference w:id="86"/>
      </w:r>
      <w:r w:rsidRPr="002F77E3">
        <w:t xml:space="preserve"> </w:t>
      </w:r>
    </w:p>
    <w:p w:rsidR="00F5521C" w:rsidRPr="002F77E3" w:rsidRDefault="00F5521C" w:rsidP="00F5521C">
      <w:r>
        <w:t>Oakley Greenwood, in its report to</w:t>
      </w:r>
      <w:r w:rsidRPr="002F77E3">
        <w:t xml:space="preserve"> Origin Energy corroborated </w:t>
      </w:r>
      <w:r>
        <w:t xml:space="preserve">stakeholders views </w:t>
      </w:r>
      <w:r w:rsidRPr="002F77E3">
        <w:t xml:space="preserve">by contending that changing information in the distributors systems, </w:t>
      </w:r>
      <w:r>
        <w:t xml:space="preserve">is likely </w:t>
      </w:r>
      <w:r w:rsidRPr="002F77E3">
        <w:t>limited to a change in information about the entity that is responsible for the meter; the identity of the metering coordinator; and sufficient information about meter type to enable its verification for tariff assignment, was probably all that was required.</w:t>
      </w:r>
      <w:r w:rsidRPr="004F28DE">
        <w:rPr>
          <w:rStyle w:val="AERsuperscript"/>
        </w:rPr>
        <w:footnoteReference w:id="87"/>
      </w:r>
      <w:r w:rsidRPr="004F28DE">
        <w:rPr>
          <w:rStyle w:val="AERsuperscript"/>
        </w:rPr>
        <w:t xml:space="preserve"> </w:t>
      </w:r>
    </w:p>
    <w:p w:rsidR="00F5521C" w:rsidRPr="002F77E3" w:rsidRDefault="00F5521C" w:rsidP="00F5521C">
      <w:r w:rsidRPr="002F77E3">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w:t>
      </w:r>
      <w:r>
        <w:t xml:space="preserve"> before a reasonable costs could be determined</w:t>
      </w:r>
      <w:r w:rsidRPr="002F77E3">
        <w:t>.</w:t>
      </w:r>
      <w:r w:rsidRPr="004F28DE">
        <w:rPr>
          <w:rStyle w:val="AERsuperscript"/>
        </w:rPr>
        <w:footnoteReference w:id="88"/>
      </w:r>
      <w:r w:rsidRPr="004F28DE">
        <w:rPr>
          <w:rStyle w:val="AERsuperscript"/>
        </w:rPr>
        <w:t xml:space="preserve"> </w:t>
      </w:r>
      <w:r w:rsidRPr="002F77E3">
        <w:t xml:space="preserve">The </w:t>
      </w:r>
      <w:r w:rsidRPr="002F77E3">
        <w:lastRenderedPageBreak/>
        <w:t>retailer considered that a consistent approach to the calculation of administrative costs was most appropriate.</w:t>
      </w:r>
      <w:r w:rsidRPr="004F28DE">
        <w:rPr>
          <w:rStyle w:val="AERsuperscript"/>
        </w:rPr>
        <w:footnoteReference w:id="89"/>
      </w:r>
    </w:p>
    <w:p w:rsidR="00F5521C" w:rsidRDefault="00F5521C" w:rsidP="00F5521C">
      <w:r w:rsidRPr="002F77E3">
        <w:t>Simply Energy observed their current role in churning meters (type 4) in the competitively provided commercial market involved administrative transaction costs that were immaterial</w:t>
      </w:r>
      <w:r>
        <w:t xml:space="preserve"> to it</w:t>
      </w:r>
      <w:r w:rsidRPr="002F77E3">
        <w:t>. They also advised that distributors were not currently charging them a meter transfer fee where the customer switched from the distributor to the retailer as metering provider.</w:t>
      </w:r>
      <w:r w:rsidRPr="004F28DE">
        <w:rPr>
          <w:rStyle w:val="AERsuperscript"/>
        </w:rPr>
        <w:footnoteReference w:id="90"/>
      </w:r>
      <w:r w:rsidRPr="002F77E3">
        <w:t xml:space="preserve"> </w:t>
      </w:r>
    </w:p>
    <w:p w:rsidR="00F5521C" w:rsidRDefault="00F5521C" w:rsidP="00F5521C">
      <w:r>
        <w:t>Commenting on the New South Wales distributors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Pr>
          <w:rStyle w:val="FootnoteReference"/>
        </w:rPr>
        <w:footnoteReference w:id="91"/>
      </w:r>
      <w:r>
        <w:t xml:space="preserve"> In such circumstances, multiplying Endeavour Energy's proposed five minutes per meter by 20 minutes equates to 100 minutes per batch for each manual process. Simply Energy proposed that 10 minutes was a more credible time.</w:t>
      </w:r>
      <w:r>
        <w:rPr>
          <w:rStyle w:val="FootnoteReference"/>
        </w:rPr>
        <w:footnoteReference w:id="92"/>
      </w:r>
      <w:r>
        <w:t xml:space="preserve"> This was also appropriate for other distributors.</w:t>
      </w:r>
    </w:p>
    <w:p w:rsidR="00F5521C" w:rsidRDefault="00F5521C" w:rsidP="00F5521C">
      <w:r>
        <w:t>Furthermore, Simply Energy advised that the reasonable activities it would have to incur to process a batch of 20 meters and the time taken for each</w:t>
      </w:r>
      <w:r w:rsidRPr="004B0D08">
        <w:t xml:space="preserve"> </w:t>
      </w:r>
      <w:r>
        <w:t>were:</w:t>
      </w:r>
    </w:p>
    <w:p w:rsidR="00F5521C" w:rsidRDefault="00F5521C" w:rsidP="00F5521C">
      <w:pPr>
        <w:pStyle w:val="AERbulletlistfirststyle"/>
      </w:pPr>
      <w:r>
        <w:t>Meter provider database update—10 minutes</w:t>
      </w:r>
    </w:p>
    <w:p w:rsidR="00F5521C" w:rsidRDefault="00F5521C" w:rsidP="00F5521C">
      <w:pPr>
        <w:pStyle w:val="AERbulletlistfirststyle"/>
      </w:pPr>
      <w:r>
        <w:t>Banner system meter update—25 minutes</w:t>
      </w:r>
    </w:p>
    <w:p w:rsidR="00F5521C" w:rsidRDefault="00F5521C" w:rsidP="00F5521C">
      <w:pPr>
        <w:pStyle w:val="AERbulletlistfirststyle"/>
      </w:pPr>
      <w:r>
        <w:t>Metering business system update—25 minutes</w:t>
      </w:r>
    </w:p>
    <w:p w:rsidR="00F5521C" w:rsidRDefault="00F5521C" w:rsidP="00F5521C">
      <w:pPr>
        <w:pStyle w:val="AERbulletlistfirststyle"/>
      </w:pPr>
      <w:r>
        <w:t>Banner system final read update—10 minutes.</w:t>
      </w:r>
      <w:r>
        <w:rPr>
          <w:rStyle w:val="FootnoteReference"/>
        </w:rPr>
        <w:footnoteReference w:id="93"/>
      </w:r>
    </w:p>
    <w:p w:rsidR="00F5521C" w:rsidRPr="002F77E3" w:rsidRDefault="00F5521C" w:rsidP="00F5521C">
      <w:r>
        <w:t>This amounts to 70 minutes for a batch of 20 meters; or a total time per meter of</w:t>
      </w:r>
      <w:r>
        <w:br/>
        <w:t>3.5 minutes. This is substantially less than the times proposed by any of the distributors.</w:t>
      </w:r>
      <w:r w:rsidDel="001C2C92">
        <w:t xml:space="preserve"> </w:t>
      </w:r>
      <w:r w:rsidRPr="002F77E3">
        <w:t xml:space="preserve">Given this, Simply Energy </w:t>
      </w:r>
      <w:r>
        <w:t>submitted that</w:t>
      </w:r>
      <w:r w:rsidRPr="002F77E3">
        <w:t xml:space="preserve"> the imposition of a</w:t>
      </w:r>
      <w:r>
        <w:t xml:space="preserve"> meter</w:t>
      </w:r>
      <w:r w:rsidRPr="002F77E3">
        <w:t xml:space="preserve"> transfer fee in the residential metering market</w:t>
      </w:r>
      <w:r>
        <w:t xml:space="preserve"> of the magnitude distributors had proposed was not justified. Rather, </w:t>
      </w:r>
      <w:r w:rsidRPr="002F77E3">
        <w:t xml:space="preserve">Simply Energy </w:t>
      </w:r>
      <w:r>
        <w:t>argued that the administrative costs are negligible.</w:t>
      </w:r>
    </w:p>
    <w:p w:rsidR="00F5521C" w:rsidRDefault="00F5521C" w:rsidP="00F5521C">
      <w:r>
        <w:t>R</w:t>
      </w:r>
      <w:r w:rsidRPr="002F77E3">
        <w:t>etailers as the acquirers of a new meter customer bear the costs of acquisition and must provide all relevant information to the entity</w:t>
      </w:r>
      <w:r>
        <w:t xml:space="preserve"> that has lost the customer</w:t>
      </w:r>
      <w:r w:rsidRPr="002F77E3">
        <w:t xml:space="preserve">,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w:t>
      </w:r>
      <w:r w:rsidRPr="002F77E3">
        <w:lastRenderedPageBreak/>
        <w:t>electricity market</w:t>
      </w:r>
      <w:r>
        <w:t xml:space="preserve"> for large customers. We do not find that the costs proposed by the distributors are reflective of this cost minimisation incentive</w:t>
      </w:r>
      <w:r w:rsidRPr="002F77E3">
        <w:t>.</w:t>
      </w:r>
    </w:p>
    <w:p w:rsidR="00F5521C" w:rsidRPr="002F77E3" w:rsidRDefault="00F5521C" w:rsidP="00F5521C">
      <w:r w:rsidRPr="002F77E3">
        <w:t xml:space="preserve">This is confirmed by the Australian Energy </w:t>
      </w:r>
      <w:r w:rsidRPr="004F28DE">
        <w:rPr>
          <w:rStyle w:val="AERbody"/>
        </w:rPr>
        <w:t>Market Operator who has a new set of meter churn procedures due to commence September 2015.</w:t>
      </w:r>
      <w:r w:rsidRPr="004F28DE">
        <w:rPr>
          <w:rStyle w:val="AERsuperscript"/>
        </w:rPr>
        <w:footnoteReference w:id="94"/>
      </w:r>
      <w:r w:rsidRPr="004F28DE">
        <w:rPr>
          <w:rStyle w:val="AERbody"/>
        </w:rPr>
        <w:t xml:space="preserve"> This new procedure simplifies the meter churn procedure and places the onus on the Financial Responsible Market Participant (as the incoming Responsible Person) and their 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w:t>
      </w:r>
      <w:r>
        <w:rPr>
          <w:rStyle w:val="AERbody"/>
        </w:rPr>
        <w:t>. This is because to do otherwise will reduce their profit margins and potentially put them at risk of failing to meet their obligations to provide relevant data to ensure market settlement in a timely manner.</w:t>
      </w:r>
      <w:r>
        <w:rPr>
          <w:rStyle w:val="FootnoteReference"/>
        </w:rPr>
        <w:footnoteReference w:id="95"/>
      </w:r>
      <w:r w:rsidRPr="004F28DE">
        <w:rPr>
          <w:rStyle w:val="AERbody"/>
        </w:rPr>
        <w:t xml:space="preserve"> It is reasonable to assume that the new meter churn procedures will carry forward into the residential metering market, </w:t>
      </w:r>
      <w:r>
        <w:rPr>
          <w:rStyle w:val="AERbody"/>
        </w:rPr>
        <w:t xml:space="preserve">the competitive metering element of </w:t>
      </w:r>
      <w:r w:rsidRPr="004F28DE">
        <w:rPr>
          <w:rStyle w:val="AERbody"/>
        </w:rPr>
        <w:t>which is now in its infancy.</w:t>
      </w:r>
    </w:p>
    <w:p w:rsidR="00F5521C" w:rsidRDefault="00F5521C" w:rsidP="00F5521C">
      <w:r>
        <w:t xml:space="preserve">As a metering provider with experience in competitive metering markets, Vector commented on Endeavour Energy's cost assumptions in its revised revenue proposal. These are reproduced in </w:t>
      </w:r>
      <w:r>
        <w:fldChar w:fldCharType="begin"/>
      </w:r>
      <w:r>
        <w:instrText xml:space="preserve"> REF _Ref417920104 \h </w:instrText>
      </w:r>
      <w:r>
        <w:fldChar w:fldCharType="separate"/>
      </w:r>
      <w:r w:rsidR="00F16AE7">
        <w:t xml:space="preserve">Table </w:t>
      </w:r>
      <w:r w:rsidR="00F16AE7">
        <w:rPr>
          <w:noProof/>
        </w:rPr>
        <w:t>16</w:t>
      </w:r>
      <w:r w:rsidR="00F16AE7">
        <w:t>.</w:t>
      </w:r>
      <w:r w:rsidR="00F16AE7">
        <w:rPr>
          <w:noProof/>
        </w:rPr>
        <w:t>16</w:t>
      </w:r>
      <w:r>
        <w:fldChar w:fldCharType="end"/>
      </w:r>
      <w:r>
        <w:t xml:space="preserve"> where both organisations responses can be compared.</w:t>
      </w:r>
    </w:p>
    <w:p w:rsidR="00F5521C" w:rsidRDefault="00F5521C" w:rsidP="00F5521C">
      <w:pPr>
        <w:pStyle w:val="Caption"/>
      </w:pPr>
      <w:bookmarkStart w:id="130" w:name="_Ref417920104"/>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t>.</w:t>
      </w:r>
      <w:proofErr w:type="gramEnd"/>
      <w:r>
        <w:fldChar w:fldCharType="begin"/>
      </w:r>
      <w:r>
        <w:instrText xml:space="preserve"> SEQ Table \* ARABIC \s 1 </w:instrText>
      </w:r>
      <w:r>
        <w:fldChar w:fldCharType="separate"/>
      </w:r>
      <w:r w:rsidR="00F16AE7">
        <w:rPr>
          <w:noProof/>
        </w:rPr>
        <w:t>16</w:t>
      </w:r>
      <w:r>
        <w:fldChar w:fldCharType="end"/>
      </w:r>
      <w:bookmarkEnd w:id="130"/>
      <w:r w:rsidR="002A590B">
        <w:t xml:space="preserve"> Endeavour E</w:t>
      </w:r>
      <w:r>
        <w:t>nergy meter transfer fee build up and Vector response</w:t>
      </w:r>
    </w:p>
    <w:tbl>
      <w:tblPr>
        <w:tblStyle w:val="AERtable-text0"/>
        <w:tblW w:w="8638" w:type="dxa"/>
        <w:tblLook w:val="04A0" w:firstRow="1" w:lastRow="0" w:firstColumn="1" w:lastColumn="0" w:noHBand="0" w:noVBand="1"/>
      </w:tblPr>
      <w:tblGrid>
        <w:gridCol w:w="4108"/>
        <w:gridCol w:w="1043"/>
        <w:gridCol w:w="3487"/>
      </w:tblGrid>
      <w:tr w:rsidR="00F5521C" w:rsidTr="00165979">
        <w:trPr>
          <w:cnfStyle w:val="100000000000" w:firstRow="1" w:lastRow="0" w:firstColumn="0" w:lastColumn="0" w:oddVBand="0" w:evenVBand="0" w:oddHBand="0" w:evenHBand="0" w:firstRowFirstColumn="0" w:firstRowLastColumn="0" w:lastRowFirstColumn="0" w:lastRowLastColumn="0"/>
          <w:trHeight w:val="230"/>
          <w:tblHeader/>
        </w:trPr>
        <w:tc>
          <w:tcPr>
            <w:tcW w:w="4319" w:type="dxa"/>
            <w:hideMark/>
          </w:tcPr>
          <w:p w:rsidR="00F5521C" w:rsidRPr="00F5521C" w:rsidRDefault="00F5521C" w:rsidP="00F5521C">
            <w:r>
              <w:t xml:space="preserve">Endeavour Energy </w:t>
            </w:r>
            <w:r w:rsidRPr="00F5521C">
              <w:t>Task</w:t>
            </w:r>
          </w:p>
        </w:tc>
        <w:tc>
          <w:tcPr>
            <w:tcW w:w="654" w:type="dxa"/>
            <w:hideMark/>
          </w:tcPr>
          <w:p w:rsidR="00F5521C" w:rsidRPr="00F5521C" w:rsidRDefault="00F5521C" w:rsidP="00F5521C">
            <w:r>
              <w:t xml:space="preserve">Endeavour Energy </w:t>
            </w:r>
            <w:r w:rsidRPr="00F5521C">
              <w:t>Time</w:t>
            </w:r>
          </w:p>
        </w:tc>
        <w:tc>
          <w:tcPr>
            <w:tcW w:w="3665" w:type="dxa"/>
            <w:hideMark/>
          </w:tcPr>
          <w:p w:rsidR="00F5521C" w:rsidRPr="00F5521C" w:rsidRDefault="00F5521C" w:rsidP="00F5521C">
            <w:r w:rsidRPr="009D6EDB">
              <w:t>Vector Comment</w:t>
            </w:r>
          </w:p>
        </w:tc>
      </w:tr>
      <w:tr w:rsidR="00F5521C" w:rsidTr="00165979">
        <w:trPr>
          <w:trHeight w:val="758"/>
        </w:trPr>
        <w:tc>
          <w:tcPr>
            <w:tcW w:w="4319" w:type="dxa"/>
            <w:hideMark/>
          </w:tcPr>
          <w:p w:rsidR="00F5521C" w:rsidRPr="00F5521C" w:rsidRDefault="00F5521C" w:rsidP="00F5521C">
            <w:r w:rsidRPr="009D6EDB">
              <w:t>Administration Officer updates the meter removal in the Meter</w:t>
            </w:r>
            <w:r w:rsidRPr="00F5521C">
              <w:t xml:space="preserve"> Provider Database.</w:t>
            </w:r>
          </w:p>
        </w:tc>
        <w:tc>
          <w:tcPr>
            <w:tcW w:w="654" w:type="dxa"/>
            <w:hideMark/>
          </w:tcPr>
          <w:p w:rsidR="00F5521C" w:rsidRPr="00F5521C" w:rsidRDefault="00F5521C" w:rsidP="00F5521C">
            <w:r w:rsidRPr="009D6EDB">
              <w:t>5 min</w:t>
            </w:r>
          </w:p>
        </w:tc>
        <w:tc>
          <w:tcPr>
            <w:tcW w:w="3665" w:type="dxa"/>
            <w:hideMark/>
          </w:tcPr>
          <w:p w:rsidR="00F5521C" w:rsidRPr="00F5521C" w:rsidRDefault="00F5521C" w:rsidP="00F5521C">
            <w:r w:rsidRPr="009D6EDB">
              <w:t xml:space="preserve">Valid </w:t>
            </w:r>
            <w:r w:rsidRPr="00F5521C">
              <w:t>distributor activity that is currently carried out regularly now. Could not be delivered by Metering Service Provider but could be automated via distributor integration to market systems</w:t>
            </w:r>
          </w:p>
        </w:tc>
      </w:tr>
      <w:tr w:rsidR="00F5521C" w:rsidTr="00165979">
        <w:trPr>
          <w:cnfStyle w:val="000000010000" w:firstRow="0" w:lastRow="0" w:firstColumn="0" w:lastColumn="0" w:oddVBand="0" w:evenVBand="0" w:oddHBand="0" w:evenHBand="1" w:firstRowFirstColumn="0" w:firstRowLastColumn="0" w:lastRowFirstColumn="0" w:lastRowLastColumn="0"/>
          <w:trHeight w:val="919"/>
        </w:trPr>
        <w:tc>
          <w:tcPr>
            <w:tcW w:w="4319" w:type="dxa"/>
            <w:hideMark/>
          </w:tcPr>
          <w:p w:rsidR="00F5521C" w:rsidRPr="00F5521C" w:rsidRDefault="00F5521C" w:rsidP="00F5521C">
            <w:r w:rsidRPr="009D6EDB">
              <w:t>Network Billing Data Analyst updates the meter removal and the</w:t>
            </w:r>
            <w:r w:rsidRPr="00F5521C">
              <w:t xml:space="preserve"> new metering details (for the non-Endeavour Energy asset) in the Banner billing system.</w:t>
            </w:r>
          </w:p>
        </w:tc>
        <w:tc>
          <w:tcPr>
            <w:tcW w:w="654" w:type="dxa"/>
            <w:hideMark/>
          </w:tcPr>
          <w:p w:rsidR="00F5521C" w:rsidRPr="00F5521C" w:rsidRDefault="00F5521C" w:rsidP="00F5521C">
            <w:r w:rsidRPr="009D6EDB">
              <w:t>5 min</w:t>
            </w:r>
          </w:p>
        </w:tc>
        <w:tc>
          <w:tcPr>
            <w:tcW w:w="3665" w:type="dxa"/>
            <w:hideMark/>
          </w:tcPr>
          <w:p w:rsidR="00F5521C" w:rsidRPr="00F5521C" w:rsidRDefault="00F5521C" w:rsidP="00F5521C">
            <w:r w:rsidRPr="009D6EDB">
              <w:t xml:space="preserve">Valid </w:t>
            </w:r>
            <w:r w:rsidRPr="00F5521C">
              <w:t>distributor activity that is currently carried out regularly. Could not be delivered by Metering Service Provider but could be automated by distributor via integration to market systems</w:t>
            </w:r>
          </w:p>
        </w:tc>
      </w:tr>
      <w:tr w:rsidR="00F5521C" w:rsidTr="00165979">
        <w:trPr>
          <w:trHeight w:val="919"/>
        </w:trPr>
        <w:tc>
          <w:tcPr>
            <w:tcW w:w="4319" w:type="dxa"/>
            <w:hideMark/>
          </w:tcPr>
          <w:p w:rsidR="00F5521C" w:rsidRPr="00F5521C" w:rsidRDefault="00F5521C" w:rsidP="00F5521C">
            <w:r w:rsidRPr="009D6EDB">
              <w:lastRenderedPageBreak/>
              <w:t>Network Billing Data Analyst updates the new metering details in</w:t>
            </w:r>
            <w:r w:rsidRPr="00F5521C">
              <w:t xml:space="preserve"> the Metering Business System (MBS), which will allow network billing activities to occur.</w:t>
            </w:r>
          </w:p>
        </w:tc>
        <w:tc>
          <w:tcPr>
            <w:tcW w:w="654" w:type="dxa"/>
            <w:hideMark/>
          </w:tcPr>
          <w:p w:rsidR="00F5521C" w:rsidRPr="00F5521C" w:rsidRDefault="00F5521C" w:rsidP="00F5521C">
            <w:r w:rsidRPr="009D6EDB">
              <w:t>5 min</w:t>
            </w:r>
          </w:p>
        </w:tc>
        <w:tc>
          <w:tcPr>
            <w:tcW w:w="3665" w:type="dxa"/>
            <w:hideMark/>
          </w:tcPr>
          <w:p w:rsidR="00F5521C" w:rsidRPr="00F5521C" w:rsidRDefault="00F5521C" w:rsidP="00F5521C">
            <w:r w:rsidRPr="009D6EDB">
              <w:t xml:space="preserve">Valid </w:t>
            </w:r>
            <w:r w:rsidRPr="00F5521C">
              <w:t>distributor activity that is currently carried out regularly. Could not be delivered by Metering Service Provider but could be automated by distributor via integration to market systems</w:t>
            </w:r>
          </w:p>
        </w:tc>
      </w:tr>
      <w:tr w:rsidR="00F5521C" w:rsidTr="00165979">
        <w:trPr>
          <w:cnfStyle w:val="000000010000" w:firstRow="0" w:lastRow="0" w:firstColumn="0" w:lastColumn="0" w:oddVBand="0" w:evenVBand="0" w:oddHBand="0" w:evenHBand="1" w:firstRowFirstColumn="0" w:firstRowLastColumn="0" w:lastRowFirstColumn="0" w:lastRowLastColumn="0"/>
          <w:trHeight w:val="597"/>
        </w:trPr>
        <w:tc>
          <w:tcPr>
            <w:tcW w:w="4319" w:type="dxa"/>
            <w:hideMark/>
          </w:tcPr>
          <w:p w:rsidR="00F5521C" w:rsidRPr="00F5521C" w:rsidRDefault="00F5521C" w:rsidP="00F5521C">
            <w:r w:rsidRPr="009D6EDB">
              <w:t>Metering Officer obtains the final read for the meter and inputs</w:t>
            </w:r>
            <w:r w:rsidRPr="00F5521C">
              <w:t xml:space="preserve"> the details of the final read into Banner billing system.</w:t>
            </w:r>
          </w:p>
        </w:tc>
        <w:tc>
          <w:tcPr>
            <w:tcW w:w="654" w:type="dxa"/>
            <w:hideMark/>
          </w:tcPr>
          <w:p w:rsidR="00F5521C" w:rsidRPr="00F5521C" w:rsidRDefault="00F5521C" w:rsidP="00F5521C">
            <w:r w:rsidRPr="009D6EDB">
              <w:t>5 min</w:t>
            </w:r>
          </w:p>
        </w:tc>
        <w:tc>
          <w:tcPr>
            <w:tcW w:w="3665" w:type="dxa"/>
            <w:hideMark/>
          </w:tcPr>
          <w:p w:rsidR="00F5521C" w:rsidRPr="00F5521C" w:rsidRDefault="00F5521C" w:rsidP="00F5521C">
            <w:r>
              <w:t>Valid d</w:t>
            </w:r>
            <w:r w:rsidRPr="00F5521C">
              <w:t>istributor activity that is currently carried out regularly</w:t>
            </w:r>
          </w:p>
        </w:tc>
      </w:tr>
      <w:tr w:rsidR="00F5521C" w:rsidTr="00165979">
        <w:trPr>
          <w:trHeight w:val="1482"/>
        </w:trPr>
        <w:tc>
          <w:tcPr>
            <w:tcW w:w="4319" w:type="dxa"/>
            <w:hideMark/>
          </w:tcPr>
          <w:p w:rsidR="00F5521C" w:rsidRPr="00F5521C" w:rsidRDefault="00F5521C" w:rsidP="00F5521C">
            <w:r w:rsidRPr="009D6EDB">
              <w:t>The ASP returns the Endeavour Energy removed asset back to</w:t>
            </w:r>
            <w:r w:rsidRPr="00F5521C">
              <w:t xml:space="preserve">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F5521C" w:rsidRPr="00F5521C" w:rsidRDefault="00F5521C" w:rsidP="00F5521C">
            <w:r w:rsidRPr="009D6EDB">
              <w:t> </w:t>
            </w:r>
          </w:p>
        </w:tc>
        <w:tc>
          <w:tcPr>
            <w:tcW w:w="3665" w:type="dxa"/>
            <w:hideMark/>
          </w:tcPr>
          <w:p w:rsidR="00F5521C" w:rsidRPr="00F5521C" w:rsidRDefault="00F5521C" w:rsidP="00F5521C">
            <w:r w:rsidRPr="009D6EDB">
              <w:t>Metering Service Provide</w:t>
            </w:r>
            <w:r w:rsidRPr="00F5521C">
              <w:t>r could carry out on behalf of the distributor if permitted by latter. Metering Service Providers anticipate funding this activity themselves.</w:t>
            </w:r>
          </w:p>
        </w:tc>
      </w:tr>
      <w:tr w:rsidR="00F5521C" w:rsidTr="00165979">
        <w:trPr>
          <w:cnfStyle w:val="000000010000" w:firstRow="0" w:lastRow="0" w:firstColumn="0" w:lastColumn="0" w:oddVBand="0" w:evenVBand="0" w:oddHBand="0" w:evenHBand="1" w:firstRowFirstColumn="0" w:firstRowLastColumn="0" w:lastRowFirstColumn="0" w:lastRowLastColumn="0"/>
          <w:trHeight w:val="689"/>
        </w:trPr>
        <w:tc>
          <w:tcPr>
            <w:tcW w:w="4319" w:type="dxa"/>
            <w:hideMark/>
          </w:tcPr>
          <w:p w:rsidR="00F5521C" w:rsidRPr="00F5521C" w:rsidRDefault="00F5521C" w:rsidP="00F5521C">
            <w:r w:rsidRPr="009D6EDB">
              <w:t>Cost of meter disposal</w:t>
            </w:r>
            <w:r w:rsidRPr="00F5521C">
              <w:t>.</w:t>
            </w:r>
          </w:p>
        </w:tc>
        <w:tc>
          <w:tcPr>
            <w:tcW w:w="654" w:type="dxa"/>
            <w:hideMark/>
          </w:tcPr>
          <w:p w:rsidR="00F5521C" w:rsidRPr="00F5521C" w:rsidRDefault="00F5521C" w:rsidP="00F5521C">
            <w:r w:rsidRPr="009D6EDB">
              <w:t> </w:t>
            </w:r>
          </w:p>
        </w:tc>
        <w:tc>
          <w:tcPr>
            <w:tcW w:w="3665" w:type="dxa"/>
            <w:hideMark/>
          </w:tcPr>
          <w:p w:rsidR="00F5521C" w:rsidRPr="00F5521C" w:rsidRDefault="00F5521C" w:rsidP="00F5521C">
            <w:r w:rsidRPr="009D6EDB">
              <w:t>Metering Service Provide</w:t>
            </w:r>
            <w:r w:rsidRPr="00F5521C">
              <w:t>r could carry out on behalf of the distributor if permitted by latter. Metering Service Providers anticipate funding this activity themselves.</w:t>
            </w:r>
          </w:p>
        </w:tc>
      </w:tr>
    </w:tbl>
    <w:p w:rsidR="00F5521C" w:rsidRDefault="00F5521C" w:rsidP="00F5521C">
      <w:pPr>
        <w:pStyle w:val="Source"/>
      </w:pPr>
      <w:r>
        <w:t>Source: Endeavour Energy; Vector Limited.</w:t>
      </w:r>
    </w:p>
    <w:p w:rsidR="00F5521C" w:rsidRDefault="00F5521C" w:rsidP="00F5521C">
      <w:r>
        <w:t xml:space="preserve">Vector advised that their response to the activities listed in </w:t>
      </w:r>
      <w:r>
        <w:fldChar w:fldCharType="begin"/>
      </w:r>
      <w:r>
        <w:instrText xml:space="preserve"> REF _Ref417920104 \h </w:instrText>
      </w:r>
      <w:r>
        <w:fldChar w:fldCharType="separate"/>
      </w:r>
      <w:r w:rsidR="00F16AE7">
        <w:t xml:space="preserve">Table </w:t>
      </w:r>
      <w:r w:rsidR="00F16AE7">
        <w:rPr>
          <w:noProof/>
        </w:rPr>
        <w:t>16</w:t>
      </w:r>
      <w:r w:rsidR="00F16AE7">
        <w:t>.</w:t>
      </w:r>
      <w:r w:rsidR="00F16AE7">
        <w:rPr>
          <w:noProof/>
        </w:rPr>
        <w:t>16</w:t>
      </w:r>
      <w:r>
        <w:fldChar w:fldCharType="end"/>
      </w:r>
      <w:r>
        <w:t xml:space="preserve"> was that the tasks were not unique to distributors. </w:t>
      </w:r>
      <w:r w:rsidRPr="005F5D8D">
        <w:t xml:space="preserve">Alternative meter </w:t>
      </w:r>
      <w:proofErr w:type="gramStart"/>
      <w:r w:rsidRPr="005F5D8D">
        <w:t>service</w:t>
      </w:r>
      <w:proofErr w:type="gramEnd"/>
      <w:r w:rsidRPr="005F5D8D">
        <w:t xml:space="preserve"> providers can now, and will in the future, undertake many of these tasks.</w:t>
      </w:r>
      <w:r>
        <w:t xml:space="preserve"> Furthermore, they noted that Endeavour Energy could integrate these activities and tasks with electronic transactions that they presently receive from AEMO.</w:t>
      </w:r>
      <w:r>
        <w:rPr>
          <w:rStyle w:val="FootnoteReference"/>
        </w:rPr>
        <w:footnoteReference w:id="96"/>
      </w:r>
      <w:r>
        <w:t xml:space="preserve"> 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Pr>
          <w:rStyle w:val="FootnoteReference"/>
        </w:rPr>
        <w:footnoteReference w:id="97"/>
      </w:r>
    </w:p>
    <w:p w:rsidR="00F5521C" w:rsidRPr="002F77E3" w:rsidRDefault="00F5521C" w:rsidP="00F5521C">
      <w:r>
        <w:t>We do not agree with the distributors' position that that</w:t>
      </w:r>
      <w:r w:rsidRPr="000E238A">
        <w:t xml:space="preserve"> an increase in staff will be required within </w:t>
      </w:r>
      <w:r>
        <w:t xml:space="preserve">the </w:t>
      </w:r>
      <w:r w:rsidRPr="000E238A">
        <w:t>regulatory period</w:t>
      </w:r>
      <w:r>
        <w:t>s commencing 1 July 2015</w:t>
      </w:r>
      <w:r w:rsidRPr="002F77E3">
        <w:t xml:space="preserve">. </w:t>
      </w:r>
      <w:r>
        <w:t>We also find that i</w:t>
      </w:r>
      <w:r w:rsidRPr="002F77E3">
        <w:t xml:space="preserve">t </w:t>
      </w:r>
      <w:r>
        <w:t>will be the meter service provider</w:t>
      </w:r>
      <w:r w:rsidRPr="002F77E3">
        <w:t xml:space="preserve">, as the financially responsible market participant, who will bear the </w:t>
      </w:r>
      <w:r>
        <w:t xml:space="preserve">additional </w:t>
      </w:r>
      <w:r w:rsidRPr="002F77E3">
        <w:t>costs associated with meter churn, not the distributors.</w:t>
      </w:r>
    </w:p>
    <w:p w:rsidR="00F5521C" w:rsidRDefault="00F5521C" w:rsidP="00F5521C">
      <w:r>
        <w:t xml:space="preserve">We find that </w:t>
      </w:r>
      <w:r w:rsidRPr="002F77E3">
        <w:t xml:space="preserve">customers would not be paying an efficient level of costs for meter churn if the distributors proposed transfer fees were approved. </w:t>
      </w:r>
      <w:r>
        <w:t xml:space="preserve">A meter transfer fee of the order proposed by Ergon </w:t>
      </w:r>
      <w:r w:rsidR="006A533C">
        <w:t>Energy ($50.53 to $63.44</w:t>
      </w:r>
      <w:r>
        <w:t>) could amount to a de-facto exit fee that would act as a barrier to competition and the uptake of new advanced meters. While t</w:t>
      </w:r>
      <w:r w:rsidRPr="002F77E3">
        <w:t>he national electricity law requires us to ensure distributors have the opportunity to recover at least their efficient costs</w:t>
      </w:r>
      <w:r>
        <w:t xml:space="preserve"> we are not persuaded by the evidence</w:t>
      </w:r>
      <w:r w:rsidRPr="002F77E3">
        <w:t xml:space="preserve"> that </w:t>
      </w:r>
      <w:r w:rsidRPr="002F77E3">
        <w:lastRenderedPageBreak/>
        <w:t xml:space="preserve">distributors have </w:t>
      </w:r>
      <w:r>
        <w:t xml:space="preserve">material incremental </w:t>
      </w:r>
      <w:r w:rsidRPr="002F77E3">
        <w:t xml:space="preserve">costs to recover </w:t>
      </w:r>
      <w:r>
        <w:t>in</w:t>
      </w:r>
      <w:r w:rsidRPr="002F77E3">
        <w:t xml:space="preserve"> amending records to take account of customer churn. </w:t>
      </w:r>
      <w:r>
        <w:t xml:space="preserve">Any incremental costs will be </w:t>
      </w:r>
      <w:r w:rsidRPr="002F77E3">
        <w:t>borne by the acquirer of the new meter customer</w:t>
      </w:r>
      <w:r>
        <w:t>—</w:t>
      </w:r>
      <w:r w:rsidRPr="002F77E3">
        <w:t xml:space="preserve">at the moment, retailers. Furthermore it is </w:t>
      </w:r>
      <w:r>
        <w:t xml:space="preserve">noteworthy that </w:t>
      </w:r>
      <w:r w:rsidRPr="002F77E3">
        <w:t xml:space="preserve">distributors are churning type 6 meters for interval meters </w:t>
      </w:r>
      <w:r>
        <w:t>for</w:t>
      </w:r>
      <w:r w:rsidRPr="002F77E3">
        <w:t xml:space="preserve"> customers install</w:t>
      </w:r>
      <w:r>
        <w:t>ing</w:t>
      </w:r>
      <w:r w:rsidRPr="002F77E3">
        <w:t xml:space="preserve"> Solar Photovoltaic systems in </w:t>
      </w:r>
      <w:r>
        <w:t>large numbers</w:t>
      </w:r>
      <w:r w:rsidRPr="002F77E3">
        <w:t xml:space="preserve"> without imposing </w:t>
      </w:r>
      <w:r>
        <w:t xml:space="preserve">any </w:t>
      </w:r>
      <w:r w:rsidRPr="002F77E3">
        <w:t>administrative fees</w:t>
      </w:r>
      <w:r>
        <w:t xml:space="preserve"> for the meter transfer. </w:t>
      </w:r>
    </w:p>
    <w:p w:rsidR="00F5521C" w:rsidRPr="002F77E3" w:rsidRDefault="00F5521C" w:rsidP="00F5521C">
      <w:r w:rsidRPr="002F77E3">
        <w:t xml:space="preserve">Further </w:t>
      </w:r>
      <w:r>
        <w:t>support to our findings</w:t>
      </w:r>
      <w:r w:rsidRPr="002F77E3">
        <w:t xml:space="preserve"> that </w:t>
      </w:r>
      <w:r>
        <w:t xml:space="preserve">the </w:t>
      </w:r>
      <w:r w:rsidRPr="002F77E3">
        <w:t xml:space="preserve">proposed transfer fees are disproportionate to the activities to be undertaken is </w:t>
      </w:r>
      <w:r>
        <w:t xml:space="preserve">in comparing the per customer meter </w:t>
      </w:r>
      <w:proofErr w:type="spellStart"/>
      <w:r>
        <w:t>opex</w:t>
      </w:r>
      <w:proofErr w:type="spellEnd"/>
      <w:r>
        <w:t xml:space="preserve"> fee which we have approved in this decision. Our </w:t>
      </w:r>
      <w:r w:rsidR="00691689">
        <w:t xml:space="preserve">preliminary </w:t>
      </w:r>
      <w:r>
        <w:t xml:space="preserve">decision will see </w:t>
      </w:r>
      <w:r w:rsidR="00691689">
        <w:t xml:space="preserve">Ergon Energy </w:t>
      </w:r>
      <w:r>
        <w:t xml:space="preserve">recover $32 annually for metering </w:t>
      </w:r>
      <w:proofErr w:type="spellStart"/>
      <w:r>
        <w:t>opex</w:t>
      </w:r>
      <w:proofErr w:type="spellEnd"/>
      <w:r>
        <w:t xml:space="preserve"> per customer for</w:t>
      </w:r>
      <w:r w:rsidRPr="002F77E3">
        <w:t xml:space="preserve"> meter data services, truck rolls, reading and processing, a share of information technology costs and including overheads. </w:t>
      </w:r>
      <w:r>
        <w:t>It does not follow that a</w:t>
      </w:r>
      <w:r w:rsidR="00A87E53">
        <w:t xml:space="preserve"> proposed transfer fee </w:t>
      </w:r>
      <w:r>
        <w:t>greater than this is reasonable.</w:t>
      </w:r>
      <w:r>
        <w:rPr>
          <w:rStyle w:val="FootnoteReference"/>
        </w:rPr>
        <w:footnoteReference w:id="98"/>
      </w:r>
      <w:r>
        <w:t xml:space="preserve"> </w:t>
      </w:r>
    </w:p>
    <w:p w:rsidR="00F5521C" w:rsidRPr="002F77E3" w:rsidRDefault="00F5521C" w:rsidP="00F5521C">
      <w:r w:rsidRPr="002F77E3">
        <w:t xml:space="preserve">We </w:t>
      </w:r>
      <w:r>
        <w:t>do not approve a</w:t>
      </w:r>
      <w:r w:rsidR="00691689">
        <w:t xml:space="preserve"> meter transfer fee</w:t>
      </w:r>
      <w:r>
        <w:t xml:space="preserve"> for the regulatory control</w:t>
      </w:r>
      <w:r w:rsidR="00691689">
        <w:t xml:space="preserve"> period</w:t>
      </w:r>
      <w:r>
        <w:t xml:space="preserve"> commencing 1 July 2015</w:t>
      </w:r>
      <w:r w:rsidRPr="002F77E3">
        <w:t>.</w:t>
      </w:r>
      <w:r>
        <w:t xml:space="preserve"> </w:t>
      </w:r>
    </w:p>
    <w:p w:rsidR="000B1D07" w:rsidRDefault="000B1D07" w:rsidP="000B1D07">
      <w:pPr>
        <w:pStyle w:val="Heading3"/>
      </w:pPr>
      <w:bookmarkStart w:id="131" w:name="_Toc417994617"/>
      <w:r>
        <w:t>Control mechanism</w:t>
      </w:r>
      <w:bookmarkEnd w:id="131"/>
    </w:p>
    <w:p w:rsidR="000B1D07" w:rsidRPr="00A46690" w:rsidRDefault="000B1D07" w:rsidP="000B1D07">
      <w:r w:rsidRPr="00A46690">
        <w:t xml:space="preserve">Our preliminary decision applies the control mechanism which we proposed in our final Framework and Approach for </w:t>
      </w:r>
      <w:r>
        <w:t>Ergon Energy</w:t>
      </w:r>
      <w:r w:rsidRPr="00A46690">
        <w:t>.</w:t>
      </w:r>
      <w:r w:rsidRPr="00A46690">
        <w:rPr>
          <w:rStyle w:val="FootnoteReference"/>
        </w:rPr>
        <w:footnoteReference w:id="99"/>
      </w:r>
      <w:r w:rsidRPr="00A46690">
        <w:t xml:space="preserve"> </w:t>
      </w:r>
    </w:p>
    <w:p w:rsidR="000B1D07" w:rsidRPr="000B1D07" w:rsidRDefault="000B1D07" w:rsidP="000B1D07">
      <w:r w:rsidRPr="00A46690">
        <w:t>The approved control mechanism includes an 'A–Factor'. In our final Framework and Approach we stated that A-Factor could be used to adjust for 'residual charges when customers choose to replace assets before the end of their economic life'.</w:t>
      </w:r>
      <w:r w:rsidRPr="00A46690">
        <w:rPr>
          <w:rStyle w:val="FootnoteReference"/>
        </w:rPr>
        <w:footnoteReference w:id="100"/>
      </w:r>
      <w:r w:rsidRPr="00A46690">
        <w:t xml:space="preserve"> Our preliminary decision, however, establishes a metering tariff structure which does not include such residual charges. Consequently, the </w:t>
      </w:r>
      <w:r w:rsidR="00F5521C">
        <w:t xml:space="preserve">A–factor has been set to zero. </w:t>
      </w:r>
    </w:p>
    <w:p w:rsidR="005D7BA2" w:rsidRDefault="00F81300" w:rsidP="00F81300">
      <w:pPr>
        <w:pStyle w:val="Heading2"/>
      </w:pPr>
      <w:bookmarkStart w:id="132" w:name="_Toc417994618"/>
      <w:r>
        <w:t>Public Lighting</w:t>
      </w:r>
      <w:bookmarkEnd w:id="132"/>
    </w:p>
    <w:p w:rsidR="00D16B09" w:rsidRPr="00F81300" w:rsidRDefault="00B90E47" w:rsidP="00F81300">
      <w:pPr>
        <w:pStyle w:val="Heading3"/>
      </w:pPr>
      <w:bookmarkStart w:id="133" w:name="_Toc417994619"/>
      <w:r w:rsidRPr="00F81300">
        <w:t>Preliminary decision</w:t>
      </w:r>
      <w:bookmarkEnd w:id="133"/>
    </w:p>
    <w:p w:rsidR="00F81300" w:rsidRDefault="00F81300" w:rsidP="00F81300">
      <w:r w:rsidRPr="00F81300">
        <w:t>We do not approve E</w:t>
      </w:r>
      <w:r>
        <w:t>rgon Energy</w:t>
      </w:r>
      <w:r w:rsidRPr="00F81300">
        <w:t>'s proposed public lighting charges because we have determined</w:t>
      </w:r>
      <w:r>
        <w:t>;</w:t>
      </w:r>
    </w:p>
    <w:p w:rsidR="00F81300" w:rsidRDefault="00F81300" w:rsidP="00F81300">
      <w:pPr>
        <w:pStyle w:val="AERbulletlistfirststyle"/>
      </w:pPr>
      <w:r w:rsidRPr="00F81300">
        <w:t xml:space="preserve">a </w:t>
      </w:r>
      <w:r w:rsidR="003E3839">
        <w:t>nominal post</w:t>
      </w:r>
      <w:r w:rsidRPr="00F81300">
        <w:t xml:space="preserve">-tax WACC of </w:t>
      </w:r>
      <w:r w:rsidR="003E3839">
        <w:t>5</w:t>
      </w:r>
      <w:r w:rsidRPr="00F81300">
        <w:t>.</w:t>
      </w:r>
      <w:r w:rsidR="003E3839">
        <w:t>85</w:t>
      </w:r>
      <w:r w:rsidRPr="00F81300">
        <w:t xml:space="preserve"> per cent instead of the proposed </w:t>
      </w:r>
      <w:r w:rsidR="003E3839">
        <w:t>7</w:t>
      </w:r>
      <w:r w:rsidRPr="00F81300">
        <w:t>.</w:t>
      </w:r>
      <w:r w:rsidR="003E3839">
        <w:t>75</w:t>
      </w:r>
      <w:r w:rsidRPr="00F81300">
        <w:t> per cent</w:t>
      </w:r>
    </w:p>
    <w:p w:rsidR="00F81300" w:rsidRDefault="00F81300" w:rsidP="00F81300">
      <w:pPr>
        <w:pStyle w:val="AERbulletlistfirststyle"/>
      </w:pPr>
      <w:r>
        <w:t>imputation credit assumption of 40 per cent instead of the proposed 25 per cent</w:t>
      </w:r>
    </w:p>
    <w:p w:rsidR="00BF555C" w:rsidRDefault="00BF555C" w:rsidP="0011695C">
      <w:pPr>
        <w:rPr>
          <w:rStyle w:val="AERbody"/>
        </w:rPr>
      </w:pPr>
      <w:r>
        <w:rPr>
          <w:rStyle w:val="AERbody"/>
        </w:rPr>
        <w:t xml:space="preserve">In all other respects we have approved Ergon </w:t>
      </w:r>
      <w:r w:rsidR="00806409">
        <w:rPr>
          <w:rStyle w:val="AERbody"/>
        </w:rPr>
        <w:t>Energy's</w:t>
      </w:r>
      <w:r>
        <w:rPr>
          <w:rStyle w:val="AERbody"/>
        </w:rPr>
        <w:t xml:space="preserve"> proposal, including their LED transition plan.</w:t>
      </w:r>
    </w:p>
    <w:p w:rsidR="00250358" w:rsidRPr="00C63D58" w:rsidRDefault="00250358" w:rsidP="00250358">
      <w:pPr>
        <w:pStyle w:val="HeadingBoldBlue"/>
      </w:pPr>
      <w:bookmarkStart w:id="134" w:name="_Toc417992514"/>
      <w:bookmarkStart w:id="135" w:name="_Toc417994620"/>
      <w:r w:rsidRPr="00C63D58">
        <w:lastRenderedPageBreak/>
        <w:t>Form of control</w:t>
      </w:r>
      <w:bookmarkEnd w:id="134"/>
      <w:bookmarkEnd w:id="135"/>
    </w:p>
    <w:p w:rsidR="00250358" w:rsidRPr="00C63D58" w:rsidRDefault="00250358" w:rsidP="00250358">
      <w:r w:rsidRPr="00C63D58">
        <w:t xml:space="preserve">Our </w:t>
      </w:r>
      <w:r w:rsidR="00935083">
        <w:t>preliminary</w:t>
      </w:r>
      <w:r w:rsidRPr="00C63D58">
        <w:t xml:space="preserve"> decision is to apply a price cap for the form of control to public lighting, consistent with the </w:t>
      </w:r>
      <w:r>
        <w:t>final</w:t>
      </w:r>
      <w:r w:rsidRPr="00C63D58">
        <w:t xml:space="preserve"> F&amp;A. </w:t>
      </w:r>
      <w:r w:rsidRPr="00C63D58">
        <w:fldChar w:fldCharType="begin"/>
      </w:r>
      <w:r w:rsidRPr="00C63D58">
        <w:instrText xml:space="preserve"> REF _Ref417031437 \h </w:instrText>
      </w:r>
      <w:r w:rsidRPr="00C63D58">
        <w:fldChar w:fldCharType="separate"/>
      </w:r>
      <w:r w:rsidR="00F16AE7" w:rsidRPr="00C63D58">
        <w:t xml:space="preserve">Figure </w:t>
      </w:r>
      <w:r w:rsidR="00F16AE7">
        <w:rPr>
          <w:noProof/>
        </w:rPr>
        <w:t>16</w:t>
      </w:r>
      <w:r w:rsidR="00F16AE7" w:rsidRPr="00C63D58">
        <w:t>.</w:t>
      </w:r>
      <w:r w:rsidR="00F16AE7">
        <w:rPr>
          <w:noProof/>
        </w:rPr>
        <w:t>7</w:t>
      </w:r>
      <w:r w:rsidRPr="00C63D58">
        <w:fldChar w:fldCharType="end"/>
      </w:r>
      <w:r w:rsidRPr="00C63D58">
        <w:t xml:space="preserve"> sets out the control mechanism formulas for </w:t>
      </w:r>
      <w:r>
        <w:t>public lighting</w:t>
      </w:r>
      <w:r w:rsidRPr="00C63D58">
        <w:t xml:space="preserve">. </w:t>
      </w:r>
    </w:p>
    <w:p w:rsidR="00250358" w:rsidRPr="00C63D58" w:rsidRDefault="00250358" w:rsidP="00250358">
      <w:pPr>
        <w:pStyle w:val="Caption"/>
      </w:pPr>
      <w:bookmarkStart w:id="136" w:name="_Ref417031437"/>
      <w:proofErr w:type="gramStart"/>
      <w:r w:rsidRPr="00C63D58">
        <w:t xml:space="preserve">Figure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Pr="00C63D58">
        <w:t>.</w:t>
      </w:r>
      <w:proofErr w:type="gramEnd"/>
      <w:r w:rsidR="004870DA">
        <w:fldChar w:fldCharType="begin"/>
      </w:r>
      <w:r w:rsidR="004870DA">
        <w:instrText xml:space="preserve"> SEQ Figure \* ARABIC \s 1 </w:instrText>
      </w:r>
      <w:r w:rsidR="004870DA">
        <w:fldChar w:fldCharType="separate"/>
      </w:r>
      <w:r w:rsidR="00F16AE7">
        <w:rPr>
          <w:noProof/>
        </w:rPr>
        <w:t>7</w:t>
      </w:r>
      <w:r w:rsidR="004870DA">
        <w:rPr>
          <w:noProof/>
        </w:rPr>
        <w:fldChar w:fldCharType="end"/>
      </w:r>
      <w:bookmarkEnd w:id="136"/>
      <w:r w:rsidRPr="00C63D58">
        <w:tab/>
        <w:t>Public lighting formula</w:t>
      </w:r>
    </w:p>
    <w:p w:rsidR="00250358" w:rsidRPr="00165979" w:rsidRDefault="00DA2823" w:rsidP="002A590B">
      <w:pPr>
        <w:rPr>
          <w:rStyle w:val="AERbody"/>
        </w:rPr>
      </w:pPr>
      <m:oMathPara>
        <m:oMathParaPr>
          <m:jc m:val="left"/>
        </m:oMathParaPr>
        <m:oMath>
          <m:sSubSup>
            <m:sSubSupPr>
              <m:ctrlPr>
                <w:rPr>
                  <w:rStyle w:val="AERbody"/>
                  <w:rFonts w:ascii="Cambria Math" w:hAnsi="Cambria Math"/>
                </w:rPr>
              </m:ctrlPr>
            </m:sSubSupPr>
            <m:e>
              <m:r>
                <w:rPr>
                  <w:rStyle w:val="AERbody"/>
                  <w:rFonts w:ascii="Cambria Math" w:hAnsi="Cambria Math"/>
                </w:rPr>
                <m:t>p</m:t>
              </m:r>
            </m:e>
            <m:sub>
              <m:r>
                <w:rPr>
                  <w:rStyle w:val="AERbody"/>
                  <w:rFonts w:ascii="Cambria Math" w:hAnsi="Cambria Math"/>
                </w:rPr>
                <m:t>i</m:t>
              </m:r>
            </m:sub>
            <m:sup>
              <m:r>
                <w:rPr>
                  <w:rStyle w:val="AERbody"/>
                  <w:rFonts w:ascii="Cambria Math" w:hAnsi="Cambria Math"/>
                </w:rPr>
                <m:t>t</m:t>
              </m:r>
            </m:sup>
          </m:sSubSup>
          <m:r>
            <m:rPr>
              <m:sty m:val="p"/>
            </m:rPr>
            <w:rPr>
              <w:rStyle w:val="AERbody"/>
              <w:rFonts w:ascii="Cambria Math" w:hAnsi="Cambria Math"/>
            </w:rPr>
            <m:t>=</m:t>
          </m:r>
          <m:sSubSup>
            <m:sSubSupPr>
              <m:ctrlPr>
                <w:rPr>
                  <w:rStyle w:val="AERbody"/>
                  <w:rFonts w:ascii="Cambria Math" w:hAnsi="Cambria Math"/>
                </w:rPr>
              </m:ctrlPr>
            </m:sSubSupPr>
            <m:e>
              <m:r>
                <w:rPr>
                  <w:rStyle w:val="AERbody"/>
                  <w:rFonts w:ascii="Cambria Math" w:hAnsi="Cambria Math"/>
                </w:rPr>
                <m:t>p</m:t>
              </m:r>
            </m:e>
            <m:sub>
              <m:r>
                <w:rPr>
                  <w:rStyle w:val="AERbody"/>
                  <w:rFonts w:ascii="Cambria Math" w:hAnsi="Cambria Math"/>
                </w:rPr>
                <m:t>i</m:t>
              </m:r>
            </m:sub>
            <m:sup>
              <m:r>
                <w:rPr>
                  <w:rStyle w:val="AERbody"/>
                  <w:rFonts w:ascii="Cambria Math" w:hAnsi="Cambria Math"/>
                </w:rPr>
                <m:t>t</m:t>
              </m:r>
              <m:r>
                <m:rPr>
                  <m:sty m:val="p"/>
                </m:rPr>
                <w:rPr>
                  <w:rStyle w:val="AERbody"/>
                  <w:rFonts w:ascii="Cambria Math" w:hAnsi="Cambria Math"/>
                </w:rPr>
                <m:t>-1</m:t>
              </m:r>
            </m:sup>
          </m:sSubSup>
          <m:d>
            <m:dPr>
              <m:ctrlPr>
                <w:rPr>
                  <w:rStyle w:val="AERbody"/>
                  <w:rFonts w:ascii="Cambria Math" w:hAnsi="Cambria Math"/>
                </w:rPr>
              </m:ctrlPr>
            </m:dPr>
            <m:e>
              <m:r>
                <m:rPr>
                  <m:sty m:val="p"/>
                </m:rPr>
                <w:rPr>
                  <w:rStyle w:val="AERbody"/>
                  <w:rFonts w:ascii="Cambria Math" w:hAnsi="Cambria Math"/>
                </w:rPr>
                <m:t>1+</m:t>
              </m:r>
              <m:sSub>
                <m:sSubPr>
                  <m:ctrlPr>
                    <w:rPr>
                      <w:rStyle w:val="AERbody"/>
                      <w:rFonts w:ascii="Cambria Math" w:hAnsi="Cambria Math"/>
                    </w:rPr>
                  </m:ctrlPr>
                </m:sSubPr>
                <m:e>
                  <m:r>
                    <m:rPr>
                      <m:sty m:val="p"/>
                    </m:rPr>
                    <w:rPr>
                      <w:rStyle w:val="AERbody"/>
                      <w:rFonts w:ascii="Cambria Math" w:hAnsi="Cambria Math"/>
                    </w:rPr>
                    <m:t>∆</m:t>
                  </m:r>
                  <m:r>
                    <w:rPr>
                      <w:rStyle w:val="AERbody"/>
                      <w:rFonts w:ascii="Cambria Math" w:hAnsi="Cambria Math"/>
                    </w:rPr>
                    <m:t>CPI</m:t>
                  </m:r>
                </m:e>
                <m:sub>
                  <m:r>
                    <w:rPr>
                      <w:rStyle w:val="AERbody"/>
                      <w:rFonts w:ascii="Cambria Math" w:hAnsi="Cambria Math"/>
                    </w:rPr>
                    <m:t>t</m:t>
                  </m:r>
                </m:sub>
              </m:sSub>
            </m:e>
          </m:d>
          <m:d>
            <m:dPr>
              <m:ctrlPr>
                <w:rPr>
                  <w:rStyle w:val="AERbody"/>
                  <w:rFonts w:ascii="Cambria Math" w:hAnsi="Cambria Math"/>
                </w:rPr>
              </m:ctrlPr>
            </m:dPr>
            <m:e>
              <m:r>
                <m:rPr>
                  <m:sty m:val="p"/>
                </m:rPr>
                <w:rPr>
                  <w:rStyle w:val="AERbody"/>
                  <w:rFonts w:ascii="Cambria Math" w:hAnsi="Cambria Math"/>
                </w:rPr>
                <m:t>1-</m:t>
              </m:r>
              <m:sSubSup>
                <m:sSubSupPr>
                  <m:ctrlPr>
                    <w:rPr>
                      <w:rStyle w:val="AERbody"/>
                      <w:rFonts w:ascii="Cambria Math" w:hAnsi="Cambria Math"/>
                    </w:rPr>
                  </m:ctrlPr>
                </m:sSubSupPr>
                <m:e>
                  <m:r>
                    <w:rPr>
                      <w:rStyle w:val="AERbody"/>
                      <w:rFonts w:ascii="Cambria Math" w:hAnsi="Cambria Math"/>
                    </w:rPr>
                    <m:t>X</m:t>
                  </m:r>
                </m:e>
                <m:sub>
                  <m:r>
                    <w:rPr>
                      <w:rStyle w:val="AERbody"/>
                      <w:rFonts w:ascii="Cambria Math" w:hAnsi="Cambria Math"/>
                    </w:rPr>
                    <m:t>i</m:t>
                  </m:r>
                </m:sub>
                <m:sup>
                  <m:r>
                    <w:rPr>
                      <w:rStyle w:val="AERbody"/>
                      <w:rFonts w:ascii="Cambria Math" w:hAnsi="Cambria Math"/>
                    </w:rPr>
                    <m:t>t</m:t>
                  </m:r>
                </m:sup>
              </m:sSubSup>
            </m:e>
          </m:d>
          <m:r>
            <m:rPr>
              <m:sty m:val="p"/>
            </m:rPr>
            <w:rPr>
              <w:rStyle w:val="AERbody"/>
              <w:rFonts w:ascii="Cambria Math" w:hAnsi="Cambria Math"/>
            </w:rPr>
            <m:t>+</m:t>
          </m:r>
          <m:sSubSup>
            <m:sSubSupPr>
              <m:ctrlPr>
                <w:rPr>
                  <w:rStyle w:val="AERbody"/>
                  <w:rFonts w:ascii="Cambria Math" w:hAnsi="Cambria Math"/>
                </w:rPr>
              </m:ctrlPr>
            </m:sSubSupPr>
            <m:e>
              <m:r>
                <w:rPr>
                  <w:rStyle w:val="AERbody"/>
                  <w:rFonts w:ascii="Cambria Math" w:hAnsi="Cambria Math"/>
                </w:rPr>
                <m:t>A</m:t>
              </m:r>
            </m:e>
            <m:sub>
              <m:r>
                <w:rPr>
                  <w:rStyle w:val="AERbody"/>
                  <w:rFonts w:ascii="Cambria Math" w:hAnsi="Cambria Math"/>
                </w:rPr>
                <m:t>i</m:t>
              </m:r>
            </m:sub>
            <m:sup>
              <m:r>
                <w:rPr>
                  <w:rStyle w:val="AERbody"/>
                  <w:rFonts w:ascii="Cambria Math" w:hAnsi="Cambria Math"/>
                </w:rPr>
                <m:t>t</m:t>
              </m:r>
            </m:sup>
          </m:sSubSup>
        </m:oMath>
      </m:oMathPara>
    </w:p>
    <w:p w:rsidR="00250358" w:rsidRPr="00C63D58" w:rsidRDefault="00250358" w:rsidP="00250358">
      <w:r w:rsidRPr="00C63D58">
        <w:t>Where:</w:t>
      </w:r>
    </w:p>
    <w:p w:rsidR="00250358" w:rsidRPr="00C63D58" w:rsidRDefault="00DA2823" w:rsidP="00707C4E">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250358" w:rsidRPr="00C63D58">
        <w:tab/>
      </w:r>
      <w:proofErr w:type="gramStart"/>
      <w:r w:rsidR="00250358" w:rsidRPr="00C63D58">
        <w:t>is</w:t>
      </w:r>
      <w:proofErr w:type="gramEnd"/>
      <w:r w:rsidR="00250358" w:rsidRPr="00C63D58">
        <w:t xml:space="preserve"> the cap on the price of service i in year t</w:t>
      </w:r>
      <w:r w:rsidR="005B5439">
        <w:t>–1</w:t>
      </w:r>
      <w:r w:rsidR="00250358" w:rsidRPr="00C63D58">
        <w:t xml:space="preserve">. </w:t>
      </w:r>
    </w:p>
    <w:p w:rsidR="00250358" w:rsidRDefault="00DA2823" w:rsidP="00250358">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250358" w:rsidRPr="00C63D58">
        <w:tab/>
      </w:r>
      <w:r w:rsidR="005B5439">
        <w:tab/>
      </w:r>
      <w:proofErr w:type="gramStart"/>
      <w:r w:rsidR="00250358" w:rsidRPr="00C63D58">
        <w:t>is</w:t>
      </w:r>
      <w:proofErr w:type="gramEnd"/>
      <w:r w:rsidR="00250358" w:rsidRPr="00C63D58">
        <w:t xml:space="preserve"> </w:t>
      </w:r>
      <w:r w:rsidR="00DC73D4">
        <w:t xml:space="preserve">the </w:t>
      </w:r>
      <w:r w:rsidR="008E5A0C">
        <w:t xml:space="preserve">cap on </w:t>
      </w:r>
      <w:r w:rsidR="00250358" w:rsidRPr="00C63D58">
        <w:t xml:space="preserve">the price of service </w:t>
      </w:r>
      <w:proofErr w:type="spellStart"/>
      <w:r w:rsidR="00250358" w:rsidRPr="00C63D58">
        <w:t>i</w:t>
      </w:r>
      <w:proofErr w:type="spellEnd"/>
      <w:r w:rsidR="00250358" w:rsidRPr="00C63D58">
        <w:t xml:space="preserve"> in year t.</w:t>
      </w:r>
      <w:r w:rsidR="005B5439" w:rsidRPr="005B5439">
        <w:t xml:space="preserve"> </w:t>
      </w:r>
      <w:r w:rsidR="005B5439" w:rsidRPr="00C63D58">
        <w:t>However, for 2015–16 this is the price as determined in</w:t>
      </w:r>
      <w:r w:rsidR="005B5439" w:rsidRPr="005E1241">
        <w:t xml:space="preserve"> </w:t>
      </w:r>
      <w:r w:rsidR="005B5439">
        <w:fldChar w:fldCharType="begin"/>
      </w:r>
      <w:r w:rsidR="005B5439">
        <w:instrText xml:space="preserve"> REF  _Ref417554534 \* Lower \h </w:instrText>
      </w:r>
      <w:r w:rsidR="005B5439">
        <w:fldChar w:fldCharType="separate"/>
      </w:r>
      <w:r w:rsidR="00F16AE7">
        <w:t xml:space="preserve">table </w:t>
      </w:r>
      <w:r w:rsidR="00F16AE7">
        <w:rPr>
          <w:noProof/>
        </w:rPr>
        <w:t>16</w:t>
      </w:r>
      <w:r w:rsidR="00F16AE7">
        <w:t>.</w:t>
      </w:r>
      <w:r w:rsidR="00F16AE7">
        <w:rPr>
          <w:noProof/>
        </w:rPr>
        <w:t>19</w:t>
      </w:r>
      <w:r w:rsidR="005B5439">
        <w:fldChar w:fldCharType="end"/>
      </w:r>
      <w:r w:rsidR="005B5439" w:rsidRPr="00C63D58">
        <w:t>.</w:t>
      </w:r>
    </w:p>
    <w:p w:rsidR="00F66CE6" w:rsidRPr="00C63D58" w:rsidRDefault="00F66CE6" w:rsidP="00250358">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F66CE6">
        <w:t xml:space="preserve"> </w:t>
      </w:r>
      <w:r w:rsidRPr="00F66CE6">
        <w:tab/>
      </w:r>
      <w:proofErr w:type="gramStart"/>
      <w:r w:rsidRPr="00F66CE6">
        <w:t>is</w:t>
      </w:r>
      <w:proofErr w:type="gramEnd"/>
      <w:r w:rsidRPr="00F66CE6">
        <w:t xml:space="preserve"> the annual percentage change in the ABS CPI All Groups, Weighted Average of Eight Capital Cities from December in year t-2 to December in year t-1. For example, for the 2015–16 year, t–2 is December 2013 and t–1 is December 2014 and in the 2016–17 year, t–2 is December 2014 and t–1 is December 2015 and so on.</w:t>
      </w:r>
    </w:p>
    <w:p w:rsidR="00250358" w:rsidRPr="00C63D58" w:rsidRDefault="00DA2823" w:rsidP="00250358">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250358" w:rsidRPr="00C63D58">
        <w:tab/>
      </w:r>
      <w:proofErr w:type="gramStart"/>
      <w:r w:rsidR="00250358" w:rsidRPr="00C63D58">
        <w:t>is</w:t>
      </w:r>
      <w:proofErr w:type="gramEnd"/>
      <w:r w:rsidR="00250358" w:rsidRPr="00C63D58">
        <w:t xml:space="preserve"> the value of X for the year t in the regulatory control period. There are no X-factors for public lighting</w:t>
      </w:r>
      <w:r w:rsidR="00250358">
        <w:t>.</w:t>
      </w:r>
    </w:p>
    <w:p w:rsidR="00250358" w:rsidRDefault="00DA2823" w:rsidP="00250358">
      <w:pPr>
        <w:rPr>
          <w:rStyle w:val="AERbody"/>
        </w:rPr>
      </w:pPr>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250358" w:rsidRPr="00C63D58">
        <w:tab/>
      </w:r>
      <w:proofErr w:type="gramStart"/>
      <w:r w:rsidR="00250358" w:rsidRPr="00C63D58">
        <w:t>is</w:t>
      </w:r>
      <w:proofErr w:type="gramEnd"/>
      <w:r w:rsidR="00250358" w:rsidRPr="00C63D58">
        <w:t xml:space="preserve"> an adjustment factor likely to include, but not limited to, adjustments for residual charges when customers choose to replace assets before the end of their economic life. For public lighting we consider the value for A is zero.</w:t>
      </w:r>
    </w:p>
    <w:p w:rsidR="00D16B09" w:rsidRPr="00F81300" w:rsidRDefault="00B90E47" w:rsidP="00F81300">
      <w:pPr>
        <w:pStyle w:val="Heading3"/>
      </w:pPr>
      <w:bookmarkStart w:id="137" w:name="_Toc417994621"/>
      <w:r w:rsidRPr="00F81300">
        <w:t>E</w:t>
      </w:r>
      <w:r w:rsidR="00F81300">
        <w:t>rgon Energy's</w:t>
      </w:r>
      <w:r w:rsidRPr="00F81300">
        <w:t xml:space="preserve"> proposal</w:t>
      </w:r>
      <w:bookmarkEnd w:id="137"/>
    </w:p>
    <w:p w:rsidR="00F81300" w:rsidRDefault="00B60362" w:rsidP="00F81300">
      <w:r>
        <w:t xml:space="preserve">With the Queensland Government moving to cost reflective pricing for </w:t>
      </w:r>
      <w:r w:rsidR="00A60A0E">
        <w:t xml:space="preserve">Ergon Energy </w:t>
      </w:r>
      <w:r>
        <w:t xml:space="preserve">councils, Ergon </w:t>
      </w:r>
      <w:r w:rsidR="00A60A0E">
        <w:t>proposes to split</w:t>
      </w:r>
      <w:r w:rsidR="00CF7867">
        <w:t xml:space="preserve"> its charges</w:t>
      </w:r>
      <w:r>
        <w:t xml:space="preserve"> </w:t>
      </w:r>
      <w:r w:rsidR="00CF7867">
        <w:t>into:</w:t>
      </w:r>
    </w:p>
    <w:p w:rsidR="00CF7867" w:rsidRPr="00CF7867" w:rsidRDefault="00CF7867" w:rsidP="00CF7867">
      <w:pPr>
        <w:pStyle w:val="AERbulletlistfirststyle"/>
      </w:pPr>
      <w:r>
        <w:t>major light</w:t>
      </w:r>
      <w:r w:rsidRPr="00CF7867">
        <w:t xml:space="preserve"> charge for luminaires owned and operated by  </w:t>
      </w:r>
      <w:r w:rsidR="00D16B09">
        <w:t xml:space="preserve">Ergon (EOO) </w:t>
      </w:r>
    </w:p>
    <w:p w:rsidR="00CF7867" w:rsidRPr="00CF7867" w:rsidRDefault="00CF7867" w:rsidP="00CF7867">
      <w:pPr>
        <w:pStyle w:val="AERbulletlistfirststyle"/>
      </w:pPr>
      <w:r>
        <w:t>minor light</w:t>
      </w:r>
      <w:r w:rsidRPr="00CF7867">
        <w:t xml:space="preserve"> charge for luminaires owned and operated by  </w:t>
      </w:r>
      <w:r w:rsidR="00D16B09">
        <w:t>Ergon (EOO)</w:t>
      </w:r>
    </w:p>
    <w:p w:rsidR="00CF7867" w:rsidRPr="00CF7867" w:rsidRDefault="00CF7867" w:rsidP="00CF7867">
      <w:pPr>
        <w:pStyle w:val="AERbulletlistfirststyle"/>
      </w:pPr>
      <w:r>
        <w:t xml:space="preserve">major light </w:t>
      </w:r>
      <w:r w:rsidRPr="00CF7867">
        <w:t xml:space="preserve">charge for luminaires gifted to the distributor by a council but operated by  </w:t>
      </w:r>
      <w:r w:rsidR="00D16B09">
        <w:t>Ergon (GOO)</w:t>
      </w:r>
    </w:p>
    <w:p w:rsidR="00CF7867" w:rsidRPr="00CF7867" w:rsidRDefault="00CF7867" w:rsidP="00CF7867">
      <w:pPr>
        <w:pStyle w:val="AERbulletlistfirststyle"/>
      </w:pPr>
      <w:r>
        <w:t xml:space="preserve">minor light </w:t>
      </w:r>
      <w:r w:rsidRPr="00CF7867">
        <w:t xml:space="preserve">charge for luminaires gifted to the distributor by a council but operated by  </w:t>
      </w:r>
      <w:r w:rsidR="00D16B09">
        <w:t>Ergon (GOO)</w:t>
      </w:r>
      <w:r w:rsidR="00D16B09" w:rsidRPr="00CF7867">
        <w:t xml:space="preserve">  </w:t>
      </w:r>
    </w:p>
    <w:p w:rsidR="00C0283D" w:rsidRDefault="00C0283D" w:rsidP="00C0283D">
      <w:pPr>
        <w:pStyle w:val="AERbulletlistfirststyle"/>
        <w:numPr>
          <w:ilvl w:val="0"/>
          <w:numId w:val="0"/>
        </w:numPr>
        <w:rPr>
          <w:rStyle w:val="AERbody"/>
        </w:rPr>
      </w:pPr>
      <w:r w:rsidRPr="00C0283D">
        <w:rPr>
          <w:rStyle w:val="AERbody"/>
        </w:rPr>
        <w:t>E</w:t>
      </w:r>
      <w:r>
        <w:rPr>
          <w:rStyle w:val="AERbody"/>
        </w:rPr>
        <w:t>rgon Energy</w:t>
      </w:r>
      <w:r w:rsidRPr="00C0283D">
        <w:rPr>
          <w:rStyle w:val="AERbody"/>
        </w:rPr>
        <w:t xml:space="preserve">'s proposed prices are set out in </w:t>
      </w:r>
      <w:r>
        <w:rPr>
          <w:rStyle w:val="AERbody"/>
        </w:rPr>
        <w:fldChar w:fldCharType="begin"/>
      </w:r>
      <w:r>
        <w:rPr>
          <w:rStyle w:val="AERbody"/>
        </w:rPr>
        <w:instrText xml:space="preserve"> REF _Ref415232833 \h </w:instrText>
      </w:r>
      <w:r>
        <w:rPr>
          <w:rStyle w:val="AERbody"/>
        </w:rPr>
      </w:r>
      <w:r>
        <w:rPr>
          <w:rStyle w:val="AERbody"/>
        </w:rPr>
        <w:fldChar w:fldCharType="separate"/>
      </w:r>
      <w:r w:rsidR="00F16AE7">
        <w:t xml:space="preserve">Table </w:t>
      </w:r>
      <w:r w:rsidR="00F16AE7">
        <w:rPr>
          <w:noProof/>
        </w:rPr>
        <w:t>16</w:t>
      </w:r>
      <w:r w:rsidR="00F16AE7">
        <w:t>.</w:t>
      </w:r>
      <w:r w:rsidR="00F16AE7">
        <w:rPr>
          <w:noProof/>
        </w:rPr>
        <w:t>17</w:t>
      </w:r>
      <w:r>
        <w:rPr>
          <w:rStyle w:val="AERbody"/>
        </w:rPr>
        <w:fldChar w:fldCharType="end"/>
      </w:r>
      <w:r>
        <w:rPr>
          <w:rStyle w:val="AERbody"/>
        </w:rPr>
        <w:t>.</w:t>
      </w:r>
    </w:p>
    <w:p w:rsidR="00C0283D" w:rsidRDefault="00C0283D" w:rsidP="00C0283D">
      <w:pPr>
        <w:pStyle w:val="Caption"/>
      </w:pPr>
      <w:bookmarkStart w:id="138" w:name="_Ref415232833"/>
      <w:bookmarkStart w:id="139" w:name="_Ref415232828"/>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17</w:t>
      </w:r>
      <w:r w:rsidR="00F5521C">
        <w:fldChar w:fldCharType="end"/>
      </w:r>
      <w:bookmarkEnd w:id="138"/>
      <w:r>
        <w:t xml:space="preserve"> Proposed </w:t>
      </w:r>
      <w:bookmarkEnd w:id="139"/>
      <w:r>
        <w:t>prices for public lights</w:t>
      </w:r>
      <w:r w:rsidR="001734A0">
        <w:t>, $ per day</w:t>
      </w:r>
    </w:p>
    <w:tbl>
      <w:tblPr>
        <w:tblStyle w:val="AERtable-numbers"/>
        <w:tblW w:w="5000" w:type="pct"/>
        <w:tblLook w:val="04A0" w:firstRow="1" w:lastRow="0" w:firstColumn="1" w:lastColumn="0" w:noHBand="0" w:noVBand="1"/>
      </w:tblPr>
      <w:tblGrid>
        <w:gridCol w:w="2058"/>
        <w:gridCol w:w="1327"/>
        <w:gridCol w:w="1327"/>
        <w:gridCol w:w="1327"/>
        <w:gridCol w:w="1327"/>
        <w:gridCol w:w="1327"/>
      </w:tblGrid>
      <w:tr w:rsidR="00C0283D" w:rsidTr="001659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4" w:type="pct"/>
            <w:vAlign w:val="top"/>
          </w:tcPr>
          <w:p w:rsidR="00C0283D" w:rsidRPr="00C0283D" w:rsidRDefault="00C0283D" w:rsidP="00C0283D">
            <w:pPr>
              <w:pStyle w:val="Tabletext"/>
            </w:pPr>
          </w:p>
        </w:tc>
        <w:tc>
          <w:tcPr>
            <w:tcW w:w="763" w:type="pct"/>
            <w:vAlign w:val="top"/>
          </w:tcPr>
          <w:p w:rsidR="00C0283D" w:rsidRPr="00C0283D" w:rsidRDefault="00C0283D" w:rsidP="00B92F59">
            <w:pPr>
              <w:pStyle w:val="Tabletext"/>
              <w:cnfStyle w:val="100000000000" w:firstRow="1" w:lastRow="0" w:firstColumn="0" w:lastColumn="0" w:oddVBand="0" w:evenVBand="0" w:oddHBand="0" w:evenHBand="0" w:firstRowFirstColumn="0" w:firstRowLastColumn="0" w:lastRowFirstColumn="0" w:lastRowLastColumn="0"/>
            </w:pPr>
            <w:r w:rsidRPr="0037396F">
              <w:t>2015</w:t>
            </w:r>
            <w:r w:rsidR="00B92F59">
              <w:t>—</w:t>
            </w:r>
            <w:r w:rsidRPr="0037396F">
              <w:t>16</w:t>
            </w:r>
          </w:p>
        </w:tc>
        <w:tc>
          <w:tcPr>
            <w:tcW w:w="763" w:type="pct"/>
            <w:vAlign w:val="top"/>
          </w:tcPr>
          <w:p w:rsidR="00C0283D" w:rsidRPr="00C0283D" w:rsidRDefault="00C0283D" w:rsidP="00B92F59">
            <w:pPr>
              <w:pStyle w:val="Tabletext"/>
              <w:cnfStyle w:val="100000000000" w:firstRow="1" w:lastRow="0" w:firstColumn="0" w:lastColumn="0" w:oddVBand="0" w:evenVBand="0" w:oddHBand="0" w:evenHBand="0" w:firstRowFirstColumn="0" w:firstRowLastColumn="0" w:lastRowFirstColumn="0" w:lastRowLastColumn="0"/>
            </w:pPr>
            <w:r w:rsidRPr="0037396F">
              <w:t>2016</w:t>
            </w:r>
            <w:r w:rsidR="00B92F59">
              <w:t>—</w:t>
            </w:r>
            <w:r w:rsidRPr="0037396F">
              <w:t>17</w:t>
            </w:r>
          </w:p>
        </w:tc>
        <w:tc>
          <w:tcPr>
            <w:tcW w:w="763" w:type="pct"/>
            <w:vAlign w:val="top"/>
          </w:tcPr>
          <w:p w:rsidR="00C0283D" w:rsidRPr="00C0283D" w:rsidRDefault="00C0283D" w:rsidP="00B92F59">
            <w:pPr>
              <w:pStyle w:val="Tabletext"/>
              <w:cnfStyle w:val="100000000000" w:firstRow="1" w:lastRow="0" w:firstColumn="0" w:lastColumn="0" w:oddVBand="0" w:evenVBand="0" w:oddHBand="0" w:evenHBand="0" w:firstRowFirstColumn="0" w:firstRowLastColumn="0" w:lastRowFirstColumn="0" w:lastRowLastColumn="0"/>
            </w:pPr>
            <w:r w:rsidRPr="0037396F">
              <w:t>2017</w:t>
            </w:r>
            <w:r w:rsidR="00B92F59">
              <w:t>—</w:t>
            </w:r>
            <w:r w:rsidRPr="0037396F">
              <w:t>18</w:t>
            </w:r>
          </w:p>
        </w:tc>
        <w:tc>
          <w:tcPr>
            <w:tcW w:w="763" w:type="pct"/>
            <w:vAlign w:val="top"/>
          </w:tcPr>
          <w:p w:rsidR="00C0283D" w:rsidRPr="00C0283D" w:rsidRDefault="00C0283D" w:rsidP="00B92F59">
            <w:pPr>
              <w:pStyle w:val="Tabletext"/>
              <w:cnfStyle w:val="100000000000" w:firstRow="1" w:lastRow="0" w:firstColumn="0" w:lastColumn="0" w:oddVBand="0" w:evenVBand="0" w:oddHBand="0" w:evenHBand="0" w:firstRowFirstColumn="0" w:firstRowLastColumn="0" w:lastRowFirstColumn="0" w:lastRowLastColumn="0"/>
            </w:pPr>
            <w:r w:rsidRPr="0037396F">
              <w:t>2018</w:t>
            </w:r>
            <w:r w:rsidR="00B92F59">
              <w:t>—</w:t>
            </w:r>
            <w:r w:rsidRPr="0037396F">
              <w:t>19</w:t>
            </w:r>
          </w:p>
        </w:tc>
        <w:tc>
          <w:tcPr>
            <w:tcW w:w="763" w:type="pct"/>
            <w:vAlign w:val="top"/>
          </w:tcPr>
          <w:p w:rsidR="00C0283D" w:rsidRPr="00C0283D" w:rsidRDefault="00C0283D" w:rsidP="00B92F59">
            <w:pPr>
              <w:pStyle w:val="Tabletext"/>
              <w:cnfStyle w:val="100000000000" w:firstRow="1" w:lastRow="0" w:firstColumn="0" w:lastColumn="0" w:oddVBand="0" w:evenVBand="0" w:oddHBand="0" w:evenHBand="0" w:firstRowFirstColumn="0" w:firstRowLastColumn="0" w:lastRowFirstColumn="0" w:lastRowLastColumn="0"/>
            </w:pPr>
            <w:r w:rsidRPr="0037396F">
              <w:t>2019</w:t>
            </w:r>
            <w:r w:rsidR="00B92F59">
              <w:t>—</w:t>
            </w:r>
            <w:r w:rsidRPr="0037396F">
              <w:t>20</w:t>
            </w:r>
          </w:p>
        </w:tc>
      </w:tr>
      <w:tr w:rsidR="00C0283D" w:rsidTr="00165979">
        <w:tc>
          <w:tcPr>
            <w:cnfStyle w:val="001000000000" w:firstRow="0" w:lastRow="0" w:firstColumn="1" w:lastColumn="0" w:oddVBand="0" w:evenVBand="0" w:oddHBand="0" w:evenHBand="0" w:firstRowFirstColumn="0" w:firstRowLastColumn="0" w:lastRowFirstColumn="0" w:lastRowLastColumn="0"/>
            <w:tcW w:w="1184" w:type="pct"/>
            <w:vAlign w:val="top"/>
          </w:tcPr>
          <w:p w:rsidR="00C0283D" w:rsidRPr="00C0283D" w:rsidRDefault="00C0283D" w:rsidP="00C0283D">
            <w:pPr>
              <w:pStyle w:val="Tabletext"/>
            </w:pPr>
            <w:r>
              <w:t>EO&amp;O - Major</w:t>
            </w:r>
          </w:p>
        </w:tc>
        <w:tc>
          <w:tcPr>
            <w:tcW w:w="763" w:type="pct"/>
            <w:vAlign w:val="bottom"/>
          </w:tcPr>
          <w:p w:rsidR="00C0283D" w:rsidRPr="00C0283D" w:rsidRDefault="00C0283D" w:rsidP="00C0283D">
            <w:pPr>
              <w:pStyle w:val="Tabletext"/>
              <w:cnfStyle w:val="000000000000" w:firstRow="0" w:lastRow="0" w:firstColumn="0" w:lastColumn="0" w:oddVBand="0" w:evenVBand="0" w:oddHBand="0" w:evenHBand="0" w:firstRowFirstColumn="0" w:firstRowLastColumn="0" w:lastRowFirstColumn="0" w:lastRowLastColumn="0"/>
            </w:pPr>
            <w:r>
              <w:t>1.1355</w:t>
            </w:r>
          </w:p>
        </w:tc>
        <w:tc>
          <w:tcPr>
            <w:tcW w:w="763" w:type="pct"/>
            <w:vAlign w:val="bottom"/>
          </w:tcPr>
          <w:p w:rsidR="00C0283D" w:rsidRPr="00C0283D" w:rsidRDefault="00C0283D" w:rsidP="00C0283D">
            <w:pPr>
              <w:pStyle w:val="Tabletext"/>
              <w:cnfStyle w:val="000000000000" w:firstRow="0" w:lastRow="0" w:firstColumn="0" w:lastColumn="0" w:oddVBand="0" w:evenVBand="0" w:oddHBand="0" w:evenHBand="0" w:firstRowFirstColumn="0" w:firstRowLastColumn="0" w:lastRowFirstColumn="0" w:lastRowLastColumn="0"/>
            </w:pPr>
            <w:r>
              <w:t>1.1715</w:t>
            </w:r>
          </w:p>
        </w:tc>
        <w:tc>
          <w:tcPr>
            <w:tcW w:w="763" w:type="pct"/>
            <w:vAlign w:val="bottom"/>
          </w:tcPr>
          <w:p w:rsidR="00C0283D" w:rsidRPr="00C0283D" w:rsidRDefault="00C0283D" w:rsidP="00C0283D">
            <w:pPr>
              <w:pStyle w:val="Tabletext"/>
              <w:cnfStyle w:val="000000000000" w:firstRow="0" w:lastRow="0" w:firstColumn="0" w:lastColumn="0" w:oddVBand="0" w:evenVBand="0" w:oddHBand="0" w:evenHBand="0" w:firstRowFirstColumn="0" w:firstRowLastColumn="0" w:lastRowFirstColumn="0" w:lastRowLastColumn="0"/>
            </w:pPr>
            <w:r>
              <w:t>1.2086</w:t>
            </w:r>
          </w:p>
        </w:tc>
        <w:tc>
          <w:tcPr>
            <w:tcW w:w="763" w:type="pct"/>
            <w:vAlign w:val="bottom"/>
          </w:tcPr>
          <w:p w:rsidR="00C0283D" w:rsidRPr="00C0283D" w:rsidRDefault="00C0283D" w:rsidP="00C0283D">
            <w:pPr>
              <w:pStyle w:val="Tabletext"/>
              <w:cnfStyle w:val="000000000000" w:firstRow="0" w:lastRow="0" w:firstColumn="0" w:lastColumn="0" w:oddVBand="0" w:evenVBand="0" w:oddHBand="0" w:evenHBand="0" w:firstRowFirstColumn="0" w:firstRowLastColumn="0" w:lastRowFirstColumn="0" w:lastRowLastColumn="0"/>
            </w:pPr>
            <w:r>
              <w:t>1.2469</w:t>
            </w:r>
          </w:p>
        </w:tc>
        <w:tc>
          <w:tcPr>
            <w:tcW w:w="763" w:type="pct"/>
            <w:vAlign w:val="bottom"/>
          </w:tcPr>
          <w:p w:rsidR="00C0283D" w:rsidRPr="00C0283D" w:rsidRDefault="00C0283D" w:rsidP="00C0283D">
            <w:pPr>
              <w:pStyle w:val="Tabletext"/>
              <w:cnfStyle w:val="000000000000" w:firstRow="0" w:lastRow="0" w:firstColumn="0" w:lastColumn="0" w:oddVBand="0" w:evenVBand="0" w:oddHBand="0" w:evenHBand="0" w:firstRowFirstColumn="0" w:firstRowLastColumn="0" w:lastRowFirstColumn="0" w:lastRowLastColumn="0"/>
            </w:pPr>
            <w:r>
              <w:t>1.2864</w:t>
            </w:r>
          </w:p>
        </w:tc>
      </w:tr>
      <w:tr w:rsidR="00C0283D" w:rsidTr="001659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C0283D" w:rsidRDefault="00C0283D" w:rsidP="00C0283D">
            <w:r w:rsidRPr="00F93CFB">
              <w:t>EO&amp;O - M</w:t>
            </w:r>
            <w:r>
              <w:t>in</w:t>
            </w:r>
            <w:r w:rsidRPr="00F93CFB">
              <w:t>or</w:t>
            </w:r>
          </w:p>
        </w:tc>
        <w:tc>
          <w:tcPr>
            <w:tcW w:w="763" w:type="pct"/>
            <w:vAlign w:val="bottom"/>
          </w:tcPr>
          <w:p w:rsidR="00C0283D" w:rsidRPr="00C0283D" w:rsidRDefault="00C0283D" w:rsidP="00C0283D">
            <w:pPr>
              <w:pStyle w:val="Tabletext"/>
              <w:cnfStyle w:val="000000010000" w:firstRow="0" w:lastRow="0" w:firstColumn="0" w:lastColumn="0" w:oddVBand="0" w:evenVBand="0" w:oddHBand="0" w:evenHBand="1" w:firstRowFirstColumn="0" w:firstRowLastColumn="0" w:lastRowFirstColumn="0" w:lastRowLastColumn="0"/>
            </w:pPr>
            <w:r>
              <w:t>0.6768</w:t>
            </w:r>
          </w:p>
        </w:tc>
        <w:tc>
          <w:tcPr>
            <w:tcW w:w="763" w:type="pct"/>
            <w:vAlign w:val="bottom"/>
          </w:tcPr>
          <w:p w:rsidR="00C0283D" w:rsidRPr="00C0283D" w:rsidRDefault="00C0283D" w:rsidP="00C0283D">
            <w:pPr>
              <w:pStyle w:val="Tabletext"/>
              <w:cnfStyle w:val="000000010000" w:firstRow="0" w:lastRow="0" w:firstColumn="0" w:lastColumn="0" w:oddVBand="0" w:evenVBand="0" w:oddHBand="0" w:evenHBand="1" w:firstRowFirstColumn="0" w:firstRowLastColumn="0" w:lastRowFirstColumn="0" w:lastRowLastColumn="0"/>
            </w:pPr>
            <w:r>
              <w:t>0.6982</w:t>
            </w:r>
          </w:p>
        </w:tc>
        <w:tc>
          <w:tcPr>
            <w:tcW w:w="763" w:type="pct"/>
            <w:vAlign w:val="bottom"/>
          </w:tcPr>
          <w:p w:rsidR="00C0283D" w:rsidRPr="00C0283D" w:rsidRDefault="00C0283D" w:rsidP="00C0283D">
            <w:pPr>
              <w:pStyle w:val="Tabletext"/>
              <w:cnfStyle w:val="000000010000" w:firstRow="0" w:lastRow="0" w:firstColumn="0" w:lastColumn="0" w:oddVBand="0" w:evenVBand="0" w:oddHBand="0" w:evenHBand="1" w:firstRowFirstColumn="0" w:firstRowLastColumn="0" w:lastRowFirstColumn="0" w:lastRowLastColumn="0"/>
            </w:pPr>
            <w:r>
              <w:t>0.7203</w:t>
            </w:r>
          </w:p>
        </w:tc>
        <w:tc>
          <w:tcPr>
            <w:tcW w:w="763" w:type="pct"/>
            <w:vAlign w:val="bottom"/>
          </w:tcPr>
          <w:p w:rsidR="00C0283D" w:rsidRPr="00C0283D" w:rsidRDefault="00C0283D" w:rsidP="00C0283D">
            <w:pPr>
              <w:pStyle w:val="Tabletext"/>
              <w:cnfStyle w:val="000000010000" w:firstRow="0" w:lastRow="0" w:firstColumn="0" w:lastColumn="0" w:oddVBand="0" w:evenVBand="0" w:oddHBand="0" w:evenHBand="1" w:firstRowFirstColumn="0" w:firstRowLastColumn="0" w:lastRowFirstColumn="0" w:lastRowLastColumn="0"/>
            </w:pPr>
            <w:r>
              <w:t>0.7431</w:t>
            </w:r>
          </w:p>
        </w:tc>
        <w:tc>
          <w:tcPr>
            <w:tcW w:w="763" w:type="pct"/>
            <w:vAlign w:val="bottom"/>
          </w:tcPr>
          <w:p w:rsidR="00C0283D" w:rsidRPr="00C0283D" w:rsidRDefault="00C0283D" w:rsidP="00C0283D">
            <w:pPr>
              <w:pStyle w:val="Tabletext"/>
              <w:cnfStyle w:val="000000010000" w:firstRow="0" w:lastRow="0" w:firstColumn="0" w:lastColumn="0" w:oddVBand="0" w:evenVBand="0" w:oddHBand="0" w:evenHBand="1" w:firstRowFirstColumn="0" w:firstRowLastColumn="0" w:lastRowFirstColumn="0" w:lastRowLastColumn="0"/>
            </w:pPr>
            <w:r>
              <w:t>0.7666</w:t>
            </w:r>
          </w:p>
        </w:tc>
      </w:tr>
      <w:tr w:rsidR="00C0283D" w:rsidTr="00165979">
        <w:tc>
          <w:tcPr>
            <w:cnfStyle w:val="001000000000" w:firstRow="0" w:lastRow="0" w:firstColumn="1" w:lastColumn="0" w:oddVBand="0" w:evenVBand="0" w:oddHBand="0" w:evenHBand="0" w:firstRowFirstColumn="0" w:firstRowLastColumn="0" w:lastRowFirstColumn="0" w:lastRowLastColumn="0"/>
            <w:tcW w:w="1184" w:type="pct"/>
            <w:vAlign w:val="top"/>
          </w:tcPr>
          <w:p w:rsidR="00C0283D" w:rsidRDefault="00C0283D">
            <w:r>
              <w:lastRenderedPageBreak/>
              <w:t>G</w:t>
            </w:r>
            <w:r w:rsidRPr="00F93CFB">
              <w:t>O&amp;O - Major</w:t>
            </w:r>
          </w:p>
        </w:tc>
        <w:tc>
          <w:tcPr>
            <w:tcW w:w="763" w:type="pct"/>
            <w:vAlign w:val="bottom"/>
          </w:tcPr>
          <w:p w:rsidR="00C0283D" w:rsidRPr="00C0283D" w:rsidRDefault="00C0283D" w:rsidP="00C0283D">
            <w:pPr>
              <w:pStyle w:val="AERtabletextright"/>
              <w:cnfStyle w:val="000000000000" w:firstRow="0" w:lastRow="0" w:firstColumn="0" w:lastColumn="0" w:oddVBand="0" w:evenVBand="0" w:oddHBand="0" w:evenHBand="0" w:firstRowFirstColumn="0" w:firstRowLastColumn="0" w:lastRowFirstColumn="0" w:lastRowLastColumn="0"/>
              <w:rPr>
                <w:rStyle w:val="Strong"/>
                <w:b w:val="0"/>
                <w:bCs w:val="0"/>
              </w:rPr>
            </w:pPr>
            <w:r w:rsidRPr="00C0283D">
              <w:rPr>
                <w:rStyle w:val="Strong"/>
                <w:b w:val="0"/>
                <w:bCs w:val="0"/>
              </w:rPr>
              <w:t>0.4604</w:t>
            </w:r>
          </w:p>
        </w:tc>
        <w:tc>
          <w:tcPr>
            <w:tcW w:w="763" w:type="pct"/>
            <w:vAlign w:val="bottom"/>
          </w:tcPr>
          <w:p w:rsidR="00C0283D" w:rsidRPr="00C0283D" w:rsidRDefault="00C0283D" w:rsidP="00C0283D">
            <w:pPr>
              <w:pStyle w:val="AERtabletextright"/>
              <w:cnfStyle w:val="000000000000" w:firstRow="0" w:lastRow="0" w:firstColumn="0" w:lastColumn="0" w:oddVBand="0" w:evenVBand="0" w:oddHBand="0" w:evenHBand="0" w:firstRowFirstColumn="0" w:firstRowLastColumn="0" w:lastRowFirstColumn="0" w:lastRowLastColumn="0"/>
              <w:rPr>
                <w:rStyle w:val="Strong"/>
                <w:b w:val="0"/>
                <w:bCs w:val="0"/>
              </w:rPr>
            </w:pPr>
            <w:r w:rsidRPr="00C0283D">
              <w:rPr>
                <w:rStyle w:val="Strong"/>
                <w:b w:val="0"/>
                <w:bCs w:val="0"/>
              </w:rPr>
              <w:t>0.4750</w:t>
            </w:r>
          </w:p>
        </w:tc>
        <w:tc>
          <w:tcPr>
            <w:tcW w:w="763" w:type="pct"/>
            <w:vAlign w:val="bottom"/>
          </w:tcPr>
          <w:p w:rsidR="00C0283D" w:rsidRPr="00C0283D" w:rsidRDefault="00C0283D" w:rsidP="00C0283D">
            <w:pPr>
              <w:pStyle w:val="AERtabletextright"/>
              <w:cnfStyle w:val="000000000000" w:firstRow="0" w:lastRow="0" w:firstColumn="0" w:lastColumn="0" w:oddVBand="0" w:evenVBand="0" w:oddHBand="0" w:evenHBand="0" w:firstRowFirstColumn="0" w:firstRowLastColumn="0" w:lastRowFirstColumn="0" w:lastRowLastColumn="0"/>
              <w:rPr>
                <w:rStyle w:val="Strong"/>
                <w:b w:val="0"/>
                <w:bCs w:val="0"/>
              </w:rPr>
            </w:pPr>
            <w:r w:rsidRPr="00C0283D">
              <w:rPr>
                <w:rStyle w:val="Strong"/>
                <w:b w:val="0"/>
                <w:bCs w:val="0"/>
              </w:rPr>
              <w:t>0.4900</w:t>
            </w:r>
          </w:p>
        </w:tc>
        <w:tc>
          <w:tcPr>
            <w:tcW w:w="763" w:type="pct"/>
            <w:vAlign w:val="bottom"/>
          </w:tcPr>
          <w:p w:rsidR="00C0283D" w:rsidRPr="00C0283D" w:rsidRDefault="00C0283D" w:rsidP="00C0283D">
            <w:pPr>
              <w:pStyle w:val="AERtabletextright"/>
              <w:cnfStyle w:val="000000000000" w:firstRow="0" w:lastRow="0" w:firstColumn="0" w:lastColumn="0" w:oddVBand="0" w:evenVBand="0" w:oddHBand="0" w:evenHBand="0" w:firstRowFirstColumn="0" w:firstRowLastColumn="0" w:lastRowFirstColumn="0" w:lastRowLastColumn="0"/>
              <w:rPr>
                <w:rStyle w:val="Strong"/>
                <w:b w:val="0"/>
                <w:bCs w:val="0"/>
              </w:rPr>
            </w:pPr>
            <w:r w:rsidRPr="00C0283D">
              <w:rPr>
                <w:rStyle w:val="Strong"/>
                <w:b w:val="0"/>
                <w:bCs w:val="0"/>
              </w:rPr>
              <w:t>0.5055</w:t>
            </w:r>
          </w:p>
        </w:tc>
        <w:tc>
          <w:tcPr>
            <w:tcW w:w="763" w:type="pct"/>
            <w:vAlign w:val="bottom"/>
          </w:tcPr>
          <w:p w:rsidR="00C0283D" w:rsidRPr="00C0283D" w:rsidRDefault="00C0283D" w:rsidP="00C0283D">
            <w:pPr>
              <w:pStyle w:val="AERtabletextright"/>
              <w:cnfStyle w:val="000000000000" w:firstRow="0" w:lastRow="0" w:firstColumn="0" w:lastColumn="0" w:oddVBand="0" w:evenVBand="0" w:oddHBand="0" w:evenHBand="0" w:firstRowFirstColumn="0" w:firstRowLastColumn="0" w:lastRowFirstColumn="0" w:lastRowLastColumn="0"/>
              <w:rPr>
                <w:rStyle w:val="Strong"/>
                <w:b w:val="0"/>
                <w:bCs w:val="0"/>
              </w:rPr>
            </w:pPr>
            <w:r w:rsidRPr="00C0283D">
              <w:rPr>
                <w:rStyle w:val="Strong"/>
                <w:b w:val="0"/>
                <w:bCs w:val="0"/>
              </w:rPr>
              <w:t>0.5215</w:t>
            </w:r>
          </w:p>
        </w:tc>
      </w:tr>
      <w:tr w:rsidR="00C0283D" w:rsidTr="001659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C0283D" w:rsidRDefault="00C0283D" w:rsidP="00C0283D">
            <w:r>
              <w:t>G</w:t>
            </w:r>
            <w:r w:rsidRPr="00F93CFB">
              <w:t>O&amp;O - M</w:t>
            </w:r>
            <w:r>
              <w:t>in</w:t>
            </w:r>
            <w:r w:rsidRPr="00F93CFB">
              <w:t>or</w:t>
            </w:r>
          </w:p>
        </w:tc>
        <w:tc>
          <w:tcPr>
            <w:tcW w:w="763" w:type="pct"/>
            <w:vAlign w:val="bottom"/>
          </w:tcPr>
          <w:p w:rsidR="00C0283D" w:rsidRPr="00C0283D" w:rsidRDefault="00C0283D" w:rsidP="00C0283D">
            <w:pPr>
              <w:pStyle w:val="AERtabletextright"/>
              <w:cnfStyle w:val="000000010000" w:firstRow="0" w:lastRow="0" w:firstColumn="0" w:lastColumn="0" w:oddVBand="0" w:evenVBand="0" w:oddHBand="0" w:evenHBand="1" w:firstRowFirstColumn="0" w:firstRowLastColumn="0" w:lastRowFirstColumn="0" w:lastRowLastColumn="0"/>
              <w:rPr>
                <w:rStyle w:val="Strong"/>
                <w:b w:val="0"/>
                <w:bCs w:val="0"/>
              </w:rPr>
            </w:pPr>
            <w:r w:rsidRPr="00C0283D">
              <w:rPr>
                <w:rStyle w:val="Strong"/>
                <w:b w:val="0"/>
                <w:bCs w:val="0"/>
              </w:rPr>
              <w:t>0.3017</w:t>
            </w:r>
          </w:p>
        </w:tc>
        <w:tc>
          <w:tcPr>
            <w:tcW w:w="763" w:type="pct"/>
            <w:vAlign w:val="bottom"/>
          </w:tcPr>
          <w:p w:rsidR="00C0283D" w:rsidRPr="00C0283D" w:rsidRDefault="00C0283D" w:rsidP="00C0283D">
            <w:pPr>
              <w:pStyle w:val="AERtabletextright"/>
              <w:cnfStyle w:val="000000010000" w:firstRow="0" w:lastRow="0" w:firstColumn="0" w:lastColumn="0" w:oddVBand="0" w:evenVBand="0" w:oddHBand="0" w:evenHBand="1" w:firstRowFirstColumn="0" w:firstRowLastColumn="0" w:lastRowFirstColumn="0" w:lastRowLastColumn="0"/>
              <w:rPr>
                <w:rStyle w:val="Strong"/>
                <w:b w:val="0"/>
                <w:bCs w:val="0"/>
              </w:rPr>
            </w:pPr>
            <w:r w:rsidRPr="00C0283D">
              <w:rPr>
                <w:rStyle w:val="Strong"/>
                <w:b w:val="0"/>
                <w:bCs w:val="0"/>
              </w:rPr>
              <w:t>0.3113</w:t>
            </w:r>
          </w:p>
        </w:tc>
        <w:tc>
          <w:tcPr>
            <w:tcW w:w="763" w:type="pct"/>
            <w:vAlign w:val="bottom"/>
          </w:tcPr>
          <w:p w:rsidR="00C0283D" w:rsidRPr="00C0283D" w:rsidRDefault="00C0283D" w:rsidP="00C0283D">
            <w:pPr>
              <w:pStyle w:val="AERtabletextright"/>
              <w:cnfStyle w:val="000000010000" w:firstRow="0" w:lastRow="0" w:firstColumn="0" w:lastColumn="0" w:oddVBand="0" w:evenVBand="0" w:oddHBand="0" w:evenHBand="1" w:firstRowFirstColumn="0" w:firstRowLastColumn="0" w:lastRowFirstColumn="0" w:lastRowLastColumn="0"/>
              <w:rPr>
                <w:rStyle w:val="Strong"/>
                <w:b w:val="0"/>
                <w:bCs w:val="0"/>
              </w:rPr>
            </w:pPr>
            <w:r w:rsidRPr="00C0283D">
              <w:rPr>
                <w:rStyle w:val="Strong"/>
                <w:b w:val="0"/>
                <w:bCs w:val="0"/>
              </w:rPr>
              <w:t>0.3212</w:t>
            </w:r>
          </w:p>
        </w:tc>
        <w:tc>
          <w:tcPr>
            <w:tcW w:w="763" w:type="pct"/>
            <w:vAlign w:val="bottom"/>
          </w:tcPr>
          <w:p w:rsidR="00C0283D" w:rsidRPr="00C0283D" w:rsidRDefault="00C0283D" w:rsidP="00C0283D">
            <w:pPr>
              <w:pStyle w:val="AERtabletextright"/>
              <w:cnfStyle w:val="000000010000" w:firstRow="0" w:lastRow="0" w:firstColumn="0" w:lastColumn="0" w:oddVBand="0" w:evenVBand="0" w:oddHBand="0" w:evenHBand="1" w:firstRowFirstColumn="0" w:firstRowLastColumn="0" w:lastRowFirstColumn="0" w:lastRowLastColumn="0"/>
              <w:rPr>
                <w:rStyle w:val="Strong"/>
                <w:b w:val="0"/>
                <w:bCs w:val="0"/>
              </w:rPr>
            </w:pPr>
            <w:r w:rsidRPr="00C0283D">
              <w:rPr>
                <w:rStyle w:val="Strong"/>
                <w:b w:val="0"/>
                <w:bCs w:val="0"/>
              </w:rPr>
              <w:t>0.3314</w:t>
            </w:r>
          </w:p>
        </w:tc>
        <w:tc>
          <w:tcPr>
            <w:tcW w:w="763" w:type="pct"/>
            <w:vAlign w:val="bottom"/>
          </w:tcPr>
          <w:p w:rsidR="00C0283D" w:rsidRPr="00C0283D" w:rsidRDefault="00C0283D" w:rsidP="00C0283D">
            <w:pPr>
              <w:pStyle w:val="AERtabletextright"/>
              <w:cnfStyle w:val="000000010000" w:firstRow="0" w:lastRow="0" w:firstColumn="0" w:lastColumn="0" w:oddVBand="0" w:evenVBand="0" w:oddHBand="0" w:evenHBand="1" w:firstRowFirstColumn="0" w:firstRowLastColumn="0" w:lastRowFirstColumn="0" w:lastRowLastColumn="0"/>
              <w:rPr>
                <w:rStyle w:val="Strong"/>
                <w:b w:val="0"/>
                <w:bCs w:val="0"/>
              </w:rPr>
            </w:pPr>
            <w:r w:rsidRPr="00C0283D">
              <w:rPr>
                <w:rStyle w:val="Strong"/>
                <w:b w:val="0"/>
                <w:bCs w:val="0"/>
              </w:rPr>
              <w:t>0.3419</w:t>
            </w:r>
          </w:p>
        </w:tc>
      </w:tr>
    </w:tbl>
    <w:p w:rsidR="00C0283D" w:rsidRDefault="00C0283D" w:rsidP="00D77C6B">
      <w:pPr>
        <w:pStyle w:val="AERtablesource"/>
        <w:rPr>
          <w:rStyle w:val="Strong"/>
        </w:rPr>
      </w:pPr>
      <w:r w:rsidRPr="00D77C6B">
        <w:rPr>
          <w:rStyle w:val="Strong"/>
          <w:b w:val="0"/>
          <w:bCs w:val="0"/>
        </w:rPr>
        <w:t>Source: Ergon Energy, 2015-20 Regulatory Proposal, p 52, table 27</w:t>
      </w:r>
    </w:p>
    <w:p w:rsidR="00CF7867" w:rsidRDefault="00CF7867" w:rsidP="00CF7867">
      <w:r w:rsidRPr="007F19B5">
        <w:t>Ergon Energy ha</w:t>
      </w:r>
      <w:r>
        <w:t>s</w:t>
      </w:r>
      <w:r w:rsidRPr="007F19B5">
        <w:t xml:space="preserve"> also </w:t>
      </w:r>
      <w:r>
        <w:t>proposed</w:t>
      </w:r>
      <w:r w:rsidRPr="007F19B5">
        <w:t xml:space="preserve"> a</w:t>
      </w:r>
      <w:r>
        <w:t>n</w:t>
      </w:r>
      <w:r w:rsidRPr="007F19B5">
        <w:t xml:space="preserve"> LED </w:t>
      </w:r>
      <w:r>
        <w:t xml:space="preserve">light </w:t>
      </w:r>
      <w:r w:rsidRPr="007F19B5">
        <w:t xml:space="preserve">transition plan and </w:t>
      </w:r>
      <w:r>
        <w:t>proposes to spend $1 million per annum on this. Ergon Energy has proposed e</w:t>
      </w:r>
      <w:r w:rsidRPr="007F19B5">
        <w:t>xit fees for</w:t>
      </w:r>
      <w:r>
        <w:t xml:space="preserve"> councils who want to</w:t>
      </w:r>
      <w:r w:rsidR="00D16B09">
        <w:t xml:space="preserve"> remove existing lights and</w:t>
      </w:r>
      <w:r>
        <w:t xml:space="preserve"> </w:t>
      </w:r>
      <w:r w:rsidRPr="007F19B5">
        <w:t>transition</w:t>
      </w:r>
      <w:r>
        <w:t xml:space="preserve"> more quickly to</w:t>
      </w:r>
      <w:r w:rsidRPr="007F19B5">
        <w:t xml:space="preserve"> LED </w:t>
      </w:r>
      <w:r>
        <w:t>technology. The proposed exit fees, accounting for the remaining value of existing assets, are:</w:t>
      </w:r>
    </w:p>
    <w:p w:rsidR="00CF7867" w:rsidRPr="00CF7867" w:rsidRDefault="00CF7867" w:rsidP="00CF7867">
      <w:pPr>
        <w:pStyle w:val="AERbulletlistfirststyle"/>
      </w:pPr>
      <w:r>
        <w:t>$1,390 for Ergon owned and operated major road lights</w:t>
      </w:r>
    </w:p>
    <w:p w:rsidR="00CF7867" w:rsidRPr="00CF7867" w:rsidRDefault="00CF7867" w:rsidP="00CF7867">
      <w:pPr>
        <w:pStyle w:val="AERbulletlistfirststyle"/>
      </w:pPr>
      <w:r>
        <w:t>$840 for Ergon owned and operated minor road lights</w:t>
      </w:r>
    </w:p>
    <w:p w:rsidR="00CF7867" w:rsidRPr="00CF7867" w:rsidRDefault="00CF7867" w:rsidP="00CF7867">
      <w:pPr>
        <w:pStyle w:val="AERbulletlistfirststyle"/>
      </w:pPr>
      <w:r>
        <w:t>$230 for council owned major road lights</w:t>
      </w:r>
      <w:r w:rsidRPr="00CF7867">
        <w:rPr>
          <w:rStyle w:val="FootnoteReference"/>
        </w:rPr>
        <w:footnoteReference w:id="101"/>
      </w:r>
    </w:p>
    <w:p w:rsidR="00CF7867" w:rsidRPr="00CF7867" w:rsidRDefault="00CF7867" w:rsidP="00CF7867">
      <w:pPr>
        <w:pStyle w:val="AERbulletlistfirststyle"/>
      </w:pPr>
      <w:r>
        <w:t>$195 for</w:t>
      </w:r>
      <w:r w:rsidRPr="00CF7867">
        <w:t xml:space="preserve"> council owned minor road lights</w:t>
      </w:r>
      <w:r w:rsidRPr="00CF7867">
        <w:rPr>
          <w:rStyle w:val="FootnoteReference"/>
        </w:rPr>
        <w:footnoteReference w:id="102"/>
      </w:r>
    </w:p>
    <w:p w:rsidR="00D16B09" w:rsidRPr="00F81300" w:rsidRDefault="00B90E47" w:rsidP="00F81300">
      <w:pPr>
        <w:pStyle w:val="Heading3"/>
      </w:pPr>
      <w:bookmarkStart w:id="140" w:name="_Toc417994622"/>
      <w:r w:rsidRPr="00F81300">
        <w:t>Assessment approach</w:t>
      </w:r>
      <w:bookmarkEnd w:id="140"/>
    </w:p>
    <w:p w:rsidR="00F81300" w:rsidRPr="00F81300" w:rsidRDefault="00F81300" w:rsidP="00F81300">
      <w:r w:rsidRPr="00F81300">
        <w:t>The AER has continued with the assessment approach used in New South Wales</w:t>
      </w:r>
      <w:r w:rsidR="00CF5FC7" w:rsidRPr="00CF5FC7">
        <w:t xml:space="preserve"> </w:t>
      </w:r>
      <w:r w:rsidR="004E71F8">
        <w:t>distributors'</w:t>
      </w:r>
      <w:r w:rsidR="00CF5FC7">
        <w:t xml:space="preserve"> public lighting proposals</w:t>
      </w:r>
      <w:r w:rsidRPr="00F81300">
        <w:t xml:space="preserve">. </w:t>
      </w:r>
      <w:r w:rsidR="00CF7867">
        <w:t xml:space="preserve">This involves assessing Queensland distributor's public lighting proposals using </w:t>
      </w:r>
      <w:r w:rsidR="001734A0">
        <w:t xml:space="preserve">a </w:t>
      </w:r>
      <w:r w:rsidR="00CF7867">
        <w:t xml:space="preserve">combination of high level benchmarking and assessing the assumptions used in the </w:t>
      </w:r>
      <w:r w:rsidR="001734A0">
        <w:t>build-up of costs.</w:t>
      </w:r>
    </w:p>
    <w:p w:rsidR="00D16B09" w:rsidRPr="00F81300" w:rsidRDefault="00B90E47" w:rsidP="00F81300">
      <w:pPr>
        <w:pStyle w:val="Heading3"/>
      </w:pPr>
      <w:bookmarkStart w:id="141" w:name="_Toc417994623"/>
      <w:r w:rsidRPr="00F81300">
        <w:t>Submissions</w:t>
      </w:r>
      <w:bookmarkEnd w:id="141"/>
    </w:p>
    <w:p w:rsidR="00806409" w:rsidRDefault="004E71F8" w:rsidP="00F81300">
      <w:r>
        <w:t xml:space="preserve">The Local Government Association of Queensland notes a reduction in prices in the first year of the regulatory control period and </w:t>
      </w:r>
      <w:r w:rsidR="00373DEC">
        <w:t>increase in line with inflation for the remaining years thereafter.</w:t>
      </w:r>
      <w:r w:rsidR="00B92F59">
        <w:rPr>
          <w:rStyle w:val="FootnoteReference"/>
        </w:rPr>
        <w:footnoteReference w:id="103"/>
      </w:r>
      <w:r w:rsidR="00373DEC">
        <w:t xml:space="preserve"> Concern is however raised over an increase in costs for </w:t>
      </w:r>
      <w:r w:rsidR="00F20854">
        <w:t xml:space="preserve">Ergon Energy </w:t>
      </w:r>
      <w:r w:rsidR="00373DEC">
        <w:t xml:space="preserve">councils resulting from </w:t>
      </w:r>
      <w:r w:rsidR="00806409">
        <w:t xml:space="preserve">the </w:t>
      </w:r>
      <w:r w:rsidR="00806409" w:rsidRPr="00806409">
        <w:t>remov</w:t>
      </w:r>
      <w:r w:rsidR="00806409">
        <w:t>al of</w:t>
      </w:r>
      <w:r w:rsidR="00806409" w:rsidRPr="00806409">
        <w:t xml:space="preserve"> </w:t>
      </w:r>
      <w:r w:rsidR="00AC6089" w:rsidRPr="00806409">
        <w:t>subsidies</w:t>
      </w:r>
      <w:r w:rsidR="00806409" w:rsidRPr="00806409">
        <w:t xml:space="preserve"> </w:t>
      </w:r>
      <w:r w:rsidR="00806409">
        <w:t xml:space="preserve">by the </w:t>
      </w:r>
      <w:r w:rsidR="00373DEC">
        <w:t>Queensland Government</w:t>
      </w:r>
      <w:r w:rsidR="00806409">
        <w:t>.</w:t>
      </w:r>
      <w:r w:rsidR="00D16B09">
        <w:t xml:space="preserve"> </w:t>
      </w:r>
      <w:r w:rsidR="00BF555C">
        <w:t xml:space="preserve">What this means is a move </w:t>
      </w:r>
      <w:r w:rsidR="00D16B09">
        <w:t xml:space="preserve">towards cost reflective </w:t>
      </w:r>
      <w:proofErr w:type="gramStart"/>
      <w:r w:rsidR="00D16B09">
        <w:t>pricing</w:t>
      </w:r>
      <w:r w:rsidR="00AC6089">
        <w:t>.</w:t>
      </w:r>
      <w:proofErr w:type="gramEnd"/>
    </w:p>
    <w:p w:rsidR="004E71F8" w:rsidRDefault="00373DEC" w:rsidP="00F81300">
      <w:r>
        <w:t xml:space="preserve">The LGAQ also raises the issue of end of life treatment of assets and </w:t>
      </w:r>
      <w:r w:rsidR="002A76BB">
        <w:t>unpredictable costs for</w:t>
      </w:r>
      <w:r>
        <w:t xml:space="preserve"> councils</w:t>
      </w:r>
      <w:r w:rsidR="00AC6089">
        <w:t>.</w:t>
      </w:r>
      <w:r w:rsidR="00BF555C">
        <w:t xml:space="preserve"> </w:t>
      </w:r>
      <w:r w:rsidR="00A859F6">
        <w:t>This was in relation to councils potentially purchasing the distributors public lighting assets and the costs associated with doing so</w:t>
      </w:r>
      <w:r>
        <w:t xml:space="preserve">. </w:t>
      </w:r>
    </w:p>
    <w:p w:rsidR="00165979" w:rsidRDefault="00165979" w:rsidP="00F81300"/>
    <w:p w:rsidR="00165979" w:rsidRPr="00F81300" w:rsidRDefault="00165979" w:rsidP="00F81300"/>
    <w:p w:rsidR="00D16B09" w:rsidRPr="00F81300" w:rsidRDefault="00B90E47" w:rsidP="00F81300">
      <w:pPr>
        <w:pStyle w:val="Heading3"/>
      </w:pPr>
      <w:bookmarkStart w:id="142" w:name="_Toc417994624"/>
      <w:r w:rsidRPr="00F81300">
        <w:lastRenderedPageBreak/>
        <w:t>Reasons for preliminary decision</w:t>
      </w:r>
      <w:bookmarkEnd w:id="142"/>
      <w:r w:rsidRPr="00F81300">
        <w:t xml:space="preserve"> </w:t>
      </w:r>
    </w:p>
    <w:p w:rsidR="00CF7867" w:rsidRDefault="00B90E47" w:rsidP="00F81300">
      <w:r w:rsidRPr="00B90E47">
        <w:t xml:space="preserve">The reasons for </w:t>
      </w:r>
      <w:r w:rsidR="003E3839">
        <w:t>the</w:t>
      </w:r>
      <w:r w:rsidR="003E3839" w:rsidRPr="00F81300">
        <w:t xml:space="preserve"> </w:t>
      </w:r>
      <w:r w:rsidR="003E3839">
        <w:t>nominal post</w:t>
      </w:r>
      <w:r w:rsidR="003E3839" w:rsidRPr="00F81300">
        <w:t xml:space="preserve">-tax WACC of </w:t>
      </w:r>
      <w:r w:rsidR="003E3839">
        <w:t>5</w:t>
      </w:r>
      <w:r w:rsidR="003E3839" w:rsidRPr="00F81300">
        <w:t>.</w:t>
      </w:r>
      <w:r w:rsidR="003E3839">
        <w:t>85</w:t>
      </w:r>
      <w:r w:rsidR="003E3839" w:rsidRPr="00F81300">
        <w:t xml:space="preserve"> per cent </w:t>
      </w:r>
      <w:r w:rsidRPr="00B90E47">
        <w:t xml:space="preserve">and imputation credit assumption of 40 per cent instead are discussed in rate of return, attachment </w:t>
      </w:r>
      <w:r w:rsidR="003459A3">
        <w:t>3</w:t>
      </w:r>
      <w:r w:rsidRPr="00B90E47">
        <w:t>.</w:t>
      </w:r>
    </w:p>
    <w:p w:rsidR="00CF7867" w:rsidRDefault="00CF7867" w:rsidP="00CF7867">
      <w:r>
        <w:t xml:space="preserve">We accept the proposed changes to the breakdown of </w:t>
      </w:r>
      <w:r w:rsidR="001734A0">
        <w:t xml:space="preserve">public lighting charges </w:t>
      </w:r>
      <w:r>
        <w:t>as this reflects an improvement in cost reflectivity for Ergon Energy, as they currently only have two public lighting charges</w:t>
      </w:r>
      <w:r w:rsidR="001734A0">
        <w:t>;</w:t>
      </w:r>
      <w:r>
        <w:t xml:space="preserve"> one major lights and </w:t>
      </w:r>
      <w:r w:rsidR="001734A0">
        <w:t xml:space="preserve">another </w:t>
      </w:r>
      <w:r>
        <w:t>for minor lights.</w:t>
      </w:r>
    </w:p>
    <w:p w:rsidR="003459A3" w:rsidRDefault="0011695C" w:rsidP="00F81300">
      <w:r>
        <w:t xml:space="preserve">The </w:t>
      </w:r>
      <w:r w:rsidRPr="007F19B5">
        <w:t xml:space="preserve">LED </w:t>
      </w:r>
      <w:r>
        <w:t xml:space="preserve">light </w:t>
      </w:r>
      <w:r w:rsidRPr="007F19B5">
        <w:t xml:space="preserve">transition plan </w:t>
      </w:r>
      <w:r>
        <w:t>of $1 million per annum and the proposed e</w:t>
      </w:r>
      <w:r w:rsidRPr="007F19B5">
        <w:t>xit fees for</w:t>
      </w:r>
      <w:r>
        <w:t xml:space="preserve"> councils who want to </w:t>
      </w:r>
      <w:r w:rsidRPr="007F19B5">
        <w:t>transition</w:t>
      </w:r>
      <w:r>
        <w:t xml:space="preserve"> more quickly to</w:t>
      </w:r>
      <w:r w:rsidRPr="007F19B5">
        <w:t xml:space="preserve"> LED </w:t>
      </w:r>
      <w:r>
        <w:t xml:space="preserve">technology are </w:t>
      </w:r>
      <w:r w:rsidR="003459A3">
        <w:t xml:space="preserve">accepted. LED is </w:t>
      </w:r>
      <w:r w:rsidR="001C7AAE">
        <w:t>known</w:t>
      </w:r>
      <w:r w:rsidR="003459A3">
        <w:t xml:space="preserve"> technology that is being adopted due to their longer lamp life and </w:t>
      </w:r>
      <w:r w:rsidR="001C7AAE">
        <w:t xml:space="preserve">operational </w:t>
      </w:r>
      <w:r w:rsidR="0028401C">
        <w:t>savings they can provide to customers.</w:t>
      </w:r>
      <w:r w:rsidR="001C7AAE">
        <w:t xml:space="preserve"> Their life cycle costs are therefore considered by councils as superior to that of sodium high pressure and mercury va</w:t>
      </w:r>
      <w:r w:rsidR="007840C3">
        <w:t>p</w:t>
      </w:r>
      <w:r w:rsidR="001C7AAE">
        <w:t xml:space="preserve">our luminaires. They also </w:t>
      </w:r>
      <w:r w:rsidR="00806409">
        <w:t>outperform</w:t>
      </w:r>
      <w:r w:rsidR="001C7AAE">
        <w:t xml:space="preserve"> environmentally.</w:t>
      </w:r>
    </w:p>
    <w:p w:rsidR="0011695C" w:rsidRDefault="003459A3" w:rsidP="00F81300">
      <w:r>
        <w:t>We consider the charges reflect the costs to Ergon Energy for</w:t>
      </w:r>
      <w:r w:rsidR="001C7AAE">
        <w:t xml:space="preserve"> those</w:t>
      </w:r>
      <w:r>
        <w:t xml:space="preserve"> councils that want to transition existing street lights more quickly to LEDs. The LGAQ submission did not raise the issue </w:t>
      </w:r>
      <w:r w:rsidR="001C7AAE">
        <w:t xml:space="preserve">of </w:t>
      </w:r>
      <w:r>
        <w:t>transition</w:t>
      </w:r>
      <w:r w:rsidR="009D0B89">
        <w:t>ing</w:t>
      </w:r>
      <w:r>
        <w:t xml:space="preserve"> towards LED</w:t>
      </w:r>
      <w:r w:rsidR="009D0B89">
        <w:t xml:space="preserve"> technology</w:t>
      </w:r>
      <w:r w:rsidR="009D0B89" w:rsidRPr="009D0B89">
        <w:t xml:space="preserve"> </w:t>
      </w:r>
      <w:r w:rsidR="009D0B89">
        <w:t>and the proposed exit fees</w:t>
      </w:r>
      <w:r>
        <w:t>.</w:t>
      </w:r>
    </w:p>
    <w:p w:rsidR="00A859F6" w:rsidRDefault="00D16B09" w:rsidP="00D16B09">
      <w:r>
        <w:t xml:space="preserve">The issue of moving towards cost reflective pricing is one for LGAQ </w:t>
      </w:r>
      <w:r w:rsidR="00A859F6">
        <w:t xml:space="preserve">members </w:t>
      </w:r>
      <w:r>
        <w:t xml:space="preserve">to work through with the Queensland Government. </w:t>
      </w:r>
      <w:r w:rsidR="001C7AAE">
        <w:t>The AER has no control over the latter's policy positions on subsidised energy costs.</w:t>
      </w:r>
      <w:r w:rsidR="00A859F6" w:rsidDel="00A859F6">
        <w:t xml:space="preserve"> </w:t>
      </w:r>
    </w:p>
    <w:p w:rsidR="00D16B09" w:rsidRDefault="00E65408" w:rsidP="00F81300">
      <w:r>
        <w:t>The issue of the end of life treatment of assets should continue to be worked through in the discussions between distributors and councils to seek an agreed approach.</w:t>
      </w:r>
      <w:r w:rsidR="00365944">
        <w:t xml:space="preserve"> Ergon </w:t>
      </w:r>
      <w:r w:rsidR="00A859F6">
        <w:t>did not propose</w:t>
      </w:r>
      <w:r w:rsidR="00365944">
        <w:t xml:space="preserve"> anything in relation to the treatment of the end of life of assets</w:t>
      </w:r>
      <w:r w:rsidR="00A859F6">
        <w:t>.</w:t>
      </w:r>
    </w:p>
    <w:p w:rsidR="00F81300" w:rsidRPr="00F81300" w:rsidRDefault="00F81300" w:rsidP="00F81300">
      <w:r w:rsidRPr="00F81300">
        <w:t xml:space="preserve">The </w:t>
      </w:r>
      <w:r w:rsidR="003E3839">
        <w:t>preliminary</w:t>
      </w:r>
      <w:r w:rsidR="003E3839" w:rsidRPr="00F81300">
        <w:t xml:space="preserve"> </w:t>
      </w:r>
      <w:r w:rsidRPr="00F81300">
        <w:t xml:space="preserve">decision </w:t>
      </w:r>
      <w:r w:rsidR="00C41642">
        <w:t xml:space="preserve">implements a </w:t>
      </w:r>
      <w:r w:rsidRPr="00F81300">
        <w:t xml:space="preserve">revenue </w:t>
      </w:r>
      <w:r w:rsidR="00C41642">
        <w:t xml:space="preserve">reduction </w:t>
      </w:r>
      <w:r w:rsidRPr="00F81300">
        <w:t xml:space="preserve">in 2015-16 </w:t>
      </w:r>
      <w:r w:rsidR="00C41642">
        <w:t>of</w:t>
      </w:r>
      <w:r w:rsidR="00C41642" w:rsidRPr="00F81300">
        <w:t xml:space="preserve"> </w:t>
      </w:r>
      <w:r w:rsidR="008C5FDD">
        <w:t>6</w:t>
      </w:r>
      <w:r w:rsidRPr="00F81300">
        <w:t xml:space="preserve"> per cent compared to a proposed </w:t>
      </w:r>
      <w:r w:rsidR="008C5FDD">
        <w:t>in</w:t>
      </w:r>
      <w:r w:rsidR="008C5FDD" w:rsidRPr="00F81300">
        <w:t xml:space="preserve">crease </w:t>
      </w:r>
      <w:r w:rsidRPr="00F81300">
        <w:t xml:space="preserve">of </w:t>
      </w:r>
      <w:r w:rsidR="008C5FDD">
        <w:t>4</w:t>
      </w:r>
      <w:r w:rsidR="008C5FDD" w:rsidRPr="00F81300">
        <w:t xml:space="preserve"> </w:t>
      </w:r>
      <w:r w:rsidRPr="00F81300">
        <w:t xml:space="preserve">per cent in the revised proposal. </w:t>
      </w:r>
      <w:r w:rsidR="003E3839">
        <w:t>Preliminary</w:t>
      </w:r>
      <w:r w:rsidR="003E3839" w:rsidRPr="00F81300">
        <w:t xml:space="preserve"> </w:t>
      </w:r>
      <w:r w:rsidRPr="00F81300">
        <w:t xml:space="preserve">decision revenue is set out in </w:t>
      </w:r>
      <w:r w:rsidRPr="00F81300">
        <w:fldChar w:fldCharType="begin"/>
      </w:r>
      <w:r w:rsidRPr="00F81300">
        <w:instrText xml:space="preserve"> REF _Ref414884439 \h </w:instrText>
      </w:r>
      <w:r w:rsidRPr="00F81300">
        <w:fldChar w:fldCharType="separate"/>
      </w:r>
      <w:r w:rsidR="00F16AE7" w:rsidRPr="00F81300">
        <w:t xml:space="preserve">Table </w:t>
      </w:r>
      <w:r w:rsidR="00F16AE7">
        <w:rPr>
          <w:noProof/>
        </w:rPr>
        <w:t>16</w:t>
      </w:r>
      <w:r w:rsidR="00F16AE7">
        <w:t>.</w:t>
      </w:r>
      <w:r w:rsidR="00F16AE7">
        <w:rPr>
          <w:noProof/>
        </w:rPr>
        <w:t>18</w:t>
      </w:r>
      <w:r w:rsidRPr="00F81300">
        <w:fldChar w:fldCharType="end"/>
      </w:r>
      <w:r w:rsidRPr="00F81300">
        <w:t>.</w:t>
      </w:r>
    </w:p>
    <w:p w:rsidR="00D16B09" w:rsidRPr="00F81300" w:rsidRDefault="00B90E47" w:rsidP="00F81300">
      <w:pPr>
        <w:pStyle w:val="Caption"/>
      </w:pPr>
      <w:bookmarkStart w:id="143" w:name="_Ref414884439"/>
      <w:proofErr w:type="gramStart"/>
      <w:r w:rsidRPr="00F81300">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18</w:t>
      </w:r>
      <w:r w:rsidR="00F5521C">
        <w:fldChar w:fldCharType="end"/>
      </w:r>
      <w:bookmarkEnd w:id="143"/>
      <w:proofErr w:type="gramStart"/>
      <w:r w:rsidRPr="00F81300">
        <w:t xml:space="preserve"> Total revenue, millions</w:t>
      </w:r>
      <w:proofErr w:type="gramEnd"/>
    </w:p>
    <w:tbl>
      <w:tblPr>
        <w:tblStyle w:val="AERtable-numbers"/>
        <w:tblW w:w="5000" w:type="pct"/>
        <w:tblLook w:val="04A0" w:firstRow="1" w:lastRow="0" w:firstColumn="1" w:lastColumn="0" w:noHBand="0" w:noVBand="1"/>
      </w:tblPr>
      <w:tblGrid>
        <w:gridCol w:w="3031"/>
        <w:gridCol w:w="1134"/>
        <w:gridCol w:w="1134"/>
        <w:gridCol w:w="1134"/>
        <w:gridCol w:w="1130"/>
        <w:gridCol w:w="1130"/>
      </w:tblGrid>
      <w:tr w:rsidR="003E3839" w:rsidRPr="00F81300" w:rsidTr="00E90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pct"/>
          </w:tcPr>
          <w:p w:rsidR="003E3839" w:rsidRPr="00F81300" w:rsidRDefault="003E3839" w:rsidP="00F81300"/>
        </w:tc>
        <w:tc>
          <w:tcPr>
            <w:tcW w:w="652" w:type="pct"/>
          </w:tcPr>
          <w:p w:rsidR="003E3839" w:rsidRPr="00F81300" w:rsidRDefault="003E3839" w:rsidP="00B92F59">
            <w:pPr>
              <w:cnfStyle w:val="100000000000" w:firstRow="1" w:lastRow="0" w:firstColumn="0" w:lastColumn="0" w:oddVBand="0" w:evenVBand="0" w:oddHBand="0" w:evenHBand="0" w:firstRowFirstColumn="0" w:firstRowLastColumn="0" w:lastRowFirstColumn="0" w:lastRowLastColumn="0"/>
            </w:pPr>
            <w:r w:rsidRPr="00F81300">
              <w:t>2015</w:t>
            </w:r>
            <w:r>
              <w:t>—</w:t>
            </w:r>
            <w:r w:rsidRPr="00F81300">
              <w:t>16</w:t>
            </w:r>
          </w:p>
        </w:tc>
        <w:tc>
          <w:tcPr>
            <w:tcW w:w="652" w:type="pct"/>
          </w:tcPr>
          <w:p w:rsidR="003E3839" w:rsidRPr="00F81300" w:rsidRDefault="003E3839" w:rsidP="00B92F59">
            <w:pPr>
              <w:cnfStyle w:val="100000000000" w:firstRow="1" w:lastRow="0" w:firstColumn="0" w:lastColumn="0" w:oddVBand="0" w:evenVBand="0" w:oddHBand="0" w:evenHBand="0" w:firstRowFirstColumn="0" w:firstRowLastColumn="0" w:lastRowFirstColumn="0" w:lastRowLastColumn="0"/>
            </w:pPr>
            <w:r w:rsidRPr="00F81300">
              <w:t>2016</w:t>
            </w:r>
            <w:r>
              <w:t>—</w:t>
            </w:r>
            <w:r w:rsidRPr="00F81300">
              <w:t>17</w:t>
            </w:r>
          </w:p>
        </w:tc>
        <w:tc>
          <w:tcPr>
            <w:tcW w:w="652" w:type="pct"/>
          </w:tcPr>
          <w:p w:rsidR="003E3839" w:rsidRPr="00F81300" w:rsidRDefault="003E3839" w:rsidP="00B92F59">
            <w:pPr>
              <w:cnfStyle w:val="100000000000" w:firstRow="1" w:lastRow="0" w:firstColumn="0" w:lastColumn="0" w:oddVBand="0" w:evenVBand="0" w:oddHBand="0" w:evenHBand="0" w:firstRowFirstColumn="0" w:firstRowLastColumn="0" w:lastRowFirstColumn="0" w:lastRowLastColumn="0"/>
            </w:pPr>
            <w:r w:rsidRPr="00F81300">
              <w:t>2017</w:t>
            </w:r>
            <w:r>
              <w:t>—</w:t>
            </w:r>
            <w:r w:rsidRPr="00F81300">
              <w:t>18</w:t>
            </w:r>
          </w:p>
        </w:tc>
        <w:tc>
          <w:tcPr>
            <w:tcW w:w="650" w:type="pct"/>
          </w:tcPr>
          <w:p w:rsidR="003E3839" w:rsidRPr="00F81300" w:rsidRDefault="003E3839" w:rsidP="00B92F59">
            <w:pPr>
              <w:cnfStyle w:val="100000000000" w:firstRow="1" w:lastRow="0" w:firstColumn="0" w:lastColumn="0" w:oddVBand="0" w:evenVBand="0" w:oddHBand="0" w:evenHBand="0" w:firstRowFirstColumn="0" w:firstRowLastColumn="0" w:lastRowFirstColumn="0" w:lastRowLastColumn="0"/>
            </w:pPr>
            <w:r w:rsidRPr="00F81300">
              <w:t>2018</w:t>
            </w:r>
            <w:r>
              <w:t>—</w:t>
            </w:r>
            <w:r w:rsidRPr="00F81300">
              <w:t>19</w:t>
            </w:r>
          </w:p>
        </w:tc>
        <w:tc>
          <w:tcPr>
            <w:tcW w:w="650" w:type="pct"/>
          </w:tcPr>
          <w:p w:rsidR="003E3839" w:rsidRPr="00F81300" w:rsidRDefault="003E3839" w:rsidP="00B92F59">
            <w:pPr>
              <w:cnfStyle w:val="100000000000" w:firstRow="1" w:lastRow="0" w:firstColumn="0" w:lastColumn="0" w:oddVBand="0" w:evenVBand="0" w:oddHBand="0" w:evenHBand="0" w:firstRowFirstColumn="0" w:firstRowLastColumn="0" w:lastRowFirstColumn="0" w:lastRowLastColumn="0"/>
            </w:pPr>
            <w:r w:rsidRPr="0037396F">
              <w:t>2019</w:t>
            </w:r>
            <w:r w:rsidRPr="003E3839">
              <w:t>—20</w:t>
            </w:r>
          </w:p>
        </w:tc>
      </w:tr>
      <w:tr w:rsidR="003E3839" w:rsidRPr="00F81300" w:rsidTr="00E90BD2">
        <w:tc>
          <w:tcPr>
            <w:cnfStyle w:val="001000000000" w:firstRow="0" w:lastRow="0" w:firstColumn="1" w:lastColumn="0" w:oddVBand="0" w:evenVBand="0" w:oddHBand="0" w:evenHBand="0" w:firstRowFirstColumn="0" w:firstRowLastColumn="0" w:lastRowFirstColumn="0" w:lastRowLastColumn="0"/>
            <w:tcW w:w="1743" w:type="pct"/>
          </w:tcPr>
          <w:p w:rsidR="003E3839" w:rsidRPr="00F81300" w:rsidRDefault="003E3839" w:rsidP="00B90E47">
            <w:r w:rsidRPr="00F81300">
              <w:t>Propos</w:t>
            </w:r>
            <w:r>
              <w:t>ed</w:t>
            </w:r>
          </w:p>
        </w:tc>
        <w:tc>
          <w:tcPr>
            <w:tcW w:w="652"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32.9</w:t>
            </w:r>
          </w:p>
        </w:tc>
        <w:tc>
          <w:tcPr>
            <w:tcW w:w="652"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34.2</w:t>
            </w:r>
          </w:p>
        </w:tc>
        <w:tc>
          <w:tcPr>
            <w:tcW w:w="652"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35.9</w:t>
            </w:r>
          </w:p>
        </w:tc>
        <w:tc>
          <w:tcPr>
            <w:tcW w:w="650"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37.5</w:t>
            </w:r>
          </w:p>
        </w:tc>
        <w:tc>
          <w:tcPr>
            <w:tcW w:w="650"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38.8</w:t>
            </w:r>
          </w:p>
        </w:tc>
      </w:tr>
      <w:tr w:rsidR="003E3839" w:rsidRPr="00F81300" w:rsidTr="00E90B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pct"/>
          </w:tcPr>
          <w:p w:rsidR="003E3839" w:rsidRPr="00F81300" w:rsidRDefault="003E3839" w:rsidP="00F81300">
            <w:r w:rsidRPr="00F81300">
              <w:t>Preliminary decision</w:t>
            </w:r>
          </w:p>
        </w:tc>
        <w:tc>
          <w:tcPr>
            <w:tcW w:w="652" w:type="pct"/>
          </w:tcPr>
          <w:p w:rsidR="003E3839" w:rsidRPr="00F81300" w:rsidRDefault="008C5FDD" w:rsidP="00F81300">
            <w:pPr>
              <w:cnfStyle w:val="000000010000" w:firstRow="0" w:lastRow="0" w:firstColumn="0" w:lastColumn="0" w:oddVBand="0" w:evenVBand="0" w:oddHBand="0" w:evenHBand="1" w:firstRowFirstColumn="0" w:firstRowLastColumn="0" w:lastRowFirstColumn="0" w:lastRowLastColumn="0"/>
            </w:pPr>
            <w:r>
              <w:t>29.7</w:t>
            </w:r>
          </w:p>
        </w:tc>
        <w:tc>
          <w:tcPr>
            <w:tcW w:w="652" w:type="pct"/>
          </w:tcPr>
          <w:p w:rsidR="003E3839" w:rsidRPr="00F81300" w:rsidRDefault="008C5FDD" w:rsidP="00F81300">
            <w:pPr>
              <w:cnfStyle w:val="000000010000" w:firstRow="0" w:lastRow="0" w:firstColumn="0" w:lastColumn="0" w:oddVBand="0" w:evenVBand="0" w:oddHBand="0" w:evenHBand="1" w:firstRowFirstColumn="0" w:firstRowLastColumn="0" w:lastRowFirstColumn="0" w:lastRowLastColumn="0"/>
            </w:pPr>
            <w:r>
              <w:t>30.9</w:t>
            </w:r>
          </w:p>
        </w:tc>
        <w:tc>
          <w:tcPr>
            <w:tcW w:w="652" w:type="pct"/>
          </w:tcPr>
          <w:p w:rsidR="003E3839" w:rsidRPr="00F81300" w:rsidRDefault="008C5FDD" w:rsidP="008C5FDD">
            <w:pPr>
              <w:cnfStyle w:val="000000010000" w:firstRow="0" w:lastRow="0" w:firstColumn="0" w:lastColumn="0" w:oddVBand="0" w:evenVBand="0" w:oddHBand="0" w:evenHBand="1" w:firstRowFirstColumn="0" w:firstRowLastColumn="0" w:lastRowFirstColumn="0" w:lastRowLastColumn="0"/>
            </w:pPr>
            <w:r>
              <w:t>32.5</w:t>
            </w:r>
          </w:p>
        </w:tc>
        <w:tc>
          <w:tcPr>
            <w:tcW w:w="650" w:type="pct"/>
          </w:tcPr>
          <w:p w:rsidR="003E3839" w:rsidRPr="00F81300" w:rsidRDefault="008C5FDD" w:rsidP="00F81300">
            <w:pPr>
              <w:cnfStyle w:val="000000010000" w:firstRow="0" w:lastRow="0" w:firstColumn="0" w:lastColumn="0" w:oddVBand="0" w:evenVBand="0" w:oddHBand="0" w:evenHBand="1" w:firstRowFirstColumn="0" w:firstRowLastColumn="0" w:lastRowFirstColumn="0" w:lastRowLastColumn="0"/>
            </w:pPr>
            <w:r>
              <w:t>34.0</w:t>
            </w:r>
          </w:p>
        </w:tc>
        <w:tc>
          <w:tcPr>
            <w:tcW w:w="650" w:type="pct"/>
          </w:tcPr>
          <w:p w:rsidR="003E3839" w:rsidRPr="00F81300" w:rsidRDefault="008C5FDD" w:rsidP="00F81300">
            <w:pPr>
              <w:cnfStyle w:val="000000010000" w:firstRow="0" w:lastRow="0" w:firstColumn="0" w:lastColumn="0" w:oddVBand="0" w:evenVBand="0" w:oddHBand="0" w:evenHBand="1" w:firstRowFirstColumn="0" w:firstRowLastColumn="0" w:lastRowFirstColumn="0" w:lastRowLastColumn="0"/>
            </w:pPr>
            <w:r>
              <w:t>35.3</w:t>
            </w:r>
          </w:p>
        </w:tc>
      </w:tr>
      <w:tr w:rsidR="003E3839" w:rsidRPr="00F81300" w:rsidTr="00E90BD2">
        <w:tc>
          <w:tcPr>
            <w:cnfStyle w:val="001000000000" w:firstRow="0" w:lastRow="0" w:firstColumn="1" w:lastColumn="0" w:oddVBand="0" w:evenVBand="0" w:oddHBand="0" w:evenHBand="0" w:firstRowFirstColumn="0" w:firstRowLastColumn="0" w:lastRowFirstColumn="0" w:lastRowLastColumn="0"/>
            <w:tcW w:w="1743" w:type="pct"/>
          </w:tcPr>
          <w:p w:rsidR="003E3839" w:rsidRPr="00F81300" w:rsidRDefault="008C5FDD" w:rsidP="00F81300">
            <w:r>
              <w:t>change from previous year (</w:t>
            </w:r>
            <w:r w:rsidR="003E3839" w:rsidRPr="00F81300">
              <w:t>percentage</w:t>
            </w:r>
            <w:r>
              <w:t>)</w:t>
            </w:r>
            <w:r w:rsidR="003E3839" w:rsidRPr="00F81300">
              <w:t xml:space="preserve"> </w:t>
            </w:r>
          </w:p>
        </w:tc>
        <w:tc>
          <w:tcPr>
            <w:tcW w:w="652"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-6</w:t>
            </w:r>
          </w:p>
        </w:tc>
        <w:tc>
          <w:tcPr>
            <w:tcW w:w="652"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4</w:t>
            </w:r>
          </w:p>
        </w:tc>
        <w:tc>
          <w:tcPr>
            <w:tcW w:w="652"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5</w:t>
            </w:r>
          </w:p>
        </w:tc>
        <w:tc>
          <w:tcPr>
            <w:tcW w:w="650"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4</w:t>
            </w:r>
          </w:p>
        </w:tc>
        <w:tc>
          <w:tcPr>
            <w:tcW w:w="650" w:type="pct"/>
          </w:tcPr>
          <w:p w:rsidR="003E3839" w:rsidRPr="00F81300" w:rsidRDefault="008C5FDD" w:rsidP="00F81300">
            <w:pPr>
              <w:cnfStyle w:val="000000000000" w:firstRow="0" w:lastRow="0" w:firstColumn="0" w:lastColumn="0" w:oddVBand="0" w:evenVBand="0" w:oddHBand="0" w:evenHBand="0" w:firstRowFirstColumn="0" w:firstRowLastColumn="0" w:lastRowFirstColumn="0" w:lastRowLastColumn="0"/>
            </w:pPr>
            <w:r>
              <w:t>4</w:t>
            </w:r>
          </w:p>
        </w:tc>
      </w:tr>
    </w:tbl>
    <w:p w:rsidR="00F81300" w:rsidRPr="00F81300" w:rsidRDefault="00F81300" w:rsidP="00D77C6B">
      <w:pPr>
        <w:pStyle w:val="AERtablesource"/>
      </w:pPr>
      <w:r w:rsidRPr="00F81300">
        <w:t>Source: AER analysis.</w:t>
      </w:r>
    </w:p>
    <w:p w:rsidR="00F81300" w:rsidRDefault="00F81300" w:rsidP="00F81300">
      <w:r w:rsidRPr="00F81300">
        <w:t xml:space="preserve">Preliminary decision prices for each light type are set out in </w:t>
      </w:r>
      <w:r w:rsidR="0011695C">
        <w:fldChar w:fldCharType="begin"/>
      </w:r>
      <w:r w:rsidR="0011695C">
        <w:instrText xml:space="preserve"> REF _Ref415233953 \h </w:instrText>
      </w:r>
      <w:r w:rsidR="0011695C">
        <w:fldChar w:fldCharType="separate"/>
      </w:r>
      <w:r w:rsidR="00F16AE7">
        <w:t xml:space="preserve">Table </w:t>
      </w:r>
      <w:r w:rsidR="00F16AE7">
        <w:rPr>
          <w:noProof/>
        </w:rPr>
        <w:t>16</w:t>
      </w:r>
      <w:r w:rsidR="00F16AE7">
        <w:t>.</w:t>
      </w:r>
      <w:r w:rsidR="00F16AE7">
        <w:rPr>
          <w:noProof/>
        </w:rPr>
        <w:t>19</w:t>
      </w:r>
      <w:r w:rsidR="0011695C">
        <w:fldChar w:fldCharType="end"/>
      </w:r>
      <w:r w:rsidRPr="00F81300">
        <w:t>.</w:t>
      </w:r>
    </w:p>
    <w:p w:rsidR="00165979" w:rsidRDefault="00165979" w:rsidP="00F81300"/>
    <w:p w:rsidR="00165979" w:rsidRPr="00F81300" w:rsidRDefault="00165979" w:rsidP="00F81300"/>
    <w:p w:rsidR="0011695C" w:rsidRDefault="0011695C" w:rsidP="0011695C">
      <w:pPr>
        <w:pStyle w:val="Caption"/>
      </w:pPr>
      <w:bookmarkStart w:id="144" w:name="_Ref417554534"/>
      <w:bookmarkStart w:id="145" w:name="_Ref415233953"/>
      <w:proofErr w:type="gramStart"/>
      <w:r>
        <w:lastRenderedPageBreak/>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19</w:t>
      </w:r>
      <w:r w:rsidR="00F5521C">
        <w:fldChar w:fldCharType="end"/>
      </w:r>
      <w:bookmarkEnd w:id="144"/>
      <w:bookmarkEnd w:id="145"/>
      <w:r>
        <w:t xml:space="preserve"> Preliminary decision prices for public lights</w:t>
      </w:r>
      <w:r w:rsidR="00F20854">
        <w:t>, $ day</w:t>
      </w:r>
    </w:p>
    <w:tbl>
      <w:tblPr>
        <w:tblStyle w:val="AERtable-numbers"/>
        <w:tblW w:w="5000" w:type="pct"/>
        <w:tblLook w:val="04A0" w:firstRow="1" w:lastRow="0" w:firstColumn="1" w:lastColumn="0" w:noHBand="0" w:noVBand="1"/>
      </w:tblPr>
      <w:tblGrid>
        <w:gridCol w:w="2058"/>
        <w:gridCol w:w="1327"/>
        <w:gridCol w:w="1327"/>
        <w:gridCol w:w="1327"/>
        <w:gridCol w:w="1327"/>
        <w:gridCol w:w="1327"/>
      </w:tblGrid>
      <w:tr w:rsidR="0011695C" w:rsidTr="00D1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11695C" w:rsidRPr="0011695C" w:rsidRDefault="0011695C" w:rsidP="0011695C">
            <w:pPr>
              <w:pStyle w:val="Tabletext"/>
            </w:pPr>
          </w:p>
        </w:tc>
        <w:tc>
          <w:tcPr>
            <w:tcW w:w="763" w:type="pct"/>
            <w:vAlign w:val="top"/>
          </w:tcPr>
          <w:p w:rsidR="0011695C" w:rsidRPr="0011695C" w:rsidRDefault="0011695C" w:rsidP="00B92F59">
            <w:pPr>
              <w:pStyle w:val="Tabletext"/>
              <w:cnfStyle w:val="100000000000" w:firstRow="1" w:lastRow="0" w:firstColumn="0" w:lastColumn="0" w:oddVBand="0" w:evenVBand="0" w:oddHBand="0" w:evenHBand="0" w:firstRowFirstColumn="0" w:firstRowLastColumn="0" w:lastRowFirstColumn="0" w:lastRowLastColumn="0"/>
            </w:pPr>
            <w:r w:rsidRPr="0037396F">
              <w:t>2015</w:t>
            </w:r>
            <w:r w:rsidR="00B92F59">
              <w:t>—</w:t>
            </w:r>
            <w:r w:rsidRPr="0037396F">
              <w:t>16</w:t>
            </w:r>
          </w:p>
        </w:tc>
        <w:tc>
          <w:tcPr>
            <w:tcW w:w="763" w:type="pct"/>
            <w:vAlign w:val="top"/>
          </w:tcPr>
          <w:p w:rsidR="0011695C" w:rsidRPr="0011695C" w:rsidRDefault="0011695C" w:rsidP="00B92F59">
            <w:pPr>
              <w:pStyle w:val="Tabletext"/>
              <w:cnfStyle w:val="100000000000" w:firstRow="1" w:lastRow="0" w:firstColumn="0" w:lastColumn="0" w:oddVBand="0" w:evenVBand="0" w:oddHBand="0" w:evenHBand="0" w:firstRowFirstColumn="0" w:firstRowLastColumn="0" w:lastRowFirstColumn="0" w:lastRowLastColumn="0"/>
            </w:pPr>
            <w:r w:rsidRPr="0037396F">
              <w:t>2016</w:t>
            </w:r>
            <w:r w:rsidR="00B92F59">
              <w:t>—</w:t>
            </w:r>
            <w:r w:rsidRPr="0037396F">
              <w:t>17</w:t>
            </w:r>
          </w:p>
        </w:tc>
        <w:tc>
          <w:tcPr>
            <w:tcW w:w="763" w:type="pct"/>
            <w:vAlign w:val="top"/>
          </w:tcPr>
          <w:p w:rsidR="0011695C" w:rsidRPr="0011695C" w:rsidRDefault="0011695C" w:rsidP="00B92F59">
            <w:pPr>
              <w:pStyle w:val="Tabletext"/>
              <w:cnfStyle w:val="100000000000" w:firstRow="1" w:lastRow="0" w:firstColumn="0" w:lastColumn="0" w:oddVBand="0" w:evenVBand="0" w:oddHBand="0" w:evenHBand="0" w:firstRowFirstColumn="0" w:firstRowLastColumn="0" w:lastRowFirstColumn="0" w:lastRowLastColumn="0"/>
            </w:pPr>
            <w:r w:rsidRPr="0037396F">
              <w:t>2017</w:t>
            </w:r>
            <w:r w:rsidR="00B92F59">
              <w:t>—</w:t>
            </w:r>
            <w:r w:rsidRPr="0037396F">
              <w:t>18</w:t>
            </w:r>
          </w:p>
        </w:tc>
        <w:tc>
          <w:tcPr>
            <w:tcW w:w="763" w:type="pct"/>
            <w:vAlign w:val="top"/>
          </w:tcPr>
          <w:p w:rsidR="0011695C" w:rsidRPr="0011695C" w:rsidRDefault="0011695C" w:rsidP="00B92F59">
            <w:pPr>
              <w:pStyle w:val="Tabletext"/>
              <w:cnfStyle w:val="100000000000" w:firstRow="1" w:lastRow="0" w:firstColumn="0" w:lastColumn="0" w:oddVBand="0" w:evenVBand="0" w:oddHBand="0" w:evenHBand="0" w:firstRowFirstColumn="0" w:firstRowLastColumn="0" w:lastRowFirstColumn="0" w:lastRowLastColumn="0"/>
            </w:pPr>
            <w:r w:rsidRPr="0037396F">
              <w:t>2018</w:t>
            </w:r>
            <w:r w:rsidR="00B92F59">
              <w:t>—</w:t>
            </w:r>
            <w:r w:rsidRPr="0037396F">
              <w:t>19</w:t>
            </w:r>
          </w:p>
        </w:tc>
        <w:tc>
          <w:tcPr>
            <w:tcW w:w="763" w:type="pct"/>
            <w:vAlign w:val="top"/>
          </w:tcPr>
          <w:p w:rsidR="0011695C" w:rsidRPr="0011695C" w:rsidRDefault="0011695C" w:rsidP="00B92F59">
            <w:pPr>
              <w:pStyle w:val="Tabletext"/>
              <w:cnfStyle w:val="100000000000" w:firstRow="1" w:lastRow="0" w:firstColumn="0" w:lastColumn="0" w:oddVBand="0" w:evenVBand="0" w:oddHBand="0" w:evenHBand="0" w:firstRowFirstColumn="0" w:firstRowLastColumn="0" w:lastRowFirstColumn="0" w:lastRowLastColumn="0"/>
            </w:pPr>
            <w:r w:rsidRPr="0037396F">
              <w:t>2019</w:t>
            </w:r>
            <w:r w:rsidR="00B92F59">
              <w:t>—</w:t>
            </w:r>
            <w:r w:rsidRPr="0037396F">
              <w:t>20</w:t>
            </w:r>
          </w:p>
        </w:tc>
      </w:tr>
      <w:tr w:rsidR="0011695C" w:rsidTr="00D16B09">
        <w:tc>
          <w:tcPr>
            <w:cnfStyle w:val="001000000000" w:firstRow="0" w:lastRow="0" w:firstColumn="1" w:lastColumn="0" w:oddVBand="0" w:evenVBand="0" w:oddHBand="0" w:evenHBand="0" w:firstRowFirstColumn="0" w:firstRowLastColumn="0" w:lastRowFirstColumn="0" w:lastRowLastColumn="0"/>
            <w:tcW w:w="1184" w:type="pct"/>
            <w:vAlign w:val="top"/>
          </w:tcPr>
          <w:p w:rsidR="0011695C" w:rsidRPr="0011695C" w:rsidRDefault="0011695C" w:rsidP="0011695C">
            <w:pPr>
              <w:pStyle w:val="AERtabletextleft"/>
            </w:pPr>
            <w:r>
              <w:t>E</w:t>
            </w:r>
            <w:r w:rsidRPr="0011695C">
              <w:t>O&amp;O - Major</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pPr>
            <w:r>
              <w:t>1.0252</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pPr>
            <w:r>
              <w:t>1.0621</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pPr>
            <w:r>
              <w:t>1.1062</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pPr>
            <w:r>
              <w:t>1.1446</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pPr>
            <w:r>
              <w:t>1.774</w:t>
            </w:r>
          </w:p>
        </w:tc>
      </w:tr>
      <w:tr w:rsidR="0011695C" w:rsidTr="00D16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11695C" w:rsidRPr="0011695C" w:rsidRDefault="0011695C" w:rsidP="0011695C">
            <w:pPr>
              <w:pStyle w:val="AERtabletextleft"/>
            </w:pPr>
            <w:r w:rsidRPr="00F93CFB">
              <w:t>E</w:t>
            </w:r>
            <w:r w:rsidRPr="0011695C">
              <w:t>O&amp;O - Minor</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pPr>
            <w:r>
              <w:t>0.6108</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pPr>
            <w:r>
              <w:t>0.6320</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pPr>
            <w:r>
              <w:t>0.6581</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pPr>
            <w:r>
              <w:t>0.6804</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pPr>
            <w:r>
              <w:t>0.6990</w:t>
            </w:r>
          </w:p>
        </w:tc>
      </w:tr>
      <w:tr w:rsidR="0011695C" w:rsidTr="00D16B09">
        <w:tc>
          <w:tcPr>
            <w:cnfStyle w:val="001000000000" w:firstRow="0" w:lastRow="0" w:firstColumn="1" w:lastColumn="0" w:oddVBand="0" w:evenVBand="0" w:oddHBand="0" w:evenHBand="0" w:firstRowFirstColumn="0" w:firstRowLastColumn="0" w:lastRowFirstColumn="0" w:lastRowLastColumn="0"/>
            <w:tcW w:w="1184" w:type="pct"/>
            <w:vAlign w:val="top"/>
          </w:tcPr>
          <w:p w:rsidR="0011695C" w:rsidRPr="0011695C" w:rsidRDefault="0011695C" w:rsidP="0011695C">
            <w:pPr>
              <w:pStyle w:val="AERtabletextleft"/>
            </w:pPr>
            <w:r>
              <w:t>G</w:t>
            </w:r>
            <w:r w:rsidRPr="0011695C">
              <w:t>O&amp;O - Major</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Pr>
                <w:rStyle w:val="Strong"/>
              </w:rPr>
              <w:t>0.4140</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Pr>
                <w:rStyle w:val="Strong"/>
              </w:rPr>
              <w:t>0.4217</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Pr>
                <w:rStyle w:val="Strong"/>
              </w:rPr>
              <w:t>0.4376</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Pr>
                <w:rStyle w:val="Strong"/>
              </w:rPr>
              <w:t>0.4479</w:t>
            </w:r>
          </w:p>
        </w:tc>
        <w:tc>
          <w:tcPr>
            <w:tcW w:w="763" w:type="pct"/>
            <w:vAlign w:val="bottom"/>
          </w:tcPr>
          <w:p w:rsidR="0011695C" w:rsidRPr="0011695C" w:rsidRDefault="00001D4D" w:rsidP="0011695C">
            <w:pPr>
              <w:pStyle w:val="AERtabletextright"/>
              <w:cnfStyle w:val="000000000000" w:firstRow="0" w:lastRow="0" w:firstColumn="0" w:lastColumn="0" w:oddVBand="0" w:evenVBand="0" w:oddHBand="0" w:evenHBand="0" w:firstRowFirstColumn="0" w:firstRowLastColumn="0" w:lastRowFirstColumn="0" w:lastRowLastColumn="0"/>
              <w:rPr>
                <w:rStyle w:val="Strong"/>
              </w:rPr>
            </w:pPr>
            <w:r>
              <w:rPr>
                <w:rStyle w:val="Strong"/>
              </w:rPr>
              <w:t>0.4528</w:t>
            </w:r>
          </w:p>
        </w:tc>
      </w:tr>
      <w:tr w:rsidR="0011695C" w:rsidTr="00D16B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11695C" w:rsidRPr="0011695C" w:rsidRDefault="0011695C" w:rsidP="0011695C">
            <w:pPr>
              <w:pStyle w:val="AERtabletextleft"/>
            </w:pPr>
            <w:r>
              <w:t>G</w:t>
            </w:r>
            <w:r w:rsidRPr="0011695C">
              <w:t>O&amp;O - Minor</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rPr>
                <w:rStyle w:val="Strong"/>
              </w:rPr>
            </w:pPr>
            <w:r>
              <w:rPr>
                <w:rStyle w:val="Strong"/>
              </w:rPr>
              <w:t>0.2712</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rPr>
                <w:rStyle w:val="Strong"/>
              </w:rPr>
            </w:pPr>
            <w:r>
              <w:rPr>
                <w:rStyle w:val="Strong"/>
              </w:rPr>
              <w:t>0.2762</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rPr>
                <w:rStyle w:val="Strong"/>
              </w:rPr>
            </w:pPr>
            <w:r>
              <w:rPr>
                <w:rStyle w:val="Strong"/>
              </w:rPr>
              <w:t>0.2867</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rPr>
                <w:rStyle w:val="Strong"/>
              </w:rPr>
            </w:pPr>
            <w:r>
              <w:rPr>
                <w:rStyle w:val="Strong"/>
              </w:rPr>
              <w:t>0.2933</w:t>
            </w:r>
          </w:p>
        </w:tc>
        <w:tc>
          <w:tcPr>
            <w:tcW w:w="763" w:type="pct"/>
            <w:vAlign w:val="bottom"/>
          </w:tcPr>
          <w:p w:rsidR="0011695C" w:rsidRPr="0011695C" w:rsidRDefault="00001D4D" w:rsidP="0011695C">
            <w:pPr>
              <w:pStyle w:val="AERtabletextright"/>
              <w:cnfStyle w:val="000000010000" w:firstRow="0" w:lastRow="0" w:firstColumn="0" w:lastColumn="0" w:oddVBand="0" w:evenVBand="0" w:oddHBand="0" w:evenHBand="1" w:firstRowFirstColumn="0" w:firstRowLastColumn="0" w:lastRowFirstColumn="0" w:lastRowLastColumn="0"/>
              <w:rPr>
                <w:rStyle w:val="Strong"/>
              </w:rPr>
            </w:pPr>
            <w:r>
              <w:rPr>
                <w:rStyle w:val="Strong"/>
              </w:rPr>
              <w:t>0.2964</w:t>
            </w:r>
          </w:p>
        </w:tc>
      </w:tr>
    </w:tbl>
    <w:p w:rsidR="0011695C" w:rsidRPr="0011695C" w:rsidRDefault="0011695C" w:rsidP="0011695C">
      <w:pPr>
        <w:pStyle w:val="AERtablesource"/>
        <w:rPr>
          <w:rStyle w:val="Strong"/>
          <w:b w:val="0"/>
          <w:bCs w:val="0"/>
        </w:rPr>
      </w:pPr>
      <w:r w:rsidRPr="0011695C">
        <w:rPr>
          <w:rStyle w:val="Strong"/>
          <w:b w:val="0"/>
          <w:bCs w:val="0"/>
        </w:rPr>
        <w:t>Source: AER Analys</w:t>
      </w:r>
      <w:r>
        <w:rPr>
          <w:rStyle w:val="Strong"/>
        </w:rPr>
        <w:t>i</w:t>
      </w:r>
      <w:r w:rsidRPr="0011695C">
        <w:rPr>
          <w:rStyle w:val="Strong"/>
          <w:b w:val="0"/>
          <w:bCs w:val="0"/>
        </w:rPr>
        <w:t>s</w:t>
      </w:r>
    </w:p>
    <w:p w:rsidR="007C5E4A" w:rsidRDefault="007C5E4A">
      <w:pPr>
        <w:spacing w:line="240" w:lineRule="auto"/>
      </w:pPr>
      <w:r>
        <w:br w:type="page"/>
      </w:r>
    </w:p>
    <w:p w:rsidR="00CB0279" w:rsidRDefault="00F44551" w:rsidP="007C5E4A">
      <w:pPr>
        <w:pStyle w:val="Heading7"/>
      </w:pPr>
      <w:bookmarkStart w:id="146" w:name="_Toc417994625"/>
      <w:r>
        <w:lastRenderedPageBreak/>
        <w:t>Approved charges</w:t>
      </w:r>
      <w:bookmarkEnd w:id="146"/>
    </w:p>
    <w:p w:rsidR="007C5E4A" w:rsidRDefault="00F44551" w:rsidP="007C5E4A">
      <w:pPr>
        <w:pStyle w:val="Heading8"/>
      </w:pPr>
      <w:bookmarkStart w:id="147" w:name="_Ref417994589"/>
      <w:r>
        <w:t>Ancillary Network Services</w:t>
      </w:r>
      <w:bookmarkEnd w:id="147"/>
    </w:p>
    <w:p w:rsidR="007C5E4A" w:rsidRDefault="00287DC4" w:rsidP="00287DC4">
      <w:pPr>
        <w:pStyle w:val="Caption"/>
      </w:pPr>
      <w:bookmarkStart w:id="148" w:name="_Ref417555799"/>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20</w:t>
      </w:r>
      <w:r w:rsidR="00F5521C">
        <w:fldChar w:fldCharType="end"/>
      </w:r>
      <w:bookmarkEnd w:id="148"/>
      <w:r w:rsidR="007C5E4A">
        <w:tab/>
        <w:t>Fee based services, preliminary decision</w:t>
      </w:r>
    </w:p>
    <w:tbl>
      <w:tblPr>
        <w:tblStyle w:val="AERtable-numbers"/>
        <w:tblW w:w="8897" w:type="dxa"/>
        <w:tblLook w:val="04A0" w:firstRow="1" w:lastRow="0" w:firstColumn="1" w:lastColumn="0" w:noHBand="0" w:noVBand="1"/>
      </w:tblPr>
      <w:tblGrid>
        <w:gridCol w:w="3085"/>
        <w:gridCol w:w="142"/>
        <w:gridCol w:w="2268"/>
        <w:gridCol w:w="1559"/>
        <w:gridCol w:w="1843"/>
      </w:tblGrid>
      <w:tr w:rsidR="007C5E4A" w:rsidRPr="0050386D" w:rsidTr="001659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085" w:type="dxa"/>
            <w:hideMark/>
          </w:tcPr>
          <w:p w:rsidR="007C5E4A" w:rsidRPr="007C5E4A" w:rsidRDefault="007C5E4A" w:rsidP="007C5E4A">
            <w:bookmarkStart w:id="149" w:name="OLE_LINK1"/>
            <w:r w:rsidRPr="0050386D">
              <w:t>Service</w:t>
            </w:r>
          </w:p>
        </w:tc>
        <w:tc>
          <w:tcPr>
            <w:tcW w:w="2410" w:type="dxa"/>
            <w:gridSpan w:val="2"/>
            <w:noWrap/>
            <w:hideMark/>
          </w:tcPr>
          <w:p w:rsidR="007C5E4A" w:rsidRPr="007C5E4A" w:rsidRDefault="007C5E4A" w:rsidP="007C5E4A">
            <w:pPr>
              <w:cnfStyle w:val="100000000000" w:firstRow="1" w:lastRow="0" w:firstColumn="0" w:lastColumn="0" w:oddVBand="0" w:evenVBand="0" w:oddHBand="0" w:evenHBand="0" w:firstRowFirstColumn="0" w:firstRowLastColumn="0" w:lastRowFirstColumn="0" w:lastRowLastColumn="0"/>
            </w:pPr>
            <w:r w:rsidRPr="00BF1D83">
              <w:t>Proposed price</w:t>
            </w:r>
            <w:r w:rsidRPr="007C5E4A">
              <w:t xml:space="preserve"> ($2015–16)</w:t>
            </w:r>
          </w:p>
        </w:tc>
        <w:tc>
          <w:tcPr>
            <w:tcW w:w="1559" w:type="dxa"/>
            <w:noWrap/>
            <w:hideMark/>
          </w:tcPr>
          <w:p w:rsidR="007C5E4A" w:rsidRPr="007C5E4A" w:rsidRDefault="007C5E4A" w:rsidP="009E6283">
            <w:pPr>
              <w:cnfStyle w:val="100000000000" w:firstRow="1" w:lastRow="0" w:firstColumn="0" w:lastColumn="0" w:oddVBand="0" w:evenVBand="0" w:oddHBand="0" w:evenHBand="0" w:firstRowFirstColumn="0" w:firstRowLastColumn="0" w:lastRowFirstColumn="0" w:lastRowLastColumn="0"/>
            </w:pPr>
            <w:r w:rsidRPr="00BF1D83">
              <w:t xml:space="preserve">AER </w:t>
            </w:r>
            <w:r w:rsidR="009E6283">
              <w:t>preliminary</w:t>
            </w:r>
            <w:r w:rsidRPr="00BF1D83">
              <w:t xml:space="preserve"> decision</w:t>
            </w:r>
            <w:r w:rsidRPr="007C5E4A">
              <w:t xml:space="preserve"> ($2015–16)</w:t>
            </w:r>
          </w:p>
        </w:tc>
        <w:tc>
          <w:tcPr>
            <w:tcW w:w="1843" w:type="dxa"/>
            <w:noWrap/>
            <w:hideMark/>
          </w:tcPr>
          <w:p w:rsidR="009E6283" w:rsidRDefault="009E6283" w:rsidP="009E6283">
            <w:pPr>
              <w:cnfStyle w:val="100000000000" w:firstRow="1" w:lastRow="0" w:firstColumn="0" w:lastColumn="0" w:oddVBand="0" w:evenVBand="0" w:oddHBand="0" w:evenHBand="0" w:firstRowFirstColumn="0" w:firstRowLastColumn="0" w:lastRowFirstColumn="0" w:lastRowLastColumn="0"/>
            </w:pPr>
            <w:r>
              <w:t>Difference</w:t>
            </w:r>
          </w:p>
          <w:p w:rsidR="007C5E4A" w:rsidRPr="007C5E4A" w:rsidRDefault="007C5E4A" w:rsidP="009E6283">
            <w:pPr>
              <w:cnfStyle w:val="100000000000" w:firstRow="1" w:lastRow="0" w:firstColumn="0" w:lastColumn="0" w:oddVBand="0" w:evenVBand="0" w:oddHBand="0" w:evenHBand="0" w:firstRowFirstColumn="0" w:firstRowLastColumn="0" w:lastRowFirstColumn="0" w:lastRowLastColumn="0"/>
            </w:pPr>
            <w:r w:rsidRPr="00BF1D83">
              <w:t>(</w:t>
            </w:r>
            <w:r w:rsidR="009E6283">
              <w:t>per cent</w:t>
            </w:r>
            <w:r w:rsidRPr="00BF1D83">
              <w:t>)</w:t>
            </w:r>
          </w:p>
        </w:tc>
      </w:tr>
      <w:tr w:rsidR="008F7F64" w:rsidRPr="0050386D" w:rsidTr="00165979">
        <w:trPr>
          <w:trHeight w:val="465"/>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Application fee - Basic or standard connection</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936.78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901.35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-3.8</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Application fee - Basic or standard connection - Micro-embedded generators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52.86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46.95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-11.2</w:t>
            </w:r>
          </w:p>
        </w:tc>
      </w:tr>
      <w:tr w:rsidR="008F7F64" w:rsidRPr="0050386D" w:rsidTr="00165979">
        <w:trPr>
          <w:trHeight w:val="853"/>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Application fee - Basic or standard connection - Micro-embedded generators - Technical assessment required</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231.51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225.60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-2.6</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Application fee - Real estate development connection</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980.15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944.72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-3.6</w:t>
            </w:r>
          </w:p>
        </w:tc>
      </w:tr>
      <w:tr w:rsidR="008F7F64" w:rsidRPr="0050386D" w:rsidTr="00165979">
        <w:trPr>
          <w:trHeight w:val="85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Protection and Power Quality assessment prior to connection</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1,429.21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1,429.21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Temporary connection, not in permanent position - single phase metered - urban/short rural feeders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607.18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607.18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848"/>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Temporary connection, not in permanent position - single phase metered - long rural/isolated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971.49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971.49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Temporary connection, not in permanent position - multi phase metered - urban/short rural feeders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607.18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607.18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1142"/>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Temporary connection, not in permanent position - multi phase metered - long rural/isolated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971.49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971.49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Supply abolishment during business - urban/short rural feeders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364.31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364.31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986"/>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Supply abolishment during business hours - long rural/isolated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728.62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728.62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De-</w:t>
            </w:r>
            <w:proofErr w:type="spellStart"/>
            <w:r w:rsidRPr="008F7F64">
              <w:t>energisation</w:t>
            </w:r>
            <w:proofErr w:type="spellEnd"/>
            <w:r w:rsidRPr="008F7F64">
              <w:t xml:space="preserve"> during business hours - urban/short rural feeders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101.76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101.76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721"/>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lastRenderedPageBreak/>
              <w:t>De-</w:t>
            </w:r>
            <w:proofErr w:type="spellStart"/>
            <w:r w:rsidRPr="008F7F64">
              <w:t>energisation</w:t>
            </w:r>
            <w:proofErr w:type="spellEnd"/>
            <w:r w:rsidRPr="008F7F64">
              <w:t xml:space="preserve"> during business hours - long rural/isolated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607.18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607.18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Re-</w:t>
            </w:r>
            <w:proofErr w:type="spellStart"/>
            <w:r w:rsidRPr="008F7F64">
              <w:t>energisation</w:t>
            </w:r>
            <w:proofErr w:type="spellEnd"/>
            <w:r w:rsidRPr="008F7F64">
              <w:t xml:space="preserve"> during business hours - urban/short rural feeders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80.91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80.91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79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Re-</w:t>
            </w:r>
            <w:proofErr w:type="spellStart"/>
            <w:r w:rsidRPr="008F7F64">
              <w:t>energisation</w:t>
            </w:r>
            <w:proofErr w:type="spellEnd"/>
            <w:r w:rsidRPr="008F7F64">
              <w:t xml:space="preserve"> during business hours - long rural/isolated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565.89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565.89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Re-</w:t>
            </w:r>
            <w:proofErr w:type="spellStart"/>
            <w:r w:rsidRPr="008F7F64">
              <w:t>energisation</w:t>
            </w:r>
            <w:proofErr w:type="spellEnd"/>
            <w:r w:rsidRPr="008F7F64">
              <w:t xml:space="preserve"> during business hours - after de-</w:t>
            </w:r>
            <w:proofErr w:type="spellStart"/>
            <w:r w:rsidRPr="008F7F64">
              <w:t>energisation</w:t>
            </w:r>
            <w:proofErr w:type="spellEnd"/>
            <w:r w:rsidRPr="008F7F64">
              <w:t xml:space="preserve"> for debt - urban/short rural feeders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80.91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80.91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1076"/>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Re-</w:t>
            </w:r>
            <w:proofErr w:type="spellStart"/>
            <w:r w:rsidRPr="008F7F64">
              <w:t>energisation</w:t>
            </w:r>
            <w:proofErr w:type="spellEnd"/>
            <w:r w:rsidRPr="008F7F64">
              <w:t xml:space="preserve"> during business hours - after de-</w:t>
            </w:r>
            <w:proofErr w:type="spellStart"/>
            <w:r w:rsidRPr="008F7F64">
              <w:t>energisation</w:t>
            </w:r>
            <w:proofErr w:type="spellEnd"/>
            <w:r w:rsidRPr="008F7F64">
              <w:t xml:space="preserve"> for debt - long rural/isolated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565.89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565.89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Accreditation of alternative service providers - real estate developments</w:t>
            </w:r>
          </w:p>
        </w:tc>
        <w:tc>
          <w:tcPr>
            <w:tcW w:w="2268"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937.92 </w:t>
            </w:r>
          </w:p>
        </w:tc>
        <w:tc>
          <w:tcPr>
            <w:tcW w:w="1559"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937.92 </w:t>
            </w:r>
          </w:p>
        </w:tc>
        <w:tc>
          <w:tcPr>
            <w:tcW w:w="1843"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72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Prevented access - one person crew - urban/short rural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56.75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56.75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Prevented access - one person crew - long rural/isolated feeders</w:t>
            </w:r>
          </w:p>
        </w:tc>
        <w:tc>
          <w:tcPr>
            <w:tcW w:w="2268" w:type="dxa"/>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227.01 </w:t>
            </w:r>
          </w:p>
        </w:tc>
        <w:tc>
          <w:tcPr>
            <w:tcW w:w="1559" w:type="dxa"/>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227.01 </w:t>
            </w:r>
          </w:p>
        </w:tc>
        <w:tc>
          <w:tcPr>
            <w:tcW w:w="1843" w:type="dxa"/>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73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Prevented access - two person crew - urban/short rural feeders</w:t>
            </w:r>
          </w:p>
        </w:tc>
        <w:tc>
          <w:tcPr>
            <w:tcW w:w="2268"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116.89 </w:t>
            </w:r>
          </w:p>
        </w:tc>
        <w:tc>
          <w:tcPr>
            <w:tcW w:w="1559"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116.89 </w:t>
            </w:r>
          </w:p>
        </w:tc>
        <w:tc>
          <w:tcPr>
            <w:tcW w:w="1843"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50386D" w:rsidTr="00165979">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Prevented access - two person crew - long rural/isolated feeders</w:t>
            </w:r>
          </w:p>
        </w:tc>
        <w:tc>
          <w:tcPr>
            <w:tcW w:w="2268" w:type="dxa"/>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467.56 </w:t>
            </w:r>
          </w:p>
        </w:tc>
        <w:tc>
          <w:tcPr>
            <w:tcW w:w="1559" w:type="dxa"/>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467.56 </w:t>
            </w:r>
          </w:p>
        </w:tc>
        <w:tc>
          <w:tcPr>
            <w:tcW w:w="1843" w:type="dxa"/>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50386D" w:rsidTr="00165979">
        <w:trPr>
          <w:trHeight w:val="850"/>
        </w:trPr>
        <w:tc>
          <w:tcPr>
            <w:cnfStyle w:val="001000000000" w:firstRow="0" w:lastRow="0" w:firstColumn="1" w:lastColumn="0" w:oddVBand="0" w:evenVBand="0" w:oddHBand="0" w:evenHBand="0" w:firstRowFirstColumn="0" w:firstRowLastColumn="0" w:lastRowFirstColumn="0" w:lastRowLastColumn="0"/>
            <w:tcW w:w="3227" w:type="dxa"/>
            <w:gridSpan w:val="2"/>
            <w:hideMark/>
          </w:tcPr>
          <w:p w:rsidR="008F7F64" w:rsidRPr="008F7F64" w:rsidRDefault="008F7F64" w:rsidP="008F7F64">
            <w:r w:rsidRPr="008F7F64">
              <w:t>Call out fee</w:t>
            </w:r>
          </w:p>
        </w:tc>
        <w:tc>
          <w:tcPr>
            <w:tcW w:w="2268" w:type="dxa"/>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Relevant service fee less total time on job </w:t>
            </w:r>
          </w:p>
        </w:tc>
        <w:tc>
          <w:tcPr>
            <w:tcW w:w="1559" w:type="dxa"/>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Relevant service fee less total time on job </w:t>
            </w:r>
          </w:p>
        </w:tc>
        <w:tc>
          <w:tcPr>
            <w:tcW w:w="1843" w:type="dxa"/>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w:t>
            </w:r>
            <w:r>
              <w:t>NA</w:t>
            </w:r>
            <w:r w:rsidRPr="008F7F64">
              <w:t xml:space="preserve">  </w:t>
            </w:r>
          </w:p>
        </w:tc>
      </w:tr>
    </w:tbl>
    <w:p w:rsidR="007C5E4A" w:rsidRDefault="00287DC4" w:rsidP="00287DC4">
      <w:pPr>
        <w:pStyle w:val="Caption"/>
      </w:pPr>
      <w:bookmarkStart w:id="150" w:name="_Ref417556244"/>
      <w:bookmarkEnd w:id="149"/>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21</w:t>
      </w:r>
      <w:r w:rsidR="00F5521C">
        <w:fldChar w:fldCharType="end"/>
      </w:r>
      <w:bookmarkEnd w:id="150"/>
      <w:r w:rsidR="007C5E4A">
        <w:tab/>
        <w:t>Quoted services, preliminary decision</w:t>
      </w:r>
    </w:p>
    <w:tbl>
      <w:tblPr>
        <w:tblStyle w:val="AERtable-numbers"/>
        <w:tblW w:w="8897" w:type="dxa"/>
        <w:tblLook w:val="04A0" w:firstRow="1" w:lastRow="0" w:firstColumn="1" w:lastColumn="0" w:noHBand="0" w:noVBand="1"/>
      </w:tblPr>
      <w:tblGrid>
        <w:gridCol w:w="3369"/>
        <w:gridCol w:w="2409"/>
        <w:gridCol w:w="1560"/>
        <w:gridCol w:w="1559"/>
      </w:tblGrid>
      <w:tr w:rsidR="007C5E4A" w:rsidRPr="00BF1D83" w:rsidTr="001659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369" w:type="dxa"/>
            <w:hideMark/>
          </w:tcPr>
          <w:p w:rsidR="007C5E4A" w:rsidRPr="007C5E4A" w:rsidRDefault="007C5E4A" w:rsidP="007C5E4A">
            <w:bookmarkStart w:id="151" w:name="OLE_LINK2"/>
            <w:r w:rsidRPr="00BF1D83">
              <w:t>Service</w:t>
            </w:r>
          </w:p>
        </w:tc>
        <w:tc>
          <w:tcPr>
            <w:tcW w:w="2409" w:type="dxa"/>
            <w:noWrap/>
            <w:hideMark/>
          </w:tcPr>
          <w:p w:rsidR="007C5E4A" w:rsidRPr="007C5E4A" w:rsidRDefault="007C5E4A" w:rsidP="007C5E4A">
            <w:pPr>
              <w:cnfStyle w:val="100000000000" w:firstRow="1" w:lastRow="0" w:firstColumn="0" w:lastColumn="0" w:oddVBand="0" w:evenVBand="0" w:oddHBand="0" w:evenHBand="0" w:firstRowFirstColumn="0" w:firstRowLastColumn="0" w:lastRowFirstColumn="0" w:lastRowLastColumn="0"/>
            </w:pPr>
            <w:r w:rsidRPr="00BF1D83">
              <w:t>Proposed price ($2015–16)</w:t>
            </w:r>
          </w:p>
        </w:tc>
        <w:tc>
          <w:tcPr>
            <w:tcW w:w="1560" w:type="dxa"/>
            <w:noWrap/>
            <w:hideMark/>
          </w:tcPr>
          <w:p w:rsidR="007C5E4A" w:rsidRPr="007C5E4A" w:rsidRDefault="007C5E4A" w:rsidP="009E6283">
            <w:pPr>
              <w:cnfStyle w:val="100000000000" w:firstRow="1" w:lastRow="0" w:firstColumn="0" w:lastColumn="0" w:oddVBand="0" w:evenVBand="0" w:oddHBand="0" w:evenHBand="0" w:firstRowFirstColumn="0" w:firstRowLastColumn="0" w:lastRowFirstColumn="0" w:lastRowLastColumn="0"/>
            </w:pPr>
            <w:r w:rsidRPr="00BF1D83">
              <w:t xml:space="preserve">AER </w:t>
            </w:r>
            <w:r w:rsidR="009E6283">
              <w:t>preliminary</w:t>
            </w:r>
            <w:r w:rsidR="009E6283" w:rsidRPr="00BF1D83">
              <w:t xml:space="preserve"> </w:t>
            </w:r>
            <w:r w:rsidRPr="00BF1D83">
              <w:t>decision ($2015–16)</w:t>
            </w:r>
          </w:p>
        </w:tc>
        <w:tc>
          <w:tcPr>
            <w:tcW w:w="1559" w:type="dxa"/>
            <w:noWrap/>
            <w:hideMark/>
          </w:tcPr>
          <w:p w:rsidR="007C5E4A" w:rsidRPr="007C5E4A" w:rsidRDefault="009E6283" w:rsidP="009E6283">
            <w:pPr>
              <w:cnfStyle w:val="100000000000" w:firstRow="1" w:lastRow="0" w:firstColumn="0" w:lastColumn="0" w:oddVBand="0" w:evenVBand="0" w:oddHBand="0" w:evenHBand="0" w:firstRowFirstColumn="0" w:firstRowLastColumn="0" w:lastRowFirstColumn="0" w:lastRowLastColumn="0"/>
            </w:pPr>
            <w:r>
              <w:t>Difference (per cent</w:t>
            </w:r>
            <w:r w:rsidR="007C5E4A" w:rsidRPr="00BF1D83">
              <w:t>)</w:t>
            </w:r>
          </w:p>
        </w:tc>
      </w:tr>
      <w:tr w:rsidR="008F7F64" w:rsidRPr="00BF1D83" w:rsidTr="00165979">
        <w:trPr>
          <w:trHeight w:val="6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 xml:space="preserve">Application fee - Negotiated connection </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1,166.42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1,119.18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-4.1</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Application fee - Negotiated connection - Micro-embedded generators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515.88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498.16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-3.4</w:t>
            </w:r>
          </w:p>
        </w:tc>
      </w:tr>
      <w:tr w:rsidR="008F7F64" w:rsidRPr="00BF1D83" w:rsidTr="00165979">
        <w:trPr>
          <w:trHeight w:val="100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Application fee - Negotiated - Major customer connection</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7,247.92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7,247.92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lastRenderedPageBreak/>
              <w:t>Carrying out planning studies and analysis relating to connection applications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2,289.56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2,289.56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848"/>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Feasibility and concept scoping, including planning and design, for major customer connections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18,412.65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18,412.65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Tender process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10,719.09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10,719.09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57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Pre-connection site inspection</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1,329.04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1,329.04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Provision of site-specific connection information and advice for small or major customer connections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783.93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783.93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1143"/>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Preparation of preliminary designs and planning reports for major customer connections, including project scopes and estimates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9,647.18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9,647.18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Customer build, own and operate consultation services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76,409.23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76,409.23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02"/>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Detailed enquiry response fee - EGs 5MW &amp; above</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25,541.81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25,541.81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Design and construction of connection assets for major customers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8,162,423.88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8,160,321.51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-0.03</w:t>
            </w:r>
          </w:p>
        </w:tc>
      </w:tr>
      <w:tr w:rsidR="008F7F64" w:rsidRPr="00BF1D83" w:rsidTr="00165979">
        <w:trPr>
          <w:trHeight w:val="72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 xml:space="preserve">Commissioning and </w:t>
            </w:r>
            <w:proofErr w:type="spellStart"/>
            <w:r w:rsidRPr="008F7F64">
              <w:t>energisation</w:t>
            </w:r>
            <w:proofErr w:type="spellEnd"/>
            <w:r w:rsidRPr="008F7F64">
              <w:t xml:space="preserve"> of major customer connections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44,147.62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44,088.57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-0.1</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Design and construction for real estate developments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153,979.00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153,979.00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86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 xml:space="preserve">Commissioning and </w:t>
            </w:r>
            <w:proofErr w:type="spellStart"/>
            <w:r w:rsidRPr="008F7F64">
              <w:t>energisation</w:t>
            </w:r>
            <w:proofErr w:type="spellEnd"/>
            <w:r w:rsidRPr="008F7F64">
              <w:t xml:space="preserve"> of real estate development connections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6,760.83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6,760.83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Removal of network constraint for embedded generator</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505,658.18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505,091.27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-0.1</w:t>
            </w:r>
          </w:p>
        </w:tc>
      </w:tr>
      <w:tr w:rsidR="008F7F64" w:rsidRPr="00BF1D83" w:rsidTr="00165979">
        <w:trPr>
          <w:trHeight w:val="70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Move point of attachment - single/multiphase</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3,740.42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3,740.42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Re-arrange connection assets at customer's request</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67,443.94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67,443.94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579"/>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lastRenderedPageBreak/>
              <w:t>Protection and Power Quality assessment after connection</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2,854.89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2,854.89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Temporary de-</w:t>
            </w:r>
            <w:proofErr w:type="spellStart"/>
            <w:r w:rsidRPr="008F7F64">
              <w:t>energisation</w:t>
            </w:r>
            <w:proofErr w:type="spellEnd"/>
            <w:r w:rsidRPr="008F7F64">
              <w:t xml:space="preserve"> - no dismantling</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758.13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758.13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569"/>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LV Service line drop and replace - physical dismantling</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1,099.96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1,099.96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HV Service line drop and replace</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4,538.35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4,538.35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559"/>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Supply enhancement</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1,296.50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1,296.50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Provision of connection services above minimum requirements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301,525.45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301,053.03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-0.2</w:t>
            </w:r>
          </w:p>
        </w:tc>
      </w:tr>
      <w:tr w:rsidR="008F7F64" w:rsidRPr="00BF1D83" w:rsidTr="00165979">
        <w:trPr>
          <w:trHeight w:val="692"/>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Upgrade from overhead to underground service</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8,722.99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8,722.99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Rectification of illegal connections or damage to overhead or underground service cables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220.23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220.23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De-</w:t>
            </w:r>
            <w:proofErr w:type="spellStart"/>
            <w:r w:rsidRPr="008F7F64">
              <w:t>energisation</w:t>
            </w:r>
            <w:proofErr w:type="spellEnd"/>
            <w:r w:rsidRPr="008F7F64">
              <w:t xml:space="preserve"> after business hours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147.06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147.06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w:t>
            </w:r>
            <w:proofErr w:type="spellStart"/>
            <w:r w:rsidRPr="008F7F64">
              <w:t>energisation</w:t>
            </w:r>
            <w:proofErr w:type="spellEnd"/>
            <w:r w:rsidRPr="008F7F64">
              <w:t xml:space="preserve"> after business hours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116.94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116.94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824"/>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Accreditation of alternative service providers - major customer connections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6,580.62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6,344.40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-3.6</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Approval of third party design - major customer connections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14,292.12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14,292.12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96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Approval of third party design - real estate developments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207.28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198.42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-4.3</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Construction audit - major customer connections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92,745.73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92,745.73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Construction audit - real estate developments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1,181.00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1,181.00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Approval of third party materials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19,215.96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19,215.96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Special meter read</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128.64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128.64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Meter test</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455.13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455.13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lastRenderedPageBreak/>
              <w:t>Meter inspection and investigation on request</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Metering alteration</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2,903.46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2,903.46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Exchange meter</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Type 5 to 7 non-standard metering services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416.09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416.09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Removal of a meter (Type 5 &amp; 6)</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138.26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138.26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Meter re-seal</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594.61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594.61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Install additional metering</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Change time switch</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220.23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220.23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Change tariff</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227.57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227.57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Reprogram card meters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1,321.35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1,321.35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Install metering related load control</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293.63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Removal of load control device</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293.63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293.63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Change load control relay channel</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146.82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146.82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Services provided in relation to a Retailer of Last Resort (ROLR) event</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2,936.69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2,848.11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-3.0</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Non-standard network data requests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714.61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714.61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Provision of services for approved unmetered supplies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Customer requested appointments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764.04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764.04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Removal/rearrangement of network assets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312,283.92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312,283.92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Aerial markers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742.80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742.80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Tiger tails</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2,498.14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2,498.14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2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Assessment of parallel generator applications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1,786.51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1,786.51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tr w:rsidR="008F7F64" w:rsidRPr="00BF1D83" w:rsidTr="001659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t>Witness testing</w:t>
            </w:r>
          </w:p>
        </w:tc>
        <w:tc>
          <w:tcPr>
            <w:tcW w:w="240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3,943.80 </w:t>
            </w:r>
          </w:p>
        </w:tc>
        <w:tc>
          <w:tcPr>
            <w:tcW w:w="1560" w:type="dxa"/>
            <w:noWrap/>
            <w:hideMark/>
          </w:tcPr>
          <w:p w:rsidR="008F7F64" w:rsidRPr="008F7F64" w:rsidRDefault="008F7F64">
            <w:pPr>
              <w:cnfStyle w:val="000000010000" w:firstRow="0" w:lastRow="0" w:firstColumn="0" w:lastColumn="0" w:oddVBand="0" w:evenVBand="0" w:oddHBand="0" w:evenHBand="1" w:firstRowFirstColumn="0" w:firstRowLastColumn="0" w:lastRowFirstColumn="0" w:lastRowLastColumn="0"/>
            </w:pPr>
            <w:r w:rsidRPr="008F7F64">
              <w:t xml:space="preserve">             3,943.80 </w:t>
            </w:r>
          </w:p>
        </w:tc>
        <w:tc>
          <w:tcPr>
            <w:tcW w:w="1559" w:type="dxa"/>
            <w:noWrap/>
            <w:hideMark/>
          </w:tcPr>
          <w:p w:rsidR="008F7F64" w:rsidRPr="008F7F64" w:rsidRDefault="008F7F64" w:rsidP="008F7F64">
            <w:pPr>
              <w:cnfStyle w:val="000000010000" w:firstRow="0" w:lastRow="0" w:firstColumn="0" w:lastColumn="0" w:oddVBand="0" w:evenVBand="0" w:oddHBand="0" w:evenHBand="1" w:firstRowFirstColumn="0" w:firstRowLastColumn="0" w:lastRowFirstColumn="0" w:lastRowLastColumn="0"/>
            </w:pPr>
            <w:r w:rsidRPr="008F7F64">
              <w:t xml:space="preserve">                    - </w:t>
            </w:r>
          </w:p>
        </w:tc>
      </w:tr>
      <w:tr w:rsidR="008F7F64" w:rsidRPr="00BF1D83" w:rsidTr="00165979">
        <w:trPr>
          <w:trHeight w:val="735"/>
        </w:trPr>
        <w:tc>
          <w:tcPr>
            <w:cnfStyle w:val="001000000000" w:firstRow="0" w:lastRow="0" w:firstColumn="1" w:lastColumn="0" w:oddVBand="0" w:evenVBand="0" w:oddHBand="0" w:evenHBand="0" w:firstRowFirstColumn="0" w:firstRowLastColumn="0" w:lastRowFirstColumn="0" w:lastRowLastColumn="0"/>
            <w:tcW w:w="3369" w:type="dxa"/>
            <w:hideMark/>
          </w:tcPr>
          <w:p w:rsidR="008F7F64" w:rsidRPr="008F7F64" w:rsidRDefault="008F7F64" w:rsidP="008F7F64">
            <w:r w:rsidRPr="008F7F64">
              <w:lastRenderedPageBreak/>
              <w:t>Removal/rearrangement of public lighting assets</w:t>
            </w:r>
          </w:p>
        </w:tc>
        <w:tc>
          <w:tcPr>
            <w:tcW w:w="240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21,296.49 </w:t>
            </w:r>
          </w:p>
        </w:tc>
        <w:tc>
          <w:tcPr>
            <w:tcW w:w="1560" w:type="dxa"/>
            <w:noWrap/>
            <w:hideMark/>
          </w:tcPr>
          <w:p w:rsidR="008F7F64" w:rsidRPr="008F7F64" w:rsidRDefault="008F7F64">
            <w:pPr>
              <w:cnfStyle w:val="000000000000" w:firstRow="0" w:lastRow="0" w:firstColumn="0" w:lastColumn="0" w:oddVBand="0" w:evenVBand="0" w:oddHBand="0" w:evenHBand="0" w:firstRowFirstColumn="0" w:firstRowLastColumn="0" w:lastRowFirstColumn="0" w:lastRowLastColumn="0"/>
            </w:pPr>
            <w:r w:rsidRPr="008F7F64">
              <w:t xml:space="preserve">          21,296.49 </w:t>
            </w:r>
          </w:p>
        </w:tc>
        <w:tc>
          <w:tcPr>
            <w:tcW w:w="1559" w:type="dxa"/>
            <w:noWrap/>
            <w:hideMark/>
          </w:tcPr>
          <w:p w:rsidR="008F7F64" w:rsidRPr="008F7F64" w:rsidRDefault="008F7F64" w:rsidP="008F7F64">
            <w:pPr>
              <w:cnfStyle w:val="000000000000" w:firstRow="0" w:lastRow="0" w:firstColumn="0" w:lastColumn="0" w:oddVBand="0" w:evenVBand="0" w:oddHBand="0" w:evenHBand="0" w:firstRowFirstColumn="0" w:firstRowLastColumn="0" w:lastRowFirstColumn="0" w:lastRowLastColumn="0"/>
            </w:pPr>
            <w:r w:rsidRPr="008F7F64">
              <w:t xml:space="preserve">                    - </w:t>
            </w:r>
          </w:p>
        </w:tc>
      </w:tr>
      <w:bookmarkEnd w:id="151"/>
    </w:tbl>
    <w:p w:rsidR="007C5E4A" w:rsidRDefault="007C5E4A" w:rsidP="007C5E4A"/>
    <w:tbl>
      <w:tblPr>
        <w:tblStyle w:val="AERtable-numbers"/>
        <w:tblW w:w="0" w:type="auto"/>
        <w:tblLook w:val="04A0" w:firstRow="1" w:lastRow="0" w:firstColumn="1" w:lastColumn="0" w:noHBand="0" w:noVBand="1"/>
      </w:tblPr>
      <w:tblGrid>
        <w:gridCol w:w="2897"/>
        <w:gridCol w:w="2898"/>
        <w:gridCol w:w="2898"/>
      </w:tblGrid>
      <w:tr w:rsidR="002F0742" w:rsidRPr="004167A7" w:rsidTr="002F0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Labour Category</w:t>
            </w:r>
          </w:p>
        </w:tc>
        <w:tc>
          <w:tcPr>
            <w:tcW w:w="2898" w:type="dxa"/>
          </w:tcPr>
          <w:p w:rsidR="002F0742" w:rsidRPr="004167A7" w:rsidRDefault="002F0742" w:rsidP="004167A7">
            <w:pPr>
              <w:cnfStyle w:val="100000000000" w:firstRow="1" w:lastRow="0" w:firstColumn="0" w:lastColumn="0" w:oddVBand="0" w:evenVBand="0" w:oddHBand="0" w:evenHBand="0" w:firstRowFirstColumn="0" w:firstRowLastColumn="0" w:lastRowFirstColumn="0" w:lastRowLastColumn="0"/>
            </w:pPr>
          </w:p>
        </w:tc>
        <w:tc>
          <w:tcPr>
            <w:tcW w:w="2898" w:type="dxa"/>
          </w:tcPr>
          <w:p w:rsidR="002F0742" w:rsidRPr="004167A7" w:rsidRDefault="002F0742" w:rsidP="004167A7">
            <w:pPr>
              <w:cnfStyle w:val="100000000000" w:firstRow="1" w:lastRow="0" w:firstColumn="0" w:lastColumn="0" w:oddVBand="0" w:evenVBand="0" w:oddHBand="0" w:evenHBand="0" w:firstRowFirstColumn="0" w:firstRowLastColumn="0" w:lastRowFirstColumn="0" w:lastRowLastColumn="0"/>
            </w:pPr>
            <w:r w:rsidRPr="004167A7">
              <w:t>AER preliminary decision on maximum labour charge rates for quoted services, ($2014–15)</w:t>
            </w:r>
          </w:p>
        </w:tc>
      </w:tr>
      <w:tr w:rsidR="002F0742" w:rsidRPr="004167A7" w:rsidTr="002F0742">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Apprentice</w:t>
            </w: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r w:rsidRPr="004167A7">
              <w:t>N/A</w:t>
            </w:r>
          </w:p>
        </w:tc>
      </w:tr>
      <w:tr w:rsidR="002F0742" w:rsidRPr="004167A7" w:rsidTr="002F0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Trainee</w:t>
            </w:r>
          </w:p>
        </w:tc>
        <w:tc>
          <w:tcPr>
            <w:tcW w:w="2898" w:type="dxa"/>
          </w:tcPr>
          <w:p w:rsidR="002F0742" w:rsidRPr="004167A7" w:rsidRDefault="002F0742" w:rsidP="004167A7">
            <w:pPr>
              <w:cnfStyle w:val="000000010000" w:firstRow="0" w:lastRow="0" w:firstColumn="0" w:lastColumn="0" w:oddVBand="0" w:evenVBand="0" w:oddHBand="0" w:evenHBand="1" w:firstRowFirstColumn="0" w:firstRowLastColumn="0" w:lastRowFirstColumn="0" w:lastRowLastColumn="0"/>
            </w:pPr>
          </w:p>
        </w:tc>
        <w:tc>
          <w:tcPr>
            <w:tcW w:w="2898" w:type="dxa"/>
          </w:tcPr>
          <w:p w:rsidR="002F0742" w:rsidRPr="004167A7" w:rsidRDefault="002F0742" w:rsidP="004167A7">
            <w:pPr>
              <w:cnfStyle w:val="000000010000" w:firstRow="0" w:lastRow="0" w:firstColumn="0" w:lastColumn="0" w:oddVBand="0" w:evenVBand="0" w:oddHBand="0" w:evenHBand="1" w:firstRowFirstColumn="0" w:firstRowLastColumn="0" w:lastRowFirstColumn="0" w:lastRowLastColumn="0"/>
            </w:pPr>
            <w:r w:rsidRPr="004167A7">
              <w:t>N/A</w:t>
            </w:r>
          </w:p>
        </w:tc>
      </w:tr>
      <w:tr w:rsidR="002F0742" w:rsidRPr="004167A7" w:rsidTr="002F0742">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Power Worker</w:t>
            </w: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p>
        </w:tc>
        <w:tc>
          <w:tcPr>
            <w:tcW w:w="2898" w:type="dxa"/>
          </w:tcPr>
          <w:p w:rsidR="002F0742" w:rsidRPr="004167A7" w:rsidRDefault="004167A7" w:rsidP="004167A7">
            <w:pPr>
              <w:cnfStyle w:val="000000000000" w:firstRow="0" w:lastRow="0" w:firstColumn="0" w:lastColumn="0" w:oddVBand="0" w:evenVBand="0" w:oddHBand="0" w:evenHBand="0" w:firstRowFirstColumn="0" w:firstRowLastColumn="0" w:lastRowFirstColumn="0" w:lastRowLastColumn="0"/>
            </w:pPr>
            <w:r>
              <w:t>Confidential</w:t>
            </w:r>
          </w:p>
        </w:tc>
      </w:tr>
      <w:tr w:rsidR="002F0742" w:rsidRPr="004167A7" w:rsidTr="002F0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Admin Employee</w:t>
            </w:r>
          </w:p>
        </w:tc>
        <w:tc>
          <w:tcPr>
            <w:tcW w:w="2898" w:type="dxa"/>
          </w:tcPr>
          <w:p w:rsidR="002F0742" w:rsidRPr="004167A7" w:rsidRDefault="002F0742" w:rsidP="004167A7">
            <w:pPr>
              <w:cnfStyle w:val="000000010000" w:firstRow="0" w:lastRow="0" w:firstColumn="0" w:lastColumn="0" w:oddVBand="0" w:evenVBand="0" w:oddHBand="0" w:evenHBand="1" w:firstRowFirstColumn="0" w:firstRowLastColumn="0" w:lastRowFirstColumn="0" w:lastRowLastColumn="0"/>
            </w:pPr>
          </w:p>
        </w:tc>
        <w:tc>
          <w:tcPr>
            <w:tcW w:w="2898" w:type="dxa"/>
          </w:tcPr>
          <w:p w:rsidR="002F0742" w:rsidRPr="004167A7" w:rsidRDefault="004167A7" w:rsidP="004167A7">
            <w:pPr>
              <w:cnfStyle w:val="000000010000" w:firstRow="0" w:lastRow="0" w:firstColumn="0" w:lastColumn="0" w:oddVBand="0" w:evenVBand="0" w:oddHBand="0" w:evenHBand="1" w:firstRowFirstColumn="0" w:firstRowLastColumn="0" w:lastRowFirstColumn="0" w:lastRowLastColumn="0"/>
            </w:pPr>
            <w:r>
              <w:t>Confidential</w:t>
            </w:r>
          </w:p>
        </w:tc>
      </w:tr>
      <w:tr w:rsidR="002F0742" w:rsidRPr="004167A7" w:rsidTr="002F0742">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Technical Service Person</w:t>
            </w: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p>
        </w:tc>
        <w:tc>
          <w:tcPr>
            <w:tcW w:w="2898" w:type="dxa"/>
          </w:tcPr>
          <w:p w:rsidR="002F0742" w:rsidRPr="004167A7" w:rsidRDefault="004167A7" w:rsidP="004167A7">
            <w:pPr>
              <w:cnfStyle w:val="000000000000" w:firstRow="0" w:lastRow="0" w:firstColumn="0" w:lastColumn="0" w:oddVBand="0" w:evenVBand="0" w:oddHBand="0" w:evenHBand="0" w:firstRowFirstColumn="0" w:firstRowLastColumn="0" w:lastRowFirstColumn="0" w:lastRowLastColumn="0"/>
            </w:pPr>
            <w:r>
              <w:t>Confidential</w:t>
            </w:r>
          </w:p>
        </w:tc>
      </w:tr>
      <w:tr w:rsidR="002F0742" w:rsidRPr="004167A7" w:rsidTr="002F0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Electrical System Designer</w:t>
            </w:r>
          </w:p>
        </w:tc>
        <w:tc>
          <w:tcPr>
            <w:tcW w:w="2898" w:type="dxa"/>
          </w:tcPr>
          <w:p w:rsidR="002F0742" w:rsidRPr="004167A7" w:rsidRDefault="002F0742" w:rsidP="004167A7">
            <w:pPr>
              <w:cnfStyle w:val="000000010000" w:firstRow="0" w:lastRow="0" w:firstColumn="0" w:lastColumn="0" w:oddVBand="0" w:evenVBand="0" w:oddHBand="0" w:evenHBand="1" w:firstRowFirstColumn="0" w:firstRowLastColumn="0" w:lastRowFirstColumn="0" w:lastRowLastColumn="0"/>
            </w:pPr>
          </w:p>
        </w:tc>
        <w:tc>
          <w:tcPr>
            <w:tcW w:w="2898" w:type="dxa"/>
          </w:tcPr>
          <w:p w:rsidR="002F0742" w:rsidRPr="004167A7" w:rsidRDefault="004167A7" w:rsidP="004167A7">
            <w:pPr>
              <w:cnfStyle w:val="000000010000" w:firstRow="0" w:lastRow="0" w:firstColumn="0" w:lastColumn="0" w:oddVBand="0" w:evenVBand="0" w:oddHBand="0" w:evenHBand="1" w:firstRowFirstColumn="0" w:firstRowLastColumn="0" w:lastRowFirstColumn="0" w:lastRowLastColumn="0"/>
            </w:pPr>
            <w:r>
              <w:t>Confidential</w:t>
            </w:r>
          </w:p>
        </w:tc>
      </w:tr>
      <w:tr w:rsidR="002F0742" w:rsidRPr="004167A7" w:rsidTr="002F0742">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Supervisor</w:t>
            </w: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p>
        </w:tc>
        <w:tc>
          <w:tcPr>
            <w:tcW w:w="2898" w:type="dxa"/>
          </w:tcPr>
          <w:p w:rsidR="002F0742" w:rsidRPr="004167A7" w:rsidRDefault="004167A7" w:rsidP="004167A7">
            <w:pPr>
              <w:cnfStyle w:val="000000000000" w:firstRow="0" w:lastRow="0" w:firstColumn="0" w:lastColumn="0" w:oddVBand="0" w:evenVBand="0" w:oddHBand="0" w:evenHBand="0" w:firstRowFirstColumn="0" w:firstRowLastColumn="0" w:lastRowFirstColumn="0" w:lastRowLastColumn="0"/>
            </w:pPr>
            <w:r>
              <w:t>Confidential</w:t>
            </w:r>
          </w:p>
        </w:tc>
      </w:tr>
      <w:tr w:rsidR="002F0742" w:rsidRPr="004167A7" w:rsidTr="002F0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Para-Professional</w:t>
            </w:r>
          </w:p>
        </w:tc>
        <w:tc>
          <w:tcPr>
            <w:tcW w:w="2898" w:type="dxa"/>
          </w:tcPr>
          <w:p w:rsidR="002F0742" w:rsidRPr="004167A7" w:rsidRDefault="002F0742" w:rsidP="004167A7">
            <w:pPr>
              <w:cnfStyle w:val="000000010000" w:firstRow="0" w:lastRow="0" w:firstColumn="0" w:lastColumn="0" w:oddVBand="0" w:evenVBand="0" w:oddHBand="0" w:evenHBand="1" w:firstRowFirstColumn="0" w:firstRowLastColumn="0" w:lastRowFirstColumn="0" w:lastRowLastColumn="0"/>
            </w:pPr>
          </w:p>
        </w:tc>
        <w:tc>
          <w:tcPr>
            <w:tcW w:w="2898" w:type="dxa"/>
          </w:tcPr>
          <w:p w:rsidR="002F0742" w:rsidRPr="004167A7" w:rsidRDefault="004167A7" w:rsidP="004167A7">
            <w:pPr>
              <w:cnfStyle w:val="000000010000" w:firstRow="0" w:lastRow="0" w:firstColumn="0" w:lastColumn="0" w:oddVBand="0" w:evenVBand="0" w:oddHBand="0" w:evenHBand="1" w:firstRowFirstColumn="0" w:firstRowLastColumn="0" w:lastRowFirstColumn="0" w:lastRowLastColumn="0"/>
            </w:pPr>
            <w:r>
              <w:t>Confidential</w:t>
            </w:r>
          </w:p>
        </w:tc>
      </w:tr>
      <w:tr w:rsidR="002F0742" w:rsidRPr="004167A7" w:rsidTr="002F0742">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System Operator</w:t>
            </w: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r w:rsidRPr="004167A7">
              <w:t>N/A</w:t>
            </w:r>
          </w:p>
        </w:tc>
      </w:tr>
      <w:tr w:rsidR="002F0742" w:rsidRPr="004167A7" w:rsidTr="002F0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Professional Managerial</w:t>
            </w:r>
          </w:p>
        </w:tc>
        <w:tc>
          <w:tcPr>
            <w:tcW w:w="2898" w:type="dxa"/>
          </w:tcPr>
          <w:p w:rsidR="002F0742" w:rsidRPr="004167A7" w:rsidRDefault="002F0742" w:rsidP="004167A7">
            <w:pPr>
              <w:cnfStyle w:val="000000010000" w:firstRow="0" w:lastRow="0" w:firstColumn="0" w:lastColumn="0" w:oddVBand="0" w:evenVBand="0" w:oddHBand="0" w:evenHBand="1" w:firstRowFirstColumn="0" w:firstRowLastColumn="0" w:lastRowFirstColumn="0" w:lastRowLastColumn="0"/>
            </w:pPr>
          </w:p>
        </w:tc>
        <w:tc>
          <w:tcPr>
            <w:tcW w:w="2898" w:type="dxa"/>
          </w:tcPr>
          <w:p w:rsidR="002F0742" w:rsidRPr="004167A7" w:rsidRDefault="004167A7" w:rsidP="004167A7">
            <w:pPr>
              <w:cnfStyle w:val="000000010000" w:firstRow="0" w:lastRow="0" w:firstColumn="0" w:lastColumn="0" w:oddVBand="0" w:evenVBand="0" w:oddHBand="0" w:evenHBand="1" w:firstRowFirstColumn="0" w:firstRowLastColumn="0" w:lastRowFirstColumn="0" w:lastRowLastColumn="0"/>
            </w:pPr>
            <w:r>
              <w:t>Confidential</w:t>
            </w:r>
          </w:p>
        </w:tc>
      </w:tr>
      <w:tr w:rsidR="002F0742" w:rsidRPr="004167A7" w:rsidTr="002F0742">
        <w:tc>
          <w:tcPr>
            <w:cnfStyle w:val="001000000000" w:firstRow="0" w:lastRow="0" w:firstColumn="1" w:lastColumn="0" w:oddVBand="0" w:evenVBand="0" w:oddHBand="0" w:evenHBand="0" w:firstRowFirstColumn="0" w:firstRowLastColumn="0" w:lastRowFirstColumn="0" w:lastRowLastColumn="0"/>
            <w:tcW w:w="2897" w:type="dxa"/>
          </w:tcPr>
          <w:p w:rsidR="002F0742" w:rsidRPr="004167A7" w:rsidRDefault="002F0742" w:rsidP="004167A7">
            <w:r w:rsidRPr="004167A7">
              <w:t>Manager</w:t>
            </w: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p>
        </w:tc>
        <w:tc>
          <w:tcPr>
            <w:tcW w:w="2898" w:type="dxa"/>
          </w:tcPr>
          <w:p w:rsidR="002F0742" w:rsidRPr="004167A7" w:rsidRDefault="002F0742" w:rsidP="004167A7">
            <w:pPr>
              <w:cnfStyle w:val="000000000000" w:firstRow="0" w:lastRow="0" w:firstColumn="0" w:lastColumn="0" w:oddVBand="0" w:evenVBand="0" w:oddHBand="0" w:evenHBand="0" w:firstRowFirstColumn="0" w:firstRowLastColumn="0" w:lastRowFirstColumn="0" w:lastRowLastColumn="0"/>
            </w:pPr>
            <w:r w:rsidRPr="004167A7">
              <w:t>N/A</w:t>
            </w:r>
          </w:p>
        </w:tc>
      </w:tr>
    </w:tbl>
    <w:p w:rsidR="007C5E4A" w:rsidRPr="007C5E4A" w:rsidRDefault="00D672E6" w:rsidP="00D672E6">
      <w:pPr>
        <w:pStyle w:val="AERtablesource"/>
      </w:pPr>
      <w:r>
        <w:t>Source: AER analysis.</w:t>
      </w:r>
    </w:p>
    <w:p w:rsidR="00D51F2C" w:rsidRDefault="00D51F2C" w:rsidP="00F44551">
      <w:pPr>
        <w:pStyle w:val="Heading8"/>
      </w:pPr>
      <w:r>
        <w:t>Metering</w:t>
      </w:r>
    </w:p>
    <w:p w:rsidR="00D51F2C" w:rsidRPr="00D51F2C" w:rsidRDefault="00D51F2C" w:rsidP="00D51F2C">
      <w:pPr>
        <w:pStyle w:val="Caption"/>
      </w:pPr>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22</w:t>
      </w:r>
      <w:r w:rsidR="00F5521C">
        <w:fldChar w:fldCharType="end"/>
      </w:r>
      <w:r>
        <w:tab/>
      </w:r>
      <w:r>
        <w:tab/>
      </w:r>
      <w:r w:rsidRPr="00D51F2C">
        <w:t xml:space="preserve">Annual metering charge – </w:t>
      </w:r>
      <w:r w:rsidR="0050031D">
        <w:t>Preliminary</w:t>
      </w:r>
      <w:r w:rsidRPr="00D51F2C">
        <w:t xml:space="preserve"> decision ($ nominal)</w:t>
      </w:r>
    </w:p>
    <w:tbl>
      <w:tblPr>
        <w:tblStyle w:val="AERtable-numbers"/>
        <w:tblW w:w="5000" w:type="pct"/>
        <w:tblLook w:val="04A0" w:firstRow="1" w:lastRow="0" w:firstColumn="1" w:lastColumn="0" w:noHBand="0" w:noVBand="1"/>
      </w:tblPr>
      <w:tblGrid>
        <w:gridCol w:w="1368"/>
        <w:gridCol w:w="1299"/>
        <w:gridCol w:w="1238"/>
        <w:gridCol w:w="1238"/>
        <w:gridCol w:w="1238"/>
        <w:gridCol w:w="1189"/>
        <w:gridCol w:w="1123"/>
      </w:tblGrid>
      <w:tr w:rsidR="00D51F2C" w:rsidRPr="00B41392" w:rsidTr="0086280F">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pct"/>
          </w:tcPr>
          <w:p w:rsidR="00D51F2C" w:rsidRPr="00D51F2C" w:rsidRDefault="00D51F2C" w:rsidP="00D51F2C">
            <w:r w:rsidRPr="00D51F2C">
              <w:t>Tariff class</w:t>
            </w:r>
          </w:p>
        </w:tc>
        <w:tc>
          <w:tcPr>
            <w:tcW w:w="747" w:type="pct"/>
          </w:tcPr>
          <w:p w:rsidR="00D51F2C" w:rsidRPr="00D51F2C" w:rsidRDefault="00D51F2C" w:rsidP="00D51F2C">
            <w:pPr>
              <w:cnfStyle w:val="100000000000" w:firstRow="1" w:lastRow="0" w:firstColumn="0" w:lastColumn="0" w:oddVBand="0" w:evenVBand="0" w:oddHBand="0" w:evenHBand="0" w:firstRowFirstColumn="0" w:firstRowLastColumn="0" w:lastRowFirstColumn="0" w:lastRowLastColumn="0"/>
            </w:pPr>
            <w:r w:rsidRPr="00D51F2C">
              <w:t>Costs</w:t>
            </w:r>
          </w:p>
        </w:tc>
        <w:tc>
          <w:tcPr>
            <w:tcW w:w="712" w:type="pct"/>
          </w:tcPr>
          <w:p w:rsidR="00D51F2C" w:rsidRPr="00D51F2C" w:rsidRDefault="00D51F2C" w:rsidP="00D51F2C">
            <w:pPr>
              <w:cnfStyle w:val="100000000000" w:firstRow="1" w:lastRow="0" w:firstColumn="0" w:lastColumn="0" w:oddVBand="0" w:evenVBand="0" w:oddHBand="0" w:evenHBand="0" w:firstRowFirstColumn="0" w:firstRowLastColumn="0" w:lastRowFirstColumn="0" w:lastRowLastColumn="0"/>
            </w:pPr>
            <w:r w:rsidRPr="00D51F2C">
              <w:t>2015/16</w:t>
            </w:r>
          </w:p>
        </w:tc>
        <w:tc>
          <w:tcPr>
            <w:tcW w:w="712" w:type="pct"/>
          </w:tcPr>
          <w:p w:rsidR="00D51F2C" w:rsidRPr="00D51F2C" w:rsidRDefault="00D51F2C" w:rsidP="00D51F2C">
            <w:pPr>
              <w:cnfStyle w:val="100000000000" w:firstRow="1" w:lastRow="0" w:firstColumn="0" w:lastColumn="0" w:oddVBand="0" w:evenVBand="0" w:oddHBand="0" w:evenHBand="0" w:firstRowFirstColumn="0" w:firstRowLastColumn="0" w:lastRowFirstColumn="0" w:lastRowLastColumn="0"/>
            </w:pPr>
            <w:r w:rsidRPr="00D51F2C">
              <w:t>2016/17</w:t>
            </w:r>
          </w:p>
        </w:tc>
        <w:tc>
          <w:tcPr>
            <w:tcW w:w="712" w:type="pct"/>
          </w:tcPr>
          <w:p w:rsidR="00D51F2C" w:rsidRPr="00D51F2C" w:rsidRDefault="00D51F2C" w:rsidP="00D51F2C">
            <w:pPr>
              <w:cnfStyle w:val="100000000000" w:firstRow="1" w:lastRow="0" w:firstColumn="0" w:lastColumn="0" w:oddVBand="0" w:evenVBand="0" w:oddHBand="0" w:evenHBand="0" w:firstRowFirstColumn="0" w:firstRowLastColumn="0" w:lastRowFirstColumn="0" w:lastRowLastColumn="0"/>
            </w:pPr>
            <w:r w:rsidRPr="00D51F2C">
              <w:t>2017/18</w:t>
            </w:r>
          </w:p>
        </w:tc>
        <w:tc>
          <w:tcPr>
            <w:tcW w:w="684" w:type="pct"/>
          </w:tcPr>
          <w:p w:rsidR="00D51F2C" w:rsidRPr="00D51F2C" w:rsidRDefault="00D51F2C" w:rsidP="00D51F2C">
            <w:pPr>
              <w:cnfStyle w:val="100000000000" w:firstRow="1" w:lastRow="0" w:firstColumn="0" w:lastColumn="0" w:oddVBand="0" w:evenVBand="0" w:oddHBand="0" w:evenHBand="0" w:firstRowFirstColumn="0" w:firstRowLastColumn="0" w:lastRowFirstColumn="0" w:lastRowLastColumn="0"/>
            </w:pPr>
            <w:r w:rsidRPr="00D51F2C">
              <w:t>2018/19</w:t>
            </w:r>
          </w:p>
        </w:tc>
        <w:tc>
          <w:tcPr>
            <w:tcW w:w="646" w:type="pct"/>
          </w:tcPr>
          <w:p w:rsidR="00D51F2C" w:rsidRPr="00D51F2C" w:rsidRDefault="00D51F2C" w:rsidP="00D51F2C">
            <w:pPr>
              <w:cnfStyle w:val="100000000000" w:firstRow="1" w:lastRow="0" w:firstColumn="0" w:lastColumn="0" w:oddVBand="0" w:evenVBand="0" w:oddHBand="0" w:evenHBand="0" w:firstRowFirstColumn="0" w:firstRowLastColumn="0" w:lastRowFirstColumn="0" w:lastRowLastColumn="0"/>
            </w:pPr>
          </w:p>
        </w:tc>
      </w:tr>
      <w:tr w:rsidR="00D51F2C" w:rsidRPr="00052B63" w:rsidTr="0086280F">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D51F2C" w:rsidRPr="00D51F2C" w:rsidRDefault="00D51F2C" w:rsidP="00D51F2C">
            <w:r w:rsidRPr="00D51F2C">
              <w:t>Primary</w:t>
            </w:r>
          </w:p>
        </w:tc>
        <w:tc>
          <w:tcPr>
            <w:tcW w:w="747" w:type="pct"/>
          </w:tcPr>
          <w:p w:rsidR="00D51F2C" w:rsidRPr="00D51F2C" w:rsidRDefault="00D51F2C" w:rsidP="00D51F2C">
            <w:pPr>
              <w:cnfStyle w:val="000000000000" w:firstRow="0" w:lastRow="0" w:firstColumn="0" w:lastColumn="0" w:oddVBand="0" w:evenVBand="0" w:oddHBand="0" w:evenHBand="0" w:firstRowFirstColumn="0" w:firstRowLastColumn="0" w:lastRowFirstColumn="0" w:lastRowLastColumn="0"/>
            </w:pPr>
            <w:r w:rsidRPr="00D51F2C">
              <w:t>Non–capital</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24.44</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25.75</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27.14</w:t>
            </w:r>
          </w:p>
        </w:tc>
        <w:tc>
          <w:tcPr>
            <w:tcW w:w="684"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28.60</w:t>
            </w:r>
          </w:p>
        </w:tc>
        <w:tc>
          <w:tcPr>
            <w:tcW w:w="646"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30.13</w:t>
            </w:r>
          </w:p>
        </w:tc>
      </w:tr>
      <w:tr w:rsidR="00D51F2C" w:rsidRPr="00052B63" w:rsidTr="0086280F">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D51F2C" w:rsidRPr="00D51F2C" w:rsidRDefault="00D51F2C" w:rsidP="00D51F2C"/>
        </w:tc>
        <w:tc>
          <w:tcPr>
            <w:tcW w:w="747" w:type="pct"/>
          </w:tcPr>
          <w:p w:rsidR="00D51F2C" w:rsidRPr="00D51F2C" w:rsidRDefault="00D51F2C" w:rsidP="00D51F2C">
            <w:pPr>
              <w:cnfStyle w:val="000000010000" w:firstRow="0" w:lastRow="0" w:firstColumn="0" w:lastColumn="0" w:oddVBand="0" w:evenVBand="0" w:oddHBand="0" w:evenHBand="1" w:firstRowFirstColumn="0" w:firstRowLastColumn="0" w:lastRowFirstColumn="0" w:lastRowLastColumn="0"/>
            </w:pPr>
            <w:r w:rsidRPr="00D51F2C">
              <w:t>Capital</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6.49</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6.84</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7.21</w:t>
            </w:r>
          </w:p>
        </w:tc>
        <w:tc>
          <w:tcPr>
            <w:tcW w:w="684"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7.59</w:t>
            </w:r>
          </w:p>
        </w:tc>
        <w:tc>
          <w:tcPr>
            <w:tcW w:w="646"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8.00</w:t>
            </w:r>
          </w:p>
        </w:tc>
      </w:tr>
      <w:tr w:rsidR="00D51F2C" w:rsidRPr="00052B63" w:rsidTr="0086280F">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D51F2C" w:rsidRPr="00D51F2C" w:rsidRDefault="00D51F2C" w:rsidP="00D51F2C">
            <w:r w:rsidRPr="00D51F2C">
              <w:t>Controlled load</w:t>
            </w:r>
          </w:p>
        </w:tc>
        <w:tc>
          <w:tcPr>
            <w:tcW w:w="747" w:type="pct"/>
          </w:tcPr>
          <w:p w:rsidR="00D51F2C" w:rsidRPr="00D51F2C" w:rsidRDefault="00D51F2C" w:rsidP="00D51F2C">
            <w:pPr>
              <w:cnfStyle w:val="000000000000" w:firstRow="0" w:lastRow="0" w:firstColumn="0" w:lastColumn="0" w:oddVBand="0" w:evenVBand="0" w:oddHBand="0" w:evenHBand="0" w:firstRowFirstColumn="0" w:firstRowLastColumn="0" w:lastRowFirstColumn="0" w:lastRowLastColumn="0"/>
            </w:pPr>
            <w:r w:rsidRPr="00D51F2C">
              <w:t>Non–capital</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8.99</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9.47</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9.98</w:t>
            </w:r>
          </w:p>
        </w:tc>
        <w:tc>
          <w:tcPr>
            <w:tcW w:w="684"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10.51</w:t>
            </w:r>
          </w:p>
        </w:tc>
        <w:tc>
          <w:tcPr>
            <w:tcW w:w="646"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11.08</w:t>
            </w:r>
          </w:p>
        </w:tc>
      </w:tr>
      <w:tr w:rsidR="00D51F2C" w:rsidRPr="00052B63" w:rsidTr="0086280F">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D51F2C" w:rsidRPr="00D51F2C" w:rsidRDefault="00D51F2C" w:rsidP="00D51F2C"/>
        </w:tc>
        <w:tc>
          <w:tcPr>
            <w:tcW w:w="747" w:type="pct"/>
          </w:tcPr>
          <w:p w:rsidR="00D51F2C" w:rsidRPr="00D51F2C" w:rsidRDefault="00D51F2C" w:rsidP="00D51F2C">
            <w:pPr>
              <w:cnfStyle w:val="000000010000" w:firstRow="0" w:lastRow="0" w:firstColumn="0" w:lastColumn="0" w:oddVBand="0" w:evenVBand="0" w:oddHBand="0" w:evenHBand="1" w:firstRowFirstColumn="0" w:firstRowLastColumn="0" w:lastRowFirstColumn="0" w:lastRowLastColumn="0"/>
            </w:pPr>
            <w:r w:rsidRPr="00D51F2C">
              <w:t>Capital</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2.39</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2.51</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2.65</w:t>
            </w:r>
          </w:p>
        </w:tc>
        <w:tc>
          <w:tcPr>
            <w:tcW w:w="684"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2.79</w:t>
            </w:r>
          </w:p>
        </w:tc>
        <w:tc>
          <w:tcPr>
            <w:tcW w:w="646"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2.94</w:t>
            </w:r>
          </w:p>
        </w:tc>
      </w:tr>
      <w:tr w:rsidR="00D51F2C" w:rsidRPr="00052B63" w:rsidTr="0086280F">
        <w:trPr>
          <w:trHeight w:val="405"/>
        </w:trPr>
        <w:tc>
          <w:tcPr>
            <w:cnfStyle w:val="001000000000" w:firstRow="0" w:lastRow="0" w:firstColumn="1" w:lastColumn="0" w:oddVBand="0" w:evenVBand="0" w:oddHBand="0" w:evenHBand="0" w:firstRowFirstColumn="0" w:firstRowLastColumn="0" w:lastRowFirstColumn="0" w:lastRowLastColumn="0"/>
            <w:tcW w:w="787" w:type="pct"/>
            <w:vMerge w:val="restart"/>
          </w:tcPr>
          <w:p w:rsidR="00D51F2C" w:rsidRPr="00D51F2C" w:rsidRDefault="00D51F2C" w:rsidP="00D51F2C">
            <w:r w:rsidRPr="00D51F2C">
              <w:t>Solar</w:t>
            </w:r>
          </w:p>
        </w:tc>
        <w:tc>
          <w:tcPr>
            <w:tcW w:w="747" w:type="pct"/>
          </w:tcPr>
          <w:p w:rsidR="00D51F2C" w:rsidRPr="00D51F2C" w:rsidRDefault="00D51F2C" w:rsidP="00D51F2C">
            <w:pPr>
              <w:cnfStyle w:val="000000000000" w:firstRow="0" w:lastRow="0" w:firstColumn="0" w:lastColumn="0" w:oddVBand="0" w:evenVBand="0" w:oddHBand="0" w:evenHBand="0" w:firstRowFirstColumn="0" w:firstRowLastColumn="0" w:lastRowFirstColumn="0" w:lastRowLastColumn="0"/>
            </w:pPr>
            <w:r w:rsidRPr="00D51F2C">
              <w:t>Non–capital</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6.08</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6.40</w:t>
            </w:r>
          </w:p>
        </w:tc>
        <w:tc>
          <w:tcPr>
            <w:tcW w:w="712"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6.75</w:t>
            </w:r>
          </w:p>
        </w:tc>
        <w:tc>
          <w:tcPr>
            <w:tcW w:w="684"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7.11</w:t>
            </w:r>
          </w:p>
        </w:tc>
        <w:tc>
          <w:tcPr>
            <w:tcW w:w="646" w:type="pct"/>
          </w:tcPr>
          <w:p w:rsidR="00D51F2C" w:rsidRPr="00D51F2C" w:rsidRDefault="00D51F2C" w:rsidP="00D51F2C">
            <w:pPr>
              <w:pStyle w:val="Tabletext-right"/>
              <w:cnfStyle w:val="000000000000" w:firstRow="0" w:lastRow="0" w:firstColumn="0" w:lastColumn="0" w:oddVBand="0" w:evenVBand="0" w:oddHBand="0" w:evenHBand="0" w:firstRowFirstColumn="0" w:firstRowLastColumn="0" w:lastRowFirstColumn="0" w:lastRowLastColumn="0"/>
            </w:pPr>
            <w:r w:rsidRPr="00D51F2C">
              <w:t>7.49</w:t>
            </w:r>
          </w:p>
        </w:tc>
      </w:tr>
      <w:tr w:rsidR="00D51F2C" w:rsidRPr="00052B63" w:rsidTr="0086280F">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D51F2C" w:rsidRPr="00D51F2C" w:rsidRDefault="00D51F2C" w:rsidP="00D51F2C"/>
        </w:tc>
        <w:tc>
          <w:tcPr>
            <w:tcW w:w="747" w:type="pct"/>
          </w:tcPr>
          <w:p w:rsidR="00D51F2C" w:rsidRPr="00D51F2C" w:rsidRDefault="00D51F2C" w:rsidP="00D51F2C">
            <w:pPr>
              <w:cnfStyle w:val="000000010000" w:firstRow="0" w:lastRow="0" w:firstColumn="0" w:lastColumn="0" w:oddVBand="0" w:evenVBand="0" w:oddHBand="0" w:evenHBand="1" w:firstRowFirstColumn="0" w:firstRowLastColumn="0" w:lastRowFirstColumn="0" w:lastRowLastColumn="0"/>
            </w:pPr>
            <w:r w:rsidRPr="00D51F2C">
              <w:t>Capital</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1.61</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1.70</w:t>
            </w:r>
          </w:p>
        </w:tc>
        <w:tc>
          <w:tcPr>
            <w:tcW w:w="712"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1.79</w:t>
            </w:r>
          </w:p>
        </w:tc>
        <w:tc>
          <w:tcPr>
            <w:tcW w:w="684"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1.89</w:t>
            </w:r>
          </w:p>
        </w:tc>
        <w:tc>
          <w:tcPr>
            <w:tcW w:w="646" w:type="pct"/>
          </w:tcPr>
          <w:p w:rsidR="00D51F2C" w:rsidRPr="00D51F2C" w:rsidRDefault="00D51F2C" w:rsidP="00D51F2C">
            <w:pPr>
              <w:pStyle w:val="Tabletext-right"/>
              <w:cnfStyle w:val="000000010000" w:firstRow="0" w:lastRow="0" w:firstColumn="0" w:lastColumn="0" w:oddVBand="0" w:evenVBand="0" w:oddHBand="0" w:evenHBand="1" w:firstRowFirstColumn="0" w:firstRowLastColumn="0" w:lastRowFirstColumn="0" w:lastRowLastColumn="0"/>
            </w:pPr>
            <w:r w:rsidRPr="00D51F2C">
              <w:t>1.99</w:t>
            </w:r>
          </w:p>
        </w:tc>
      </w:tr>
    </w:tbl>
    <w:p w:rsidR="00165979" w:rsidRDefault="00165979" w:rsidP="00D51F2C">
      <w:pPr>
        <w:pStyle w:val="Caption"/>
      </w:pPr>
    </w:p>
    <w:p w:rsidR="00D51F2C" w:rsidRPr="00D51F2C" w:rsidRDefault="00D51F2C" w:rsidP="00D51F2C">
      <w:pPr>
        <w:pStyle w:val="Caption"/>
      </w:pPr>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23</w:t>
      </w:r>
      <w:r w:rsidR="00F5521C">
        <w:fldChar w:fldCharType="end"/>
      </w:r>
      <w:r>
        <w:tab/>
      </w:r>
      <w:r>
        <w:tab/>
      </w:r>
      <w:r w:rsidRPr="00D51F2C">
        <w:t xml:space="preserve">AER </w:t>
      </w:r>
      <w:r w:rsidR="0050031D">
        <w:t xml:space="preserve">preliminary </w:t>
      </w:r>
      <w:r w:rsidRPr="00D51F2C">
        <w:t>decision X factors for ann</w:t>
      </w:r>
      <w:r>
        <w:t>ual metering charges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2C67C5" w:rsidRPr="005F77A2" w:rsidTr="005E4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2C67C5" w:rsidRPr="00D51F2C" w:rsidRDefault="002C67C5" w:rsidP="00D51F2C"/>
        </w:tc>
        <w:tc>
          <w:tcPr>
            <w:tcW w:w="1739" w:type="dxa"/>
          </w:tcPr>
          <w:p w:rsidR="002C67C5" w:rsidRPr="00D51F2C" w:rsidRDefault="002C67C5" w:rsidP="00D51F2C">
            <w:pPr>
              <w:cnfStyle w:val="100000000000" w:firstRow="1" w:lastRow="0" w:firstColumn="0" w:lastColumn="0" w:oddVBand="0" w:evenVBand="0" w:oddHBand="0" w:evenHBand="0" w:firstRowFirstColumn="0" w:firstRowLastColumn="0" w:lastRowFirstColumn="0" w:lastRowLastColumn="0"/>
            </w:pPr>
            <w:r w:rsidRPr="00D51F2C">
              <w:t>2016–17</w:t>
            </w:r>
          </w:p>
        </w:tc>
        <w:tc>
          <w:tcPr>
            <w:tcW w:w="1739" w:type="dxa"/>
          </w:tcPr>
          <w:p w:rsidR="002C67C5" w:rsidRPr="00D51F2C" w:rsidRDefault="002C67C5" w:rsidP="00D51F2C">
            <w:pPr>
              <w:cnfStyle w:val="100000000000" w:firstRow="1" w:lastRow="0" w:firstColumn="0" w:lastColumn="0" w:oddVBand="0" w:evenVBand="0" w:oddHBand="0" w:evenHBand="0" w:firstRowFirstColumn="0" w:firstRowLastColumn="0" w:lastRowFirstColumn="0" w:lastRowLastColumn="0"/>
            </w:pPr>
            <w:r w:rsidRPr="00D51F2C">
              <w:t>2017–18</w:t>
            </w:r>
          </w:p>
        </w:tc>
        <w:tc>
          <w:tcPr>
            <w:tcW w:w="1739" w:type="dxa"/>
          </w:tcPr>
          <w:p w:rsidR="002C67C5" w:rsidRPr="00D51F2C" w:rsidRDefault="002C67C5" w:rsidP="00D51F2C">
            <w:pPr>
              <w:cnfStyle w:val="100000000000" w:firstRow="1" w:lastRow="0" w:firstColumn="0" w:lastColumn="0" w:oddVBand="0" w:evenVBand="0" w:oddHBand="0" w:evenHBand="0" w:firstRowFirstColumn="0" w:firstRowLastColumn="0" w:lastRowFirstColumn="0" w:lastRowLastColumn="0"/>
            </w:pPr>
            <w:r w:rsidRPr="00D51F2C">
              <w:t>2018–19</w:t>
            </w:r>
          </w:p>
        </w:tc>
        <w:tc>
          <w:tcPr>
            <w:tcW w:w="1739" w:type="dxa"/>
          </w:tcPr>
          <w:p w:rsidR="002C67C5" w:rsidRPr="00D51F2C" w:rsidRDefault="002C67C5" w:rsidP="00D51F2C">
            <w:pPr>
              <w:cnfStyle w:val="100000000000" w:firstRow="1" w:lastRow="0" w:firstColumn="0" w:lastColumn="0" w:oddVBand="0" w:evenVBand="0" w:oddHBand="0" w:evenHBand="0" w:firstRowFirstColumn="0" w:firstRowLastColumn="0" w:lastRowFirstColumn="0" w:lastRowLastColumn="0"/>
            </w:pPr>
            <w:r>
              <w:t>2019–20</w:t>
            </w:r>
          </w:p>
        </w:tc>
      </w:tr>
      <w:tr w:rsidR="002C67C5" w:rsidRPr="001B08B0" w:rsidTr="005E4005">
        <w:tc>
          <w:tcPr>
            <w:cnfStyle w:val="001000000000" w:firstRow="0" w:lastRow="0" w:firstColumn="1" w:lastColumn="0" w:oddVBand="0" w:evenVBand="0" w:oddHBand="0" w:evenHBand="0" w:firstRowFirstColumn="0" w:firstRowLastColumn="0" w:lastRowFirstColumn="0" w:lastRowLastColumn="0"/>
            <w:tcW w:w="1737" w:type="dxa"/>
          </w:tcPr>
          <w:p w:rsidR="002C67C5" w:rsidRPr="00D51F2C" w:rsidRDefault="002C67C5" w:rsidP="00D51F2C">
            <w:r w:rsidRPr="00D51F2C">
              <w:t>X factor</w:t>
            </w:r>
          </w:p>
        </w:tc>
        <w:tc>
          <w:tcPr>
            <w:tcW w:w="1739" w:type="dxa"/>
            <w:vAlign w:val="bottom"/>
          </w:tcPr>
          <w:p w:rsidR="002C67C5" w:rsidRPr="00D51F2C" w:rsidRDefault="002C67C5" w:rsidP="00D51F2C">
            <w:pPr>
              <w:cnfStyle w:val="000000000000" w:firstRow="0" w:lastRow="0" w:firstColumn="0" w:lastColumn="0" w:oddVBand="0" w:evenVBand="0" w:oddHBand="0" w:evenHBand="0" w:firstRowFirstColumn="0" w:firstRowLastColumn="0" w:lastRowFirstColumn="0" w:lastRowLastColumn="0"/>
            </w:pPr>
            <w:r>
              <w:t>–2.76</w:t>
            </w:r>
          </w:p>
        </w:tc>
        <w:tc>
          <w:tcPr>
            <w:tcW w:w="1739" w:type="dxa"/>
            <w:vAlign w:val="bottom"/>
          </w:tcPr>
          <w:p w:rsidR="002C67C5" w:rsidRPr="00D51F2C" w:rsidRDefault="002C67C5" w:rsidP="00D51F2C">
            <w:pPr>
              <w:cnfStyle w:val="000000000000" w:firstRow="0" w:lastRow="0" w:firstColumn="0" w:lastColumn="0" w:oddVBand="0" w:evenVBand="0" w:oddHBand="0" w:evenHBand="0" w:firstRowFirstColumn="0" w:firstRowLastColumn="0" w:lastRowFirstColumn="0" w:lastRowLastColumn="0"/>
            </w:pPr>
            <w:r>
              <w:t>–2.76</w:t>
            </w:r>
          </w:p>
        </w:tc>
        <w:tc>
          <w:tcPr>
            <w:tcW w:w="1739" w:type="dxa"/>
            <w:vAlign w:val="bottom"/>
          </w:tcPr>
          <w:p w:rsidR="002C67C5" w:rsidRPr="00D51F2C" w:rsidRDefault="002C67C5" w:rsidP="00D51F2C">
            <w:pPr>
              <w:cnfStyle w:val="000000000000" w:firstRow="0" w:lastRow="0" w:firstColumn="0" w:lastColumn="0" w:oddVBand="0" w:evenVBand="0" w:oddHBand="0" w:evenHBand="0" w:firstRowFirstColumn="0" w:firstRowLastColumn="0" w:lastRowFirstColumn="0" w:lastRowLastColumn="0"/>
            </w:pPr>
            <w:r>
              <w:t>–2.76</w:t>
            </w:r>
          </w:p>
        </w:tc>
        <w:tc>
          <w:tcPr>
            <w:tcW w:w="1739" w:type="dxa"/>
          </w:tcPr>
          <w:p w:rsidR="002C67C5" w:rsidRDefault="002C67C5" w:rsidP="00D51F2C">
            <w:pPr>
              <w:cnfStyle w:val="000000000000" w:firstRow="0" w:lastRow="0" w:firstColumn="0" w:lastColumn="0" w:oddVBand="0" w:evenVBand="0" w:oddHBand="0" w:evenHBand="0" w:firstRowFirstColumn="0" w:firstRowLastColumn="0" w:lastRowFirstColumn="0" w:lastRowLastColumn="0"/>
            </w:pPr>
            <w:r>
              <w:t>–2.76</w:t>
            </w:r>
          </w:p>
        </w:tc>
      </w:tr>
    </w:tbl>
    <w:p w:rsidR="001F7575" w:rsidRDefault="00D51F2C" w:rsidP="00D51F2C">
      <w:pPr>
        <w:pStyle w:val="AERtablesource"/>
      </w:pPr>
      <w:r w:rsidRPr="00D51F2C">
        <w:t>Source:</w:t>
      </w:r>
      <w:r w:rsidRPr="00D51F2C">
        <w:tab/>
        <w:t>AER analysis</w:t>
      </w:r>
    </w:p>
    <w:p w:rsidR="00D51F2C" w:rsidRPr="00D51F2C" w:rsidRDefault="001F7575" w:rsidP="00D51F2C">
      <w:pPr>
        <w:pStyle w:val="AERtablesource"/>
      </w:pPr>
      <w:r>
        <w:tab/>
      </w:r>
      <w:r w:rsidR="00495E61">
        <w:t xml:space="preserve"> </w:t>
      </w:r>
    </w:p>
    <w:p w:rsidR="007C5E4A" w:rsidRDefault="00995EC4" w:rsidP="00995EC4">
      <w:pPr>
        <w:pStyle w:val="Caption"/>
      </w:pPr>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r w:rsidR="00F5521C">
        <w:fldChar w:fldCharType="begin"/>
      </w:r>
      <w:r w:rsidR="00F5521C">
        <w:instrText xml:space="preserve"> SEQ Table \* ARABIC \s 1 </w:instrText>
      </w:r>
      <w:r w:rsidR="00F5521C">
        <w:fldChar w:fldCharType="separate"/>
      </w:r>
      <w:r w:rsidR="00F16AE7">
        <w:rPr>
          <w:noProof/>
        </w:rPr>
        <w:t>24</w:t>
      </w:r>
      <w:r w:rsidR="00F5521C">
        <w:fldChar w:fldCharType="end"/>
      </w:r>
      <w:r>
        <w:tab/>
      </w:r>
      <w:r>
        <w:tab/>
      </w:r>
      <w:r w:rsidRPr="00995EC4">
        <w:t xml:space="preserve">Upfront capital charges – </w:t>
      </w:r>
      <w:r w:rsidR="0050031D">
        <w:t xml:space="preserve">preliminary </w:t>
      </w:r>
      <w:r w:rsidRPr="00995EC4">
        <w:t>decision</w:t>
      </w:r>
    </w:p>
    <w:tbl>
      <w:tblPr>
        <w:tblStyle w:val="AERtable-numbers"/>
        <w:tblW w:w="0" w:type="auto"/>
        <w:tblLook w:val="04A0" w:firstRow="1" w:lastRow="0" w:firstColumn="1" w:lastColumn="0" w:noHBand="0" w:noVBand="1"/>
      </w:tblPr>
      <w:tblGrid>
        <w:gridCol w:w="4346"/>
        <w:gridCol w:w="4347"/>
      </w:tblGrid>
      <w:tr w:rsidR="00995EC4" w:rsidTr="00995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5EC4" w:rsidRDefault="00995EC4" w:rsidP="00995EC4">
            <w:r>
              <w:t>Meter</w:t>
            </w:r>
          </w:p>
        </w:tc>
        <w:tc>
          <w:tcPr>
            <w:tcW w:w="4347" w:type="dxa"/>
          </w:tcPr>
          <w:p w:rsidR="00995EC4" w:rsidRDefault="00995EC4" w:rsidP="00995EC4">
            <w:pPr>
              <w:cnfStyle w:val="100000000000" w:firstRow="1" w:lastRow="0" w:firstColumn="0" w:lastColumn="0" w:oddVBand="0" w:evenVBand="0" w:oddHBand="0" w:evenHBand="0" w:firstRowFirstColumn="0" w:firstRowLastColumn="0" w:lastRowFirstColumn="0" w:lastRowLastColumn="0"/>
            </w:pPr>
            <w:r>
              <w:t>Upfront capital charge ($ 2014–15)</w:t>
            </w:r>
          </w:p>
        </w:tc>
      </w:tr>
      <w:tr w:rsidR="00995EC4" w:rsidTr="00995EC4">
        <w:tc>
          <w:tcPr>
            <w:cnfStyle w:val="001000000000" w:firstRow="0" w:lastRow="0" w:firstColumn="1" w:lastColumn="0" w:oddVBand="0" w:evenVBand="0" w:oddHBand="0" w:evenHBand="0" w:firstRowFirstColumn="0" w:firstRowLastColumn="0" w:lastRowFirstColumn="0" w:lastRowLastColumn="0"/>
            <w:tcW w:w="4346" w:type="dxa"/>
          </w:tcPr>
          <w:p w:rsidR="00995EC4" w:rsidRDefault="00995EC4" w:rsidP="00995EC4">
            <w:r>
              <w:t>Single phase</w:t>
            </w:r>
          </w:p>
        </w:tc>
        <w:tc>
          <w:tcPr>
            <w:tcW w:w="4347" w:type="dxa"/>
          </w:tcPr>
          <w:p w:rsidR="00995EC4" w:rsidRDefault="00995EC4" w:rsidP="00995EC4">
            <w:pPr>
              <w:cnfStyle w:val="000000000000" w:firstRow="0" w:lastRow="0" w:firstColumn="0" w:lastColumn="0" w:oddVBand="0" w:evenVBand="0" w:oddHBand="0" w:evenHBand="0" w:firstRowFirstColumn="0" w:firstRowLastColumn="0" w:lastRowFirstColumn="0" w:lastRowLastColumn="0"/>
            </w:pPr>
            <w:r>
              <w:t>393.63</w:t>
            </w:r>
          </w:p>
        </w:tc>
      </w:tr>
      <w:tr w:rsidR="00995EC4" w:rsidTr="00995E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5EC4" w:rsidRDefault="00995EC4" w:rsidP="00995EC4">
            <w:r>
              <w:t>Dual element</w:t>
            </w:r>
          </w:p>
        </w:tc>
        <w:tc>
          <w:tcPr>
            <w:tcW w:w="4347" w:type="dxa"/>
          </w:tcPr>
          <w:p w:rsidR="00995EC4" w:rsidRDefault="00995EC4" w:rsidP="00995EC4">
            <w:pPr>
              <w:cnfStyle w:val="000000010000" w:firstRow="0" w:lastRow="0" w:firstColumn="0" w:lastColumn="0" w:oddVBand="0" w:evenVBand="0" w:oddHBand="0" w:evenHBand="1" w:firstRowFirstColumn="0" w:firstRowLastColumn="0" w:lastRowFirstColumn="0" w:lastRowLastColumn="0"/>
            </w:pPr>
            <w:r>
              <w:t>443.63</w:t>
            </w:r>
          </w:p>
        </w:tc>
      </w:tr>
      <w:tr w:rsidR="00995EC4" w:rsidTr="00995EC4">
        <w:tc>
          <w:tcPr>
            <w:cnfStyle w:val="001000000000" w:firstRow="0" w:lastRow="0" w:firstColumn="1" w:lastColumn="0" w:oddVBand="0" w:evenVBand="0" w:oddHBand="0" w:evenHBand="0" w:firstRowFirstColumn="0" w:firstRowLastColumn="0" w:lastRowFirstColumn="0" w:lastRowLastColumn="0"/>
            <w:tcW w:w="4346" w:type="dxa"/>
          </w:tcPr>
          <w:p w:rsidR="00995EC4" w:rsidRDefault="00995EC4" w:rsidP="00995EC4">
            <w:r>
              <w:t>Three phase</w:t>
            </w:r>
          </w:p>
        </w:tc>
        <w:tc>
          <w:tcPr>
            <w:tcW w:w="4347" w:type="dxa"/>
          </w:tcPr>
          <w:p w:rsidR="00995EC4" w:rsidRDefault="00995EC4" w:rsidP="00995EC4">
            <w:pPr>
              <w:cnfStyle w:val="000000000000" w:firstRow="0" w:lastRow="0" w:firstColumn="0" w:lastColumn="0" w:oddVBand="0" w:evenVBand="0" w:oddHBand="0" w:evenHBand="0" w:firstRowFirstColumn="0" w:firstRowLastColumn="0" w:lastRowFirstColumn="0" w:lastRowLastColumn="0"/>
            </w:pPr>
            <w:r>
              <w:t>482.90</w:t>
            </w:r>
          </w:p>
        </w:tc>
      </w:tr>
    </w:tbl>
    <w:p w:rsidR="00995EC4" w:rsidRPr="00995EC4" w:rsidRDefault="00995EC4" w:rsidP="00995EC4">
      <w:pPr>
        <w:pStyle w:val="AERtablesource"/>
      </w:pPr>
      <w:r w:rsidRPr="00995EC4">
        <w:t>Source:</w:t>
      </w:r>
      <w:r w:rsidRPr="00995EC4">
        <w:tab/>
        <w:t>AER analysis</w:t>
      </w:r>
    </w:p>
    <w:p w:rsidR="00995EC4" w:rsidRDefault="00995EC4" w:rsidP="00995EC4">
      <w:pPr>
        <w:pStyle w:val="Caption"/>
      </w:pPr>
      <w:proofErr w:type="gramStart"/>
      <w:r>
        <w:t xml:space="preserve">Table </w:t>
      </w:r>
      <w:proofErr w:type="gramEnd"/>
      <w:r w:rsidR="00F16AE7">
        <w:fldChar w:fldCharType="begin"/>
      </w:r>
      <w:r w:rsidR="00F16AE7">
        <w:instrText xml:space="preserve"> STYLEREF 1 \s </w:instrText>
      </w:r>
      <w:r w:rsidR="00F16AE7">
        <w:fldChar w:fldCharType="separate"/>
      </w:r>
      <w:r w:rsidR="00F16AE7">
        <w:rPr>
          <w:noProof/>
        </w:rPr>
        <w:t>16</w:t>
      </w:r>
      <w:r w:rsidR="00F16AE7">
        <w:rPr>
          <w:noProof/>
        </w:rPr>
        <w:fldChar w:fldCharType="end"/>
      </w:r>
      <w:proofErr w:type="gramStart"/>
      <w:r w:rsidR="00F5521C">
        <w:t>.</w:t>
      </w:r>
      <w:proofErr w:type="gramEnd"/>
      <w:fldSimple w:instr=" SEQ Table \* ARABIC \s 1 ">
        <w:r w:rsidR="00F16AE7">
          <w:rPr>
            <w:noProof/>
          </w:rPr>
          <w:t>25</w:t>
        </w:r>
      </w:fldSimple>
      <w:r>
        <w:tab/>
      </w:r>
      <w:r>
        <w:tab/>
      </w:r>
      <w:r w:rsidRPr="00995EC4">
        <w:t xml:space="preserve">AER </w:t>
      </w:r>
      <w:r w:rsidR="0050031D">
        <w:t>preliminary</w:t>
      </w:r>
      <w:r w:rsidRPr="00995EC4">
        <w:t xml:space="preserve"> decision X factors for upfront capital charge (per cent)</w:t>
      </w:r>
    </w:p>
    <w:tbl>
      <w:tblPr>
        <w:tblStyle w:val="AERtable-numbers"/>
        <w:tblW w:w="0" w:type="auto"/>
        <w:tblLook w:val="04A0" w:firstRow="1" w:lastRow="0" w:firstColumn="1" w:lastColumn="0" w:noHBand="0" w:noVBand="1"/>
      </w:tblPr>
      <w:tblGrid>
        <w:gridCol w:w="1458"/>
        <w:gridCol w:w="1469"/>
        <w:gridCol w:w="1469"/>
        <w:gridCol w:w="1469"/>
        <w:gridCol w:w="1469"/>
        <w:gridCol w:w="1359"/>
      </w:tblGrid>
      <w:tr w:rsidR="00995EC4" w:rsidRPr="001630F1" w:rsidTr="00995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995EC4" w:rsidRPr="00995EC4" w:rsidRDefault="00995EC4" w:rsidP="00995EC4"/>
        </w:tc>
        <w:tc>
          <w:tcPr>
            <w:tcW w:w="1469" w:type="dxa"/>
          </w:tcPr>
          <w:p w:rsidR="00995EC4" w:rsidRPr="00995EC4" w:rsidRDefault="00995EC4" w:rsidP="00995EC4">
            <w:pPr>
              <w:cnfStyle w:val="100000000000" w:firstRow="1" w:lastRow="0" w:firstColumn="0" w:lastColumn="0" w:oddVBand="0" w:evenVBand="0" w:oddHBand="0" w:evenHBand="0" w:firstRowFirstColumn="0" w:firstRowLastColumn="0" w:lastRowFirstColumn="0" w:lastRowLastColumn="0"/>
            </w:pPr>
            <w:r w:rsidRPr="00995EC4">
              <w:t>2015–16</w:t>
            </w:r>
          </w:p>
        </w:tc>
        <w:tc>
          <w:tcPr>
            <w:tcW w:w="1469" w:type="dxa"/>
          </w:tcPr>
          <w:p w:rsidR="00995EC4" w:rsidRPr="00995EC4" w:rsidRDefault="00995EC4" w:rsidP="00995EC4">
            <w:pPr>
              <w:cnfStyle w:val="100000000000" w:firstRow="1" w:lastRow="0" w:firstColumn="0" w:lastColumn="0" w:oddVBand="0" w:evenVBand="0" w:oddHBand="0" w:evenHBand="0" w:firstRowFirstColumn="0" w:firstRowLastColumn="0" w:lastRowFirstColumn="0" w:lastRowLastColumn="0"/>
            </w:pPr>
            <w:r w:rsidRPr="00995EC4">
              <w:t>2016–17</w:t>
            </w:r>
          </w:p>
        </w:tc>
        <w:tc>
          <w:tcPr>
            <w:tcW w:w="1469" w:type="dxa"/>
          </w:tcPr>
          <w:p w:rsidR="00995EC4" w:rsidRPr="00995EC4" w:rsidRDefault="00995EC4" w:rsidP="00995EC4">
            <w:pPr>
              <w:cnfStyle w:val="100000000000" w:firstRow="1" w:lastRow="0" w:firstColumn="0" w:lastColumn="0" w:oddVBand="0" w:evenVBand="0" w:oddHBand="0" w:evenHBand="0" w:firstRowFirstColumn="0" w:firstRowLastColumn="0" w:lastRowFirstColumn="0" w:lastRowLastColumn="0"/>
            </w:pPr>
            <w:r w:rsidRPr="00995EC4">
              <w:t>2017–18</w:t>
            </w:r>
          </w:p>
        </w:tc>
        <w:tc>
          <w:tcPr>
            <w:tcW w:w="1469" w:type="dxa"/>
          </w:tcPr>
          <w:p w:rsidR="00995EC4" w:rsidRPr="00995EC4" w:rsidRDefault="00995EC4" w:rsidP="00995EC4">
            <w:pPr>
              <w:cnfStyle w:val="100000000000" w:firstRow="1" w:lastRow="0" w:firstColumn="0" w:lastColumn="0" w:oddVBand="0" w:evenVBand="0" w:oddHBand="0" w:evenHBand="0" w:firstRowFirstColumn="0" w:firstRowLastColumn="0" w:lastRowFirstColumn="0" w:lastRowLastColumn="0"/>
            </w:pPr>
            <w:r w:rsidRPr="00995EC4">
              <w:t>2018–19</w:t>
            </w:r>
          </w:p>
        </w:tc>
        <w:tc>
          <w:tcPr>
            <w:tcW w:w="1359" w:type="dxa"/>
          </w:tcPr>
          <w:p w:rsidR="00995EC4" w:rsidRPr="00995EC4" w:rsidRDefault="00995EC4" w:rsidP="00995EC4">
            <w:pPr>
              <w:cnfStyle w:val="100000000000" w:firstRow="1" w:lastRow="0" w:firstColumn="0" w:lastColumn="0" w:oddVBand="0" w:evenVBand="0" w:oddHBand="0" w:evenHBand="0" w:firstRowFirstColumn="0" w:firstRowLastColumn="0" w:lastRowFirstColumn="0" w:lastRowLastColumn="0"/>
            </w:pPr>
            <w:r>
              <w:t>2019–20</w:t>
            </w:r>
          </w:p>
        </w:tc>
      </w:tr>
      <w:tr w:rsidR="00995EC4" w:rsidRPr="001630F1" w:rsidTr="00995EC4">
        <w:tc>
          <w:tcPr>
            <w:cnfStyle w:val="001000000000" w:firstRow="0" w:lastRow="0" w:firstColumn="1" w:lastColumn="0" w:oddVBand="0" w:evenVBand="0" w:oddHBand="0" w:evenHBand="0" w:firstRowFirstColumn="0" w:firstRowLastColumn="0" w:lastRowFirstColumn="0" w:lastRowLastColumn="0"/>
            <w:tcW w:w="1458" w:type="dxa"/>
          </w:tcPr>
          <w:p w:rsidR="00995EC4" w:rsidRPr="00995EC4" w:rsidRDefault="00995EC4" w:rsidP="00995EC4">
            <w:r w:rsidRPr="00995EC4">
              <w:t>X factor</w:t>
            </w:r>
          </w:p>
        </w:tc>
        <w:tc>
          <w:tcPr>
            <w:tcW w:w="1469" w:type="dxa"/>
            <w:vAlign w:val="bottom"/>
          </w:tcPr>
          <w:p w:rsidR="00995EC4" w:rsidRPr="00995EC4" w:rsidRDefault="00995EC4" w:rsidP="00995EC4">
            <w:pPr>
              <w:cnfStyle w:val="000000000000" w:firstRow="0" w:lastRow="0" w:firstColumn="0" w:lastColumn="0" w:oddVBand="0" w:evenVBand="0" w:oddHBand="0" w:evenHBand="0" w:firstRowFirstColumn="0" w:firstRowLastColumn="0" w:lastRowFirstColumn="0" w:lastRowLastColumn="0"/>
            </w:pPr>
            <w:r>
              <w:t>–0.22</w:t>
            </w:r>
          </w:p>
        </w:tc>
        <w:tc>
          <w:tcPr>
            <w:tcW w:w="1469" w:type="dxa"/>
            <w:vAlign w:val="bottom"/>
          </w:tcPr>
          <w:p w:rsidR="00995EC4" w:rsidRPr="00995EC4" w:rsidRDefault="00995EC4" w:rsidP="00995EC4">
            <w:pPr>
              <w:cnfStyle w:val="000000000000" w:firstRow="0" w:lastRow="0" w:firstColumn="0" w:lastColumn="0" w:oddVBand="0" w:evenVBand="0" w:oddHBand="0" w:evenHBand="0" w:firstRowFirstColumn="0" w:firstRowLastColumn="0" w:lastRowFirstColumn="0" w:lastRowLastColumn="0"/>
            </w:pPr>
            <w:r>
              <w:t>–0.44</w:t>
            </w:r>
          </w:p>
        </w:tc>
        <w:tc>
          <w:tcPr>
            <w:tcW w:w="1469" w:type="dxa"/>
            <w:vAlign w:val="bottom"/>
          </w:tcPr>
          <w:p w:rsidR="00995EC4" w:rsidRPr="00995EC4" w:rsidRDefault="00995EC4" w:rsidP="00995EC4">
            <w:pPr>
              <w:cnfStyle w:val="000000000000" w:firstRow="0" w:lastRow="0" w:firstColumn="0" w:lastColumn="0" w:oddVBand="0" w:evenVBand="0" w:oddHBand="0" w:evenHBand="0" w:firstRowFirstColumn="0" w:firstRowLastColumn="0" w:lastRowFirstColumn="0" w:lastRowLastColumn="0"/>
            </w:pPr>
            <w:r>
              <w:t>–0.43</w:t>
            </w:r>
          </w:p>
        </w:tc>
        <w:tc>
          <w:tcPr>
            <w:tcW w:w="1469" w:type="dxa"/>
            <w:vAlign w:val="bottom"/>
          </w:tcPr>
          <w:p w:rsidR="00995EC4" w:rsidRPr="00995EC4" w:rsidRDefault="00995EC4" w:rsidP="00995EC4">
            <w:pPr>
              <w:cnfStyle w:val="000000000000" w:firstRow="0" w:lastRow="0" w:firstColumn="0" w:lastColumn="0" w:oddVBand="0" w:evenVBand="0" w:oddHBand="0" w:evenHBand="0" w:firstRowFirstColumn="0" w:firstRowLastColumn="0" w:lastRowFirstColumn="0" w:lastRowLastColumn="0"/>
            </w:pPr>
            <w:r>
              <w:t>–0.44</w:t>
            </w:r>
          </w:p>
        </w:tc>
        <w:tc>
          <w:tcPr>
            <w:tcW w:w="1359" w:type="dxa"/>
          </w:tcPr>
          <w:p w:rsidR="00995EC4" w:rsidRPr="00995EC4" w:rsidRDefault="00995EC4" w:rsidP="00995EC4">
            <w:pPr>
              <w:cnfStyle w:val="000000000000" w:firstRow="0" w:lastRow="0" w:firstColumn="0" w:lastColumn="0" w:oddVBand="0" w:evenVBand="0" w:oddHBand="0" w:evenHBand="0" w:firstRowFirstColumn="0" w:firstRowLastColumn="0" w:lastRowFirstColumn="0" w:lastRowLastColumn="0"/>
            </w:pPr>
            <w:r>
              <w:t>–0.46</w:t>
            </w:r>
          </w:p>
        </w:tc>
      </w:tr>
    </w:tbl>
    <w:p w:rsidR="001F7575" w:rsidRPr="001F7575" w:rsidRDefault="00995EC4" w:rsidP="008D56F9">
      <w:pPr>
        <w:pStyle w:val="AERtablesource"/>
      </w:pPr>
      <w:r w:rsidRPr="00995EC4">
        <w:t>Source:</w:t>
      </w:r>
      <w:r w:rsidRPr="00995EC4">
        <w:tab/>
        <w:t>AER analysis</w:t>
      </w:r>
      <w:r w:rsidR="005470AF">
        <w:t>.</w:t>
      </w:r>
    </w:p>
    <w:sectPr w:rsidR="001F7575" w:rsidRPr="001F7575"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1D" w:rsidRPr="00290C63" w:rsidRDefault="0050031D" w:rsidP="00290C63">
      <w:r>
        <w:separator/>
      </w:r>
    </w:p>
    <w:p w:rsidR="0050031D" w:rsidRDefault="0050031D"/>
  </w:endnote>
  <w:endnote w:type="continuationSeparator" w:id="0">
    <w:p w:rsidR="0050031D" w:rsidRPr="00290C63" w:rsidRDefault="0050031D" w:rsidP="00290C63">
      <w:r>
        <w:continuationSeparator/>
      </w:r>
    </w:p>
    <w:p w:rsidR="0050031D" w:rsidRDefault="0050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1D" w:rsidRPr="00290C63" w:rsidRDefault="0050031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0031D" w:rsidRDefault="0050031D"/>
  <w:p w:rsidR="0050031D" w:rsidRDefault="0050031D"/>
  <w:p w:rsidR="0050031D" w:rsidRDefault="0050031D"/>
  <w:p w:rsidR="0050031D" w:rsidRDefault="0050031D"/>
  <w:p w:rsidR="0050031D" w:rsidRDefault="0050031D"/>
  <w:p w:rsidR="0050031D" w:rsidRDefault="0050031D"/>
  <w:p w:rsidR="0050031D" w:rsidRDefault="005003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50031D" w:rsidRDefault="0050031D">
        <w:pPr>
          <w:pStyle w:val="Footer"/>
        </w:pPr>
        <w:r>
          <w:t>16-</w:t>
        </w:r>
        <w:r>
          <w:fldChar w:fldCharType="begin"/>
        </w:r>
        <w:r>
          <w:instrText xml:space="preserve"> PAGE   \* MERGEFORMAT </w:instrText>
        </w:r>
        <w:r>
          <w:fldChar w:fldCharType="separate"/>
        </w:r>
        <w:r w:rsidR="00DA2823">
          <w:rPr>
            <w:noProof/>
          </w:rPr>
          <w:t>0</w:t>
        </w:r>
        <w:r>
          <w:rPr>
            <w:noProof/>
          </w:rPr>
          <w:fldChar w:fldCharType="end"/>
        </w:r>
        <w:r>
          <w:rPr>
            <w:noProof/>
          </w:rPr>
          <w:t xml:space="preserve">      </w:t>
        </w:r>
        <w:r>
          <w:t xml:space="preserve">           </w:t>
        </w:r>
        <w:r>
          <w:rPr>
            <w:noProof/>
          </w:rPr>
          <w:t xml:space="preserve">  Attachment 1</w:t>
        </w:r>
        <w:r>
          <w:t>6</w:t>
        </w:r>
        <w:r>
          <w:rPr>
            <w:noProof/>
          </w:rPr>
          <w:t xml:space="preserve"> </w:t>
        </w:r>
        <w:r>
          <w:rPr>
            <w:rFonts w:cs="Gautami"/>
            <w:noProof/>
          </w:rPr>
          <w:t xml:space="preserve">– </w:t>
        </w:r>
        <w:r>
          <w:t>Alternative control services</w:t>
        </w:r>
        <w:r>
          <w:rPr>
            <w:rFonts w:cs="Gautami"/>
            <w:noProof/>
          </w:rPr>
          <w:t xml:space="preserve"> | </w:t>
        </w:r>
        <w:r>
          <w:t>Ergon Energy</w:t>
        </w:r>
        <w:r>
          <w:rPr>
            <w:rFonts w:cs="Gautami"/>
            <w:noProof/>
          </w:rPr>
          <w:t xml:space="preserve"> determination 2015–20</w:t>
        </w:r>
      </w:p>
    </w:sdtContent>
  </w:sdt>
  <w:p w:rsidR="0050031D" w:rsidRDefault="00500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1D" w:rsidRPr="00290C63" w:rsidRDefault="0050031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0031D" w:rsidRDefault="0050031D">
    <w:pPr>
      <w:pStyle w:val="Footer"/>
    </w:pPr>
  </w:p>
  <w:p w:rsidR="0050031D" w:rsidRDefault="0050031D"/>
  <w:p w:rsidR="0050031D" w:rsidRDefault="0050031D"/>
  <w:p w:rsidR="0050031D" w:rsidRDefault="0050031D"/>
  <w:p w:rsidR="0050031D" w:rsidRDefault="0050031D"/>
  <w:p w:rsidR="0050031D" w:rsidRDefault="0050031D"/>
  <w:p w:rsidR="0050031D" w:rsidRDefault="0050031D"/>
  <w:p w:rsidR="0050031D" w:rsidRDefault="005003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1D" w:rsidRPr="00290C63" w:rsidRDefault="0050031D" w:rsidP="00290C63">
      <w:r>
        <w:separator/>
      </w:r>
    </w:p>
    <w:p w:rsidR="0050031D" w:rsidRDefault="0050031D"/>
  </w:footnote>
  <w:footnote w:type="continuationSeparator" w:id="0">
    <w:p w:rsidR="0050031D" w:rsidRPr="00290C63" w:rsidRDefault="0050031D" w:rsidP="00290C63">
      <w:r>
        <w:continuationSeparator/>
      </w:r>
    </w:p>
    <w:p w:rsidR="0050031D" w:rsidRDefault="0050031D"/>
  </w:footnote>
  <w:footnote w:id="1">
    <w:p w:rsidR="0050031D" w:rsidRDefault="0050031D" w:rsidP="00C31DC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45.</w:t>
      </w:r>
    </w:p>
  </w:footnote>
  <w:footnote w:id="2">
    <w:p w:rsidR="0050031D" w:rsidRDefault="0050031D" w:rsidP="00C31DC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46.</w:t>
      </w:r>
    </w:p>
  </w:footnote>
  <w:footnote w:id="3">
    <w:p w:rsidR="0050031D" w:rsidRDefault="0050031D" w:rsidP="00C31DC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67.</w:t>
      </w:r>
    </w:p>
  </w:footnote>
  <w:footnote w:id="4">
    <w:p w:rsidR="0050031D" w:rsidRDefault="0050031D" w:rsidP="00C31DC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65; Ergon Energy</w:t>
      </w:r>
      <w:r w:rsidRPr="009503B1">
        <w:t xml:space="preserve">, </w:t>
      </w:r>
      <w:r>
        <w:rPr>
          <w:rStyle w:val="AERtextitalic"/>
        </w:rPr>
        <w:t>Regulatory</w:t>
      </w:r>
      <w:r w:rsidRPr="00DA2343">
        <w:rPr>
          <w:rStyle w:val="AERtextitalic"/>
        </w:rPr>
        <w:t xml:space="preserve"> proposal 2015-</w:t>
      </w:r>
      <w:r>
        <w:rPr>
          <w:rStyle w:val="AERtextitalic"/>
        </w:rPr>
        <w:t>20</w:t>
      </w:r>
      <w:r w:rsidRPr="009503B1">
        <w:t xml:space="preserve">, </w:t>
      </w:r>
      <w:r>
        <w:t>31 October</w:t>
      </w:r>
      <w:r w:rsidRPr="009503B1">
        <w:t xml:space="preserve"> 2014, p. </w:t>
      </w:r>
      <w:r>
        <w:t>46.</w:t>
      </w:r>
    </w:p>
    <w:p w:rsidR="0050031D" w:rsidRDefault="0050031D" w:rsidP="00C31DC4">
      <w:pPr>
        <w:pStyle w:val="FootnoteText"/>
      </w:pPr>
    </w:p>
  </w:footnote>
  <w:footnote w:id="5">
    <w:p w:rsidR="0050031D" w:rsidRDefault="0050031D" w:rsidP="00C31DC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67.</w:t>
      </w:r>
    </w:p>
  </w:footnote>
  <w:footnote w:id="6">
    <w:p w:rsidR="0050031D" w:rsidRDefault="0050031D" w:rsidP="00C31DC4">
      <w:pPr>
        <w:pStyle w:val="FootnoteText"/>
        <w:ind w:left="0" w:firstLine="0"/>
      </w:pPr>
    </w:p>
    <w:p w:rsidR="0050031D" w:rsidRDefault="0050031D" w:rsidP="00C31DC4">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67–68.</w:t>
      </w:r>
    </w:p>
  </w:footnote>
  <w:footnote w:id="7">
    <w:p w:rsidR="0050031D" w:rsidRDefault="0050031D" w:rsidP="00250358">
      <w:pPr>
        <w:pStyle w:val="FootnoteText"/>
      </w:pPr>
      <w:r>
        <w:rPr>
          <w:rStyle w:val="FootnoteReference"/>
        </w:rPr>
        <w:footnoteRef/>
      </w:r>
      <w:r>
        <w:t xml:space="preserve"> </w:t>
      </w:r>
      <w:r>
        <w:tab/>
        <w:t xml:space="preserve">The definition of X and </w:t>
      </w:r>
      <w:r>
        <w:rPr>
          <w:rFonts w:cs="Arial"/>
        </w:rPr>
        <w:t>∆</w:t>
      </w:r>
      <w:r>
        <w:t xml:space="preserve">CPI for </w:t>
      </w:r>
      <w:r>
        <w:fldChar w:fldCharType="begin"/>
      </w:r>
      <w:r>
        <w:instrText xml:space="preserve"> REF _Ref416342050 \h </w:instrText>
      </w:r>
      <w:r>
        <w:fldChar w:fldCharType="separate"/>
      </w:r>
      <w:r w:rsidRPr="00C31DC4">
        <w:t xml:space="preserve">Figure </w:t>
      </w:r>
      <w:r>
        <w:rPr>
          <w:noProof/>
        </w:rPr>
        <w:t>16</w:t>
      </w:r>
      <w:r>
        <w:t>.</w:t>
      </w:r>
      <w:r>
        <w:rPr>
          <w:noProof/>
        </w:rPr>
        <w:t>2</w:t>
      </w:r>
      <w:r>
        <w:fldChar w:fldCharType="end"/>
      </w:r>
      <w:r>
        <w:t xml:space="preserve"> are the same as for </w:t>
      </w:r>
      <w:r>
        <w:fldChar w:fldCharType="begin"/>
      </w:r>
      <w:r>
        <w:instrText xml:space="preserve"> REF _Ref416342037 \h </w:instrText>
      </w:r>
      <w:r>
        <w:fldChar w:fldCharType="separate"/>
      </w:r>
      <w:r w:rsidRPr="00C31DC4">
        <w:t xml:space="preserve">Figure </w:t>
      </w:r>
      <w:r>
        <w:rPr>
          <w:noProof/>
        </w:rPr>
        <w:t>16</w:t>
      </w:r>
      <w:r>
        <w:t>.</w:t>
      </w:r>
      <w:r>
        <w:rPr>
          <w:noProof/>
        </w:rPr>
        <w:t>1</w:t>
      </w:r>
      <w:r>
        <w:fldChar w:fldCharType="end"/>
      </w:r>
      <w:r>
        <w:t>.</w:t>
      </w:r>
    </w:p>
  </w:footnote>
  <w:footnote w:id="8">
    <w:p w:rsidR="0050031D" w:rsidRDefault="0050031D" w:rsidP="00C31DC4">
      <w:pPr>
        <w:pStyle w:val="FootnoteText"/>
      </w:pPr>
      <w:r>
        <w:rPr>
          <w:rStyle w:val="FootnoteReference"/>
        </w:rPr>
        <w:footnoteRef/>
      </w:r>
      <w:r>
        <w:t xml:space="preserve"> </w:t>
      </w:r>
      <w:r>
        <w:tab/>
        <w:t>Ergon Energy</w:t>
      </w:r>
      <w:r w:rsidRPr="009503B1">
        <w:t xml:space="preserve">, </w:t>
      </w:r>
      <w:r>
        <w:rPr>
          <w:rStyle w:val="AERtextitalic"/>
        </w:rPr>
        <w:t>Regulatory</w:t>
      </w:r>
      <w:r w:rsidRPr="00DA2343">
        <w:rPr>
          <w:rStyle w:val="AERtextitalic"/>
        </w:rPr>
        <w:t xml:space="preserve"> proposal 2015-</w:t>
      </w:r>
      <w:r>
        <w:rPr>
          <w:rStyle w:val="AERtextitalic"/>
        </w:rPr>
        <w:t>20</w:t>
      </w:r>
      <w:r w:rsidRPr="009503B1">
        <w:t xml:space="preserve">, </w:t>
      </w:r>
      <w:r>
        <w:t>31 October</w:t>
      </w:r>
      <w:r w:rsidRPr="009503B1">
        <w:t xml:space="preserve"> 2014, p. </w:t>
      </w:r>
      <w:r>
        <w:t>46.</w:t>
      </w:r>
      <w:r w:rsidRPr="009503B1">
        <w:t xml:space="preserve"> </w:t>
      </w:r>
    </w:p>
  </w:footnote>
  <w:footnote w:id="9">
    <w:p w:rsidR="0050031D" w:rsidRDefault="0050031D" w:rsidP="00C31DC4">
      <w:pPr>
        <w:pStyle w:val="FootnoteText"/>
      </w:pPr>
      <w:r>
        <w:rPr>
          <w:rStyle w:val="FootnoteReference"/>
        </w:rPr>
        <w:footnoteRef/>
      </w:r>
      <w:r>
        <w:t xml:space="preserve"> </w:t>
      </w:r>
      <w:r>
        <w:tab/>
        <w:t>Ergon Energy</w:t>
      </w:r>
      <w:r w:rsidRPr="009503B1">
        <w:t xml:space="preserve">, </w:t>
      </w:r>
      <w:r>
        <w:rPr>
          <w:rStyle w:val="AERtextitalic"/>
        </w:rPr>
        <w:t>Regulatory</w:t>
      </w:r>
      <w:r w:rsidRPr="00DA2343">
        <w:rPr>
          <w:rStyle w:val="AERtextitalic"/>
        </w:rPr>
        <w:t xml:space="preserve"> proposal 2015-</w:t>
      </w:r>
      <w:r>
        <w:rPr>
          <w:rStyle w:val="AERtextitalic"/>
        </w:rPr>
        <w:t>20</w:t>
      </w:r>
      <w:r w:rsidRPr="009503B1">
        <w:t xml:space="preserve">, </w:t>
      </w:r>
      <w:r>
        <w:t>31 October</w:t>
      </w:r>
      <w:r w:rsidRPr="009503B1">
        <w:t xml:space="preserve"> 2014, p. </w:t>
      </w:r>
      <w:r>
        <w:t>47.</w:t>
      </w:r>
      <w:r w:rsidRPr="009503B1">
        <w:t xml:space="preserve"> </w:t>
      </w:r>
    </w:p>
  </w:footnote>
  <w:footnote w:id="10">
    <w:p w:rsidR="0050031D" w:rsidRDefault="0050031D" w:rsidP="00C31DC4">
      <w:pPr>
        <w:pStyle w:val="FootnoteText"/>
      </w:pPr>
      <w:r>
        <w:rPr>
          <w:rStyle w:val="FootnoteReference"/>
        </w:rPr>
        <w:footnoteRef/>
      </w:r>
      <w:r>
        <w:t xml:space="preserve"> </w:t>
      </w:r>
      <w:r>
        <w:tab/>
        <w:t>Ergon Energy</w:t>
      </w:r>
      <w:r w:rsidRPr="009503B1">
        <w:t xml:space="preserve">, </w:t>
      </w:r>
      <w:r>
        <w:rPr>
          <w:rStyle w:val="AERtextitalic"/>
        </w:rPr>
        <w:t>Regulatory</w:t>
      </w:r>
      <w:r w:rsidRPr="00DA2343">
        <w:rPr>
          <w:rStyle w:val="AERtextitalic"/>
        </w:rPr>
        <w:t xml:space="preserve"> proposal 2015</w:t>
      </w:r>
      <w:r>
        <w:rPr>
          <w:rStyle w:val="AERtextitalic"/>
        </w:rPr>
        <w:t>–20</w:t>
      </w:r>
      <w:r w:rsidRPr="009503B1">
        <w:t xml:space="preserve">, </w:t>
      </w:r>
      <w:r>
        <w:t>31 October</w:t>
      </w:r>
      <w:r w:rsidRPr="009503B1">
        <w:t xml:space="preserve"> 2014, p</w:t>
      </w:r>
      <w:r>
        <w:t>p. 45–62; Ergon Energy</w:t>
      </w:r>
      <w:r w:rsidRPr="009503B1">
        <w:t xml:space="preserve">, </w:t>
      </w:r>
      <w:r>
        <w:rPr>
          <w:rStyle w:val="AERtextitalic"/>
        </w:rPr>
        <w:t>Regulatory</w:t>
      </w:r>
      <w:r w:rsidRPr="00DA2343">
        <w:rPr>
          <w:rStyle w:val="AERtextitalic"/>
        </w:rPr>
        <w:t xml:space="preserve"> proposal 2015</w:t>
      </w:r>
      <w:r>
        <w:rPr>
          <w:rStyle w:val="AERtextitalic"/>
        </w:rPr>
        <w:t>–20—05.05.01: Inputs and assumptions for alternative control services</w:t>
      </w:r>
      <w:r w:rsidRPr="009503B1">
        <w:t xml:space="preserve">, </w:t>
      </w:r>
      <w:r>
        <w:t>31 October 2014, pp. 1–36.</w:t>
      </w:r>
    </w:p>
  </w:footnote>
  <w:footnote w:id="11">
    <w:p w:rsidR="0050031D" w:rsidRDefault="0050031D" w:rsidP="00C31DC4">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2">
    <w:p w:rsidR="0050031D" w:rsidRDefault="0050031D" w:rsidP="00250358">
      <w:pPr>
        <w:pStyle w:val="FootnoteText"/>
      </w:pPr>
      <w:r>
        <w:rPr>
          <w:rStyle w:val="FootnoteReference"/>
        </w:rPr>
        <w:footnoteRef/>
      </w:r>
      <w:r>
        <w:t xml:space="preserve"> </w:t>
      </w:r>
      <w:r>
        <w:tab/>
        <w:t>NEL, s7A and 16</w:t>
      </w:r>
    </w:p>
  </w:footnote>
  <w:footnote w:id="13">
    <w:p w:rsidR="0050031D" w:rsidRDefault="0050031D" w:rsidP="00C31DC4">
      <w:pPr>
        <w:pStyle w:val="FootnoteText"/>
      </w:pPr>
      <w:r>
        <w:rPr>
          <w:rStyle w:val="FootnoteReference"/>
        </w:rPr>
        <w:footnoteRef/>
      </w:r>
      <w:r>
        <w:t xml:space="preserve"> </w:t>
      </w:r>
      <w:r>
        <w:tab/>
      </w:r>
      <w:r w:rsidRPr="009725BF">
        <w:t>Deloitte</w:t>
      </w:r>
      <w:r>
        <w:t xml:space="preserve"> Access Economics</w:t>
      </w:r>
      <w:r w:rsidRPr="009725BF">
        <w:t xml:space="preserve">, </w:t>
      </w:r>
      <w:r w:rsidRPr="009725BF">
        <w:rPr>
          <w:rStyle w:val="AERtextitalic"/>
        </w:rPr>
        <w:t>NSW distribution network service providers labour analysis–Addendum to 2014 report</w:t>
      </w:r>
      <w:r w:rsidRPr="009725BF">
        <w:t>, April 2015.</w:t>
      </w:r>
    </w:p>
  </w:footnote>
  <w:footnote w:id="14">
    <w:p w:rsidR="0050031D" w:rsidRDefault="0050031D" w:rsidP="00221DC4">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221DC4">
        <w:rPr>
          <w:rStyle w:val="Hyperlink"/>
          <w:color w:val="auto"/>
          <w:sz w:val="16"/>
          <w:u w:val="none"/>
        </w:rPr>
        <w:t>.</w:t>
      </w:r>
    </w:p>
  </w:footnote>
  <w:footnote w:id="15">
    <w:p w:rsidR="0050031D" w:rsidRPr="00B87258" w:rsidRDefault="0050031D" w:rsidP="00C31DC4">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16">
    <w:p w:rsidR="0050031D" w:rsidRPr="00D33A91" w:rsidRDefault="0050031D" w:rsidP="00C31DC4">
      <w:pPr>
        <w:pStyle w:val="FootnoteText"/>
      </w:pPr>
      <w:r>
        <w:rPr>
          <w:rStyle w:val="FootnoteReference"/>
        </w:rPr>
        <w:footnoteRef/>
      </w:r>
      <w:r>
        <w:t xml:space="preserve"> </w:t>
      </w:r>
      <w:r>
        <w:tab/>
        <w:t xml:space="preserve">Hays, </w:t>
      </w:r>
      <w:proofErr w:type="gramStart"/>
      <w:r>
        <w:rPr>
          <w:i/>
        </w:rPr>
        <w:t>The</w:t>
      </w:r>
      <w:proofErr w:type="gramEnd"/>
      <w:r>
        <w:rPr>
          <w:i/>
        </w:rPr>
        <w:t xml:space="preserve"> 2014 Hays salary guide: salary &amp; recruiting trends</w:t>
      </w:r>
      <w:r>
        <w:t>, 2014.</w:t>
      </w:r>
    </w:p>
  </w:footnote>
  <w:footnote w:id="17">
    <w:p w:rsidR="0050031D" w:rsidRPr="00D33A91" w:rsidRDefault="0050031D" w:rsidP="00C31DC4">
      <w:pPr>
        <w:pStyle w:val="FootnoteText"/>
      </w:pPr>
      <w:r>
        <w:rPr>
          <w:rStyle w:val="FootnoteReference"/>
        </w:rPr>
        <w:footnoteRef/>
      </w:r>
      <w:r>
        <w:t xml:space="preserve"> </w:t>
      </w:r>
      <w:r>
        <w:tab/>
        <w:t xml:space="preserve">Hays, </w:t>
      </w:r>
      <w:proofErr w:type="gramStart"/>
      <w:r>
        <w:rPr>
          <w:i/>
        </w:rPr>
        <w:t>The</w:t>
      </w:r>
      <w:proofErr w:type="gramEnd"/>
      <w:r>
        <w:rPr>
          <w:i/>
        </w:rPr>
        <w:t xml:space="preserve"> 2014 Hays salary guide: salary &amp; recruiting trends</w:t>
      </w:r>
      <w:r>
        <w:t>, 2014.</w:t>
      </w:r>
    </w:p>
  </w:footnote>
  <w:footnote w:id="18">
    <w:p w:rsidR="0050031D" w:rsidRDefault="0050031D" w:rsidP="00C31DC4">
      <w:pPr>
        <w:pStyle w:val="FootnoteText"/>
      </w:pPr>
      <w:r>
        <w:rPr>
          <w:rStyle w:val="FootnoteReference"/>
        </w:rPr>
        <w:footnoteRef/>
      </w:r>
      <w:r>
        <w:t xml:space="preserve"> </w:t>
      </w:r>
      <w:r>
        <w:tab/>
      </w:r>
      <w:r w:rsidRPr="008A204B">
        <w:rPr>
          <w:rStyle w:val="AERtexthighlight"/>
          <w:shd w:val="clear" w:color="auto" w:fill="auto"/>
        </w:rPr>
        <w:t xml:space="preserve">Ergon Energy, </w:t>
      </w:r>
      <w:r w:rsidRPr="008A204B">
        <w:rPr>
          <w:rStyle w:val="Emphasis"/>
        </w:rPr>
        <w:t>Ergon Energy Union Collective Agreement 2011</w:t>
      </w:r>
      <w:r w:rsidRPr="008A204B">
        <w:rPr>
          <w:rStyle w:val="AERtexthighlight"/>
          <w:shd w:val="clear" w:color="auto" w:fill="auto"/>
        </w:rPr>
        <w:t>, pp. 70-92.</w:t>
      </w:r>
    </w:p>
  </w:footnote>
  <w:footnote w:id="19">
    <w:p w:rsidR="0050031D" w:rsidRPr="0049041C" w:rsidRDefault="0050031D" w:rsidP="00C31DC4">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0">
    <w:p w:rsidR="0050031D" w:rsidRDefault="0050031D" w:rsidP="00C31DC4">
      <w:pPr>
        <w:pStyle w:val="FootnoteText"/>
      </w:pPr>
      <w:r>
        <w:rPr>
          <w:rStyle w:val="FootnoteReference"/>
        </w:rPr>
        <w:footnoteRef/>
      </w:r>
      <w:r>
        <w:t xml:space="preserve"> </w:t>
      </w:r>
      <w:r>
        <w:tab/>
        <w:t xml:space="preserve">Marsden Jacob Associates, </w:t>
      </w:r>
      <w:r w:rsidRPr="00C31DC4">
        <w:rPr>
          <w:rStyle w:val="AERtextitalic"/>
        </w:rPr>
        <w:t>Provision of advice in relation to alternative control services—advice prepared for the Australian Energy Regulator</w:t>
      </w:r>
      <w:r>
        <w:t>, 20 October 2014, p. 5.</w:t>
      </w:r>
    </w:p>
  </w:footnote>
  <w:footnote w:id="21">
    <w:p w:rsidR="0050031D" w:rsidRDefault="0050031D" w:rsidP="00AB76E0">
      <w:pPr>
        <w:pStyle w:val="FootnoteText"/>
      </w:pPr>
      <w:r>
        <w:rPr>
          <w:rStyle w:val="FootnoteReference"/>
        </w:rPr>
        <w:footnoteRef/>
      </w:r>
      <w:r>
        <w:t xml:space="preserve"> </w:t>
      </w:r>
      <w:r>
        <w:tab/>
      </w:r>
      <w:r w:rsidRPr="00AB76E0">
        <w:t xml:space="preserve">Ergon Energy, </w:t>
      </w:r>
      <w:r w:rsidRPr="00AB76E0">
        <w:rPr>
          <w:rStyle w:val="AERtextitalic"/>
        </w:rPr>
        <w:t>Regulatory proposal 2015-20: 05.06.02—fixed fee services model</w:t>
      </w:r>
      <w:r w:rsidRPr="00AB76E0">
        <w:t xml:space="preserve">, 31 October 2014 (CONFIDENTIAL); Ergon Energy, </w:t>
      </w:r>
      <w:r w:rsidRPr="00AB76E0">
        <w:rPr>
          <w:rStyle w:val="AERtextitalic"/>
        </w:rPr>
        <w:t>Regulatory proposal 2015-20: 05.06.03—quoted price services model</w:t>
      </w:r>
      <w:r w:rsidRPr="00AB76E0">
        <w:t xml:space="preserve">, 31 October 2014 (CONFIDENTIAL); Energex, </w:t>
      </w:r>
      <w:r w:rsidRPr="00AB76E0">
        <w:rPr>
          <w:rStyle w:val="AERtextitalic"/>
        </w:rPr>
        <w:t>Regulatory proposal 2015-20: Alternative control services costing model</w:t>
      </w:r>
      <w:r w:rsidRPr="00AB76E0">
        <w:t>, 31 October 2014 (CONFIDENTIAL).</w:t>
      </w:r>
    </w:p>
  </w:footnote>
  <w:footnote w:id="22">
    <w:p w:rsidR="0050031D" w:rsidRPr="0049041C" w:rsidRDefault="0050031D" w:rsidP="00C31DC4">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3">
    <w:p w:rsidR="0050031D" w:rsidRDefault="0050031D" w:rsidP="00250358">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24">
    <w:p w:rsidR="0050031D" w:rsidRDefault="0050031D" w:rsidP="00250358">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25">
    <w:p w:rsidR="0050031D" w:rsidRDefault="0050031D" w:rsidP="000B1D07">
      <w:pPr>
        <w:pStyle w:val="FootnoteText"/>
      </w:pPr>
      <w:r>
        <w:rPr>
          <w:rStyle w:val="FootnoteReference"/>
        </w:rPr>
        <w:footnoteRef/>
      </w:r>
      <w:r>
        <w:t xml:space="preserve"> </w:t>
      </w:r>
      <w:r>
        <w:tab/>
      </w:r>
      <w:proofErr w:type="gramStart"/>
      <w:r w:rsidRPr="009C43CC">
        <w:t>NER clause 7.2.3(a)</w:t>
      </w:r>
      <w:r>
        <w:t>.</w:t>
      </w:r>
      <w:proofErr w:type="gramEnd"/>
      <w:r>
        <w:t xml:space="preserve"> </w:t>
      </w:r>
      <w:proofErr w:type="gramStart"/>
      <w:r>
        <w:t>Small customers refers</w:t>
      </w:r>
      <w:proofErr w:type="gramEnd"/>
      <w:r>
        <w:t xml:space="preserve"> to any customer with less than 160MWh annual consumption (effectively all residential and small business customers fall into this category).</w:t>
      </w:r>
    </w:p>
  </w:footnote>
  <w:footnote w:id="26">
    <w:p w:rsidR="0050031D" w:rsidRDefault="0050031D" w:rsidP="000B1D07">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27">
    <w:p w:rsidR="0050031D" w:rsidRDefault="0050031D" w:rsidP="000B1D07">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28">
    <w:p w:rsidR="0050031D" w:rsidRDefault="0050031D" w:rsidP="000B1D07">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29">
    <w:p w:rsidR="0050031D" w:rsidRDefault="0050031D" w:rsidP="000B1D07">
      <w:pPr>
        <w:pStyle w:val="FootnoteText"/>
      </w:pPr>
      <w:r>
        <w:rPr>
          <w:rStyle w:val="FootnoteReference"/>
        </w:rPr>
        <w:footnoteRef/>
      </w:r>
      <w:r>
        <w:t xml:space="preserve"> </w:t>
      </w:r>
      <w:r>
        <w:tab/>
      </w:r>
      <w:proofErr w:type="gramStart"/>
      <w:r>
        <w:t xml:space="preserve">AER, </w:t>
      </w:r>
      <w:r w:rsidRPr="00F11476">
        <w:rPr>
          <w:rStyle w:val="AERtextitalic"/>
        </w:rPr>
        <w:t>Final framework and approach for Energex and Ergon Energy</w:t>
      </w:r>
      <w:r>
        <w:t>,</w:t>
      </w:r>
      <w:r w:rsidRPr="009164B7">
        <w:t xml:space="preserve"> April 2014</w:t>
      </w:r>
      <w:r>
        <w:t>.</w:t>
      </w:r>
      <w:proofErr w:type="gramEnd"/>
      <w:r>
        <w:t xml:space="preserve"> p. 21</w:t>
      </w:r>
    </w:p>
  </w:footnote>
  <w:footnote w:id="30">
    <w:p w:rsidR="0050031D" w:rsidRDefault="0050031D" w:rsidP="000B1D07">
      <w:pPr>
        <w:pStyle w:val="FootnoteText"/>
      </w:pPr>
      <w:r>
        <w:rPr>
          <w:rStyle w:val="FootnoteReference"/>
        </w:rPr>
        <w:footnoteRef/>
      </w:r>
      <w:r>
        <w:t xml:space="preserve"> </w:t>
      </w:r>
      <w:r>
        <w:tab/>
      </w:r>
      <w:proofErr w:type="gramStart"/>
      <w:r w:rsidRPr="00F11476">
        <w:t xml:space="preserve">AER, </w:t>
      </w:r>
      <w:r w:rsidRPr="00F11476">
        <w:rPr>
          <w:rStyle w:val="AERtextitalic"/>
        </w:rPr>
        <w:t>Final framework and approach for Energex and Ergon Energy</w:t>
      </w:r>
      <w:r w:rsidRPr="00F11476">
        <w:t>, April 2014.</w:t>
      </w:r>
      <w:proofErr w:type="gramEnd"/>
      <w:r w:rsidRPr="00F11476">
        <w:t xml:space="preserve"> p. 52</w:t>
      </w:r>
    </w:p>
  </w:footnote>
  <w:footnote w:id="31">
    <w:p w:rsidR="0050031D" w:rsidRDefault="0050031D" w:rsidP="000B1D07">
      <w:pPr>
        <w:pStyle w:val="FootnoteText"/>
      </w:pPr>
      <w:r>
        <w:rPr>
          <w:rStyle w:val="FootnoteReference"/>
        </w:rPr>
        <w:footnoteRef/>
      </w:r>
      <w:r>
        <w:t xml:space="preserve"> </w:t>
      </w:r>
      <w:r>
        <w:tab/>
        <w:t>The MAB is largely the undepreciated value of all existing meters. It will increase slightly in the 2015–20 regulatory control period to include forecast replacement capex. A meter has to be replaced if it suddenly fails or may have to be proactively replaced because the distributor must comply with AEMO's metrology procedures.</w:t>
      </w:r>
    </w:p>
  </w:footnote>
  <w:footnote w:id="32">
    <w:p w:rsidR="0050031D" w:rsidRDefault="0050031D" w:rsidP="000B1D07">
      <w:pPr>
        <w:pStyle w:val="FootnoteText"/>
      </w:pPr>
      <w:r>
        <w:rPr>
          <w:rStyle w:val="FootnoteReference"/>
        </w:rPr>
        <w:footnoteRef/>
      </w:r>
      <w:r>
        <w:t xml:space="preserve"> </w:t>
      </w:r>
      <w:r>
        <w:tab/>
        <w:t>Ergon Energy, Regulatory proposal, November 2014, p. 48.</w:t>
      </w:r>
    </w:p>
  </w:footnote>
  <w:footnote w:id="33">
    <w:p w:rsidR="0050031D" w:rsidRDefault="0050031D" w:rsidP="000B1D07">
      <w:pPr>
        <w:pStyle w:val="FootnoteText"/>
      </w:pPr>
      <w:r>
        <w:rPr>
          <w:rStyle w:val="FootnoteReference"/>
        </w:rPr>
        <w:footnoteRef/>
      </w:r>
      <w:r>
        <w:t xml:space="preserve"> </w:t>
      </w:r>
      <w:r>
        <w:tab/>
      </w:r>
      <w:proofErr w:type="gramStart"/>
      <w:r>
        <w:t xml:space="preserve">AER, </w:t>
      </w:r>
      <w:r w:rsidRPr="00F94A1F">
        <w:rPr>
          <w:rStyle w:val="AERtextitalic"/>
        </w:rPr>
        <w:t>Final framework for Energex and Ergon Energy</w:t>
      </w:r>
      <w:r>
        <w:t>, April 2014, p. 52.</w:t>
      </w:r>
      <w:proofErr w:type="gramEnd"/>
    </w:p>
  </w:footnote>
  <w:footnote w:id="34">
    <w:p w:rsidR="0050031D" w:rsidRDefault="0050031D" w:rsidP="000B1D07">
      <w:pPr>
        <w:pStyle w:val="FootnoteText"/>
      </w:pPr>
      <w:r>
        <w:rPr>
          <w:rStyle w:val="FootnoteReference"/>
        </w:rPr>
        <w:footnoteRef/>
      </w:r>
      <w:r>
        <w:t xml:space="preserve"> </w:t>
      </w:r>
      <w:r>
        <w:tab/>
      </w:r>
      <w:proofErr w:type="gramStart"/>
      <w:r>
        <w:t xml:space="preserve">AER, </w:t>
      </w:r>
      <w:r w:rsidRPr="00F94A1F">
        <w:rPr>
          <w:rStyle w:val="AERtextitalic"/>
        </w:rPr>
        <w:t>Final framework for Energex and Ergon Energy</w:t>
      </w:r>
      <w:r>
        <w:t>, April 2014, p. 45.</w:t>
      </w:r>
      <w:proofErr w:type="gramEnd"/>
      <w:r>
        <w:t xml:space="preserve"> </w:t>
      </w:r>
    </w:p>
  </w:footnote>
  <w:footnote w:id="35">
    <w:p w:rsidR="0050031D" w:rsidRDefault="0050031D" w:rsidP="000B1D07">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36">
    <w:p w:rsidR="0050031D" w:rsidRDefault="0050031D" w:rsidP="000B1D07">
      <w:pPr>
        <w:pStyle w:val="FootnoteText"/>
      </w:pPr>
      <w:r>
        <w:rPr>
          <w:rStyle w:val="FootnoteReference"/>
        </w:rPr>
        <w:footnoteRef/>
      </w:r>
      <w:r>
        <w:t xml:space="preserve"> </w:t>
      </w:r>
      <w:r>
        <w:tab/>
      </w:r>
      <w:proofErr w:type="gramStart"/>
      <w:r>
        <w:t>NER, cl. 6.2.2(c) and cl. 6.2.5(d).</w:t>
      </w:r>
      <w:proofErr w:type="gramEnd"/>
    </w:p>
  </w:footnote>
  <w:footnote w:id="37">
    <w:p w:rsidR="0050031D" w:rsidRDefault="0050031D" w:rsidP="000B1D07">
      <w:pPr>
        <w:pStyle w:val="FootnoteText"/>
        <w:tabs>
          <w:tab w:val="left" w:pos="284"/>
        </w:tabs>
      </w:pPr>
      <w:r>
        <w:rPr>
          <w:rStyle w:val="FootnoteReference"/>
        </w:rPr>
        <w:footnoteRef/>
      </w:r>
      <w:r>
        <w:t xml:space="preserve"> </w:t>
      </w:r>
      <w:r>
        <w:tab/>
      </w:r>
      <w:r>
        <w:tab/>
      </w:r>
      <w:proofErr w:type="gramStart"/>
      <w:r>
        <w:t>NEL, Revenue and Pricing Principles, 7A (2).</w:t>
      </w:r>
      <w:proofErr w:type="gramEnd"/>
    </w:p>
  </w:footnote>
  <w:footnote w:id="38">
    <w:p w:rsidR="0050031D" w:rsidRDefault="0050031D" w:rsidP="000B1D07">
      <w:pPr>
        <w:pStyle w:val="FootnoteText"/>
      </w:pPr>
      <w:r>
        <w:rPr>
          <w:rStyle w:val="FootnoteReference"/>
        </w:rPr>
        <w:footnoteRef/>
      </w:r>
      <w:r>
        <w:t xml:space="preserve"> </w:t>
      </w:r>
      <w:r>
        <w:tab/>
        <w:t xml:space="preserve">AER, </w:t>
      </w:r>
      <w:r w:rsidRPr="001D1F2B">
        <w:t>Economic benchmarking RIN</w:t>
      </w:r>
      <w:r>
        <w:t xml:space="preserve"> f</w:t>
      </w:r>
      <w:r w:rsidRPr="001D1F2B">
        <w:t>or distribution network service providers</w:t>
      </w:r>
      <w:r>
        <w:t xml:space="preserve"> - Instructions and Definitions - Sample, November 2013.</w:t>
      </w:r>
    </w:p>
  </w:footnote>
  <w:footnote w:id="39">
    <w:p w:rsidR="0050031D" w:rsidRDefault="0050031D" w:rsidP="000B1D07">
      <w:pPr>
        <w:pStyle w:val="FootnoteText"/>
      </w:pPr>
      <w:r>
        <w:rPr>
          <w:rStyle w:val="FootnoteReference"/>
        </w:rPr>
        <w:footnoteRef/>
      </w:r>
      <w:r>
        <w:t xml:space="preserve"> </w:t>
      </w:r>
      <w:r>
        <w:tab/>
      </w:r>
      <w:proofErr w:type="gramStart"/>
      <w:r>
        <w:t>NER, clause 6.5.6(c).</w:t>
      </w:r>
      <w:proofErr w:type="gramEnd"/>
    </w:p>
  </w:footnote>
  <w:footnote w:id="40">
    <w:p w:rsidR="0050031D" w:rsidRDefault="0050031D" w:rsidP="000B1D07">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41">
    <w:p w:rsidR="0050031D" w:rsidRDefault="0050031D" w:rsidP="000B1D07">
      <w:pPr>
        <w:pStyle w:val="FootnoteText"/>
      </w:pPr>
      <w:r>
        <w:rPr>
          <w:rStyle w:val="FootnoteReference"/>
        </w:rPr>
        <w:footnoteRef/>
      </w:r>
      <w:r>
        <w:t xml:space="preserve"> </w:t>
      </w:r>
      <w:r>
        <w:tab/>
      </w:r>
      <w:proofErr w:type="gramStart"/>
      <w:r>
        <w:t>NER, cl. 6.5.6 and 6.5.7.</w:t>
      </w:r>
      <w:proofErr w:type="gramEnd"/>
    </w:p>
  </w:footnote>
  <w:footnote w:id="42">
    <w:p w:rsidR="0050031D" w:rsidRDefault="0050031D" w:rsidP="000B1D07">
      <w:pPr>
        <w:pStyle w:val="FootnoteText"/>
      </w:pPr>
      <w:r>
        <w:rPr>
          <w:rStyle w:val="FootnoteReference"/>
        </w:rPr>
        <w:footnoteRef/>
      </w:r>
      <w:r>
        <w:t xml:space="preserve"> </w:t>
      </w:r>
      <w:r>
        <w:tab/>
      </w:r>
      <w:proofErr w:type="gramStart"/>
      <w:r>
        <w:t>NER, cl. 6.5.6(c) and 6.5.7(c).</w:t>
      </w:r>
      <w:proofErr w:type="gramEnd"/>
    </w:p>
  </w:footnote>
  <w:footnote w:id="43">
    <w:p w:rsidR="0050031D" w:rsidRDefault="0050031D" w:rsidP="000B1D07">
      <w:pPr>
        <w:pStyle w:val="FootnoteText"/>
      </w:pPr>
      <w:r>
        <w:rPr>
          <w:rStyle w:val="FootnoteReference"/>
        </w:rPr>
        <w:footnoteRef/>
      </w:r>
      <w:r>
        <w:t xml:space="preserve"> </w:t>
      </w:r>
      <w:r>
        <w:tab/>
        <w:t xml:space="preserve">Ergon Energy, AER Ergon Energy 043, Email dated: 16 April 2015. </w:t>
      </w:r>
    </w:p>
  </w:footnote>
  <w:footnote w:id="44">
    <w:p w:rsidR="0050031D" w:rsidRDefault="0050031D" w:rsidP="00AC72D2">
      <w:pPr>
        <w:pStyle w:val="FootnoteText"/>
      </w:pPr>
      <w:r>
        <w:rPr>
          <w:rStyle w:val="FootnoteReference"/>
        </w:rPr>
        <w:footnoteRef/>
      </w:r>
      <w:r>
        <w:t xml:space="preserve"> </w:t>
      </w:r>
      <w:r>
        <w:tab/>
        <w:t xml:space="preserve">Australian Energy Market Commission, Draft rule determination, </w:t>
      </w:r>
      <w:proofErr w:type="gramStart"/>
      <w:r w:rsidRPr="009F5337">
        <w:t>Expanding</w:t>
      </w:r>
      <w:proofErr w:type="gramEnd"/>
      <w:r w:rsidRPr="009F5337">
        <w:t xml:space="preserve"> competition in metering and related services</w:t>
      </w:r>
      <w:r>
        <w:t>, 26 March 2015.</w:t>
      </w:r>
    </w:p>
  </w:footnote>
  <w:footnote w:id="45">
    <w:p w:rsidR="0050031D" w:rsidRDefault="0050031D" w:rsidP="000B1D07">
      <w:pPr>
        <w:pStyle w:val="FootnoteText"/>
      </w:pPr>
      <w:r>
        <w:rPr>
          <w:rStyle w:val="FootnoteReference"/>
        </w:rPr>
        <w:footnoteRef/>
      </w:r>
      <w:r>
        <w:t xml:space="preserve"> </w:t>
      </w:r>
      <w:r>
        <w:tab/>
      </w:r>
      <w:proofErr w:type="gramStart"/>
      <w:r>
        <w:t>NEL, Revenue and Pricing Principles, 7A (2).</w:t>
      </w:r>
      <w:proofErr w:type="gramEnd"/>
    </w:p>
  </w:footnote>
  <w:footnote w:id="46">
    <w:p w:rsidR="0050031D" w:rsidRDefault="0050031D" w:rsidP="000B1D07">
      <w:pPr>
        <w:pStyle w:val="FootnoteText"/>
      </w:pPr>
      <w:r>
        <w:rPr>
          <w:rStyle w:val="FootnoteReference"/>
        </w:rPr>
        <w:footnoteRef/>
      </w:r>
      <w:r>
        <w:t xml:space="preserve"> </w:t>
      </w:r>
      <w:r>
        <w:tab/>
        <w:t>Direct control services include standard and alternative control services.</w:t>
      </w:r>
    </w:p>
  </w:footnote>
  <w:footnote w:id="47">
    <w:p w:rsidR="0050031D" w:rsidRDefault="0050031D" w:rsidP="000B1D07">
      <w:pPr>
        <w:pStyle w:val="FootnoteText"/>
      </w:pPr>
      <w:r>
        <w:rPr>
          <w:rStyle w:val="FootnoteReference"/>
        </w:rPr>
        <w:footnoteRef/>
      </w:r>
      <w:r>
        <w:t xml:space="preserve"> </w:t>
      </w:r>
      <w:r>
        <w:tab/>
        <w:t xml:space="preserve">Although the capital costs of the meter remain to be recovered by the distributor, there is no longer any need to read the meter, thus providing an </w:t>
      </w:r>
      <w:proofErr w:type="spellStart"/>
      <w:r>
        <w:t>opex</w:t>
      </w:r>
      <w:proofErr w:type="spellEnd"/>
      <w:r>
        <w:t xml:space="preserve"> saving.</w:t>
      </w:r>
    </w:p>
  </w:footnote>
  <w:footnote w:id="48">
    <w:p w:rsidR="0050031D" w:rsidRDefault="0050031D" w:rsidP="000B1D07">
      <w:pPr>
        <w:pStyle w:val="FootnoteText"/>
      </w:pPr>
      <w:r>
        <w:rPr>
          <w:rStyle w:val="FootnoteReference"/>
        </w:rPr>
        <w:footnoteRef/>
      </w:r>
      <w:r>
        <w:t xml:space="preserve"> </w:t>
      </w:r>
      <w:r>
        <w:tab/>
      </w:r>
      <w:r w:rsidRPr="00A7473C">
        <w:t xml:space="preserve">QCOSS Submission </w:t>
      </w:r>
      <w:r>
        <w:t>to AER Consultation Paper (</w:t>
      </w:r>
      <w:r w:rsidRPr="00A7473C">
        <w:t>Recov</w:t>
      </w:r>
      <w:r>
        <w:t xml:space="preserve">ery of Residual Metering Costs), </w:t>
      </w:r>
      <w:r w:rsidRPr="00A7473C">
        <w:t>31 March 2015</w:t>
      </w:r>
      <w:r>
        <w:t>, p 2</w:t>
      </w:r>
    </w:p>
  </w:footnote>
  <w:footnote w:id="49">
    <w:p w:rsidR="0050031D" w:rsidRDefault="0050031D" w:rsidP="000B1D07">
      <w:pPr>
        <w:pStyle w:val="FootnoteText"/>
      </w:pPr>
      <w:r>
        <w:rPr>
          <w:rStyle w:val="FootnoteReference"/>
        </w:rPr>
        <w:footnoteRef/>
      </w:r>
      <w:r>
        <w:t xml:space="preserve"> </w:t>
      </w:r>
      <w:r>
        <w:tab/>
      </w:r>
      <w:proofErr w:type="gramStart"/>
      <w:r w:rsidRPr="00F03511">
        <w:t>Consumer Challenge Panel, Updated submission on NSW DNSPs regulatory proposals 2014-19, 15 August 2014, pp.</w:t>
      </w:r>
      <w:r>
        <w:t xml:space="preserve"> </w:t>
      </w:r>
      <w:r w:rsidRPr="00F03511">
        <w:t>36-7.</w:t>
      </w:r>
      <w:proofErr w:type="gramEnd"/>
    </w:p>
    <w:p w:rsidR="0050031D" w:rsidRDefault="0050031D" w:rsidP="000B1D07">
      <w:pPr>
        <w:pStyle w:val="FootnoteText"/>
      </w:pPr>
      <w:r>
        <w:tab/>
        <w:t>Vector</w:t>
      </w:r>
      <w:r w:rsidRPr="00F03511">
        <w:t xml:space="preserve"> Limited</w:t>
      </w:r>
      <w:r>
        <w:t xml:space="preserve">, </w:t>
      </w:r>
      <w:r w:rsidRPr="00F03511">
        <w:t>Submission on DNSPs regulatory proposals</w:t>
      </w:r>
      <w:r>
        <w:t>,</w:t>
      </w:r>
      <w:r w:rsidRPr="00F03511">
        <w:t xml:space="preserve"> 8 August 2014</w:t>
      </w:r>
      <w:r>
        <w:t xml:space="preserve"> p. 4.</w:t>
      </w:r>
    </w:p>
    <w:p w:rsidR="0050031D" w:rsidRDefault="0050031D" w:rsidP="000B1D07">
      <w:pPr>
        <w:pStyle w:val="FootnoteText"/>
      </w:pPr>
      <w:r>
        <w:tab/>
      </w:r>
      <w:r w:rsidRPr="00F03511">
        <w:t>ERAA, Submission on Issues paper NSW electricity distribution regulatory proposals, 8 August 2014, p. 2.</w:t>
      </w:r>
    </w:p>
    <w:p w:rsidR="0050031D" w:rsidRDefault="0050031D" w:rsidP="000B1D07">
      <w:pPr>
        <w:pStyle w:val="FootnoteText"/>
      </w:pPr>
      <w:r>
        <w:tab/>
      </w:r>
      <w:proofErr w:type="gramStart"/>
      <w:r w:rsidRPr="00F03511">
        <w:t>Origin Energy, Submission on NSW electricity distributors regulatory proposal (attachment 1)</w:t>
      </w:r>
      <w:r>
        <w:t xml:space="preserve">, </w:t>
      </w:r>
      <w:r w:rsidRPr="00F03511">
        <w:t>8 August 2014, p. 33.</w:t>
      </w:r>
      <w:proofErr w:type="gramEnd"/>
    </w:p>
    <w:p w:rsidR="0050031D" w:rsidRDefault="0050031D" w:rsidP="000B1D07">
      <w:pPr>
        <w:pStyle w:val="FootnoteText"/>
      </w:pPr>
      <w:r>
        <w:tab/>
      </w:r>
      <w:r w:rsidRPr="00F03511">
        <w:t>AGL, Submission on NSW electricity distribution networks regulatory proposals, 8 August 2014, p. 21</w:t>
      </w:r>
      <w:r>
        <w:t>.</w:t>
      </w:r>
    </w:p>
    <w:p w:rsidR="0050031D" w:rsidRDefault="0050031D" w:rsidP="000B1D07">
      <w:pPr>
        <w:pStyle w:val="FootnoteText"/>
      </w:pPr>
      <w:r>
        <w:tab/>
      </w:r>
      <w:proofErr w:type="gramStart"/>
      <w:r w:rsidRPr="00F03511">
        <w:t>PIAC, Submission on NSW electricity distribution network price determination, 8 August 2014, p. 105.</w:t>
      </w:r>
      <w:proofErr w:type="gramEnd"/>
    </w:p>
  </w:footnote>
  <w:footnote w:id="50">
    <w:p w:rsidR="0050031D" w:rsidRDefault="0050031D" w:rsidP="000B1D07">
      <w:pPr>
        <w:pStyle w:val="FootnoteText"/>
      </w:pPr>
      <w:r>
        <w:rPr>
          <w:rStyle w:val="FootnoteReference"/>
        </w:rPr>
        <w:footnoteRef/>
      </w:r>
      <w:r>
        <w:t xml:space="preserve"> </w:t>
      </w:r>
      <w:r>
        <w:tab/>
        <w:t>Vector</w:t>
      </w:r>
      <w:r w:rsidRPr="00F03511">
        <w:t xml:space="preserve"> Limited</w:t>
      </w:r>
      <w:r>
        <w:t xml:space="preserve">, </w:t>
      </w:r>
      <w:r w:rsidRPr="00F03511">
        <w:t>Submission on DNSPs regulatory proposals</w:t>
      </w:r>
      <w:r>
        <w:t>,</w:t>
      </w:r>
      <w:r w:rsidRPr="00F03511">
        <w:t xml:space="preserve"> 8 August 2014</w:t>
      </w:r>
      <w:r>
        <w:t xml:space="preserve"> p. 4. </w:t>
      </w:r>
    </w:p>
  </w:footnote>
  <w:footnote w:id="51">
    <w:p w:rsidR="0050031D" w:rsidRDefault="0050031D" w:rsidP="000B1D07">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52">
    <w:p w:rsidR="0050031D" w:rsidRDefault="0050031D" w:rsidP="000B1D07">
      <w:pPr>
        <w:pStyle w:val="FootnoteText"/>
      </w:pPr>
      <w:r>
        <w:rPr>
          <w:rStyle w:val="FootnoteReference"/>
        </w:rPr>
        <w:footnoteRef/>
      </w:r>
      <w:r>
        <w:t xml:space="preserve"> </w:t>
      </w:r>
      <w:r>
        <w:tab/>
        <w:t xml:space="preserve">Capital expenditure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53">
    <w:p w:rsidR="0050031D" w:rsidRDefault="0050031D" w:rsidP="000B1D07">
      <w:pPr>
        <w:pStyle w:val="FootnoteText"/>
      </w:pPr>
      <w:r>
        <w:rPr>
          <w:rStyle w:val="FootnoteReference"/>
        </w:rPr>
        <w:footnoteRef/>
      </w:r>
      <w:r>
        <w:t xml:space="preserve"> </w:t>
      </w:r>
      <w:r>
        <w:tab/>
        <w:t xml:space="preserve">AEMC, </w:t>
      </w:r>
      <w:proofErr w:type="gramStart"/>
      <w:r w:rsidRPr="00775144">
        <w:t>Expanding</w:t>
      </w:r>
      <w:proofErr w:type="gramEnd"/>
      <w:r w:rsidRPr="00775144">
        <w:t xml:space="preserve"> competition in metering and related services, Draft Ru</w:t>
      </w:r>
      <w:r>
        <w:t>le Determination, 26 March 2015, p. 79.</w:t>
      </w:r>
    </w:p>
  </w:footnote>
  <w:footnote w:id="54">
    <w:p w:rsidR="0050031D" w:rsidRDefault="0050031D" w:rsidP="000B1D07">
      <w:pPr>
        <w:pStyle w:val="FootnoteText"/>
      </w:pPr>
      <w:r>
        <w:rPr>
          <w:rStyle w:val="FootnoteReference"/>
        </w:rPr>
        <w:footnoteRef/>
      </w:r>
      <w:r>
        <w:t xml:space="preserve"> </w:t>
      </w:r>
      <w:r>
        <w:tab/>
      </w:r>
      <w:proofErr w:type="gramStart"/>
      <w:r>
        <w:t xml:space="preserve">AER, </w:t>
      </w:r>
      <w:r w:rsidRPr="004F62F1">
        <w:rPr>
          <w:rStyle w:val="AERtextitalic"/>
        </w:rPr>
        <w:t>Final framework and approach for Energex and Ergon Energy</w:t>
      </w:r>
      <w:r>
        <w:t>, April 2014, p. 54.</w:t>
      </w:r>
      <w:proofErr w:type="gramEnd"/>
    </w:p>
  </w:footnote>
  <w:footnote w:id="55">
    <w:p w:rsidR="0050031D" w:rsidRDefault="0050031D" w:rsidP="000B1D07">
      <w:pPr>
        <w:pStyle w:val="FootnoteText"/>
      </w:pPr>
      <w:r>
        <w:rPr>
          <w:rStyle w:val="FootnoteReference"/>
        </w:rPr>
        <w:footnoteRef/>
      </w:r>
      <w:r>
        <w:t xml:space="preserve"> </w:t>
      </w:r>
      <w:r>
        <w:tab/>
        <w:t>Ergon Energy, Regulatory proposal, November 2014, p. 48.</w:t>
      </w:r>
    </w:p>
  </w:footnote>
  <w:footnote w:id="56">
    <w:p w:rsidR="0050031D" w:rsidRDefault="0050031D" w:rsidP="000B1D07">
      <w:pPr>
        <w:pStyle w:val="FootnoteText"/>
      </w:pPr>
      <w:r>
        <w:rPr>
          <w:rStyle w:val="FootnoteReference"/>
        </w:rPr>
        <w:footnoteRef/>
      </w:r>
      <w:r>
        <w:t xml:space="preserve"> </w:t>
      </w:r>
      <w:r>
        <w:tab/>
        <w:t>Ergon Energy, Regulatory proposal, November 2014, p. 48.</w:t>
      </w:r>
    </w:p>
  </w:footnote>
  <w:footnote w:id="57">
    <w:p w:rsidR="0050031D" w:rsidRDefault="0050031D" w:rsidP="000B1D07">
      <w:pPr>
        <w:pStyle w:val="FootnoteText"/>
      </w:pPr>
      <w:r>
        <w:rPr>
          <w:rStyle w:val="FootnoteReference"/>
        </w:rPr>
        <w:footnoteRef/>
      </w:r>
      <w:r>
        <w:t xml:space="preserve"> </w:t>
      </w:r>
      <w:r>
        <w:tab/>
      </w:r>
      <w:proofErr w:type="gramStart"/>
      <w:r>
        <w:t>QCOSS, Submission on QLD regulatory proposals 2015–20, January 2015, p. 89.</w:t>
      </w:r>
      <w:proofErr w:type="gramEnd"/>
    </w:p>
  </w:footnote>
  <w:footnote w:id="58">
    <w:p w:rsidR="0050031D" w:rsidRDefault="0050031D" w:rsidP="000B1D07">
      <w:pPr>
        <w:pStyle w:val="FootnoteText"/>
      </w:pPr>
      <w:r>
        <w:rPr>
          <w:rStyle w:val="FootnoteReference"/>
        </w:rPr>
        <w:footnoteRef/>
      </w:r>
      <w:r>
        <w:t xml:space="preserve"> </w:t>
      </w:r>
      <w:r>
        <w:tab/>
        <w:t xml:space="preserve">When indirect costs are included, the reallocation of the direct costs associated with new connections and metering alterations and additions is equal to about 43 percent of the expenditure we have not approved. </w:t>
      </w:r>
    </w:p>
  </w:footnote>
  <w:footnote w:id="59">
    <w:p w:rsidR="0050031D" w:rsidRDefault="0050031D" w:rsidP="000B1D07">
      <w:pPr>
        <w:pStyle w:val="FootnoteText"/>
      </w:pPr>
      <w:r>
        <w:rPr>
          <w:rStyle w:val="FootnoteReference"/>
        </w:rPr>
        <w:footnoteRef/>
      </w:r>
      <w:r>
        <w:t xml:space="preserve"> </w:t>
      </w:r>
      <w:r>
        <w:tab/>
        <w:t xml:space="preserve">AEMO, Metrology Procedure: Part </w:t>
      </w:r>
      <w:proofErr w:type="gramStart"/>
      <w:r>
        <w:t>A</w:t>
      </w:r>
      <w:proofErr w:type="gramEnd"/>
      <w:r>
        <w:t xml:space="preserve"> National Electricity Market, v3.20.</w:t>
      </w:r>
    </w:p>
  </w:footnote>
  <w:footnote w:id="60">
    <w:p w:rsidR="0050031D" w:rsidRDefault="0050031D" w:rsidP="000B1D07">
      <w:pPr>
        <w:pStyle w:val="FootnoteText"/>
      </w:pPr>
      <w:r>
        <w:rPr>
          <w:rStyle w:val="FootnoteReference"/>
        </w:rPr>
        <w:footnoteRef/>
      </w:r>
      <w:r>
        <w:t xml:space="preserve"> </w:t>
      </w:r>
      <w:r>
        <w:tab/>
        <w:t>Energex, Regulatory proposal, Model 9: Metering indicative prices for 2015–20, November 2014.</w:t>
      </w:r>
    </w:p>
  </w:footnote>
  <w:footnote w:id="61">
    <w:p w:rsidR="0050031D" w:rsidRDefault="0050031D" w:rsidP="000B1D07">
      <w:pPr>
        <w:pStyle w:val="FootnoteText"/>
      </w:pPr>
      <w:r>
        <w:rPr>
          <w:rStyle w:val="FootnoteReference"/>
        </w:rPr>
        <w:footnoteRef/>
      </w:r>
      <w:r>
        <w:t xml:space="preserve"> </w:t>
      </w:r>
      <w:r>
        <w:tab/>
        <w:t xml:space="preserve">AER, </w:t>
      </w:r>
      <w:r w:rsidRPr="007B4DD7">
        <w:rPr>
          <w:rStyle w:val="AERtextitalic"/>
        </w:rPr>
        <w:t>Preliminary decision: Energex's regulatory proposal for 2015–20</w:t>
      </w:r>
      <w:r>
        <w:t>, April 2015, p. 42.</w:t>
      </w:r>
    </w:p>
  </w:footnote>
  <w:footnote w:id="62">
    <w:p w:rsidR="0050031D" w:rsidRDefault="0050031D" w:rsidP="000B1D07">
      <w:pPr>
        <w:pStyle w:val="FootnoteText"/>
      </w:pPr>
      <w:r>
        <w:rPr>
          <w:rStyle w:val="FootnoteReference"/>
        </w:rPr>
        <w:footnoteRef/>
      </w:r>
      <w:r>
        <w:t xml:space="preserve"> </w:t>
      </w:r>
      <w:r>
        <w:tab/>
        <w:t xml:space="preserve">AER, </w:t>
      </w:r>
      <w:r w:rsidRPr="008618F1">
        <w:rPr>
          <w:rStyle w:val="AERtextitalic"/>
        </w:rPr>
        <w:t xml:space="preserve">Draft decision on </w:t>
      </w:r>
      <w:proofErr w:type="spellStart"/>
      <w:r w:rsidRPr="008618F1">
        <w:rPr>
          <w:rStyle w:val="AERtextitalic"/>
        </w:rPr>
        <w:t>ActewAGL's</w:t>
      </w:r>
      <w:proofErr w:type="spellEnd"/>
      <w:r w:rsidRPr="008618F1">
        <w:rPr>
          <w:rStyle w:val="AERtextitalic"/>
        </w:rPr>
        <w:t xml:space="preserve"> regulatory proposal: 2014–15 and 2015–19</w:t>
      </w:r>
      <w:r>
        <w:t xml:space="preserve">, November 2014; AER, </w:t>
      </w:r>
      <w:r w:rsidRPr="008618F1">
        <w:rPr>
          <w:rStyle w:val="AERtextitalic"/>
        </w:rPr>
        <w:t xml:space="preserve">Draft decision on </w:t>
      </w:r>
      <w:proofErr w:type="spellStart"/>
      <w:r>
        <w:rPr>
          <w:rStyle w:val="AERtextitalic"/>
        </w:rPr>
        <w:t>Ausgrid's</w:t>
      </w:r>
      <w:proofErr w:type="spellEnd"/>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Essential Energy's</w:t>
      </w:r>
      <w:r w:rsidRPr="008618F1">
        <w:rPr>
          <w:rStyle w:val="AERtextitalic"/>
        </w:rPr>
        <w:t xml:space="preserve"> regulatory proposal: 2014–15 and 2015–19</w:t>
      </w:r>
      <w:r>
        <w:t>, November 2014.</w:t>
      </w:r>
    </w:p>
  </w:footnote>
  <w:footnote w:id="63">
    <w:p w:rsidR="0050031D" w:rsidRDefault="0050031D" w:rsidP="000B1D07">
      <w:pPr>
        <w:pStyle w:val="FootnoteText"/>
      </w:pPr>
      <w:r>
        <w:rPr>
          <w:rStyle w:val="FootnoteReference"/>
        </w:rPr>
        <w:footnoteRef/>
      </w:r>
      <w:r>
        <w:t xml:space="preserve"> </w:t>
      </w:r>
      <w:r>
        <w:tab/>
        <w:t xml:space="preserve">AER, </w:t>
      </w:r>
      <w:r w:rsidRPr="00845A68">
        <w:rPr>
          <w:rStyle w:val="AERtextitalic"/>
        </w:rPr>
        <w:t>Response to AER Ergon 043 (2</w:t>
      </w:r>
      <w:proofErr w:type="gramStart"/>
      <w:r w:rsidRPr="00845A68">
        <w:rPr>
          <w:rStyle w:val="AERtextitalic"/>
        </w:rPr>
        <w:t>)(</w:t>
      </w:r>
      <w:proofErr w:type="gramEnd"/>
      <w:r w:rsidRPr="00845A68">
        <w:rPr>
          <w:rStyle w:val="AERtextitalic"/>
        </w:rPr>
        <w:t>3)</w:t>
      </w:r>
      <w:r>
        <w:t>, 11 February 2015, p. 2–3.</w:t>
      </w:r>
    </w:p>
  </w:footnote>
  <w:footnote w:id="64">
    <w:p w:rsidR="0050031D" w:rsidRDefault="0050031D" w:rsidP="000B1D07">
      <w:pPr>
        <w:pStyle w:val="FootnoteText"/>
      </w:pPr>
      <w:r>
        <w:rPr>
          <w:rStyle w:val="FootnoteReference"/>
        </w:rPr>
        <w:footnoteRef/>
      </w:r>
      <w:r>
        <w:t xml:space="preserve"> </w:t>
      </w:r>
      <w:r>
        <w:tab/>
        <w:t>NER, S7.2.3.1.</w:t>
      </w:r>
    </w:p>
  </w:footnote>
  <w:footnote w:id="65">
    <w:p w:rsidR="0050031D" w:rsidRDefault="0050031D" w:rsidP="000B1D07">
      <w:pPr>
        <w:pStyle w:val="FootnoteText"/>
      </w:pPr>
      <w:r>
        <w:rPr>
          <w:rStyle w:val="FootnoteReference"/>
        </w:rPr>
        <w:footnoteRef/>
      </w:r>
      <w:r>
        <w:t xml:space="preserve"> </w:t>
      </w:r>
      <w:r>
        <w:tab/>
        <w:t>NER, S7.2.3.1.</w:t>
      </w:r>
    </w:p>
  </w:footnote>
  <w:footnote w:id="66">
    <w:p w:rsidR="0050031D" w:rsidRDefault="0050031D" w:rsidP="000B1D07">
      <w:pPr>
        <w:pStyle w:val="FootnoteText"/>
      </w:pPr>
      <w:r>
        <w:rPr>
          <w:rStyle w:val="FootnoteReference"/>
        </w:rPr>
        <w:footnoteRef/>
      </w:r>
      <w:r>
        <w:t xml:space="preserve"> </w:t>
      </w:r>
      <w:r>
        <w:tab/>
      </w:r>
      <w:proofErr w:type="gramStart"/>
      <w:r>
        <w:t>NER, cl. 7.6.2.</w:t>
      </w:r>
      <w:proofErr w:type="gramEnd"/>
    </w:p>
  </w:footnote>
  <w:footnote w:id="67">
    <w:p w:rsidR="0050031D" w:rsidRDefault="0050031D" w:rsidP="000B1D07">
      <w:pPr>
        <w:pStyle w:val="FootnoteText"/>
      </w:pPr>
      <w:r>
        <w:rPr>
          <w:rStyle w:val="FootnoteReference"/>
        </w:rPr>
        <w:footnoteRef/>
      </w:r>
      <w:r>
        <w:t xml:space="preserve"> </w:t>
      </w:r>
      <w:r>
        <w:tab/>
        <w:t xml:space="preserve">AER, </w:t>
      </w:r>
      <w:r w:rsidRPr="00845A68">
        <w:rPr>
          <w:rStyle w:val="AERtextitalic"/>
        </w:rPr>
        <w:t>Response to AER Ergon 043 (2</w:t>
      </w:r>
      <w:proofErr w:type="gramStart"/>
      <w:r w:rsidRPr="00845A68">
        <w:rPr>
          <w:rStyle w:val="AERtextitalic"/>
        </w:rPr>
        <w:t>)(</w:t>
      </w:r>
      <w:proofErr w:type="gramEnd"/>
      <w:r w:rsidRPr="00845A68">
        <w:rPr>
          <w:rStyle w:val="AERtextitalic"/>
        </w:rPr>
        <w:t>3)</w:t>
      </w:r>
      <w:r>
        <w:t>, 11 February 2015, p. 3.</w:t>
      </w:r>
    </w:p>
  </w:footnote>
  <w:footnote w:id="68">
    <w:p w:rsidR="0050031D" w:rsidRDefault="0050031D" w:rsidP="000B1D07">
      <w:pPr>
        <w:pStyle w:val="FootnoteText"/>
      </w:pPr>
      <w:r>
        <w:rPr>
          <w:rStyle w:val="FootnoteReference"/>
        </w:rPr>
        <w:footnoteRef/>
      </w:r>
      <w:r>
        <w:t xml:space="preserve"> </w:t>
      </w:r>
      <w:r>
        <w:tab/>
        <w:t xml:space="preserve">AER, </w:t>
      </w:r>
      <w:r w:rsidRPr="00845A68">
        <w:rPr>
          <w:rStyle w:val="AERtextitalic"/>
        </w:rPr>
        <w:t>Response to AER Ergon 043 (2</w:t>
      </w:r>
      <w:proofErr w:type="gramStart"/>
      <w:r w:rsidRPr="00845A68">
        <w:rPr>
          <w:rStyle w:val="AERtextitalic"/>
        </w:rPr>
        <w:t>)(</w:t>
      </w:r>
      <w:proofErr w:type="gramEnd"/>
      <w:r w:rsidRPr="00845A68">
        <w:rPr>
          <w:rStyle w:val="AERtextitalic"/>
        </w:rPr>
        <w:t>3)</w:t>
      </w:r>
      <w:r>
        <w:t>, 11 February 2015, p. 3.</w:t>
      </w:r>
    </w:p>
  </w:footnote>
  <w:footnote w:id="69">
    <w:p w:rsidR="0050031D" w:rsidRDefault="0050031D" w:rsidP="000B1D07">
      <w:pPr>
        <w:pStyle w:val="FootnoteText"/>
      </w:pPr>
      <w:r>
        <w:rPr>
          <w:rStyle w:val="FootnoteReference"/>
        </w:rPr>
        <w:footnoteRef/>
      </w:r>
      <w:r>
        <w:t xml:space="preserve"> </w:t>
      </w:r>
      <w:r>
        <w:tab/>
        <w:t xml:space="preserve">AER, </w:t>
      </w:r>
      <w:r w:rsidRPr="00845A68">
        <w:rPr>
          <w:rStyle w:val="AERtextitalic"/>
        </w:rPr>
        <w:t>Response to AER Ergon 043 (2</w:t>
      </w:r>
      <w:proofErr w:type="gramStart"/>
      <w:r w:rsidRPr="00845A68">
        <w:rPr>
          <w:rStyle w:val="AERtextitalic"/>
        </w:rPr>
        <w:t>)(</w:t>
      </w:r>
      <w:proofErr w:type="gramEnd"/>
      <w:r w:rsidRPr="00845A68">
        <w:rPr>
          <w:rStyle w:val="AERtextitalic"/>
        </w:rPr>
        <w:t>3)</w:t>
      </w:r>
      <w:r>
        <w:t>, 11 February 2015, p. 2.</w:t>
      </w:r>
    </w:p>
  </w:footnote>
  <w:footnote w:id="70">
    <w:p w:rsidR="0050031D" w:rsidRDefault="0050031D" w:rsidP="000B1D07">
      <w:pPr>
        <w:pStyle w:val="FootnoteText"/>
      </w:pPr>
      <w:r>
        <w:rPr>
          <w:rStyle w:val="FootnoteReference"/>
        </w:rPr>
        <w:footnoteRef/>
      </w:r>
      <w:r>
        <w:t xml:space="preserve"> </w:t>
      </w:r>
      <w:r>
        <w:tab/>
        <w:t xml:space="preserve">AER, </w:t>
      </w:r>
      <w:r w:rsidRPr="00845A68">
        <w:rPr>
          <w:rStyle w:val="AERtextitalic"/>
        </w:rPr>
        <w:t>Response to AER Ergon 043 (2</w:t>
      </w:r>
      <w:proofErr w:type="gramStart"/>
      <w:r w:rsidRPr="00845A68">
        <w:rPr>
          <w:rStyle w:val="AERtextitalic"/>
        </w:rPr>
        <w:t>)(</w:t>
      </w:r>
      <w:proofErr w:type="gramEnd"/>
      <w:r w:rsidRPr="00845A68">
        <w:rPr>
          <w:rStyle w:val="AERtextitalic"/>
        </w:rPr>
        <w:t>3)</w:t>
      </w:r>
      <w:r>
        <w:t>, 11 February 2015, p. 2.</w:t>
      </w:r>
    </w:p>
  </w:footnote>
  <w:footnote w:id="71">
    <w:p w:rsidR="0050031D" w:rsidRDefault="0050031D" w:rsidP="000B1D07">
      <w:pPr>
        <w:pStyle w:val="FootnoteText"/>
      </w:pPr>
      <w:r>
        <w:rPr>
          <w:rStyle w:val="FootnoteReference"/>
        </w:rPr>
        <w:footnoteRef/>
      </w:r>
      <w:r>
        <w:t xml:space="preserve"> </w:t>
      </w:r>
      <w:r>
        <w:tab/>
        <w:t>Ergon Energy, Regulatory Proposal, 05.03.01 Default Metering Services Summary, p. 22.</w:t>
      </w:r>
    </w:p>
  </w:footnote>
  <w:footnote w:id="72">
    <w:p w:rsidR="0050031D" w:rsidRDefault="0050031D" w:rsidP="000B1D07">
      <w:pPr>
        <w:pStyle w:val="FootnoteText"/>
      </w:pPr>
      <w:r>
        <w:rPr>
          <w:rStyle w:val="FootnoteReference"/>
        </w:rPr>
        <w:footnoteRef/>
      </w:r>
      <w:r>
        <w:t xml:space="preserve"> </w:t>
      </w:r>
      <w:r>
        <w:tab/>
      </w:r>
      <w:r w:rsidRPr="005F0366">
        <w:t>Economic Benchmarking RIN</w:t>
      </w:r>
      <w:r>
        <w:t xml:space="preserve"> </w:t>
      </w:r>
      <w:proofErr w:type="gramStart"/>
      <w:r>
        <w:t>responses</w:t>
      </w:r>
      <w:r w:rsidRPr="005F0366">
        <w:t>,</w:t>
      </w:r>
      <w:proofErr w:type="gramEnd"/>
      <w:r w:rsidRPr="005F0366">
        <w:t xml:space="preserve"> tab SD 3. </w:t>
      </w:r>
      <w:proofErr w:type="spellStart"/>
      <w:r w:rsidRPr="005F0366">
        <w:t>Opex</w:t>
      </w:r>
      <w:proofErr w:type="spellEnd"/>
      <w:r w:rsidRPr="005F0366">
        <w:t xml:space="preserve">, table 3.2 </w:t>
      </w:r>
      <w:proofErr w:type="spellStart"/>
      <w:r w:rsidRPr="005F0366">
        <w:t>opex</w:t>
      </w:r>
      <w:proofErr w:type="spellEnd"/>
      <w:r w:rsidRPr="005F0366">
        <w:t xml:space="preserve"> consistency, row '</w:t>
      </w:r>
      <w:proofErr w:type="spellStart"/>
      <w:r w:rsidRPr="005F0366">
        <w:t>opex</w:t>
      </w:r>
      <w:proofErr w:type="spellEnd"/>
      <w:r w:rsidRPr="005F0366">
        <w:t xml:space="preserve"> for metering'</w:t>
      </w:r>
    </w:p>
  </w:footnote>
  <w:footnote w:id="73">
    <w:p w:rsidR="0050031D" w:rsidRDefault="0050031D" w:rsidP="000B1D07">
      <w:pPr>
        <w:pStyle w:val="FootnoteText"/>
      </w:pPr>
      <w:r>
        <w:rPr>
          <w:rStyle w:val="FootnoteReference"/>
        </w:rPr>
        <w:footnoteRef/>
      </w:r>
      <w:r>
        <w:t xml:space="preserve"> </w:t>
      </w:r>
      <w:r>
        <w:tab/>
      </w:r>
      <w:proofErr w:type="gramStart"/>
      <w:r w:rsidRPr="00304404">
        <w:t>AER economic benchmarking RIN for distribution network service providers – Instructions and Definitions, p</w:t>
      </w:r>
      <w:r>
        <w:t>.</w:t>
      </w:r>
      <w:r w:rsidRPr="00304404">
        <w:t xml:space="preserve"> 44</w:t>
      </w:r>
      <w:r>
        <w:t>.</w:t>
      </w:r>
      <w:proofErr w:type="gramEnd"/>
    </w:p>
  </w:footnote>
  <w:footnote w:id="74">
    <w:p w:rsidR="0050031D" w:rsidRDefault="0050031D" w:rsidP="000B1D07">
      <w:pPr>
        <w:pStyle w:val="FootnoteText"/>
      </w:pPr>
      <w:r>
        <w:rPr>
          <w:rStyle w:val="FootnoteReference"/>
        </w:rPr>
        <w:footnoteRef/>
      </w:r>
      <w:r>
        <w:t xml:space="preserve"> </w:t>
      </w:r>
      <w:r>
        <w:tab/>
      </w:r>
      <w:r w:rsidRPr="000E12A0">
        <w:t xml:space="preserve">This not to say that </w:t>
      </w:r>
      <w:r>
        <w:t xml:space="preserve">Ergon Energy </w:t>
      </w:r>
      <w:r w:rsidRPr="000E12A0">
        <w:t>is as efficient as it could be; benchmarking only shows the relative efficiency across firms.</w:t>
      </w:r>
    </w:p>
  </w:footnote>
  <w:footnote w:id="75">
    <w:p w:rsidR="0050031D" w:rsidRDefault="0050031D" w:rsidP="000B1D07">
      <w:pPr>
        <w:pStyle w:val="FootnoteText"/>
      </w:pPr>
      <w:r>
        <w:rPr>
          <w:rStyle w:val="FootnoteReference"/>
        </w:rPr>
        <w:footnoteRef/>
      </w:r>
      <w:r>
        <w:t xml:space="preserve"> </w:t>
      </w:r>
      <w:r>
        <w:tab/>
        <w:t xml:space="preserve">Ergon Energy, </w:t>
      </w:r>
      <w:r w:rsidRPr="00221538">
        <w:rPr>
          <w:rStyle w:val="AERtextitalic"/>
        </w:rPr>
        <w:t>Regulatory proposal, Attachment 05.03.01: Default metering services summary</w:t>
      </w:r>
      <w:r>
        <w:t>, November 2014, p. 24.</w:t>
      </w:r>
    </w:p>
  </w:footnote>
  <w:footnote w:id="76">
    <w:p w:rsidR="0050031D" w:rsidRDefault="0050031D" w:rsidP="000B1D07">
      <w:pPr>
        <w:pStyle w:val="FootnoteText"/>
      </w:pPr>
      <w:r>
        <w:rPr>
          <w:rStyle w:val="FootnoteReference"/>
        </w:rPr>
        <w:footnoteRef/>
      </w:r>
      <w:r>
        <w:t xml:space="preserve"> </w:t>
      </w:r>
      <w:r>
        <w:tab/>
        <w:t>Email from AEMO staff, 8 January 2015.</w:t>
      </w:r>
    </w:p>
  </w:footnote>
  <w:footnote w:id="77">
    <w:p w:rsidR="0050031D" w:rsidRDefault="0050031D" w:rsidP="000B1D07">
      <w:pPr>
        <w:pStyle w:val="FootnoteText"/>
      </w:pPr>
      <w:r>
        <w:rPr>
          <w:rStyle w:val="FootnoteReference"/>
        </w:rPr>
        <w:footnoteRef/>
      </w:r>
      <w:r>
        <w:t xml:space="preserve"> </w:t>
      </w:r>
      <w:r>
        <w:tab/>
      </w:r>
      <w:proofErr w:type="gramStart"/>
      <w:r>
        <w:t xml:space="preserve">AER, </w:t>
      </w:r>
      <w:r w:rsidRPr="00DD3C18">
        <w:rPr>
          <w:rStyle w:val="AERtextitalic"/>
        </w:rPr>
        <w:t>Expenditure assessment guidelines</w:t>
      </w:r>
      <w:r>
        <w:t>, November 2013, p. 11.</w:t>
      </w:r>
      <w:proofErr w:type="gramEnd"/>
    </w:p>
  </w:footnote>
  <w:footnote w:id="78">
    <w:p w:rsidR="0050031D" w:rsidRDefault="0050031D" w:rsidP="000B1D07">
      <w:pPr>
        <w:pStyle w:val="FootnoteText"/>
      </w:pPr>
      <w:r>
        <w:rPr>
          <w:rStyle w:val="FootnoteReference"/>
        </w:rPr>
        <w:footnoteRef/>
      </w:r>
      <w:r>
        <w:t xml:space="preserve"> </w:t>
      </w:r>
      <w:r>
        <w:tab/>
        <w:t xml:space="preserve">Ergon Energy, Regulatory Proposal, 05.03.01 Default Metering Services, p. 23. </w:t>
      </w:r>
    </w:p>
  </w:footnote>
  <w:footnote w:id="79">
    <w:p w:rsidR="0050031D" w:rsidRDefault="0050031D" w:rsidP="000B1D07">
      <w:pPr>
        <w:pStyle w:val="FootnoteText"/>
        <w:tabs>
          <w:tab w:val="left" w:pos="284"/>
        </w:tabs>
      </w:pPr>
      <w:r>
        <w:rPr>
          <w:rStyle w:val="FootnoteReference"/>
        </w:rPr>
        <w:footnoteRef/>
      </w:r>
      <w:r>
        <w:t xml:space="preserve"> </w:t>
      </w:r>
      <w:r>
        <w:tab/>
      </w:r>
      <w:r>
        <w:tab/>
      </w:r>
      <w:proofErr w:type="gramStart"/>
      <w:r>
        <w:t>NEL, Revenue and Pricing Principles, 7A (2).</w:t>
      </w:r>
      <w:proofErr w:type="gramEnd"/>
    </w:p>
  </w:footnote>
  <w:footnote w:id="80">
    <w:p w:rsidR="0050031D" w:rsidRDefault="0050031D" w:rsidP="000B1D07">
      <w:pPr>
        <w:pStyle w:val="FootnoteText"/>
      </w:pPr>
      <w:r>
        <w:rPr>
          <w:rStyle w:val="FootnoteReference"/>
        </w:rPr>
        <w:footnoteRef/>
      </w:r>
      <w:r>
        <w:t xml:space="preserve"> </w:t>
      </w:r>
      <w:r>
        <w:tab/>
        <w:t>Ergon Energy, Regulatory proposal, Attachment 05.05.01</w:t>
      </w:r>
    </w:p>
  </w:footnote>
  <w:footnote w:id="81">
    <w:p w:rsidR="0050031D" w:rsidRDefault="0050031D" w:rsidP="000B1D07">
      <w:pPr>
        <w:pStyle w:val="FootnoteText"/>
      </w:pPr>
      <w:r>
        <w:rPr>
          <w:rStyle w:val="FootnoteReference"/>
        </w:rPr>
        <w:footnoteRef/>
      </w:r>
      <w:r>
        <w:t xml:space="preserve"> </w:t>
      </w:r>
      <w:r>
        <w:tab/>
      </w:r>
      <w:r w:rsidRPr="005441A7">
        <w:t xml:space="preserve">Marsden Jacob Associates, </w:t>
      </w:r>
      <w:r w:rsidRPr="005441A7">
        <w:rPr>
          <w:rStyle w:val="AERtextitalic"/>
        </w:rPr>
        <w:t>Consultant report to the AER on Alternative Control Services</w:t>
      </w:r>
      <w:r>
        <w:t>, October 2014, section 2.1.1</w:t>
      </w:r>
    </w:p>
  </w:footnote>
  <w:footnote w:id="82">
    <w:p w:rsidR="0050031D" w:rsidRDefault="0050031D" w:rsidP="000B1D07">
      <w:pPr>
        <w:pStyle w:val="FootnoteText"/>
      </w:pPr>
      <w:r>
        <w:rPr>
          <w:rStyle w:val="FootnoteReference"/>
        </w:rPr>
        <w:footnoteRef/>
      </w:r>
      <w:r>
        <w:t xml:space="preserve"> </w:t>
      </w:r>
      <w:r>
        <w:tab/>
        <w:t>Ergon Energy, AER Ergon 043, Email dated 16 April 2015.</w:t>
      </w:r>
    </w:p>
  </w:footnote>
  <w:footnote w:id="83">
    <w:p w:rsidR="0050031D" w:rsidRDefault="0050031D" w:rsidP="000B1D07">
      <w:pPr>
        <w:pStyle w:val="FootnoteText"/>
      </w:pPr>
      <w:r>
        <w:rPr>
          <w:rStyle w:val="FootnoteReference"/>
        </w:rPr>
        <w:footnoteRef/>
      </w:r>
      <w:r>
        <w:t xml:space="preserve"> </w:t>
      </w:r>
      <w:r>
        <w:tab/>
      </w:r>
      <w:r w:rsidRPr="001F1C60">
        <w:t>Ergon Energy, AER Ergon 043, Email dated 16 April 2015.</w:t>
      </w:r>
    </w:p>
  </w:footnote>
  <w:footnote w:id="84">
    <w:p w:rsidR="0050031D" w:rsidRDefault="0050031D" w:rsidP="000B1D07">
      <w:pPr>
        <w:pStyle w:val="FootnoteText"/>
      </w:pPr>
      <w:r>
        <w:rPr>
          <w:rStyle w:val="FootnoteReference"/>
        </w:rPr>
        <w:footnoteRef/>
      </w:r>
      <w:r>
        <w:t xml:space="preserve"> </w:t>
      </w:r>
      <w:r>
        <w:tab/>
        <w:t xml:space="preserve">See attachment 2 of this </w:t>
      </w:r>
      <w:proofErr w:type="spellStart"/>
      <w:r>
        <w:t>prelimiary</w:t>
      </w:r>
      <w:proofErr w:type="spellEnd"/>
      <w:r>
        <w:t xml:space="preserve"> decision for more information on how changes in labour costs were forecast.</w:t>
      </w:r>
    </w:p>
  </w:footnote>
  <w:footnote w:id="85">
    <w:p w:rsidR="0050031D" w:rsidRDefault="0050031D" w:rsidP="00F5521C">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86">
    <w:p w:rsidR="0050031D" w:rsidRDefault="0050031D" w:rsidP="00F5521C">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87">
    <w:p w:rsidR="0050031D" w:rsidRDefault="0050031D" w:rsidP="00F5521C">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88">
    <w:p w:rsidR="0050031D" w:rsidRPr="004F28DE" w:rsidRDefault="0050031D" w:rsidP="00F5521C">
      <w:pPr>
        <w:pStyle w:val="FootnoteText"/>
      </w:pPr>
      <w:r w:rsidRPr="004F28DE">
        <w:rPr>
          <w:rStyle w:val="FootnoteReference"/>
          <w:vertAlign w:val="baseline"/>
        </w:rPr>
        <w:footnoteRef/>
      </w:r>
      <w:r w:rsidRPr="004F28DE">
        <w:t xml:space="preserve"> </w:t>
      </w:r>
      <w:r w:rsidRPr="004F28DE">
        <w:tab/>
        <w:t xml:space="preserve">Origin Energy, </w:t>
      </w:r>
      <w:proofErr w:type="spellStart"/>
      <w:r w:rsidRPr="004F28DE">
        <w:t>Ausgrid</w:t>
      </w:r>
      <w:proofErr w:type="spellEnd"/>
      <w:r w:rsidRPr="004F28DE">
        <w:t>, Endeavour, Essential initial 2015–19 initial regulatory proposals, Origin submission, August 2014, (attachment 1</w:t>
      </w:r>
      <w:proofErr w:type="gramStart"/>
      <w:r w:rsidRPr="004F28DE">
        <w:t>)p</w:t>
      </w:r>
      <w:proofErr w:type="gramEnd"/>
      <w:r w:rsidRPr="004F28DE">
        <w:t>. 36.</w:t>
      </w:r>
    </w:p>
  </w:footnote>
  <w:footnote w:id="89">
    <w:p w:rsidR="0050031D" w:rsidRDefault="0050031D" w:rsidP="00F5521C">
      <w:pPr>
        <w:pStyle w:val="FootnoteText"/>
      </w:pPr>
      <w:r>
        <w:rPr>
          <w:rStyle w:val="FootnoteReference"/>
        </w:rPr>
        <w:footnoteRef/>
      </w:r>
      <w:r>
        <w:t xml:space="preserve"> </w:t>
      </w:r>
      <w:r>
        <w:tab/>
      </w:r>
      <w:proofErr w:type="gramStart"/>
      <w:r>
        <w:t xml:space="preserve">Origin Energy, </w:t>
      </w:r>
      <w:proofErr w:type="spellStart"/>
      <w:r>
        <w:t>Ausgrid</w:t>
      </w:r>
      <w:proofErr w:type="spellEnd"/>
      <w:r>
        <w:t>, Endeavour, Essential initial 2015–19 initial regulatory proposals, Origin submission, August 2014, (attachment 2), p. 7.</w:t>
      </w:r>
      <w:proofErr w:type="gramEnd"/>
    </w:p>
  </w:footnote>
  <w:footnote w:id="90">
    <w:p w:rsidR="0050031D" w:rsidRDefault="0050031D" w:rsidP="00F5521C">
      <w:pPr>
        <w:pStyle w:val="FootnoteText"/>
      </w:pPr>
      <w:r>
        <w:rPr>
          <w:rStyle w:val="FootnoteReference"/>
        </w:rPr>
        <w:footnoteRef/>
      </w:r>
      <w:r>
        <w:t xml:space="preserve"> </w:t>
      </w:r>
      <w:r>
        <w:tab/>
      </w:r>
      <w:proofErr w:type="gramStart"/>
      <w:r>
        <w:t>Meeting between respective staff of Simply Energy and AER on 16 March 2015.</w:t>
      </w:r>
      <w:proofErr w:type="gramEnd"/>
    </w:p>
  </w:footnote>
  <w:footnote w:id="91">
    <w:p w:rsidR="0050031D" w:rsidRDefault="0050031D" w:rsidP="00F5521C">
      <w:pPr>
        <w:pStyle w:val="FootnoteText"/>
      </w:pPr>
      <w:r>
        <w:rPr>
          <w:rStyle w:val="FootnoteReference"/>
        </w:rPr>
        <w:footnoteRef/>
      </w:r>
      <w:r>
        <w:t xml:space="preserve"> </w:t>
      </w:r>
      <w:r>
        <w:tab/>
      </w:r>
      <w:proofErr w:type="gramStart"/>
      <w:r>
        <w:t>Simply Energy, metering question and churning, email to AER staff, 23 March 2015.</w:t>
      </w:r>
      <w:proofErr w:type="gramEnd"/>
    </w:p>
  </w:footnote>
  <w:footnote w:id="92">
    <w:p w:rsidR="0050031D" w:rsidRDefault="0050031D" w:rsidP="00F5521C">
      <w:pPr>
        <w:pStyle w:val="FootnoteText"/>
      </w:pPr>
      <w:r>
        <w:rPr>
          <w:rStyle w:val="FootnoteReference"/>
        </w:rPr>
        <w:footnoteRef/>
      </w:r>
      <w:r>
        <w:t xml:space="preserve"> </w:t>
      </w:r>
      <w:r>
        <w:tab/>
      </w:r>
      <w:proofErr w:type="gramStart"/>
      <w:r>
        <w:t>Simply Energy, metering question and churning, email to AER staff, 23 March 2015.</w:t>
      </w:r>
      <w:proofErr w:type="gramEnd"/>
    </w:p>
  </w:footnote>
  <w:footnote w:id="93">
    <w:p w:rsidR="0050031D" w:rsidRDefault="0050031D" w:rsidP="00F5521C">
      <w:pPr>
        <w:pStyle w:val="FootnoteText"/>
      </w:pPr>
      <w:r>
        <w:rPr>
          <w:rStyle w:val="FootnoteReference"/>
        </w:rPr>
        <w:footnoteRef/>
      </w:r>
      <w:r>
        <w:t xml:space="preserve"> </w:t>
      </w:r>
      <w:r>
        <w:tab/>
      </w:r>
      <w:proofErr w:type="gramStart"/>
      <w:r>
        <w:t>Simply Energy, metering question and churning, email to AER staff, 23 March 2015.</w:t>
      </w:r>
      <w:proofErr w:type="gramEnd"/>
    </w:p>
  </w:footnote>
  <w:footnote w:id="94">
    <w:p w:rsidR="0050031D" w:rsidRDefault="0050031D" w:rsidP="00F5521C">
      <w:pPr>
        <w:pStyle w:val="FootnoteText"/>
      </w:pPr>
      <w:r>
        <w:rPr>
          <w:rStyle w:val="FootnoteReference"/>
        </w:rPr>
        <w:footnoteRef/>
      </w:r>
      <w:r>
        <w:t xml:space="preserve"> </w:t>
      </w:r>
      <w:r>
        <w:tab/>
        <w:t>See</w:t>
      </w:r>
      <w:r w:rsidRPr="00A66128">
        <w:t xml:space="preserve"> </w:t>
      </w:r>
      <w:hyperlink r:id="rId2"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3"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95">
    <w:p w:rsidR="0050031D" w:rsidRDefault="0050031D" w:rsidP="00F5521C">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96">
    <w:p w:rsidR="0050031D" w:rsidRDefault="0050031D" w:rsidP="00F5521C">
      <w:pPr>
        <w:pStyle w:val="FootnoteText"/>
      </w:pPr>
      <w:r>
        <w:rPr>
          <w:rStyle w:val="FootnoteReference"/>
        </w:rPr>
        <w:footnoteRef/>
      </w:r>
      <w:r>
        <w:t xml:space="preserve"> </w:t>
      </w:r>
      <w:r>
        <w:tab/>
        <w:t xml:space="preserve">Vector Limited, Urgent - meter churn procedures, email to AER staff, 20 April 2015. </w:t>
      </w:r>
    </w:p>
  </w:footnote>
  <w:footnote w:id="97">
    <w:p w:rsidR="0050031D" w:rsidRDefault="0050031D" w:rsidP="00F5521C">
      <w:pPr>
        <w:pStyle w:val="FootnoteText"/>
      </w:pPr>
      <w:r>
        <w:rPr>
          <w:rStyle w:val="FootnoteReference"/>
        </w:rPr>
        <w:footnoteRef/>
      </w:r>
      <w:r>
        <w:t xml:space="preserve"> </w:t>
      </w:r>
      <w:r>
        <w:tab/>
        <w:t>Vector Limited, Urgent - meter churn procedures, email to AER staff, 20 April 2015</w:t>
      </w:r>
    </w:p>
  </w:footnote>
  <w:footnote w:id="98">
    <w:p w:rsidR="0050031D" w:rsidRDefault="0050031D" w:rsidP="00F5521C">
      <w:pPr>
        <w:pStyle w:val="FootnoteText"/>
      </w:pPr>
      <w:r>
        <w:rPr>
          <w:rStyle w:val="FootnoteReference"/>
        </w:rPr>
        <w:footnoteRef/>
      </w:r>
      <w:r>
        <w:t xml:space="preserve"> </w:t>
      </w:r>
      <w:r>
        <w:tab/>
        <w:t xml:space="preserve">This logic also applies if we take the Ergon </w:t>
      </w:r>
      <w:proofErr w:type="spellStart"/>
      <w:r>
        <w:t>Energys</w:t>
      </w:r>
      <w:proofErr w:type="spellEnd"/>
      <w:r>
        <w:t xml:space="preserve">' proposed average metering </w:t>
      </w:r>
      <w:proofErr w:type="spellStart"/>
      <w:r>
        <w:t>opex</w:t>
      </w:r>
      <w:proofErr w:type="spellEnd"/>
      <w:r>
        <w:t xml:space="preserve"> per customer per year of $46.</w:t>
      </w:r>
    </w:p>
  </w:footnote>
  <w:footnote w:id="99">
    <w:p w:rsidR="0050031D" w:rsidRDefault="0050031D" w:rsidP="000B1D07">
      <w:pPr>
        <w:pStyle w:val="FootnoteText"/>
      </w:pPr>
      <w:r>
        <w:rPr>
          <w:rStyle w:val="FootnoteReference"/>
        </w:rPr>
        <w:footnoteRef/>
      </w:r>
      <w:r>
        <w:t xml:space="preserve"> </w:t>
      </w:r>
      <w:r>
        <w:tab/>
        <w:t>AER, Final Framework and Approach for Ergon Energy and Energex, April 2014, p. 96–97.</w:t>
      </w:r>
    </w:p>
  </w:footnote>
  <w:footnote w:id="100">
    <w:p w:rsidR="0050031D" w:rsidRDefault="0050031D" w:rsidP="000B1D07">
      <w:pPr>
        <w:pStyle w:val="FootnoteText"/>
      </w:pPr>
      <w:r>
        <w:rPr>
          <w:rStyle w:val="FootnoteReference"/>
        </w:rPr>
        <w:footnoteRef/>
      </w:r>
      <w:r>
        <w:t xml:space="preserve"> </w:t>
      </w:r>
      <w:r>
        <w:tab/>
        <w:t>AER, Final Framework and Approach for Ergon Energy and Energex, April 2014, p. 96–97.</w:t>
      </w:r>
    </w:p>
  </w:footnote>
  <w:footnote w:id="101">
    <w:p w:rsidR="0050031D" w:rsidRDefault="0050031D" w:rsidP="00CF7867">
      <w:pPr>
        <w:pStyle w:val="FootnoteText"/>
      </w:pPr>
      <w:r>
        <w:rPr>
          <w:rStyle w:val="FootnoteReference"/>
        </w:rPr>
        <w:footnoteRef/>
      </w:r>
      <w:r w:rsidR="00165979">
        <w:t xml:space="preserve">   </w:t>
      </w:r>
      <w:r>
        <w:t>Exit fee proposed for council owned because Ergon Energy incurs refurbishment capital expenditure in respect of these assets.</w:t>
      </w:r>
    </w:p>
  </w:footnote>
  <w:footnote w:id="102">
    <w:p w:rsidR="0050031D" w:rsidRPr="00CF7867" w:rsidRDefault="0050031D" w:rsidP="00CF7867">
      <w:pPr>
        <w:pStyle w:val="FootnoteText"/>
      </w:pPr>
      <w:r>
        <w:rPr>
          <w:rStyle w:val="FootnoteReference"/>
        </w:rPr>
        <w:footnoteRef/>
      </w:r>
      <w:r>
        <w:t xml:space="preserve"> </w:t>
      </w:r>
      <w:r w:rsidR="00165979">
        <w:t xml:space="preserve">  </w:t>
      </w:r>
      <w:r w:rsidRPr="00CF7867">
        <w:t>Exit fee proposed for council owned because Ergon Energy incurs refurbishment capital expenditure in respect of these assets.</w:t>
      </w:r>
    </w:p>
  </w:footnote>
  <w:footnote w:id="103">
    <w:p w:rsidR="0050031D" w:rsidRDefault="0050031D">
      <w:pPr>
        <w:pStyle w:val="FootnoteText"/>
      </w:pPr>
      <w:r>
        <w:rPr>
          <w:rStyle w:val="FootnoteReference"/>
        </w:rPr>
        <w:footnoteRef/>
      </w:r>
      <w:r w:rsidR="00165979">
        <w:t xml:space="preserve">   </w:t>
      </w:r>
      <w:r>
        <w:t>LGAQ Submission, 30 January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58B6084"/>
    <w:multiLevelType w:val="multilevel"/>
    <w:tmpl w:val="950A1C52"/>
    <w:numStyleLink w:val="AERHeadings"/>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C4F5DE9"/>
    <w:multiLevelType w:val="multilevel"/>
    <w:tmpl w:val="950A1C52"/>
    <w:numStyleLink w:val="AERHeadings"/>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2405109"/>
    <w:multiLevelType w:val="hybridMultilevel"/>
    <w:tmpl w:val="26A4A39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C12568"/>
    <w:multiLevelType w:val="hybridMultilevel"/>
    <w:tmpl w:val="F620B4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663216F0"/>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5"/>
  </w:num>
  <w:num w:numId="14">
    <w:abstractNumId w:val="12"/>
  </w:num>
  <w:num w:numId="15">
    <w:abstractNumId w:val="15"/>
  </w:num>
  <w:num w:numId="16">
    <w:abstractNumId w:val="29"/>
  </w:num>
  <w:num w:numId="17">
    <w:abstractNumId w:val="10"/>
  </w:num>
  <w:num w:numId="18">
    <w:abstractNumId w:val="20"/>
  </w:num>
  <w:num w:numId="19">
    <w:abstractNumId w:val="30"/>
  </w:num>
  <w:num w:numId="20">
    <w:abstractNumId w:val="37"/>
  </w:num>
  <w:num w:numId="21">
    <w:abstractNumId w:val="16"/>
  </w:num>
  <w:num w:numId="22">
    <w:abstractNumId w:val="33"/>
  </w:num>
  <w:num w:numId="23">
    <w:abstractNumId w:val="31"/>
  </w:num>
  <w:num w:numId="24">
    <w:abstractNumId w:val="22"/>
  </w:num>
  <w:num w:numId="25">
    <w:abstractNumId w:val="32"/>
  </w:num>
  <w:num w:numId="26">
    <w:abstractNumId w:val="34"/>
  </w:num>
  <w:num w:numId="27">
    <w:abstractNumId w:val="24"/>
  </w:num>
  <w:num w:numId="28">
    <w:abstractNumId w:val="21"/>
  </w:num>
  <w:num w:numId="29">
    <w:abstractNumId w:val="19"/>
  </w:num>
  <w:num w:numId="30">
    <w:abstractNumId w:val="38"/>
  </w:num>
  <w:num w:numId="31">
    <w:abstractNumId w:val="17"/>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11"/>
  </w:num>
  <w:num w:numId="38">
    <w:abstractNumId w:val="18"/>
  </w:num>
  <w:num w:numId="39">
    <w:abstractNumId w:val="13"/>
  </w:num>
  <w:num w:numId="40">
    <w:abstractNumId w:val="9"/>
  </w:num>
  <w:num w:numId="41">
    <w:abstractNumId w:val="26"/>
  </w:num>
  <w:num w:numId="42">
    <w:abstractNumId w:val="23"/>
  </w:num>
  <w:num w:numId="4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4L8n8SGLrqSbyXlQZfxW56tFR4Tka3mK0vb/LLsJvQ=" w:saltValue="3u26NET1y5FixheKFDsYqA==" w:algorithmName="SHA-256"/>
  <w:defaultTabStop w:val="3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768\AER15 201  NEW - Ergon - prelim decision - Attach 18 - Connection policy.DOCX"/>
  </w:docVars>
  <w:rsids>
    <w:rsidRoot w:val="00961A4A"/>
    <w:rsid w:val="00001D4D"/>
    <w:rsid w:val="00021202"/>
    <w:rsid w:val="0002517F"/>
    <w:rsid w:val="0003578C"/>
    <w:rsid w:val="00063247"/>
    <w:rsid w:val="00070F9F"/>
    <w:rsid w:val="0007137B"/>
    <w:rsid w:val="00085663"/>
    <w:rsid w:val="00085EBF"/>
    <w:rsid w:val="000A3020"/>
    <w:rsid w:val="000A6C7B"/>
    <w:rsid w:val="000B1D07"/>
    <w:rsid w:val="000D122C"/>
    <w:rsid w:val="000E1819"/>
    <w:rsid w:val="000E4821"/>
    <w:rsid w:val="000E6C72"/>
    <w:rsid w:val="000E752C"/>
    <w:rsid w:val="001034C3"/>
    <w:rsid w:val="0011695C"/>
    <w:rsid w:val="00116EB2"/>
    <w:rsid w:val="001201F1"/>
    <w:rsid w:val="00124609"/>
    <w:rsid w:val="00126A4C"/>
    <w:rsid w:val="00141C58"/>
    <w:rsid w:val="0014573B"/>
    <w:rsid w:val="001573E4"/>
    <w:rsid w:val="0015753F"/>
    <w:rsid w:val="00160756"/>
    <w:rsid w:val="00165979"/>
    <w:rsid w:val="0017232E"/>
    <w:rsid w:val="001734A0"/>
    <w:rsid w:val="00174102"/>
    <w:rsid w:val="00180157"/>
    <w:rsid w:val="00185CB9"/>
    <w:rsid w:val="00186F77"/>
    <w:rsid w:val="001926A4"/>
    <w:rsid w:val="00192AD5"/>
    <w:rsid w:val="001B45A0"/>
    <w:rsid w:val="001B5A55"/>
    <w:rsid w:val="001C7AAE"/>
    <w:rsid w:val="001D055E"/>
    <w:rsid w:val="001D2B74"/>
    <w:rsid w:val="001F492E"/>
    <w:rsid w:val="001F6DA3"/>
    <w:rsid w:val="001F7575"/>
    <w:rsid w:val="002010BC"/>
    <w:rsid w:val="00202E03"/>
    <w:rsid w:val="0020492C"/>
    <w:rsid w:val="00221DC4"/>
    <w:rsid w:val="00224DB9"/>
    <w:rsid w:val="00233775"/>
    <w:rsid w:val="00250358"/>
    <w:rsid w:val="00251745"/>
    <w:rsid w:val="002622B3"/>
    <w:rsid w:val="00263AC0"/>
    <w:rsid w:val="00264264"/>
    <w:rsid w:val="0026772D"/>
    <w:rsid w:val="0028401C"/>
    <w:rsid w:val="00286874"/>
    <w:rsid w:val="00287DC4"/>
    <w:rsid w:val="00290C63"/>
    <w:rsid w:val="00296B65"/>
    <w:rsid w:val="002A590B"/>
    <w:rsid w:val="002A76BB"/>
    <w:rsid w:val="002A7DEF"/>
    <w:rsid w:val="002C4A8A"/>
    <w:rsid w:val="002C67C5"/>
    <w:rsid w:val="002E200E"/>
    <w:rsid w:val="002E7B22"/>
    <w:rsid w:val="002F0742"/>
    <w:rsid w:val="002F7986"/>
    <w:rsid w:val="00301B40"/>
    <w:rsid w:val="003029EE"/>
    <w:rsid w:val="00305CC8"/>
    <w:rsid w:val="00307F6D"/>
    <w:rsid w:val="003177A2"/>
    <w:rsid w:val="003271B5"/>
    <w:rsid w:val="00327A1E"/>
    <w:rsid w:val="00331264"/>
    <w:rsid w:val="00334C8D"/>
    <w:rsid w:val="00343A18"/>
    <w:rsid w:val="003459A3"/>
    <w:rsid w:val="003518B3"/>
    <w:rsid w:val="00363DDA"/>
    <w:rsid w:val="00365944"/>
    <w:rsid w:val="00373DEC"/>
    <w:rsid w:val="003846F1"/>
    <w:rsid w:val="00385082"/>
    <w:rsid w:val="00393243"/>
    <w:rsid w:val="003B4480"/>
    <w:rsid w:val="003B484F"/>
    <w:rsid w:val="003C1A48"/>
    <w:rsid w:val="003C65E0"/>
    <w:rsid w:val="003E3839"/>
    <w:rsid w:val="003F174D"/>
    <w:rsid w:val="00402905"/>
    <w:rsid w:val="004167A7"/>
    <w:rsid w:val="0045777E"/>
    <w:rsid w:val="00480B4B"/>
    <w:rsid w:val="00485DC4"/>
    <w:rsid w:val="004870DA"/>
    <w:rsid w:val="00495E61"/>
    <w:rsid w:val="004A43D1"/>
    <w:rsid w:val="004B4412"/>
    <w:rsid w:val="004B5317"/>
    <w:rsid w:val="004C19A8"/>
    <w:rsid w:val="004C348C"/>
    <w:rsid w:val="004D4BE9"/>
    <w:rsid w:val="004D55BA"/>
    <w:rsid w:val="004E22EC"/>
    <w:rsid w:val="004E3607"/>
    <w:rsid w:val="004E5EBD"/>
    <w:rsid w:val="004E71F8"/>
    <w:rsid w:val="0050031D"/>
    <w:rsid w:val="00526D65"/>
    <w:rsid w:val="00530128"/>
    <w:rsid w:val="00532467"/>
    <w:rsid w:val="005470AF"/>
    <w:rsid w:val="00564A4D"/>
    <w:rsid w:val="00567BA5"/>
    <w:rsid w:val="00571B35"/>
    <w:rsid w:val="00571D57"/>
    <w:rsid w:val="00577A09"/>
    <w:rsid w:val="005829C2"/>
    <w:rsid w:val="00584D8F"/>
    <w:rsid w:val="005937F6"/>
    <w:rsid w:val="00593E90"/>
    <w:rsid w:val="005A404D"/>
    <w:rsid w:val="005B1E3C"/>
    <w:rsid w:val="005B5439"/>
    <w:rsid w:val="005C26CC"/>
    <w:rsid w:val="005D7BA2"/>
    <w:rsid w:val="005E36C2"/>
    <w:rsid w:val="005E4005"/>
    <w:rsid w:val="00606C83"/>
    <w:rsid w:val="00615C6B"/>
    <w:rsid w:val="00621DCE"/>
    <w:rsid w:val="00632D6D"/>
    <w:rsid w:val="00642C3E"/>
    <w:rsid w:val="0066104A"/>
    <w:rsid w:val="00663DAD"/>
    <w:rsid w:val="006642C2"/>
    <w:rsid w:val="00675E20"/>
    <w:rsid w:val="00676679"/>
    <w:rsid w:val="00683C89"/>
    <w:rsid w:val="00691689"/>
    <w:rsid w:val="006A533C"/>
    <w:rsid w:val="006B2395"/>
    <w:rsid w:val="006B4CF9"/>
    <w:rsid w:val="006B7AC8"/>
    <w:rsid w:val="006D0ED9"/>
    <w:rsid w:val="006D550F"/>
    <w:rsid w:val="0070054E"/>
    <w:rsid w:val="00701CAB"/>
    <w:rsid w:val="00707563"/>
    <w:rsid w:val="00707C4E"/>
    <w:rsid w:val="0072348C"/>
    <w:rsid w:val="00724A37"/>
    <w:rsid w:val="007303C3"/>
    <w:rsid w:val="007429BE"/>
    <w:rsid w:val="00743223"/>
    <w:rsid w:val="00746E01"/>
    <w:rsid w:val="00757BDF"/>
    <w:rsid w:val="00763E5D"/>
    <w:rsid w:val="00767740"/>
    <w:rsid w:val="00775B6D"/>
    <w:rsid w:val="00777EE6"/>
    <w:rsid w:val="00782EEA"/>
    <w:rsid w:val="007840C3"/>
    <w:rsid w:val="00785A0A"/>
    <w:rsid w:val="007B2C72"/>
    <w:rsid w:val="007C1C53"/>
    <w:rsid w:val="007C5E4A"/>
    <w:rsid w:val="007C74BB"/>
    <w:rsid w:val="007E4904"/>
    <w:rsid w:val="007E4CB5"/>
    <w:rsid w:val="007F066B"/>
    <w:rsid w:val="008033C4"/>
    <w:rsid w:val="00806409"/>
    <w:rsid w:val="00806C88"/>
    <w:rsid w:val="0081034E"/>
    <w:rsid w:val="008344F6"/>
    <w:rsid w:val="0083510F"/>
    <w:rsid w:val="00851209"/>
    <w:rsid w:val="0086280F"/>
    <w:rsid w:val="0088043C"/>
    <w:rsid w:val="008837AC"/>
    <w:rsid w:val="008A587D"/>
    <w:rsid w:val="008B35CD"/>
    <w:rsid w:val="008B5FCC"/>
    <w:rsid w:val="008B63FB"/>
    <w:rsid w:val="008C5486"/>
    <w:rsid w:val="008C5FDD"/>
    <w:rsid w:val="008D1661"/>
    <w:rsid w:val="008D56F9"/>
    <w:rsid w:val="008E5A0C"/>
    <w:rsid w:val="008E7031"/>
    <w:rsid w:val="008E77DE"/>
    <w:rsid w:val="008F07A3"/>
    <w:rsid w:val="008F7F64"/>
    <w:rsid w:val="00900E1B"/>
    <w:rsid w:val="009233EE"/>
    <w:rsid w:val="00935083"/>
    <w:rsid w:val="00940B5B"/>
    <w:rsid w:val="009460AA"/>
    <w:rsid w:val="00951978"/>
    <w:rsid w:val="00961A4A"/>
    <w:rsid w:val="009661DE"/>
    <w:rsid w:val="00973036"/>
    <w:rsid w:val="00983C25"/>
    <w:rsid w:val="009856B7"/>
    <w:rsid w:val="00985C86"/>
    <w:rsid w:val="00995EC4"/>
    <w:rsid w:val="009A5FC3"/>
    <w:rsid w:val="009B219E"/>
    <w:rsid w:val="009B74B0"/>
    <w:rsid w:val="009D0B89"/>
    <w:rsid w:val="009D6B46"/>
    <w:rsid w:val="009E6283"/>
    <w:rsid w:val="009F4940"/>
    <w:rsid w:val="009F5BA1"/>
    <w:rsid w:val="00A0256B"/>
    <w:rsid w:val="00A02A88"/>
    <w:rsid w:val="00A0562E"/>
    <w:rsid w:val="00A0726D"/>
    <w:rsid w:val="00A32FBB"/>
    <w:rsid w:val="00A428EE"/>
    <w:rsid w:val="00A4478A"/>
    <w:rsid w:val="00A44852"/>
    <w:rsid w:val="00A57D04"/>
    <w:rsid w:val="00A60A0E"/>
    <w:rsid w:val="00A60A26"/>
    <w:rsid w:val="00A61598"/>
    <w:rsid w:val="00A71B86"/>
    <w:rsid w:val="00A84A99"/>
    <w:rsid w:val="00A84F46"/>
    <w:rsid w:val="00A859F6"/>
    <w:rsid w:val="00A871F4"/>
    <w:rsid w:val="00A87E53"/>
    <w:rsid w:val="00AB76E0"/>
    <w:rsid w:val="00AC1B2C"/>
    <w:rsid w:val="00AC3264"/>
    <w:rsid w:val="00AC6089"/>
    <w:rsid w:val="00AC72D2"/>
    <w:rsid w:val="00AE1BF1"/>
    <w:rsid w:val="00AF0DD2"/>
    <w:rsid w:val="00AF1338"/>
    <w:rsid w:val="00B03986"/>
    <w:rsid w:val="00B1046D"/>
    <w:rsid w:val="00B13048"/>
    <w:rsid w:val="00B1716D"/>
    <w:rsid w:val="00B17A1D"/>
    <w:rsid w:val="00B207A0"/>
    <w:rsid w:val="00B26F4C"/>
    <w:rsid w:val="00B478B3"/>
    <w:rsid w:val="00B514DD"/>
    <w:rsid w:val="00B52AF0"/>
    <w:rsid w:val="00B561BD"/>
    <w:rsid w:val="00B56E03"/>
    <w:rsid w:val="00B60362"/>
    <w:rsid w:val="00B71BAB"/>
    <w:rsid w:val="00B8080B"/>
    <w:rsid w:val="00B87BA5"/>
    <w:rsid w:val="00B87C39"/>
    <w:rsid w:val="00B90AAC"/>
    <w:rsid w:val="00B90E47"/>
    <w:rsid w:val="00B92F59"/>
    <w:rsid w:val="00BA4665"/>
    <w:rsid w:val="00BB2FB2"/>
    <w:rsid w:val="00BB3304"/>
    <w:rsid w:val="00BB5391"/>
    <w:rsid w:val="00BD3446"/>
    <w:rsid w:val="00BE1F1B"/>
    <w:rsid w:val="00BE47B5"/>
    <w:rsid w:val="00BF555C"/>
    <w:rsid w:val="00C0283D"/>
    <w:rsid w:val="00C25FA6"/>
    <w:rsid w:val="00C31DC4"/>
    <w:rsid w:val="00C41642"/>
    <w:rsid w:val="00C50932"/>
    <w:rsid w:val="00C538A9"/>
    <w:rsid w:val="00C53B5A"/>
    <w:rsid w:val="00C54F5A"/>
    <w:rsid w:val="00C569B4"/>
    <w:rsid w:val="00C67A92"/>
    <w:rsid w:val="00C746BD"/>
    <w:rsid w:val="00C86679"/>
    <w:rsid w:val="00CA429A"/>
    <w:rsid w:val="00CA489E"/>
    <w:rsid w:val="00CB0279"/>
    <w:rsid w:val="00CB666B"/>
    <w:rsid w:val="00CC0C21"/>
    <w:rsid w:val="00CC7F1D"/>
    <w:rsid w:val="00CF1A14"/>
    <w:rsid w:val="00CF5FC7"/>
    <w:rsid w:val="00CF7867"/>
    <w:rsid w:val="00D006AE"/>
    <w:rsid w:val="00D01CF0"/>
    <w:rsid w:val="00D0442A"/>
    <w:rsid w:val="00D16B09"/>
    <w:rsid w:val="00D51F2C"/>
    <w:rsid w:val="00D5227D"/>
    <w:rsid w:val="00D61388"/>
    <w:rsid w:val="00D61A54"/>
    <w:rsid w:val="00D64DEA"/>
    <w:rsid w:val="00D672E6"/>
    <w:rsid w:val="00D7168E"/>
    <w:rsid w:val="00D71E57"/>
    <w:rsid w:val="00D75207"/>
    <w:rsid w:val="00D77C6B"/>
    <w:rsid w:val="00D80893"/>
    <w:rsid w:val="00D84854"/>
    <w:rsid w:val="00D87EFA"/>
    <w:rsid w:val="00D92CF1"/>
    <w:rsid w:val="00D92D38"/>
    <w:rsid w:val="00D950F5"/>
    <w:rsid w:val="00DA2823"/>
    <w:rsid w:val="00DA4752"/>
    <w:rsid w:val="00DA61F3"/>
    <w:rsid w:val="00DB0F93"/>
    <w:rsid w:val="00DB1A67"/>
    <w:rsid w:val="00DB5074"/>
    <w:rsid w:val="00DB7AEA"/>
    <w:rsid w:val="00DC73D4"/>
    <w:rsid w:val="00DC7981"/>
    <w:rsid w:val="00DE1093"/>
    <w:rsid w:val="00DE4EFA"/>
    <w:rsid w:val="00DE5520"/>
    <w:rsid w:val="00DE563D"/>
    <w:rsid w:val="00DE6F7E"/>
    <w:rsid w:val="00E03563"/>
    <w:rsid w:val="00E04818"/>
    <w:rsid w:val="00E06442"/>
    <w:rsid w:val="00E23993"/>
    <w:rsid w:val="00E25B8C"/>
    <w:rsid w:val="00E526DC"/>
    <w:rsid w:val="00E57429"/>
    <w:rsid w:val="00E65408"/>
    <w:rsid w:val="00E65C85"/>
    <w:rsid w:val="00E66199"/>
    <w:rsid w:val="00E755EC"/>
    <w:rsid w:val="00E7624D"/>
    <w:rsid w:val="00E90BD2"/>
    <w:rsid w:val="00EA3D42"/>
    <w:rsid w:val="00EA5317"/>
    <w:rsid w:val="00EA6B1B"/>
    <w:rsid w:val="00EC664D"/>
    <w:rsid w:val="00ED517E"/>
    <w:rsid w:val="00ED625E"/>
    <w:rsid w:val="00ED7323"/>
    <w:rsid w:val="00EE28F3"/>
    <w:rsid w:val="00EF5110"/>
    <w:rsid w:val="00F10411"/>
    <w:rsid w:val="00F15882"/>
    <w:rsid w:val="00F16AE7"/>
    <w:rsid w:val="00F171E0"/>
    <w:rsid w:val="00F20854"/>
    <w:rsid w:val="00F20BD3"/>
    <w:rsid w:val="00F373A5"/>
    <w:rsid w:val="00F44551"/>
    <w:rsid w:val="00F47559"/>
    <w:rsid w:val="00F517F5"/>
    <w:rsid w:val="00F5521C"/>
    <w:rsid w:val="00F632AE"/>
    <w:rsid w:val="00F64C7B"/>
    <w:rsid w:val="00F66CE6"/>
    <w:rsid w:val="00F676DD"/>
    <w:rsid w:val="00F75A26"/>
    <w:rsid w:val="00F76706"/>
    <w:rsid w:val="00F81300"/>
    <w:rsid w:val="00F83FAD"/>
    <w:rsid w:val="00F952A0"/>
    <w:rsid w:val="00FA3C7F"/>
    <w:rsid w:val="00FB74E2"/>
    <w:rsid w:val="00FC10C4"/>
    <w:rsid w:val="00FC1A87"/>
    <w:rsid w:val="00FD5614"/>
    <w:rsid w:val="00FE0BE1"/>
    <w:rsid w:val="00FE1DE9"/>
    <w:rsid w:val="00FE36AF"/>
    <w:rsid w:val="00FE39C2"/>
    <w:rsid w:val="00FE3C32"/>
    <w:rsid w:val="00FE64AE"/>
    <w:rsid w:val="00FF0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C1A87"/>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C1A87"/>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6231">
      <w:bodyDiv w:val="1"/>
      <w:marLeft w:val="0"/>
      <w:marRight w:val="0"/>
      <w:marTop w:val="0"/>
      <w:marBottom w:val="0"/>
      <w:divBdr>
        <w:top w:val="none" w:sz="0" w:space="0" w:color="auto"/>
        <w:left w:val="none" w:sz="0" w:space="0" w:color="auto"/>
        <w:bottom w:val="none" w:sz="0" w:space="0" w:color="auto"/>
        <w:right w:val="none" w:sz="0" w:space="0" w:color="auto"/>
      </w:divBdr>
    </w:div>
    <w:div w:id="278076480">
      <w:bodyDiv w:val="1"/>
      <w:marLeft w:val="0"/>
      <w:marRight w:val="0"/>
      <w:marTop w:val="0"/>
      <w:marBottom w:val="0"/>
      <w:divBdr>
        <w:top w:val="none" w:sz="0" w:space="0" w:color="auto"/>
        <w:left w:val="none" w:sz="0" w:space="0" w:color="auto"/>
        <w:bottom w:val="none" w:sz="0" w:space="0" w:color="auto"/>
        <w:right w:val="none" w:sz="0" w:space="0" w:color="auto"/>
      </w:divBdr>
    </w:div>
    <w:div w:id="39111997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www.aemo.com.au/Consultations/National-Electricity-Market/Second-Stage-Notice-of-Consultation--Meter-Churn-Package" TargetMode="External"/><Relationship Id="rId1" Type="http://schemas.openxmlformats.org/officeDocument/2006/relationships/hyperlink" Target="http://www.hays.com.au/salary-guide/HAYS_3750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tx>
                <c:rich>
                  <a:bodyPr/>
                  <a:lstStyle/>
                  <a:p>
                    <a:r>
                      <a:rPr lang="en-US"/>
                      <a:t>ActewAGL</a:t>
                    </a:r>
                  </a:p>
                  <a:p>
                    <a:r>
                      <a:rPr lang="en-US"/>
                      <a:t>$8</a:t>
                    </a:r>
                  </a:p>
                </c:rich>
              </c:tx>
              <c:showLegendKey val="0"/>
              <c:showVal val="1"/>
              <c:showCatName val="0"/>
              <c:showSerName val="0"/>
              <c:showPercent val="0"/>
              <c:showBubbleSize val="0"/>
            </c:dLbl>
            <c:dLbl>
              <c:idx val="1"/>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tx>
                <c:rich>
                  <a:bodyPr/>
                  <a:lstStyle/>
                  <a:p>
                    <a:r>
                      <a:rPr lang="en-US"/>
                      <a:t>Essential Energy </a:t>
                    </a:r>
                  </a:p>
                  <a:p>
                    <a:r>
                      <a:rPr lang="en-US"/>
                      <a:t>$45</a:t>
                    </a:r>
                  </a:p>
                </c:rich>
              </c:tx>
              <c:showLegendKey val="0"/>
              <c:showVal val="1"/>
              <c:showCatName val="0"/>
              <c:showSerName val="0"/>
              <c:showPercent val="0"/>
              <c:showBubbleSize val="0"/>
            </c:dLbl>
            <c:dLbl>
              <c:idx val="6"/>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267569792"/>
        <c:axId val="41186048"/>
      </c:scatterChart>
      <c:valAx>
        <c:axId val="267569792"/>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overlay val="0"/>
        </c:title>
        <c:numFmt formatCode="0" sourceLinked="1"/>
        <c:majorTickMark val="out"/>
        <c:minorTickMark val="none"/>
        <c:tickLblPos val="nextTo"/>
        <c:crossAx val="41186048"/>
        <c:crosses val="autoZero"/>
        <c:crossBetween val="midCat"/>
      </c:valAx>
      <c:valAx>
        <c:axId val="41186048"/>
        <c:scaling>
          <c:orientation val="minMax"/>
        </c:scaling>
        <c:delete val="0"/>
        <c:axPos val="l"/>
        <c:title>
          <c:tx>
            <c:rich>
              <a:bodyPr rot="-5400000" vert="horz"/>
              <a:lstStyle/>
              <a:p>
                <a:pPr>
                  <a:defRPr/>
                </a:pPr>
                <a:r>
                  <a:rPr lang="en-AU"/>
                  <a:t>Base annual opex per customer </a:t>
                </a:r>
              </a:p>
              <a:p>
                <a:pPr>
                  <a:defRPr/>
                </a:pPr>
                <a:r>
                  <a:rPr lang="en-AU"/>
                  <a:t>($2014-15)</a:t>
                </a:r>
              </a:p>
            </c:rich>
          </c:tx>
          <c:overlay val="0"/>
        </c:title>
        <c:numFmt formatCode="0" sourceLinked="1"/>
        <c:majorTickMark val="out"/>
        <c:minorTickMark val="none"/>
        <c:tickLblPos val="nextTo"/>
        <c:crossAx val="267569792"/>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062343-D02E-4052-A967-BA29D1D5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AE61E778</Template>
  <TotalTime>0</TotalTime>
  <Pages>66</Pages>
  <Words>19018</Words>
  <Characters>108406</Characters>
  <Application>Microsoft Office Word</Application>
  <DocSecurity>0</DocSecurity>
  <Lines>903</Lines>
  <Paragraphs>254</Paragraphs>
  <ScaleCrop>false</ScaleCrop>
  <Company/>
  <LinksUpToDate>false</LinksUpToDate>
  <CharactersWithSpaces>127170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2015-04-28T05:43:00Z</dcterms:created>
  <dcterms:modified xsi:type="dcterms:W3CDTF">2015-04-28T05:44:00Z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8355454</vt:lpwstr>
  </property>
</Properties>
</file>