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6EB10B5A" wp14:editId="190D7C6D">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A4752" w:rsidP="008F07A3">
          <w:pPr>
            <w:pStyle w:val="ReportSubtitle"/>
          </w:pPr>
          <w:r>
            <w:t>PRELIMINARY DECISION</w:t>
          </w:r>
        </w:p>
        <w:p w:rsidR="000A6C7B" w:rsidRDefault="001201F1" w:rsidP="008F07A3">
          <w:pPr>
            <w:pStyle w:val="ReportSubtitle"/>
          </w:pPr>
          <w:r>
            <w:t>E</w:t>
          </w:r>
          <w:r w:rsidR="00E57429">
            <w:t>rgon Energy</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 xml:space="preserve">Attachment 18 </w:t>
          </w:r>
          <w:r>
            <w:rPr>
              <w:rFonts w:cs="Arial"/>
            </w:rPr>
            <w:t>−</w:t>
          </w:r>
          <w:r>
            <w:t xml:space="preserve"> Connection policy</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0"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17734067"/>
      <w:r>
        <w:lastRenderedPageBreak/>
        <w:t>N</w:t>
      </w:r>
      <w:r w:rsidR="008F07A3">
        <w:t>ote</w:t>
      </w:r>
      <w:bookmarkEnd w:id="0"/>
      <w:bookmarkEnd w:id="1"/>
      <w:bookmarkEnd w:id="2"/>
      <w:bookmarkEnd w:id="3"/>
      <w:bookmarkEnd w:id="4"/>
    </w:p>
    <w:p w:rsidR="008F07A3" w:rsidRDefault="008F07A3" w:rsidP="008F07A3">
      <w:pPr>
        <w:numPr>
          <w:ilvl w:val="0"/>
          <w:numId w:val="25"/>
        </w:numPr>
      </w:pPr>
      <w:r>
        <w:t xml:space="preserve">This attachment forms part of the AER's preliminary decision on </w:t>
      </w:r>
      <w:r w:rsidR="00E57429">
        <w:t>Ergon Energy</w:t>
      </w:r>
      <w:r w:rsidR="001201F1">
        <w:t>'s</w:t>
      </w:r>
      <w:r w:rsidR="004A0071">
        <w:br/>
      </w:r>
      <w:r>
        <w:t xml:space="preserve">2015–20 distribution determination. It should be read with </w:t>
      </w:r>
      <w:r w:rsidR="00ED20AF">
        <w:t xml:space="preserve">all </w:t>
      </w:r>
      <w:r>
        <w:t>other parts of the preliminary decision.</w:t>
      </w:r>
    </w:p>
    <w:p w:rsidR="008F07A3" w:rsidRDefault="008F07A3" w:rsidP="008F07A3">
      <w:pPr>
        <w:numPr>
          <w:ilvl w:val="0"/>
          <w:numId w:val="25"/>
        </w:numPr>
      </w:pPr>
      <w:r>
        <w:t>The preliminary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bookmarkStart w:id="5" w:name="_GoBack"/>
      <w:bookmarkEnd w:id="5"/>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Attach</w:t>
      </w:r>
      <w:r w:rsidR="00184DA7">
        <w:t>ment 18 – Connection policy</w:t>
      </w:r>
    </w:p>
    <w:p w:rsidR="008F07A3" w:rsidRPr="008F07A3" w:rsidRDefault="008F07A3" w:rsidP="008F07A3">
      <w:pPr>
        <w:sectPr w:rsidR="008F07A3" w:rsidRPr="008F07A3" w:rsidSect="00DE563D">
          <w:footerReference w:type="even" r:id="rId11"/>
          <w:footerReference w:type="default" r:id="rId12"/>
          <w:footerReference w:type="first" r:id="rId13"/>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6" w:name="_Toc403144133"/>
      <w:bookmarkStart w:id="7" w:name="_Toc417734068"/>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404E74" w:rsidRDefault="00404E74">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"1-5" \h \z \u \t "Heading 7,1" </w:instrText>
          </w:r>
          <w:r>
            <w:rPr>
              <w:color w:val="auto"/>
              <w:sz w:val="22"/>
            </w:rPr>
            <w:fldChar w:fldCharType="separate"/>
          </w:r>
          <w:hyperlink w:anchor="_Toc417734067" w:history="1">
            <w:r w:rsidRPr="00132E45">
              <w:rPr>
                <w:rStyle w:val="Hyperlink"/>
              </w:rPr>
              <w:t>Note</w:t>
            </w:r>
            <w:r>
              <w:rPr>
                <w:webHidden/>
              </w:rPr>
              <w:tab/>
              <w:t>18-</w:t>
            </w:r>
            <w:r>
              <w:rPr>
                <w:webHidden/>
              </w:rPr>
              <w:fldChar w:fldCharType="begin"/>
            </w:r>
            <w:r>
              <w:rPr>
                <w:webHidden/>
              </w:rPr>
              <w:instrText xml:space="preserve"> PAGEREF _Toc417734067 \h </w:instrText>
            </w:r>
            <w:r>
              <w:rPr>
                <w:webHidden/>
              </w:rPr>
            </w:r>
            <w:r>
              <w:rPr>
                <w:webHidden/>
              </w:rPr>
              <w:fldChar w:fldCharType="separate"/>
            </w:r>
            <w:r>
              <w:rPr>
                <w:webHidden/>
              </w:rPr>
              <w:t>2</w:t>
            </w:r>
            <w:r>
              <w:rPr>
                <w:webHidden/>
              </w:rPr>
              <w:fldChar w:fldCharType="end"/>
            </w:r>
          </w:hyperlink>
        </w:p>
        <w:p w:rsidR="00404E74" w:rsidRDefault="003C38FC">
          <w:pPr>
            <w:pStyle w:val="TOC1"/>
            <w:rPr>
              <w:rFonts w:asciiTheme="minorHAnsi" w:eastAsiaTheme="minorEastAsia" w:hAnsiTheme="minorHAnsi"/>
              <w:b w:val="0"/>
              <w:color w:val="auto"/>
              <w:sz w:val="22"/>
              <w:lang w:val="en-AU" w:eastAsia="en-AU"/>
            </w:rPr>
          </w:pPr>
          <w:hyperlink w:anchor="_Toc417734068" w:history="1">
            <w:r w:rsidR="00404E74" w:rsidRPr="00132E45">
              <w:rPr>
                <w:rStyle w:val="Hyperlink"/>
              </w:rPr>
              <w:t>Contents</w:t>
            </w:r>
            <w:r w:rsidR="00404E74">
              <w:rPr>
                <w:webHidden/>
              </w:rPr>
              <w:tab/>
              <w:t>18-</w:t>
            </w:r>
            <w:r w:rsidR="00404E74">
              <w:rPr>
                <w:webHidden/>
              </w:rPr>
              <w:fldChar w:fldCharType="begin"/>
            </w:r>
            <w:r w:rsidR="00404E74">
              <w:rPr>
                <w:webHidden/>
              </w:rPr>
              <w:instrText xml:space="preserve"> PAGEREF _Toc417734068 \h </w:instrText>
            </w:r>
            <w:r w:rsidR="00404E74">
              <w:rPr>
                <w:webHidden/>
              </w:rPr>
            </w:r>
            <w:r w:rsidR="00404E74">
              <w:rPr>
                <w:webHidden/>
              </w:rPr>
              <w:fldChar w:fldCharType="separate"/>
            </w:r>
            <w:r w:rsidR="00404E74">
              <w:rPr>
                <w:webHidden/>
              </w:rPr>
              <w:t>3</w:t>
            </w:r>
            <w:r w:rsidR="00404E74">
              <w:rPr>
                <w:webHidden/>
              </w:rPr>
              <w:fldChar w:fldCharType="end"/>
            </w:r>
          </w:hyperlink>
        </w:p>
        <w:p w:rsidR="00404E74" w:rsidRDefault="003C38FC">
          <w:pPr>
            <w:pStyle w:val="TOC1"/>
            <w:rPr>
              <w:rFonts w:asciiTheme="minorHAnsi" w:eastAsiaTheme="minorEastAsia" w:hAnsiTheme="minorHAnsi"/>
              <w:b w:val="0"/>
              <w:color w:val="auto"/>
              <w:sz w:val="22"/>
              <w:lang w:val="en-AU" w:eastAsia="en-AU"/>
            </w:rPr>
          </w:pPr>
          <w:hyperlink w:anchor="_Toc417734069" w:history="1">
            <w:r w:rsidR="00404E74" w:rsidRPr="00132E45">
              <w:rPr>
                <w:rStyle w:val="Hyperlink"/>
              </w:rPr>
              <w:t>Shortened forms</w:t>
            </w:r>
            <w:r w:rsidR="00404E74">
              <w:rPr>
                <w:webHidden/>
              </w:rPr>
              <w:tab/>
              <w:t>18-</w:t>
            </w:r>
            <w:r w:rsidR="00404E74">
              <w:rPr>
                <w:webHidden/>
              </w:rPr>
              <w:fldChar w:fldCharType="begin"/>
            </w:r>
            <w:r w:rsidR="00404E74">
              <w:rPr>
                <w:webHidden/>
              </w:rPr>
              <w:instrText xml:space="preserve"> PAGEREF _Toc417734069 \h </w:instrText>
            </w:r>
            <w:r w:rsidR="00404E74">
              <w:rPr>
                <w:webHidden/>
              </w:rPr>
            </w:r>
            <w:r w:rsidR="00404E74">
              <w:rPr>
                <w:webHidden/>
              </w:rPr>
              <w:fldChar w:fldCharType="separate"/>
            </w:r>
            <w:r w:rsidR="00404E74">
              <w:rPr>
                <w:webHidden/>
              </w:rPr>
              <w:t>4</w:t>
            </w:r>
            <w:r w:rsidR="00404E74">
              <w:rPr>
                <w:webHidden/>
              </w:rPr>
              <w:fldChar w:fldCharType="end"/>
            </w:r>
          </w:hyperlink>
        </w:p>
        <w:p w:rsidR="00404E74" w:rsidRDefault="003C38FC">
          <w:pPr>
            <w:pStyle w:val="TOC1"/>
            <w:rPr>
              <w:rFonts w:asciiTheme="minorHAnsi" w:eastAsiaTheme="minorEastAsia" w:hAnsiTheme="minorHAnsi"/>
              <w:b w:val="0"/>
              <w:color w:val="auto"/>
              <w:sz w:val="22"/>
              <w:lang w:val="en-AU" w:eastAsia="en-AU"/>
            </w:rPr>
          </w:pPr>
          <w:hyperlink w:anchor="_Toc417734070" w:history="1">
            <w:r w:rsidR="00404E74" w:rsidRPr="00132E45">
              <w:rPr>
                <w:rStyle w:val="Hyperlink"/>
              </w:rPr>
              <w:t>18</w:t>
            </w:r>
            <w:r w:rsidR="00404E74">
              <w:rPr>
                <w:rFonts w:asciiTheme="minorHAnsi" w:eastAsiaTheme="minorEastAsia" w:hAnsiTheme="minorHAnsi"/>
                <w:b w:val="0"/>
                <w:color w:val="auto"/>
                <w:sz w:val="22"/>
                <w:lang w:val="en-AU" w:eastAsia="en-AU"/>
              </w:rPr>
              <w:tab/>
            </w:r>
            <w:r w:rsidR="00404E74" w:rsidRPr="00132E45">
              <w:rPr>
                <w:rStyle w:val="Hyperlink"/>
              </w:rPr>
              <w:t>Connection policy</w:t>
            </w:r>
            <w:r w:rsidR="00404E74">
              <w:rPr>
                <w:webHidden/>
              </w:rPr>
              <w:tab/>
              <w:t>18-</w:t>
            </w:r>
            <w:r w:rsidR="00404E74">
              <w:rPr>
                <w:webHidden/>
              </w:rPr>
              <w:fldChar w:fldCharType="begin"/>
            </w:r>
            <w:r w:rsidR="00404E74">
              <w:rPr>
                <w:webHidden/>
              </w:rPr>
              <w:instrText xml:space="preserve"> PAGEREF _Toc417734070 \h </w:instrText>
            </w:r>
            <w:r w:rsidR="00404E74">
              <w:rPr>
                <w:webHidden/>
              </w:rPr>
            </w:r>
            <w:r w:rsidR="00404E74">
              <w:rPr>
                <w:webHidden/>
              </w:rPr>
              <w:fldChar w:fldCharType="separate"/>
            </w:r>
            <w:r w:rsidR="00404E74">
              <w:rPr>
                <w:webHidden/>
              </w:rPr>
              <w:t>6</w:t>
            </w:r>
            <w:r w:rsidR="00404E74">
              <w:rPr>
                <w:webHidden/>
              </w:rPr>
              <w:fldChar w:fldCharType="end"/>
            </w:r>
          </w:hyperlink>
        </w:p>
        <w:p w:rsidR="00404E74" w:rsidRDefault="003C38FC">
          <w:pPr>
            <w:pStyle w:val="TOC2"/>
            <w:tabs>
              <w:tab w:val="left" w:pos="1276"/>
            </w:tabs>
            <w:rPr>
              <w:rFonts w:asciiTheme="minorHAnsi" w:eastAsiaTheme="minorEastAsia" w:hAnsiTheme="minorHAnsi"/>
              <w:b w:val="0"/>
              <w:color w:val="auto"/>
              <w:sz w:val="22"/>
              <w:lang w:eastAsia="en-AU"/>
            </w:rPr>
          </w:pPr>
          <w:hyperlink w:anchor="_Toc417734072" w:history="1">
            <w:r w:rsidR="00404E74" w:rsidRPr="00132E45">
              <w:rPr>
                <w:rStyle w:val="Hyperlink"/>
              </w:rPr>
              <w:t>18.1</w:t>
            </w:r>
            <w:r w:rsidR="00404E74">
              <w:rPr>
                <w:rFonts w:asciiTheme="minorHAnsi" w:eastAsiaTheme="minorEastAsia" w:hAnsiTheme="minorHAnsi"/>
                <w:b w:val="0"/>
                <w:color w:val="auto"/>
                <w:sz w:val="22"/>
                <w:lang w:eastAsia="en-AU"/>
              </w:rPr>
              <w:tab/>
            </w:r>
            <w:r w:rsidR="00404E74" w:rsidRPr="00132E45">
              <w:rPr>
                <w:rStyle w:val="Hyperlink"/>
              </w:rPr>
              <w:t>Preliminary decision</w:t>
            </w:r>
            <w:r w:rsidR="00404E74">
              <w:rPr>
                <w:webHidden/>
              </w:rPr>
              <w:tab/>
              <w:t>18-</w:t>
            </w:r>
            <w:r w:rsidR="00404E74">
              <w:rPr>
                <w:webHidden/>
              </w:rPr>
              <w:fldChar w:fldCharType="begin"/>
            </w:r>
            <w:r w:rsidR="00404E74">
              <w:rPr>
                <w:webHidden/>
              </w:rPr>
              <w:instrText xml:space="preserve"> PAGEREF _Toc417734072 \h </w:instrText>
            </w:r>
            <w:r w:rsidR="00404E74">
              <w:rPr>
                <w:webHidden/>
              </w:rPr>
            </w:r>
            <w:r w:rsidR="00404E74">
              <w:rPr>
                <w:webHidden/>
              </w:rPr>
              <w:fldChar w:fldCharType="separate"/>
            </w:r>
            <w:r w:rsidR="00404E74">
              <w:rPr>
                <w:webHidden/>
              </w:rPr>
              <w:t>7</w:t>
            </w:r>
            <w:r w:rsidR="00404E74">
              <w:rPr>
                <w:webHidden/>
              </w:rPr>
              <w:fldChar w:fldCharType="end"/>
            </w:r>
          </w:hyperlink>
        </w:p>
        <w:p w:rsidR="00404E74" w:rsidRDefault="003C38FC">
          <w:pPr>
            <w:pStyle w:val="TOC2"/>
            <w:tabs>
              <w:tab w:val="left" w:pos="1276"/>
            </w:tabs>
            <w:rPr>
              <w:rFonts w:asciiTheme="minorHAnsi" w:eastAsiaTheme="minorEastAsia" w:hAnsiTheme="minorHAnsi"/>
              <w:b w:val="0"/>
              <w:color w:val="auto"/>
              <w:sz w:val="22"/>
              <w:lang w:eastAsia="en-AU"/>
            </w:rPr>
          </w:pPr>
          <w:hyperlink w:anchor="_Toc417734073" w:history="1">
            <w:r w:rsidR="00404E74" w:rsidRPr="00132E45">
              <w:rPr>
                <w:rStyle w:val="Hyperlink"/>
              </w:rPr>
              <w:t>18.2</w:t>
            </w:r>
            <w:r w:rsidR="00404E74">
              <w:rPr>
                <w:rFonts w:asciiTheme="minorHAnsi" w:eastAsiaTheme="minorEastAsia" w:hAnsiTheme="minorHAnsi"/>
                <w:b w:val="0"/>
                <w:color w:val="auto"/>
                <w:sz w:val="22"/>
                <w:lang w:eastAsia="en-AU"/>
              </w:rPr>
              <w:tab/>
            </w:r>
            <w:r w:rsidR="00404E74" w:rsidRPr="00132E45">
              <w:rPr>
                <w:rStyle w:val="Hyperlink"/>
              </w:rPr>
              <w:t>Ergon Energy's proposal</w:t>
            </w:r>
            <w:r w:rsidR="00404E74">
              <w:rPr>
                <w:webHidden/>
              </w:rPr>
              <w:tab/>
              <w:t>18-</w:t>
            </w:r>
            <w:r w:rsidR="00404E74">
              <w:rPr>
                <w:webHidden/>
              </w:rPr>
              <w:fldChar w:fldCharType="begin"/>
            </w:r>
            <w:r w:rsidR="00404E74">
              <w:rPr>
                <w:webHidden/>
              </w:rPr>
              <w:instrText xml:space="preserve"> PAGEREF _Toc417734073 \h </w:instrText>
            </w:r>
            <w:r w:rsidR="00404E74">
              <w:rPr>
                <w:webHidden/>
              </w:rPr>
            </w:r>
            <w:r w:rsidR="00404E74">
              <w:rPr>
                <w:webHidden/>
              </w:rPr>
              <w:fldChar w:fldCharType="separate"/>
            </w:r>
            <w:r w:rsidR="00404E74">
              <w:rPr>
                <w:webHidden/>
              </w:rPr>
              <w:t>7</w:t>
            </w:r>
            <w:r w:rsidR="00404E74">
              <w:rPr>
                <w:webHidden/>
              </w:rPr>
              <w:fldChar w:fldCharType="end"/>
            </w:r>
          </w:hyperlink>
        </w:p>
        <w:p w:rsidR="00404E74" w:rsidRDefault="003C38FC">
          <w:pPr>
            <w:pStyle w:val="TOC2"/>
            <w:tabs>
              <w:tab w:val="left" w:pos="1276"/>
            </w:tabs>
            <w:rPr>
              <w:rFonts w:asciiTheme="minorHAnsi" w:eastAsiaTheme="minorEastAsia" w:hAnsiTheme="minorHAnsi"/>
              <w:b w:val="0"/>
              <w:color w:val="auto"/>
              <w:sz w:val="22"/>
              <w:lang w:eastAsia="en-AU"/>
            </w:rPr>
          </w:pPr>
          <w:hyperlink w:anchor="_Toc417734074" w:history="1">
            <w:r w:rsidR="00404E74" w:rsidRPr="00132E45">
              <w:rPr>
                <w:rStyle w:val="Hyperlink"/>
              </w:rPr>
              <w:t>18.3</w:t>
            </w:r>
            <w:r w:rsidR="00404E74">
              <w:rPr>
                <w:rFonts w:asciiTheme="minorHAnsi" w:eastAsiaTheme="minorEastAsia" w:hAnsiTheme="minorHAnsi"/>
                <w:b w:val="0"/>
                <w:color w:val="auto"/>
                <w:sz w:val="22"/>
                <w:lang w:eastAsia="en-AU"/>
              </w:rPr>
              <w:tab/>
            </w:r>
            <w:r w:rsidR="00404E74" w:rsidRPr="00132E45">
              <w:rPr>
                <w:rStyle w:val="Hyperlink"/>
              </w:rPr>
              <w:t>AER’s assessment approach</w:t>
            </w:r>
            <w:r w:rsidR="00404E74">
              <w:rPr>
                <w:webHidden/>
              </w:rPr>
              <w:tab/>
              <w:t>18-</w:t>
            </w:r>
            <w:r w:rsidR="00404E74">
              <w:rPr>
                <w:webHidden/>
              </w:rPr>
              <w:fldChar w:fldCharType="begin"/>
            </w:r>
            <w:r w:rsidR="00404E74">
              <w:rPr>
                <w:webHidden/>
              </w:rPr>
              <w:instrText xml:space="preserve"> PAGEREF _Toc417734074 \h </w:instrText>
            </w:r>
            <w:r w:rsidR="00404E74">
              <w:rPr>
                <w:webHidden/>
              </w:rPr>
            </w:r>
            <w:r w:rsidR="00404E74">
              <w:rPr>
                <w:webHidden/>
              </w:rPr>
              <w:fldChar w:fldCharType="separate"/>
            </w:r>
            <w:r w:rsidR="00404E74">
              <w:rPr>
                <w:webHidden/>
              </w:rPr>
              <w:t>7</w:t>
            </w:r>
            <w:r w:rsidR="00404E74">
              <w:rPr>
                <w:webHidden/>
              </w:rPr>
              <w:fldChar w:fldCharType="end"/>
            </w:r>
          </w:hyperlink>
        </w:p>
        <w:p w:rsidR="00404E74" w:rsidRDefault="003C38FC">
          <w:pPr>
            <w:pStyle w:val="TOC2"/>
            <w:tabs>
              <w:tab w:val="left" w:pos="1276"/>
            </w:tabs>
            <w:rPr>
              <w:rFonts w:asciiTheme="minorHAnsi" w:eastAsiaTheme="minorEastAsia" w:hAnsiTheme="minorHAnsi"/>
              <w:b w:val="0"/>
              <w:color w:val="auto"/>
              <w:sz w:val="22"/>
              <w:lang w:eastAsia="en-AU"/>
            </w:rPr>
          </w:pPr>
          <w:hyperlink w:anchor="_Toc417734075" w:history="1">
            <w:r w:rsidR="00404E74" w:rsidRPr="00132E45">
              <w:rPr>
                <w:rStyle w:val="Hyperlink"/>
              </w:rPr>
              <w:t>18.4</w:t>
            </w:r>
            <w:r w:rsidR="00404E74">
              <w:rPr>
                <w:rFonts w:asciiTheme="minorHAnsi" w:eastAsiaTheme="minorEastAsia" w:hAnsiTheme="minorHAnsi"/>
                <w:b w:val="0"/>
                <w:color w:val="auto"/>
                <w:sz w:val="22"/>
                <w:lang w:eastAsia="en-AU"/>
              </w:rPr>
              <w:tab/>
            </w:r>
            <w:r w:rsidR="00404E74" w:rsidRPr="00132E45">
              <w:rPr>
                <w:rStyle w:val="Hyperlink"/>
              </w:rPr>
              <w:t>Reasons for preliminary decision</w:t>
            </w:r>
            <w:r w:rsidR="00404E74">
              <w:rPr>
                <w:webHidden/>
              </w:rPr>
              <w:tab/>
              <w:t>18-</w:t>
            </w:r>
            <w:r w:rsidR="00404E74">
              <w:rPr>
                <w:webHidden/>
              </w:rPr>
              <w:fldChar w:fldCharType="begin"/>
            </w:r>
            <w:r w:rsidR="00404E74">
              <w:rPr>
                <w:webHidden/>
              </w:rPr>
              <w:instrText xml:space="preserve"> PAGEREF _Toc417734075 \h </w:instrText>
            </w:r>
            <w:r w:rsidR="00404E74">
              <w:rPr>
                <w:webHidden/>
              </w:rPr>
            </w:r>
            <w:r w:rsidR="00404E74">
              <w:rPr>
                <w:webHidden/>
              </w:rPr>
              <w:fldChar w:fldCharType="separate"/>
            </w:r>
            <w:r w:rsidR="00404E74">
              <w:rPr>
                <w:webHidden/>
              </w:rPr>
              <w:t>7</w:t>
            </w:r>
            <w:r w:rsidR="00404E74">
              <w:rPr>
                <w:webHidden/>
              </w:rPr>
              <w:fldChar w:fldCharType="end"/>
            </w:r>
          </w:hyperlink>
        </w:p>
        <w:p w:rsidR="00404E74" w:rsidRDefault="003C38FC">
          <w:pPr>
            <w:pStyle w:val="TOC2"/>
            <w:tabs>
              <w:tab w:val="left" w:pos="1276"/>
            </w:tabs>
            <w:rPr>
              <w:rFonts w:asciiTheme="minorHAnsi" w:eastAsiaTheme="minorEastAsia" w:hAnsiTheme="minorHAnsi"/>
              <w:b w:val="0"/>
              <w:color w:val="auto"/>
              <w:sz w:val="22"/>
              <w:lang w:eastAsia="en-AU"/>
            </w:rPr>
          </w:pPr>
          <w:hyperlink w:anchor="_Toc417734082" w:history="1">
            <w:r w:rsidR="00404E74" w:rsidRPr="00132E45">
              <w:rPr>
                <w:rStyle w:val="Hyperlink"/>
              </w:rPr>
              <w:t>18.5</w:t>
            </w:r>
            <w:r w:rsidR="00404E74">
              <w:rPr>
                <w:rFonts w:asciiTheme="minorHAnsi" w:eastAsiaTheme="minorEastAsia" w:hAnsiTheme="minorHAnsi"/>
                <w:b w:val="0"/>
                <w:color w:val="auto"/>
                <w:sz w:val="22"/>
                <w:lang w:eastAsia="en-AU"/>
              </w:rPr>
              <w:tab/>
            </w:r>
            <w:r w:rsidR="00404E74" w:rsidRPr="00132E45">
              <w:rPr>
                <w:rStyle w:val="Hyperlink"/>
              </w:rPr>
              <w:t>AER approved connection policy</w:t>
            </w:r>
            <w:r w:rsidR="00404E74">
              <w:rPr>
                <w:webHidden/>
              </w:rPr>
              <w:tab/>
              <w:t>18-</w:t>
            </w:r>
            <w:r w:rsidR="00404E74">
              <w:rPr>
                <w:webHidden/>
              </w:rPr>
              <w:fldChar w:fldCharType="begin"/>
            </w:r>
            <w:r w:rsidR="00404E74">
              <w:rPr>
                <w:webHidden/>
              </w:rPr>
              <w:instrText xml:space="preserve"> PAGEREF _Toc417734082 \h </w:instrText>
            </w:r>
            <w:r w:rsidR="00404E74">
              <w:rPr>
                <w:webHidden/>
              </w:rPr>
            </w:r>
            <w:r w:rsidR="00404E74">
              <w:rPr>
                <w:webHidden/>
              </w:rPr>
              <w:fldChar w:fldCharType="separate"/>
            </w:r>
            <w:r w:rsidR="00404E74">
              <w:rPr>
                <w:webHidden/>
              </w:rPr>
              <w:t>11</w:t>
            </w:r>
            <w:r w:rsidR="00404E74">
              <w:rPr>
                <w:webHidden/>
              </w:rPr>
              <w:fldChar w:fldCharType="end"/>
            </w:r>
          </w:hyperlink>
        </w:p>
        <w:p w:rsidR="00404E74" w:rsidRDefault="003C38FC">
          <w:pPr>
            <w:pStyle w:val="TOC1"/>
            <w:rPr>
              <w:rFonts w:asciiTheme="minorHAnsi" w:eastAsiaTheme="minorEastAsia" w:hAnsiTheme="minorHAnsi"/>
              <w:b w:val="0"/>
              <w:color w:val="auto"/>
              <w:sz w:val="22"/>
              <w:lang w:val="en-AU" w:eastAsia="en-AU"/>
            </w:rPr>
          </w:pPr>
          <w:hyperlink w:anchor="_Toc417734083" w:history="1">
            <w:r w:rsidR="00404E74" w:rsidRPr="00132E45">
              <w:rPr>
                <w:rStyle w:val="Hyperlink"/>
              </w:rPr>
              <w:t>A</w:t>
            </w:r>
            <w:r w:rsidR="00404E74">
              <w:rPr>
                <w:rFonts w:asciiTheme="minorHAnsi" w:eastAsiaTheme="minorEastAsia" w:hAnsiTheme="minorHAnsi"/>
                <w:b w:val="0"/>
                <w:color w:val="auto"/>
                <w:sz w:val="22"/>
                <w:lang w:val="en-AU" w:eastAsia="en-AU"/>
              </w:rPr>
              <w:tab/>
            </w:r>
            <w:r w:rsidR="00404E74" w:rsidRPr="00132E45">
              <w:rPr>
                <w:rStyle w:val="Hyperlink"/>
              </w:rPr>
              <w:t>AER approved connection policy for Ergon Energy</w:t>
            </w:r>
            <w:r w:rsidR="00404E74">
              <w:rPr>
                <w:webHidden/>
              </w:rPr>
              <w:tab/>
              <w:t>18-</w:t>
            </w:r>
            <w:r w:rsidR="00404E74">
              <w:rPr>
                <w:webHidden/>
              </w:rPr>
              <w:fldChar w:fldCharType="begin"/>
            </w:r>
            <w:r w:rsidR="00404E74">
              <w:rPr>
                <w:webHidden/>
              </w:rPr>
              <w:instrText xml:space="preserve"> PAGEREF _Toc417734083 \h </w:instrText>
            </w:r>
            <w:r w:rsidR="00404E74">
              <w:rPr>
                <w:webHidden/>
              </w:rPr>
            </w:r>
            <w:r w:rsidR="00404E74">
              <w:rPr>
                <w:webHidden/>
              </w:rPr>
              <w:fldChar w:fldCharType="separate"/>
            </w:r>
            <w:r w:rsidR="00404E74">
              <w:rPr>
                <w:webHidden/>
              </w:rPr>
              <w:t>12</w:t>
            </w:r>
            <w:r w:rsidR="00404E74">
              <w:rPr>
                <w:webHidden/>
              </w:rPr>
              <w:fldChar w:fldCharType="end"/>
            </w:r>
          </w:hyperlink>
        </w:p>
        <w:p w:rsidR="00DE563D" w:rsidRDefault="00404E74" w:rsidP="00404E74">
          <w:pPr>
            <w:pStyle w:val="TOC1"/>
          </w:pPr>
          <w:r>
            <w:rPr>
              <w:color w:val="auto"/>
              <w:sz w:val="22"/>
            </w:rP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17734069"/>
      <w:r>
        <w:lastRenderedPageBreak/>
        <w:t>Shortened forms</w:t>
      </w:r>
      <w:bookmarkEnd w:id="8"/>
      <w:bookmarkEnd w:id="9"/>
    </w:p>
    <w:tbl>
      <w:tblPr>
        <w:tblStyle w:val="AERtable-text0"/>
        <w:tblW w:w="0" w:type="auto"/>
        <w:tblLook w:val="04A0" w:firstRow="1" w:lastRow="0" w:firstColumn="1" w:lastColumn="0" w:noHBand="0" w:noVBand="1"/>
      </w:tblPr>
      <w:tblGrid>
        <w:gridCol w:w="4346"/>
        <w:gridCol w:w="4347"/>
      </w:tblGrid>
      <w:tr w:rsidR="007408CE" w:rsidTr="00404E74">
        <w:trPr>
          <w:cnfStyle w:val="100000000000" w:firstRow="1" w:lastRow="0" w:firstColumn="0" w:lastColumn="0" w:oddVBand="0" w:evenVBand="0" w:oddHBand="0" w:evenHBand="0" w:firstRowFirstColumn="0" w:firstRowLastColumn="0" w:lastRowFirstColumn="0" w:lastRowLastColumn="0"/>
          <w:tblHeader/>
        </w:trPr>
        <w:tc>
          <w:tcPr>
            <w:tcW w:w="4346" w:type="dxa"/>
          </w:tcPr>
          <w:p w:rsidR="007408CE" w:rsidRPr="007408CE" w:rsidRDefault="007408CE" w:rsidP="007408CE">
            <w:pPr>
              <w:pStyle w:val="AERtabletextleft"/>
            </w:pPr>
            <w:r>
              <w:t>Shortened form</w:t>
            </w:r>
          </w:p>
        </w:tc>
        <w:tc>
          <w:tcPr>
            <w:tcW w:w="4347" w:type="dxa"/>
          </w:tcPr>
          <w:p w:rsidR="007408CE" w:rsidRPr="007408CE" w:rsidRDefault="007408CE" w:rsidP="007408CE">
            <w:pPr>
              <w:pStyle w:val="AERtabletextleft"/>
            </w:pPr>
            <w:r>
              <w:t>Extended form</w:t>
            </w:r>
          </w:p>
        </w:tc>
      </w:tr>
      <w:tr w:rsidR="007408CE" w:rsidTr="00404E74">
        <w:tc>
          <w:tcPr>
            <w:tcW w:w="4346" w:type="dxa"/>
          </w:tcPr>
          <w:p w:rsidR="007408CE" w:rsidRPr="007408CE" w:rsidRDefault="007408CE" w:rsidP="007408CE">
            <w:pPr>
              <w:pStyle w:val="AERtabletextleft"/>
            </w:pPr>
            <w:r>
              <w:t>AEMC</w:t>
            </w:r>
          </w:p>
        </w:tc>
        <w:tc>
          <w:tcPr>
            <w:tcW w:w="4347" w:type="dxa"/>
          </w:tcPr>
          <w:p w:rsidR="007408CE" w:rsidRPr="007408CE" w:rsidRDefault="007408CE" w:rsidP="007408CE">
            <w:pPr>
              <w:pStyle w:val="AERtabletextleft"/>
            </w:pPr>
            <w:r>
              <w:t>Australian Energy Market Commission</w:t>
            </w:r>
          </w:p>
        </w:tc>
      </w:tr>
      <w:tr w:rsidR="007408CE" w:rsidTr="00404E74">
        <w:trPr>
          <w:cnfStyle w:val="000000010000" w:firstRow="0" w:lastRow="0" w:firstColumn="0" w:lastColumn="0" w:oddVBand="0" w:evenVBand="0" w:oddHBand="0" w:evenHBand="1" w:firstRowFirstColumn="0" w:firstRowLastColumn="0" w:lastRowFirstColumn="0" w:lastRowLastColumn="0"/>
        </w:trPr>
        <w:tc>
          <w:tcPr>
            <w:tcW w:w="4346" w:type="dxa"/>
          </w:tcPr>
          <w:p w:rsidR="007408CE" w:rsidRPr="007408CE" w:rsidRDefault="007408CE" w:rsidP="007408CE">
            <w:pPr>
              <w:pStyle w:val="AERtabletextleft"/>
            </w:pPr>
            <w:r>
              <w:t>AEMO</w:t>
            </w:r>
          </w:p>
        </w:tc>
        <w:tc>
          <w:tcPr>
            <w:tcW w:w="4347" w:type="dxa"/>
          </w:tcPr>
          <w:p w:rsidR="007408CE" w:rsidRPr="007408CE" w:rsidRDefault="007408CE" w:rsidP="007408CE">
            <w:pPr>
              <w:pStyle w:val="AERtabletextleft"/>
            </w:pPr>
            <w:r>
              <w:t>Australian Energy Market Operator</w:t>
            </w:r>
          </w:p>
        </w:tc>
      </w:tr>
      <w:tr w:rsidR="007408CE" w:rsidTr="00404E74">
        <w:tc>
          <w:tcPr>
            <w:tcW w:w="4346" w:type="dxa"/>
          </w:tcPr>
          <w:p w:rsidR="007408CE" w:rsidRPr="007408CE" w:rsidRDefault="007408CE" w:rsidP="007408CE">
            <w:pPr>
              <w:pStyle w:val="AERtabletextleft"/>
            </w:pPr>
            <w:r>
              <w:t>AER</w:t>
            </w:r>
          </w:p>
        </w:tc>
        <w:tc>
          <w:tcPr>
            <w:tcW w:w="4347" w:type="dxa"/>
          </w:tcPr>
          <w:p w:rsidR="007408CE" w:rsidRPr="007408CE" w:rsidRDefault="007408CE" w:rsidP="007408CE">
            <w:pPr>
              <w:pStyle w:val="AERtabletextleft"/>
            </w:pPr>
            <w:r>
              <w:t>Australian Energy Regulator</w:t>
            </w:r>
          </w:p>
        </w:tc>
      </w:tr>
      <w:tr w:rsidR="007408CE" w:rsidTr="00404E74">
        <w:trPr>
          <w:cnfStyle w:val="000000010000" w:firstRow="0" w:lastRow="0" w:firstColumn="0" w:lastColumn="0" w:oddVBand="0" w:evenVBand="0" w:oddHBand="0" w:evenHBand="1" w:firstRowFirstColumn="0" w:firstRowLastColumn="0" w:lastRowFirstColumn="0" w:lastRowLastColumn="0"/>
        </w:trPr>
        <w:tc>
          <w:tcPr>
            <w:tcW w:w="4346" w:type="dxa"/>
          </w:tcPr>
          <w:p w:rsidR="007408CE" w:rsidRPr="007408CE" w:rsidRDefault="007408CE" w:rsidP="007408CE">
            <w:pPr>
              <w:pStyle w:val="AERtabletextleft"/>
            </w:pPr>
            <w:proofErr w:type="spellStart"/>
            <w:r>
              <w:t>augex</w:t>
            </w:r>
            <w:proofErr w:type="spellEnd"/>
          </w:p>
        </w:tc>
        <w:tc>
          <w:tcPr>
            <w:tcW w:w="4347" w:type="dxa"/>
          </w:tcPr>
          <w:p w:rsidR="007408CE" w:rsidRPr="007408CE" w:rsidRDefault="007408CE" w:rsidP="007408CE">
            <w:pPr>
              <w:pStyle w:val="AERtabletextleft"/>
            </w:pPr>
            <w:r>
              <w:t>augmentation expenditure</w:t>
            </w:r>
          </w:p>
        </w:tc>
      </w:tr>
      <w:tr w:rsidR="007408CE" w:rsidTr="00404E74">
        <w:tc>
          <w:tcPr>
            <w:tcW w:w="4346" w:type="dxa"/>
          </w:tcPr>
          <w:p w:rsidR="007408CE" w:rsidRPr="007408CE" w:rsidRDefault="007408CE" w:rsidP="007408CE">
            <w:pPr>
              <w:pStyle w:val="AERtabletextleft"/>
            </w:pPr>
            <w:r>
              <w:t>capex</w:t>
            </w:r>
          </w:p>
        </w:tc>
        <w:tc>
          <w:tcPr>
            <w:tcW w:w="4347" w:type="dxa"/>
          </w:tcPr>
          <w:p w:rsidR="007408CE" w:rsidRPr="007408CE" w:rsidRDefault="007408CE" w:rsidP="007408CE">
            <w:pPr>
              <w:pStyle w:val="AERtabletextleft"/>
            </w:pPr>
            <w:r>
              <w:t xml:space="preserve">capital </w:t>
            </w:r>
            <w:r w:rsidRPr="007408CE">
              <w:t>expenditure</w:t>
            </w:r>
          </w:p>
        </w:tc>
      </w:tr>
      <w:tr w:rsidR="007408CE" w:rsidTr="00404E74">
        <w:trPr>
          <w:cnfStyle w:val="000000010000" w:firstRow="0" w:lastRow="0" w:firstColumn="0" w:lastColumn="0" w:oddVBand="0" w:evenVBand="0" w:oddHBand="0" w:evenHBand="1" w:firstRowFirstColumn="0" w:firstRowLastColumn="0" w:lastRowFirstColumn="0" w:lastRowLastColumn="0"/>
        </w:trPr>
        <w:tc>
          <w:tcPr>
            <w:tcW w:w="4346" w:type="dxa"/>
          </w:tcPr>
          <w:p w:rsidR="007408CE" w:rsidRPr="007408CE" w:rsidRDefault="007408CE" w:rsidP="007408CE">
            <w:pPr>
              <w:pStyle w:val="AERtabletextleft"/>
            </w:pPr>
            <w:r>
              <w:t>CCP</w:t>
            </w:r>
          </w:p>
        </w:tc>
        <w:tc>
          <w:tcPr>
            <w:tcW w:w="4347" w:type="dxa"/>
          </w:tcPr>
          <w:p w:rsidR="007408CE" w:rsidRPr="007408CE" w:rsidRDefault="007408CE" w:rsidP="007408CE">
            <w:pPr>
              <w:pStyle w:val="AERtabletextleft"/>
            </w:pPr>
            <w:r>
              <w:t>Consumer Challenge Panel</w:t>
            </w:r>
          </w:p>
        </w:tc>
      </w:tr>
      <w:tr w:rsidR="007408CE" w:rsidTr="00404E74">
        <w:tc>
          <w:tcPr>
            <w:tcW w:w="4346" w:type="dxa"/>
          </w:tcPr>
          <w:p w:rsidR="007408CE" w:rsidRPr="007408CE" w:rsidRDefault="007408CE" w:rsidP="007408CE">
            <w:pPr>
              <w:pStyle w:val="AERtabletextleft"/>
            </w:pPr>
            <w:r>
              <w:t>C</w:t>
            </w:r>
            <w:r w:rsidRPr="007408CE">
              <w:t>ESS</w:t>
            </w:r>
          </w:p>
        </w:tc>
        <w:tc>
          <w:tcPr>
            <w:tcW w:w="4347" w:type="dxa"/>
          </w:tcPr>
          <w:p w:rsidR="007408CE" w:rsidRPr="007408CE" w:rsidRDefault="007408CE" w:rsidP="007408CE">
            <w:pPr>
              <w:pStyle w:val="AERtabletextleft"/>
            </w:pPr>
            <w:r>
              <w:t xml:space="preserve">capital expenditure </w:t>
            </w:r>
            <w:r w:rsidRPr="007408CE">
              <w:t>sharing scheme</w:t>
            </w:r>
          </w:p>
        </w:tc>
      </w:tr>
      <w:tr w:rsidR="007408CE" w:rsidTr="00404E74">
        <w:trPr>
          <w:cnfStyle w:val="000000010000" w:firstRow="0" w:lastRow="0" w:firstColumn="0" w:lastColumn="0" w:oddVBand="0" w:evenVBand="0" w:oddHBand="0" w:evenHBand="1" w:firstRowFirstColumn="0" w:firstRowLastColumn="0" w:lastRowFirstColumn="0" w:lastRowLastColumn="0"/>
        </w:trPr>
        <w:tc>
          <w:tcPr>
            <w:tcW w:w="4346" w:type="dxa"/>
          </w:tcPr>
          <w:p w:rsidR="007408CE" w:rsidRPr="007408CE" w:rsidRDefault="007408CE" w:rsidP="007408CE">
            <w:pPr>
              <w:pStyle w:val="AERtabletextleft"/>
            </w:pPr>
            <w:r>
              <w:t>CPI</w:t>
            </w:r>
          </w:p>
        </w:tc>
        <w:tc>
          <w:tcPr>
            <w:tcW w:w="4347" w:type="dxa"/>
          </w:tcPr>
          <w:p w:rsidR="007408CE" w:rsidRPr="007408CE" w:rsidRDefault="007408CE" w:rsidP="007408CE">
            <w:pPr>
              <w:pStyle w:val="AERtabletextleft"/>
            </w:pPr>
            <w:r>
              <w:t>consumer price index</w:t>
            </w:r>
          </w:p>
        </w:tc>
      </w:tr>
      <w:tr w:rsidR="007408CE" w:rsidTr="00404E74">
        <w:tc>
          <w:tcPr>
            <w:tcW w:w="4346" w:type="dxa"/>
          </w:tcPr>
          <w:p w:rsidR="007408CE" w:rsidRPr="007408CE" w:rsidRDefault="007408CE" w:rsidP="007408CE">
            <w:pPr>
              <w:pStyle w:val="AERtabletextleft"/>
            </w:pPr>
            <w:r>
              <w:t>DRP</w:t>
            </w:r>
          </w:p>
        </w:tc>
        <w:tc>
          <w:tcPr>
            <w:tcW w:w="4347" w:type="dxa"/>
          </w:tcPr>
          <w:p w:rsidR="007408CE" w:rsidRPr="007408CE" w:rsidRDefault="007408CE" w:rsidP="007408CE">
            <w:pPr>
              <w:pStyle w:val="AERtabletextleft"/>
            </w:pPr>
            <w:r>
              <w:t>debt risk premium</w:t>
            </w:r>
          </w:p>
        </w:tc>
      </w:tr>
      <w:tr w:rsidR="007408CE" w:rsidTr="00404E74">
        <w:trPr>
          <w:cnfStyle w:val="000000010000" w:firstRow="0" w:lastRow="0" w:firstColumn="0" w:lastColumn="0" w:oddVBand="0" w:evenVBand="0" w:oddHBand="0" w:evenHBand="1" w:firstRowFirstColumn="0" w:firstRowLastColumn="0" w:lastRowFirstColumn="0" w:lastRowLastColumn="0"/>
        </w:trPr>
        <w:tc>
          <w:tcPr>
            <w:tcW w:w="4346" w:type="dxa"/>
          </w:tcPr>
          <w:p w:rsidR="007408CE" w:rsidRPr="007408CE" w:rsidRDefault="007408CE" w:rsidP="007408CE">
            <w:pPr>
              <w:pStyle w:val="AERtabletextleft"/>
            </w:pPr>
            <w:r>
              <w:t>DMIA</w:t>
            </w:r>
          </w:p>
        </w:tc>
        <w:tc>
          <w:tcPr>
            <w:tcW w:w="4347" w:type="dxa"/>
          </w:tcPr>
          <w:p w:rsidR="007408CE" w:rsidRPr="007408CE" w:rsidRDefault="007408CE" w:rsidP="007408CE">
            <w:pPr>
              <w:pStyle w:val="AERtabletextleft"/>
            </w:pPr>
            <w:r>
              <w:t>demand management innovation allowance</w:t>
            </w:r>
          </w:p>
        </w:tc>
      </w:tr>
      <w:tr w:rsidR="007408CE" w:rsidTr="00404E74">
        <w:tc>
          <w:tcPr>
            <w:tcW w:w="4346" w:type="dxa"/>
          </w:tcPr>
          <w:p w:rsidR="007408CE" w:rsidRPr="007408CE" w:rsidRDefault="007408CE" w:rsidP="007408CE">
            <w:pPr>
              <w:pStyle w:val="AERtabletextleft"/>
            </w:pPr>
            <w:r>
              <w:t>DMIS</w:t>
            </w:r>
          </w:p>
        </w:tc>
        <w:tc>
          <w:tcPr>
            <w:tcW w:w="4347" w:type="dxa"/>
          </w:tcPr>
          <w:p w:rsidR="007408CE" w:rsidRPr="007408CE" w:rsidRDefault="007408CE" w:rsidP="007408CE">
            <w:pPr>
              <w:pStyle w:val="AERtabletextleft"/>
            </w:pPr>
            <w:r>
              <w:t>demand management incentive scheme</w:t>
            </w:r>
          </w:p>
        </w:tc>
      </w:tr>
      <w:tr w:rsidR="007408CE" w:rsidTr="00404E74">
        <w:trPr>
          <w:cnfStyle w:val="000000010000" w:firstRow="0" w:lastRow="0" w:firstColumn="0" w:lastColumn="0" w:oddVBand="0" w:evenVBand="0" w:oddHBand="0" w:evenHBand="1" w:firstRowFirstColumn="0" w:firstRowLastColumn="0" w:lastRowFirstColumn="0" w:lastRowLastColumn="0"/>
        </w:trPr>
        <w:tc>
          <w:tcPr>
            <w:tcW w:w="4346" w:type="dxa"/>
          </w:tcPr>
          <w:p w:rsidR="007408CE" w:rsidRPr="007408CE" w:rsidRDefault="007408CE" w:rsidP="007408CE">
            <w:pPr>
              <w:pStyle w:val="AERtabletextleft"/>
            </w:pPr>
            <w:r>
              <w:t>distributor</w:t>
            </w:r>
          </w:p>
        </w:tc>
        <w:tc>
          <w:tcPr>
            <w:tcW w:w="4347" w:type="dxa"/>
          </w:tcPr>
          <w:p w:rsidR="007408CE" w:rsidRPr="007408CE" w:rsidRDefault="007408CE" w:rsidP="007408CE">
            <w:pPr>
              <w:pStyle w:val="AERtabletextleft"/>
            </w:pPr>
            <w:r>
              <w:t>distribution network service provider</w:t>
            </w:r>
          </w:p>
        </w:tc>
      </w:tr>
      <w:tr w:rsidR="007408CE" w:rsidTr="00404E74">
        <w:tc>
          <w:tcPr>
            <w:tcW w:w="4346" w:type="dxa"/>
          </w:tcPr>
          <w:p w:rsidR="007408CE" w:rsidRPr="007408CE" w:rsidRDefault="007408CE" w:rsidP="007408CE">
            <w:pPr>
              <w:pStyle w:val="AERtabletextleft"/>
            </w:pPr>
            <w:proofErr w:type="spellStart"/>
            <w:r>
              <w:t>DUoS</w:t>
            </w:r>
            <w:proofErr w:type="spellEnd"/>
          </w:p>
        </w:tc>
        <w:tc>
          <w:tcPr>
            <w:tcW w:w="4347" w:type="dxa"/>
          </w:tcPr>
          <w:p w:rsidR="007408CE" w:rsidRPr="007408CE" w:rsidRDefault="007408CE" w:rsidP="007408CE">
            <w:pPr>
              <w:pStyle w:val="AERtabletextleft"/>
            </w:pPr>
            <w:r>
              <w:t>distribution use of system</w:t>
            </w:r>
          </w:p>
        </w:tc>
      </w:tr>
      <w:tr w:rsidR="007408CE" w:rsidTr="00404E74">
        <w:trPr>
          <w:cnfStyle w:val="000000010000" w:firstRow="0" w:lastRow="0" w:firstColumn="0" w:lastColumn="0" w:oddVBand="0" w:evenVBand="0" w:oddHBand="0" w:evenHBand="1" w:firstRowFirstColumn="0" w:firstRowLastColumn="0" w:lastRowFirstColumn="0" w:lastRowLastColumn="0"/>
        </w:trPr>
        <w:tc>
          <w:tcPr>
            <w:tcW w:w="4346" w:type="dxa"/>
          </w:tcPr>
          <w:p w:rsidR="007408CE" w:rsidRPr="007408CE" w:rsidRDefault="007408CE" w:rsidP="007408CE">
            <w:pPr>
              <w:pStyle w:val="AERtabletextleft"/>
            </w:pPr>
            <w:r>
              <w:t>EBSS</w:t>
            </w:r>
          </w:p>
        </w:tc>
        <w:tc>
          <w:tcPr>
            <w:tcW w:w="4347" w:type="dxa"/>
          </w:tcPr>
          <w:p w:rsidR="007408CE" w:rsidRPr="007408CE" w:rsidRDefault="007408CE" w:rsidP="007408CE">
            <w:pPr>
              <w:pStyle w:val="AERtabletextleft"/>
            </w:pPr>
            <w:r>
              <w:t>efficiency benefit sharing scheme</w:t>
            </w:r>
          </w:p>
        </w:tc>
      </w:tr>
      <w:tr w:rsidR="007408CE" w:rsidTr="00404E74">
        <w:tc>
          <w:tcPr>
            <w:tcW w:w="4346" w:type="dxa"/>
          </w:tcPr>
          <w:p w:rsidR="007408CE" w:rsidRPr="007408CE" w:rsidRDefault="007408CE" w:rsidP="007408CE">
            <w:pPr>
              <w:pStyle w:val="AERtabletextleft"/>
            </w:pPr>
            <w:r>
              <w:t>ERP</w:t>
            </w:r>
          </w:p>
        </w:tc>
        <w:tc>
          <w:tcPr>
            <w:tcW w:w="4347" w:type="dxa"/>
          </w:tcPr>
          <w:p w:rsidR="007408CE" w:rsidRPr="007408CE" w:rsidRDefault="007408CE" w:rsidP="007408CE">
            <w:pPr>
              <w:pStyle w:val="AERtabletextleft"/>
            </w:pPr>
            <w:r>
              <w:t>equity risk premium</w:t>
            </w:r>
          </w:p>
        </w:tc>
      </w:tr>
      <w:tr w:rsidR="007408CE" w:rsidTr="00404E74">
        <w:trPr>
          <w:cnfStyle w:val="000000010000" w:firstRow="0" w:lastRow="0" w:firstColumn="0" w:lastColumn="0" w:oddVBand="0" w:evenVBand="0" w:oddHBand="0" w:evenHBand="1" w:firstRowFirstColumn="0" w:firstRowLastColumn="0" w:lastRowFirstColumn="0" w:lastRowLastColumn="0"/>
        </w:trPr>
        <w:tc>
          <w:tcPr>
            <w:tcW w:w="4346" w:type="dxa"/>
          </w:tcPr>
          <w:p w:rsidR="007408CE" w:rsidRPr="007408CE" w:rsidRDefault="007408CE" w:rsidP="007408CE">
            <w:pPr>
              <w:pStyle w:val="AERtabletextleft"/>
            </w:pPr>
            <w:r>
              <w:t>E</w:t>
            </w:r>
            <w:r w:rsidRPr="007408CE">
              <w:t>xpenditure Assessment Guideline</w:t>
            </w:r>
          </w:p>
        </w:tc>
        <w:tc>
          <w:tcPr>
            <w:tcW w:w="4347" w:type="dxa"/>
          </w:tcPr>
          <w:p w:rsidR="007408CE" w:rsidRPr="007408CE" w:rsidRDefault="00ED20AF" w:rsidP="007408CE">
            <w:pPr>
              <w:pStyle w:val="AERtabletextleft"/>
            </w:pPr>
            <w:r>
              <w:t>Expenditure Forecast A</w:t>
            </w:r>
            <w:r w:rsidR="007408CE">
              <w:t xml:space="preserve">ssessment </w:t>
            </w:r>
            <w:r w:rsidR="007408CE" w:rsidRPr="007408CE">
              <w:t>Guideline for electricity distribution</w:t>
            </w:r>
          </w:p>
        </w:tc>
      </w:tr>
      <w:tr w:rsidR="007408CE" w:rsidTr="00404E74">
        <w:tc>
          <w:tcPr>
            <w:tcW w:w="4346" w:type="dxa"/>
          </w:tcPr>
          <w:p w:rsidR="007408CE" w:rsidRPr="007408CE" w:rsidRDefault="007408CE" w:rsidP="007408CE">
            <w:pPr>
              <w:pStyle w:val="AERtabletextleft"/>
            </w:pPr>
            <w:r>
              <w:t>F&amp;A</w:t>
            </w:r>
          </w:p>
        </w:tc>
        <w:tc>
          <w:tcPr>
            <w:tcW w:w="4347" w:type="dxa"/>
          </w:tcPr>
          <w:p w:rsidR="007408CE" w:rsidRPr="007408CE" w:rsidRDefault="007408CE" w:rsidP="007408CE">
            <w:pPr>
              <w:pStyle w:val="AERtabletextleft"/>
            </w:pPr>
            <w:r>
              <w:t>framework and approach</w:t>
            </w:r>
          </w:p>
        </w:tc>
      </w:tr>
      <w:tr w:rsidR="007408CE" w:rsidTr="00404E74">
        <w:trPr>
          <w:cnfStyle w:val="000000010000" w:firstRow="0" w:lastRow="0" w:firstColumn="0" w:lastColumn="0" w:oddVBand="0" w:evenVBand="0" w:oddHBand="0" w:evenHBand="1" w:firstRowFirstColumn="0" w:firstRowLastColumn="0" w:lastRowFirstColumn="0" w:lastRowLastColumn="0"/>
        </w:trPr>
        <w:tc>
          <w:tcPr>
            <w:tcW w:w="4346" w:type="dxa"/>
          </w:tcPr>
          <w:p w:rsidR="007408CE" w:rsidRPr="007408CE" w:rsidRDefault="007408CE" w:rsidP="007408CE">
            <w:pPr>
              <w:pStyle w:val="AERtabletextleft"/>
            </w:pPr>
            <w:r>
              <w:t>MRP</w:t>
            </w:r>
          </w:p>
        </w:tc>
        <w:tc>
          <w:tcPr>
            <w:tcW w:w="4347" w:type="dxa"/>
          </w:tcPr>
          <w:p w:rsidR="007408CE" w:rsidRPr="007408CE" w:rsidRDefault="007408CE" w:rsidP="007408CE">
            <w:pPr>
              <w:pStyle w:val="AERtabletextleft"/>
            </w:pPr>
            <w:r>
              <w:t>market risk premium</w:t>
            </w:r>
          </w:p>
        </w:tc>
      </w:tr>
      <w:tr w:rsidR="007408CE" w:rsidTr="00404E74">
        <w:tc>
          <w:tcPr>
            <w:tcW w:w="4346" w:type="dxa"/>
          </w:tcPr>
          <w:p w:rsidR="007408CE" w:rsidRPr="007408CE" w:rsidRDefault="007408CE" w:rsidP="007408CE">
            <w:pPr>
              <w:pStyle w:val="AERtabletextleft"/>
            </w:pPr>
            <w:r>
              <w:t>NEL</w:t>
            </w:r>
          </w:p>
        </w:tc>
        <w:tc>
          <w:tcPr>
            <w:tcW w:w="4347" w:type="dxa"/>
          </w:tcPr>
          <w:p w:rsidR="007408CE" w:rsidRPr="007408CE" w:rsidRDefault="007408CE" w:rsidP="007408CE">
            <w:pPr>
              <w:pStyle w:val="AERtabletextleft"/>
            </w:pPr>
            <w:r>
              <w:t>national electricity law</w:t>
            </w:r>
          </w:p>
        </w:tc>
      </w:tr>
      <w:tr w:rsidR="007408CE" w:rsidTr="00404E74">
        <w:trPr>
          <w:cnfStyle w:val="000000010000" w:firstRow="0" w:lastRow="0" w:firstColumn="0" w:lastColumn="0" w:oddVBand="0" w:evenVBand="0" w:oddHBand="0" w:evenHBand="1" w:firstRowFirstColumn="0" w:firstRowLastColumn="0" w:lastRowFirstColumn="0" w:lastRowLastColumn="0"/>
        </w:trPr>
        <w:tc>
          <w:tcPr>
            <w:tcW w:w="4346" w:type="dxa"/>
          </w:tcPr>
          <w:p w:rsidR="007408CE" w:rsidRPr="007408CE" w:rsidRDefault="007408CE" w:rsidP="007408CE">
            <w:pPr>
              <w:pStyle w:val="AERtabletextleft"/>
            </w:pPr>
            <w:r>
              <w:t>NEM</w:t>
            </w:r>
          </w:p>
        </w:tc>
        <w:tc>
          <w:tcPr>
            <w:tcW w:w="4347" w:type="dxa"/>
          </w:tcPr>
          <w:p w:rsidR="007408CE" w:rsidRPr="007408CE" w:rsidRDefault="007408CE" w:rsidP="007408CE">
            <w:pPr>
              <w:pStyle w:val="AERtabletextleft"/>
            </w:pPr>
            <w:r>
              <w:t>national electricity market</w:t>
            </w:r>
          </w:p>
        </w:tc>
      </w:tr>
      <w:tr w:rsidR="007408CE" w:rsidTr="00404E74">
        <w:tc>
          <w:tcPr>
            <w:tcW w:w="4346" w:type="dxa"/>
          </w:tcPr>
          <w:p w:rsidR="007408CE" w:rsidRPr="007408CE" w:rsidRDefault="007408CE" w:rsidP="007408CE">
            <w:pPr>
              <w:pStyle w:val="AERtabletextleft"/>
            </w:pPr>
            <w:r>
              <w:t>NEO</w:t>
            </w:r>
          </w:p>
        </w:tc>
        <w:tc>
          <w:tcPr>
            <w:tcW w:w="4347" w:type="dxa"/>
          </w:tcPr>
          <w:p w:rsidR="007408CE" w:rsidRPr="007408CE" w:rsidRDefault="007408CE" w:rsidP="007408CE">
            <w:pPr>
              <w:pStyle w:val="AERtabletextleft"/>
            </w:pPr>
            <w:r>
              <w:t>national electricity objective</w:t>
            </w:r>
          </w:p>
        </w:tc>
      </w:tr>
      <w:tr w:rsidR="007408CE" w:rsidTr="00404E74">
        <w:trPr>
          <w:cnfStyle w:val="000000010000" w:firstRow="0" w:lastRow="0" w:firstColumn="0" w:lastColumn="0" w:oddVBand="0" w:evenVBand="0" w:oddHBand="0" w:evenHBand="1" w:firstRowFirstColumn="0" w:firstRowLastColumn="0" w:lastRowFirstColumn="0" w:lastRowLastColumn="0"/>
        </w:trPr>
        <w:tc>
          <w:tcPr>
            <w:tcW w:w="4346" w:type="dxa"/>
          </w:tcPr>
          <w:p w:rsidR="007408CE" w:rsidRPr="007408CE" w:rsidRDefault="007408CE" w:rsidP="007408CE">
            <w:pPr>
              <w:pStyle w:val="AERtabletextleft"/>
            </w:pPr>
            <w:r>
              <w:t>NER</w:t>
            </w:r>
          </w:p>
        </w:tc>
        <w:tc>
          <w:tcPr>
            <w:tcW w:w="4347" w:type="dxa"/>
          </w:tcPr>
          <w:p w:rsidR="007408CE" w:rsidRPr="007408CE" w:rsidRDefault="007408CE" w:rsidP="007408CE">
            <w:pPr>
              <w:pStyle w:val="AERtabletextleft"/>
            </w:pPr>
            <w:r>
              <w:t>national electricity rules</w:t>
            </w:r>
          </w:p>
        </w:tc>
      </w:tr>
      <w:tr w:rsidR="007408CE" w:rsidTr="00404E74">
        <w:tc>
          <w:tcPr>
            <w:tcW w:w="4346" w:type="dxa"/>
          </w:tcPr>
          <w:p w:rsidR="007408CE" w:rsidRPr="007408CE" w:rsidRDefault="007408CE" w:rsidP="007408CE">
            <w:pPr>
              <w:pStyle w:val="AERtabletextleft"/>
            </w:pPr>
            <w:r>
              <w:t>NSP</w:t>
            </w:r>
          </w:p>
        </w:tc>
        <w:tc>
          <w:tcPr>
            <w:tcW w:w="4347" w:type="dxa"/>
          </w:tcPr>
          <w:p w:rsidR="007408CE" w:rsidRPr="007408CE" w:rsidRDefault="007408CE" w:rsidP="007408CE">
            <w:pPr>
              <w:pStyle w:val="AERtabletextleft"/>
            </w:pPr>
            <w:r>
              <w:t>network service provider</w:t>
            </w:r>
          </w:p>
        </w:tc>
      </w:tr>
      <w:tr w:rsidR="007408CE" w:rsidTr="00404E74">
        <w:trPr>
          <w:cnfStyle w:val="000000010000" w:firstRow="0" w:lastRow="0" w:firstColumn="0" w:lastColumn="0" w:oddVBand="0" w:evenVBand="0" w:oddHBand="0" w:evenHBand="1" w:firstRowFirstColumn="0" w:firstRowLastColumn="0" w:lastRowFirstColumn="0" w:lastRowLastColumn="0"/>
        </w:trPr>
        <w:tc>
          <w:tcPr>
            <w:tcW w:w="4346" w:type="dxa"/>
          </w:tcPr>
          <w:p w:rsidR="007408CE" w:rsidRPr="007408CE" w:rsidRDefault="007408CE" w:rsidP="007408CE">
            <w:pPr>
              <w:pStyle w:val="AERtabletextleft"/>
            </w:pPr>
            <w:r>
              <w:t>opex</w:t>
            </w:r>
          </w:p>
        </w:tc>
        <w:tc>
          <w:tcPr>
            <w:tcW w:w="4347" w:type="dxa"/>
          </w:tcPr>
          <w:p w:rsidR="007408CE" w:rsidRPr="007408CE" w:rsidRDefault="007408CE" w:rsidP="007408CE">
            <w:pPr>
              <w:pStyle w:val="AERtabletextleft"/>
            </w:pPr>
            <w:r>
              <w:t>operating expenditure</w:t>
            </w:r>
          </w:p>
        </w:tc>
      </w:tr>
      <w:tr w:rsidR="007408CE" w:rsidTr="00404E74">
        <w:tc>
          <w:tcPr>
            <w:tcW w:w="4346" w:type="dxa"/>
          </w:tcPr>
          <w:p w:rsidR="007408CE" w:rsidRPr="007408CE" w:rsidRDefault="007408CE" w:rsidP="007408CE">
            <w:pPr>
              <w:pStyle w:val="AERtabletextleft"/>
            </w:pPr>
            <w:r>
              <w:t>PPI</w:t>
            </w:r>
          </w:p>
        </w:tc>
        <w:tc>
          <w:tcPr>
            <w:tcW w:w="4347" w:type="dxa"/>
          </w:tcPr>
          <w:p w:rsidR="007408CE" w:rsidRPr="007408CE" w:rsidRDefault="007408CE" w:rsidP="007408CE">
            <w:pPr>
              <w:pStyle w:val="AERtabletextleft"/>
            </w:pPr>
            <w:r>
              <w:t xml:space="preserve">partial </w:t>
            </w:r>
            <w:r w:rsidRPr="007408CE">
              <w:t>performance indicators</w:t>
            </w:r>
          </w:p>
        </w:tc>
      </w:tr>
      <w:tr w:rsidR="007408CE" w:rsidTr="00404E74">
        <w:trPr>
          <w:cnfStyle w:val="000000010000" w:firstRow="0" w:lastRow="0" w:firstColumn="0" w:lastColumn="0" w:oddVBand="0" w:evenVBand="0" w:oddHBand="0" w:evenHBand="1" w:firstRowFirstColumn="0" w:firstRowLastColumn="0" w:lastRowFirstColumn="0" w:lastRowLastColumn="0"/>
        </w:trPr>
        <w:tc>
          <w:tcPr>
            <w:tcW w:w="4346" w:type="dxa"/>
          </w:tcPr>
          <w:p w:rsidR="007408CE" w:rsidRPr="007408CE" w:rsidRDefault="007408CE" w:rsidP="007408CE">
            <w:pPr>
              <w:pStyle w:val="AERtabletextleft"/>
            </w:pPr>
            <w:r>
              <w:lastRenderedPageBreak/>
              <w:t>PTRM</w:t>
            </w:r>
          </w:p>
        </w:tc>
        <w:tc>
          <w:tcPr>
            <w:tcW w:w="4347" w:type="dxa"/>
          </w:tcPr>
          <w:p w:rsidR="007408CE" w:rsidRPr="007408CE" w:rsidRDefault="007408CE" w:rsidP="007408CE">
            <w:pPr>
              <w:pStyle w:val="AERtabletextleft"/>
            </w:pPr>
            <w:r>
              <w:t>post-tax revenue model</w:t>
            </w:r>
          </w:p>
        </w:tc>
      </w:tr>
      <w:tr w:rsidR="007408CE" w:rsidTr="00404E74">
        <w:tc>
          <w:tcPr>
            <w:tcW w:w="4346" w:type="dxa"/>
          </w:tcPr>
          <w:p w:rsidR="007408CE" w:rsidRPr="007408CE" w:rsidRDefault="007408CE" w:rsidP="007408CE">
            <w:pPr>
              <w:pStyle w:val="AERtabletextleft"/>
            </w:pPr>
            <w:r>
              <w:t>RAB</w:t>
            </w:r>
          </w:p>
        </w:tc>
        <w:tc>
          <w:tcPr>
            <w:tcW w:w="4347" w:type="dxa"/>
          </w:tcPr>
          <w:p w:rsidR="007408CE" w:rsidRPr="007408CE" w:rsidRDefault="007408CE" w:rsidP="007408CE">
            <w:pPr>
              <w:pStyle w:val="AERtabletextleft"/>
            </w:pPr>
            <w:r>
              <w:t>regulatory asset base</w:t>
            </w:r>
          </w:p>
        </w:tc>
      </w:tr>
      <w:tr w:rsidR="007408CE" w:rsidTr="00404E74">
        <w:trPr>
          <w:cnfStyle w:val="000000010000" w:firstRow="0" w:lastRow="0" w:firstColumn="0" w:lastColumn="0" w:oddVBand="0" w:evenVBand="0" w:oddHBand="0" w:evenHBand="1" w:firstRowFirstColumn="0" w:firstRowLastColumn="0" w:lastRowFirstColumn="0" w:lastRowLastColumn="0"/>
        </w:trPr>
        <w:tc>
          <w:tcPr>
            <w:tcW w:w="4346" w:type="dxa"/>
          </w:tcPr>
          <w:p w:rsidR="007408CE" w:rsidRPr="007408CE" w:rsidRDefault="007408CE" w:rsidP="007408CE">
            <w:pPr>
              <w:pStyle w:val="AERtabletextleft"/>
            </w:pPr>
            <w:r>
              <w:t>RBA</w:t>
            </w:r>
          </w:p>
        </w:tc>
        <w:tc>
          <w:tcPr>
            <w:tcW w:w="4347" w:type="dxa"/>
          </w:tcPr>
          <w:p w:rsidR="007408CE" w:rsidRPr="007408CE" w:rsidRDefault="007408CE" w:rsidP="007408CE">
            <w:pPr>
              <w:pStyle w:val="AERtabletextleft"/>
            </w:pPr>
            <w:r>
              <w:t>Reserve Bank of Australia</w:t>
            </w:r>
          </w:p>
        </w:tc>
      </w:tr>
      <w:tr w:rsidR="007408CE" w:rsidTr="00404E74">
        <w:tc>
          <w:tcPr>
            <w:tcW w:w="4346" w:type="dxa"/>
          </w:tcPr>
          <w:p w:rsidR="007408CE" w:rsidRPr="007408CE" w:rsidRDefault="007408CE" w:rsidP="007408CE">
            <w:pPr>
              <w:pStyle w:val="AERtabletextleft"/>
            </w:pPr>
            <w:proofErr w:type="spellStart"/>
            <w:r>
              <w:t>repex</w:t>
            </w:r>
            <w:proofErr w:type="spellEnd"/>
          </w:p>
        </w:tc>
        <w:tc>
          <w:tcPr>
            <w:tcW w:w="4347" w:type="dxa"/>
          </w:tcPr>
          <w:p w:rsidR="007408CE" w:rsidRPr="007408CE" w:rsidRDefault="007408CE" w:rsidP="007408CE">
            <w:pPr>
              <w:pStyle w:val="AERtabletextleft"/>
            </w:pPr>
            <w:r>
              <w:t>replacement expenditure</w:t>
            </w:r>
          </w:p>
        </w:tc>
      </w:tr>
      <w:tr w:rsidR="007408CE" w:rsidTr="00404E74">
        <w:trPr>
          <w:cnfStyle w:val="000000010000" w:firstRow="0" w:lastRow="0" w:firstColumn="0" w:lastColumn="0" w:oddVBand="0" w:evenVBand="0" w:oddHBand="0" w:evenHBand="1" w:firstRowFirstColumn="0" w:firstRowLastColumn="0" w:lastRowFirstColumn="0" w:lastRowLastColumn="0"/>
        </w:trPr>
        <w:tc>
          <w:tcPr>
            <w:tcW w:w="4346" w:type="dxa"/>
          </w:tcPr>
          <w:p w:rsidR="007408CE" w:rsidRPr="007408CE" w:rsidRDefault="007408CE" w:rsidP="007408CE">
            <w:pPr>
              <w:pStyle w:val="AERtabletextleft"/>
            </w:pPr>
            <w:r>
              <w:t>RFM</w:t>
            </w:r>
          </w:p>
        </w:tc>
        <w:tc>
          <w:tcPr>
            <w:tcW w:w="4347" w:type="dxa"/>
          </w:tcPr>
          <w:p w:rsidR="007408CE" w:rsidRPr="007408CE" w:rsidRDefault="007408CE" w:rsidP="007408CE">
            <w:pPr>
              <w:pStyle w:val="AERtabletextleft"/>
            </w:pPr>
            <w:r>
              <w:t>roll forward model</w:t>
            </w:r>
          </w:p>
        </w:tc>
      </w:tr>
      <w:tr w:rsidR="007408CE" w:rsidTr="00404E74">
        <w:tc>
          <w:tcPr>
            <w:tcW w:w="4346" w:type="dxa"/>
          </w:tcPr>
          <w:p w:rsidR="007408CE" w:rsidRPr="007408CE" w:rsidRDefault="007408CE" w:rsidP="007408CE">
            <w:pPr>
              <w:pStyle w:val="AERtabletextleft"/>
            </w:pPr>
            <w:r>
              <w:t>RIN</w:t>
            </w:r>
          </w:p>
        </w:tc>
        <w:tc>
          <w:tcPr>
            <w:tcW w:w="4347" w:type="dxa"/>
          </w:tcPr>
          <w:p w:rsidR="007408CE" w:rsidRPr="007408CE" w:rsidRDefault="007408CE" w:rsidP="007408CE">
            <w:pPr>
              <w:pStyle w:val="AERtabletextleft"/>
            </w:pPr>
            <w:r>
              <w:t>regulatory information notice</w:t>
            </w:r>
          </w:p>
        </w:tc>
      </w:tr>
      <w:tr w:rsidR="007408CE" w:rsidTr="00404E74">
        <w:trPr>
          <w:cnfStyle w:val="000000010000" w:firstRow="0" w:lastRow="0" w:firstColumn="0" w:lastColumn="0" w:oddVBand="0" w:evenVBand="0" w:oddHBand="0" w:evenHBand="1" w:firstRowFirstColumn="0" w:firstRowLastColumn="0" w:lastRowFirstColumn="0" w:lastRowLastColumn="0"/>
        </w:trPr>
        <w:tc>
          <w:tcPr>
            <w:tcW w:w="4346" w:type="dxa"/>
          </w:tcPr>
          <w:p w:rsidR="007408CE" w:rsidRPr="007408CE" w:rsidRDefault="007408CE" w:rsidP="007408CE">
            <w:pPr>
              <w:pStyle w:val="AERtabletextleft"/>
            </w:pPr>
            <w:r>
              <w:t>RPP</w:t>
            </w:r>
          </w:p>
        </w:tc>
        <w:tc>
          <w:tcPr>
            <w:tcW w:w="4347" w:type="dxa"/>
          </w:tcPr>
          <w:p w:rsidR="007408CE" w:rsidRPr="007408CE" w:rsidRDefault="007408CE" w:rsidP="007408CE">
            <w:pPr>
              <w:pStyle w:val="AERtabletextleft"/>
            </w:pPr>
            <w:r>
              <w:t xml:space="preserve">revenue </w:t>
            </w:r>
            <w:r w:rsidRPr="007408CE">
              <w:t>and pricing principles</w:t>
            </w:r>
          </w:p>
        </w:tc>
      </w:tr>
      <w:tr w:rsidR="007408CE" w:rsidTr="00404E74">
        <w:tc>
          <w:tcPr>
            <w:tcW w:w="4346" w:type="dxa"/>
          </w:tcPr>
          <w:p w:rsidR="007408CE" w:rsidRPr="007408CE" w:rsidRDefault="007408CE" w:rsidP="007408CE">
            <w:pPr>
              <w:pStyle w:val="AERtabletextleft"/>
            </w:pPr>
            <w:r>
              <w:t>SAIDI</w:t>
            </w:r>
          </w:p>
        </w:tc>
        <w:tc>
          <w:tcPr>
            <w:tcW w:w="4347" w:type="dxa"/>
          </w:tcPr>
          <w:p w:rsidR="007408CE" w:rsidRPr="007408CE" w:rsidRDefault="007408CE" w:rsidP="007408CE">
            <w:pPr>
              <w:pStyle w:val="AERtabletextleft"/>
            </w:pPr>
            <w:r>
              <w:t xml:space="preserve">system </w:t>
            </w:r>
            <w:r w:rsidRPr="007408CE">
              <w:t>average interruption duration index</w:t>
            </w:r>
          </w:p>
        </w:tc>
      </w:tr>
      <w:tr w:rsidR="007408CE" w:rsidTr="00404E74">
        <w:trPr>
          <w:cnfStyle w:val="000000010000" w:firstRow="0" w:lastRow="0" w:firstColumn="0" w:lastColumn="0" w:oddVBand="0" w:evenVBand="0" w:oddHBand="0" w:evenHBand="1" w:firstRowFirstColumn="0" w:firstRowLastColumn="0" w:lastRowFirstColumn="0" w:lastRowLastColumn="0"/>
        </w:trPr>
        <w:tc>
          <w:tcPr>
            <w:tcW w:w="4346" w:type="dxa"/>
          </w:tcPr>
          <w:p w:rsidR="007408CE" w:rsidRPr="007408CE" w:rsidRDefault="007408CE" w:rsidP="007408CE">
            <w:pPr>
              <w:pStyle w:val="AERtabletextleft"/>
            </w:pPr>
            <w:r>
              <w:t>SAIFI</w:t>
            </w:r>
          </w:p>
        </w:tc>
        <w:tc>
          <w:tcPr>
            <w:tcW w:w="4347" w:type="dxa"/>
          </w:tcPr>
          <w:p w:rsidR="007408CE" w:rsidRPr="007408CE" w:rsidRDefault="007408CE" w:rsidP="007408CE">
            <w:pPr>
              <w:pStyle w:val="AERtabletextleft"/>
            </w:pPr>
            <w:r>
              <w:t>system average interruption frequency index</w:t>
            </w:r>
          </w:p>
        </w:tc>
      </w:tr>
      <w:tr w:rsidR="007408CE" w:rsidTr="00404E74">
        <w:tc>
          <w:tcPr>
            <w:tcW w:w="4346" w:type="dxa"/>
          </w:tcPr>
          <w:p w:rsidR="007408CE" w:rsidRPr="007408CE" w:rsidRDefault="007408CE" w:rsidP="007408CE">
            <w:pPr>
              <w:pStyle w:val="AERtabletextleft"/>
            </w:pPr>
            <w:r>
              <w:t>SLCAPM</w:t>
            </w:r>
          </w:p>
        </w:tc>
        <w:tc>
          <w:tcPr>
            <w:tcW w:w="4347" w:type="dxa"/>
          </w:tcPr>
          <w:p w:rsidR="007408CE" w:rsidRPr="007408CE" w:rsidRDefault="007408CE" w:rsidP="007408CE">
            <w:pPr>
              <w:pStyle w:val="AERtabletextleft"/>
            </w:pPr>
            <w:r>
              <w:t>Sharpe-</w:t>
            </w:r>
            <w:proofErr w:type="spellStart"/>
            <w:r>
              <w:t>Lintner</w:t>
            </w:r>
            <w:proofErr w:type="spellEnd"/>
            <w:r>
              <w:t xml:space="preserve"> capital asset pricing model</w:t>
            </w:r>
          </w:p>
        </w:tc>
      </w:tr>
      <w:tr w:rsidR="007408CE" w:rsidTr="00404E74">
        <w:trPr>
          <w:cnfStyle w:val="000000010000" w:firstRow="0" w:lastRow="0" w:firstColumn="0" w:lastColumn="0" w:oddVBand="0" w:evenVBand="0" w:oddHBand="0" w:evenHBand="1" w:firstRowFirstColumn="0" w:firstRowLastColumn="0" w:lastRowFirstColumn="0" w:lastRowLastColumn="0"/>
        </w:trPr>
        <w:tc>
          <w:tcPr>
            <w:tcW w:w="4346" w:type="dxa"/>
          </w:tcPr>
          <w:p w:rsidR="007408CE" w:rsidRPr="007408CE" w:rsidRDefault="007408CE" w:rsidP="007408CE">
            <w:pPr>
              <w:pStyle w:val="AERtabletextleft"/>
            </w:pPr>
            <w:r>
              <w:t>STPIS</w:t>
            </w:r>
          </w:p>
        </w:tc>
        <w:tc>
          <w:tcPr>
            <w:tcW w:w="4347" w:type="dxa"/>
          </w:tcPr>
          <w:p w:rsidR="007408CE" w:rsidRPr="007408CE" w:rsidRDefault="007408CE" w:rsidP="007408CE">
            <w:pPr>
              <w:pStyle w:val="AERtabletextleft"/>
            </w:pPr>
            <w:r>
              <w:t>service target performance incentive scheme</w:t>
            </w:r>
          </w:p>
        </w:tc>
      </w:tr>
      <w:tr w:rsidR="007408CE" w:rsidTr="00404E74">
        <w:tc>
          <w:tcPr>
            <w:tcW w:w="4346" w:type="dxa"/>
          </w:tcPr>
          <w:p w:rsidR="007408CE" w:rsidRPr="007408CE" w:rsidRDefault="007408CE" w:rsidP="007408CE">
            <w:pPr>
              <w:pStyle w:val="AERtabletextleft"/>
            </w:pPr>
            <w:r>
              <w:t>WACC</w:t>
            </w:r>
          </w:p>
        </w:tc>
        <w:tc>
          <w:tcPr>
            <w:tcW w:w="4347" w:type="dxa"/>
          </w:tcPr>
          <w:p w:rsidR="007408CE" w:rsidRPr="007408CE" w:rsidRDefault="007408CE" w:rsidP="007408CE">
            <w:pPr>
              <w:pStyle w:val="AERtabletextleft"/>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B16EFA" w:rsidRPr="0074565D" w:rsidRDefault="00B16EFA" w:rsidP="00B16EFA">
      <w:pPr>
        <w:pStyle w:val="Heading1"/>
      </w:pPr>
      <w:bookmarkStart w:id="10" w:name="_Toc403144135"/>
      <w:bookmarkStart w:id="11" w:name="_Toc408404319"/>
      <w:bookmarkStart w:id="12" w:name="_Toc417734070"/>
      <w:r w:rsidRPr="0074565D">
        <w:lastRenderedPageBreak/>
        <w:t>Connection policy</w:t>
      </w:r>
      <w:bookmarkEnd w:id="10"/>
      <w:bookmarkEnd w:id="11"/>
      <w:bookmarkEnd w:id="12"/>
    </w:p>
    <w:p w:rsidR="00B16EFA" w:rsidRDefault="00B16EFA" w:rsidP="00B16EFA">
      <w:pPr>
        <w:numPr>
          <w:ilvl w:val="0"/>
          <w:numId w:val="25"/>
        </w:numPr>
      </w:pPr>
      <w:r>
        <w:t>We are required to approve a connection policy prepared by a distribut</w:t>
      </w:r>
      <w:r w:rsidR="00AE4204">
        <w:t>or</w:t>
      </w:r>
      <w:r>
        <w:t xml:space="preserve"> under the National Electricity Rules (NER).</w:t>
      </w:r>
      <w:r>
        <w:rPr>
          <w:rStyle w:val="FootnoteReference"/>
        </w:rPr>
        <w:footnoteReference w:id="1"/>
      </w:r>
      <w:r>
        <w:t xml:space="preserve"> </w:t>
      </w:r>
    </w:p>
    <w:p w:rsidR="00B16EFA" w:rsidRDefault="00B16EFA" w:rsidP="00B16EFA">
      <w:pPr>
        <w:numPr>
          <w:ilvl w:val="0"/>
          <w:numId w:val="25"/>
        </w:numPr>
      </w:pPr>
      <w:r>
        <w:t xml:space="preserve">A </w:t>
      </w:r>
      <w:r w:rsidRPr="00A868C4">
        <w:rPr>
          <w:rStyle w:val="AERbody"/>
        </w:rPr>
        <w:t>connection policy set</w:t>
      </w:r>
      <w:r>
        <w:rPr>
          <w:rStyle w:val="AERbody"/>
        </w:rPr>
        <w:t>s</w:t>
      </w:r>
      <w:r w:rsidRPr="00A868C4">
        <w:rPr>
          <w:rStyle w:val="AERbody"/>
        </w:rPr>
        <w:t xml:space="preserve"> out</w:t>
      </w:r>
      <w:r>
        <w:rPr>
          <w:rStyle w:val="AERbody"/>
        </w:rPr>
        <w:t xml:space="preserve"> the nature of connection services offered by a distributor, when connection charges may be payable by retail customers and how those charges are calculated. </w:t>
      </w:r>
      <w:r w:rsidR="001B5AAC">
        <w:rPr>
          <w:rStyle w:val="AERbody"/>
        </w:rPr>
        <w:t>A connection policy</w:t>
      </w:r>
      <w:r>
        <w:t>:</w:t>
      </w:r>
      <w:r w:rsidRPr="00EA0A07">
        <w:rPr>
          <w:rStyle w:val="AERsuperscript"/>
        </w:rPr>
        <w:footnoteReference w:id="2"/>
      </w:r>
      <w:r w:rsidRPr="00EA0A07">
        <w:rPr>
          <w:rStyle w:val="AERsuperscript"/>
        </w:rPr>
        <w:t xml:space="preserve"> </w:t>
      </w:r>
    </w:p>
    <w:p w:rsidR="00B16EFA" w:rsidRPr="000338D9" w:rsidRDefault="00B16EFA" w:rsidP="00B16EFA">
      <w:pPr>
        <w:pStyle w:val="AERbulletlistfirststyle"/>
      </w:pPr>
      <w:r>
        <w:t>must</w:t>
      </w:r>
      <w:r w:rsidRPr="000338D9">
        <w:t xml:space="preserve"> be consistent with:</w:t>
      </w:r>
    </w:p>
    <w:p w:rsidR="00B16EFA" w:rsidRDefault="00B16EFA" w:rsidP="00B16EFA">
      <w:pPr>
        <w:pStyle w:val="AERbulletlistsecondstyle"/>
      </w:pPr>
      <w:r>
        <w:t>the connection charge principles set out in chapter 5A of the NER</w:t>
      </w:r>
    </w:p>
    <w:p w:rsidR="00B16EFA" w:rsidRPr="000338D9" w:rsidRDefault="00B16EFA" w:rsidP="00B16EFA">
      <w:pPr>
        <w:pStyle w:val="AERbulletlistsecondstyle"/>
      </w:pPr>
      <w:r>
        <w:t xml:space="preserve">the connection policy requirements set out in part DA of </w:t>
      </w:r>
      <w:r w:rsidR="007F43D5">
        <w:t xml:space="preserve">chapter 6 of </w:t>
      </w:r>
      <w:r>
        <w:t>the NER</w:t>
      </w:r>
    </w:p>
    <w:p w:rsidR="00B16EFA" w:rsidRDefault="00B16EFA" w:rsidP="00B16EFA">
      <w:pPr>
        <w:pStyle w:val="AERbulletlistsecondstyle"/>
      </w:pPr>
      <w:r>
        <w:t>our connection charge guidelines published under chapter 5A</w:t>
      </w:r>
      <w:r w:rsidRPr="000338D9">
        <w:rPr>
          <w:rStyle w:val="FootnoteReference"/>
        </w:rPr>
        <w:footnoteReference w:id="3"/>
      </w:r>
      <w:r w:rsidR="00AE4204">
        <w:t>, and</w:t>
      </w:r>
      <w:r>
        <w:t xml:space="preserve"> </w:t>
      </w:r>
    </w:p>
    <w:p w:rsidR="00B16EFA" w:rsidRPr="000338D9" w:rsidRDefault="00B16EFA" w:rsidP="00B16EFA">
      <w:pPr>
        <w:pStyle w:val="AERbulletlistfirststyle"/>
      </w:pPr>
      <w:r>
        <w:t>must detail:</w:t>
      </w:r>
    </w:p>
    <w:p w:rsidR="00B16EFA" w:rsidRPr="000338D9" w:rsidRDefault="00B16EFA" w:rsidP="00B16EFA">
      <w:pPr>
        <w:pStyle w:val="AERbulletlistsecondstyle"/>
      </w:pPr>
      <w:r w:rsidRPr="00EA0A07">
        <w:t xml:space="preserve">the categories of persons that may be required to pay a connection charge and the </w:t>
      </w:r>
      <w:r w:rsidRPr="000338D9">
        <w:t>circumstances in which such a requirement may be imposed</w:t>
      </w:r>
    </w:p>
    <w:p w:rsidR="00B16EFA" w:rsidRPr="000338D9" w:rsidRDefault="00B16EFA" w:rsidP="00B16EFA">
      <w:pPr>
        <w:pStyle w:val="AERbulletlistsecondstyle"/>
      </w:pPr>
      <w:r w:rsidRPr="00EA0A07">
        <w:t>the aspects of a connection service for which a connection charge may be made</w:t>
      </w:r>
    </w:p>
    <w:p w:rsidR="00B16EFA" w:rsidRPr="000338D9" w:rsidRDefault="00B16EFA" w:rsidP="00B16EFA">
      <w:pPr>
        <w:pStyle w:val="AERbulletlistsecondstyle"/>
      </w:pPr>
      <w:r w:rsidRPr="00EA0A07">
        <w:t>the basis on which connec</w:t>
      </w:r>
      <w:r w:rsidRPr="000338D9">
        <w:t>tion charges are determined</w:t>
      </w:r>
    </w:p>
    <w:p w:rsidR="00B16EFA" w:rsidRPr="000338D9" w:rsidRDefault="00B16EFA" w:rsidP="00B16EFA">
      <w:pPr>
        <w:pStyle w:val="AERbulletlistsecondstyle"/>
      </w:pPr>
      <w:r w:rsidRPr="00EA0A07">
        <w:t>the manner in which connection charges are to be paid (or equivalent co</w:t>
      </w:r>
      <w:r w:rsidRPr="000338D9">
        <w:t>nsideration is to be given)</w:t>
      </w:r>
    </w:p>
    <w:p w:rsidR="00B16EFA" w:rsidRDefault="00B16EFA" w:rsidP="00B16EFA">
      <w:pPr>
        <w:pStyle w:val="AERbulletlistsecondstyle"/>
      </w:pPr>
      <w:r w:rsidRPr="00EA0A07">
        <w:t>a threshold (based on capacity or any other measure identified in the connection charge guidelines) below which a retail customer (not being  non-registered embedded generator or a real estate developer) will not be liable for a connection charge for an augmentation other than an extension.</w:t>
      </w:r>
    </w:p>
    <w:p w:rsidR="00B16EFA" w:rsidRPr="00DC039E" w:rsidRDefault="00B16EFA" w:rsidP="00ED20AF">
      <w:pPr>
        <w:pStyle w:val="HeadingBoldItalic"/>
      </w:pPr>
      <w:bookmarkStart w:id="13" w:name="_Toc417734071"/>
      <w:r w:rsidRPr="00DC039E">
        <w:t>The AER's connection charge guidelines for electricity retail customers</w:t>
      </w:r>
      <w:bookmarkEnd w:id="13"/>
    </w:p>
    <w:p w:rsidR="00B16EFA" w:rsidRPr="00E30446" w:rsidRDefault="00B16EFA" w:rsidP="00B16EFA">
      <w:pPr>
        <w:numPr>
          <w:ilvl w:val="0"/>
          <w:numId w:val="25"/>
        </w:numPr>
        <w:rPr>
          <w:rStyle w:val="AERbody"/>
        </w:rPr>
      </w:pPr>
      <w:r>
        <w:rPr>
          <w:rStyle w:val="AERbody"/>
        </w:rPr>
        <w:t>A connection policy must be consistent with our connection charge guidelines for electricity retail customers to ensure that connection charges</w:t>
      </w:r>
      <w:r w:rsidRPr="00E30446">
        <w:rPr>
          <w:rStyle w:val="AERbody"/>
        </w:rPr>
        <w:t>:</w:t>
      </w:r>
    </w:p>
    <w:p w:rsidR="00B16EFA" w:rsidRPr="000338D9" w:rsidRDefault="00B16EFA" w:rsidP="00B16EFA">
      <w:pPr>
        <w:pStyle w:val="AERbulletlistfirststyle"/>
        <w:rPr>
          <w:rStyle w:val="AERbody"/>
        </w:rPr>
      </w:pPr>
      <w:r w:rsidRPr="00E30446">
        <w:rPr>
          <w:rStyle w:val="AERbody"/>
        </w:rPr>
        <w:t>are reasonable</w:t>
      </w:r>
      <w:r>
        <w:rPr>
          <w:rStyle w:val="AERbody"/>
        </w:rPr>
        <w:t xml:space="preserve"> and</w:t>
      </w:r>
      <w:r w:rsidRPr="00E30446">
        <w:rPr>
          <w:rStyle w:val="AERbody"/>
        </w:rPr>
        <w:t xml:space="preserve"> tak</w:t>
      </w:r>
      <w:r w:rsidR="001B5AAC">
        <w:rPr>
          <w:rStyle w:val="AERbody"/>
        </w:rPr>
        <w:t>e</w:t>
      </w:r>
      <w:r w:rsidRPr="00E30446">
        <w:rPr>
          <w:rStyle w:val="AERbody"/>
        </w:rPr>
        <w:t xml:space="preserve"> into account the efficient costs of providing the connection services arising from the new connection or connection alteration </w:t>
      </w:r>
    </w:p>
    <w:p w:rsidR="00B16EFA" w:rsidRPr="000338D9" w:rsidRDefault="00B16EFA" w:rsidP="00B16EFA">
      <w:pPr>
        <w:pStyle w:val="AERbulletlistfirststyle"/>
        <w:rPr>
          <w:rStyle w:val="AERbody"/>
        </w:rPr>
      </w:pPr>
      <w:r w:rsidRPr="00E30446">
        <w:rPr>
          <w:rStyle w:val="AERbody"/>
        </w:rPr>
        <w:t>provide, without undue administrative cost, a user-pays signal to reflect the efficient cost</w:t>
      </w:r>
      <w:r>
        <w:rPr>
          <w:rStyle w:val="AERbody"/>
        </w:rPr>
        <w:t>s</w:t>
      </w:r>
      <w:r w:rsidRPr="00E30446">
        <w:rPr>
          <w:rStyle w:val="AERbody"/>
        </w:rPr>
        <w:t xml:space="preserve"> of providing the connection services</w:t>
      </w:r>
    </w:p>
    <w:p w:rsidR="00B16EFA" w:rsidRPr="000338D9" w:rsidRDefault="00B16EFA" w:rsidP="00B16EFA">
      <w:pPr>
        <w:pStyle w:val="AERbulletlistfirststyle"/>
        <w:rPr>
          <w:rStyle w:val="AERbody"/>
        </w:rPr>
      </w:pPr>
      <w:r w:rsidRPr="00E30446">
        <w:rPr>
          <w:rStyle w:val="AERbody"/>
        </w:rPr>
        <w:lastRenderedPageBreak/>
        <w:t>limit cross-subsidisation of connection costs between different classes (or subclasses) of retail customer</w:t>
      </w:r>
      <w:r>
        <w:rPr>
          <w:rStyle w:val="AERbody"/>
        </w:rPr>
        <w:t>s</w:t>
      </w:r>
    </w:p>
    <w:p w:rsidR="00B16EFA" w:rsidRPr="000338D9" w:rsidRDefault="00B16EFA" w:rsidP="00B16EFA">
      <w:pPr>
        <w:pStyle w:val="AERbulletlistfirststyle"/>
        <w:rPr>
          <w:rStyle w:val="AERbody"/>
        </w:rPr>
      </w:pPr>
      <w:r w:rsidRPr="00E30446">
        <w:rPr>
          <w:rStyle w:val="AERbody"/>
        </w:rPr>
        <w:t>are competitively neutral, if the connection services are contestable.</w:t>
      </w:r>
    </w:p>
    <w:p w:rsidR="00B16EFA" w:rsidRPr="0074565D" w:rsidRDefault="00B16EFA" w:rsidP="00B16EFA">
      <w:pPr>
        <w:pStyle w:val="Heading2"/>
      </w:pPr>
      <w:bookmarkStart w:id="14" w:name="_Toc403144136"/>
      <w:bookmarkStart w:id="15" w:name="_Toc408404320"/>
      <w:bookmarkStart w:id="16" w:name="_Toc417734072"/>
      <w:r w:rsidRPr="0074565D">
        <w:t>Preliminary decision</w:t>
      </w:r>
      <w:bookmarkEnd w:id="14"/>
      <w:bookmarkEnd w:id="15"/>
      <w:bookmarkEnd w:id="16"/>
    </w:p>
    <w:p w:rsidR="00B16EFA" w:rsidRDefault="00B16EFA" w:rsidP="00B16EFA">
      <w:pPr>
        <w:numPr>
          <w:ilvl w:val="0"/>
          <w:numId w:val="24"/>
        </w:numPr>
      </w:pPr>
      <w:r>
        <w:t>We do not approve Ergon Energy’s connection policy because:</w:t>
      </w:r>
    </w:p>
    <w:p w:rsidR="00B16EFA" w:rsidRDefault="005815BA" w:rsidP="00B16EFA">
      <w:pPr>
        <w:pStyle w:val="ListNumber"/>
        <w:rPr>
          <w:rStyle w:val="AERbody"/>
        </w:rPr>
      </w:pPr>
      <w:r>
        <w:t xml:space="preserve">the </w:t>
      </w:r>
      <w:r w:rsidR="00852E1D">
        <w:t xml:space="preserve">upstream </w:t>
      </w:r>
      <w:r>
        <w:t>share</w:t>
      </w:r>
      <w:r w:rsidR="001B5AAC">
        <w:t>d</w:t>
      </w:r>
      <w:r>
        <w:t xml:space="preserve"> network </w:t>
      </w:r>
      <w:r w:rsidR="00852E1D">
        <w:t xml:space="preserve">asset </w:t>
      </w:r>
      <w:r>
        <w:t>augmentation charge rate</w:t>
      </w:r>
      <w:r w:rsidR="00852E1D">
        <w:rPr>
          <w:rStyle w:val="FootnoteReference"/>
        </w:rPr>
        <w:footnoteReference w:id="4"/>
      </w:r>
      <w:r>
        <w:t xml:space="preserve"> is not consistent with our connection charge guideline</w:t>
      </w:r>
      <w:r w:rsidR="00F90988">
        <w:rPr>
          <w:rStyle w:val="AERbody"/>
        </w:rPr>
        <w:t>;</w:t>
      </w:r>
      <w:r w:rsidR="00DE2C4F">
        <w:rPr>
          <w:rStyle w:val="AERbody"/>
        </w:rPr>
        <w:t xml:space="preserve"> and</w:t>
      </w:r>
      <w:r w:rsidR="00B16EFA" w:rsidRPr="0015441B">
        <w:rPr>
          <w:rStyle w:val="AERbody"/>
        </w:rPr>
        <w:t xml:space="preserve"> </w:t>
      </w:r>
    </w:p>
    <w:p w:rsidR="00B16EFA" w:rsidRPr="00FE49D1" w:rsidRDefault="00DE2C4F" w:rsidP="00B16EFA">
      <w:pPr>
        <w:pStyle w:val="ListNumber"/>
      </w:pPr>
      <w:r>
        <w:rPr>
          <w:rStyle w:val="AERbody"/>
        </w:rPr>
        <w:t xml:space="preserve">certain </w:t>
      </w:r>
      <w:r w:rsidR="005815BA">
        <w:rPr>
          <w:rStyle w:val="AERbody"/>
        </w:rPr>
        <w:t xml:space="preserve">terms and conditions </w:t>
      </w:r>
      <w:r w:rsidR="00192932">
        <w:rPr>
          <w:rStyle w:val="AERbody"/>
        </w:rPr>
        <w:t>need</w:t>
      </w:r>
      <w:r w:rsidR="005815BA">
        <w:rPr>
          <w:rStyle w:val="AERbody"/>
        </w:rPr>
        <w:t xml:space="preserve"> refinement to improve clari</w:t>
      </w:r>
      <w:r>
        <w:rPr>
          <w:rStyle w:val="AERbody"/>
        </w:rPr>
        <w:t>ty</w:t>
      </w:r>
      <w:r w:rsidR="005815BA">
        <w:rPr>
          <w:rStyle w:val="AERbody"/>
        </w:rPr>
        <w:t xml:space="preserve"> to new customers</w:t>
      </w:r>
      <w:r w:rsidR="00B16EFA">
        <w:rPr>
          <w:rStyle w:val="AERbody"/>
        </w:rPr>
        <w:t>.</w:t>
      </w:r>
    </w:p>
    <w:p w:rsidR="00B16EFA" w:rsidRPr="0074565D" w:rsidRDefault="00B16EFA" w:rsidP="00B16EFA">
      <w:pPr>
        <w:pStyle w:val="Heading2"/>
      </w:pPr>
      <w:bookmarkStart w:id="17" w:name="_Toc403144137"/>
      <w:bookmarkStart w:id="18" w:name="_Toc408404321"/>
      <w:bookmarkStart w:id="19" w:name="_Toc417734073"/>
      <w:r w:rsidRPr="0074565D">
        <w:t>Erg</w:t>
      </w:r>
      <w:r>
        <w:t>on Energy</w:t>
      </w:r>
      <w:r w:rsidRPr="0074565D">
        <w:t>'s proposal</w:t>
      </w:r>
      <w:bookmarkEnd w:id="17"/>
      <w:bookmarkEnd w:id="18"/>
      <w:bookmarkEnd w:id="19"/>
    </w:p>
    <w:p w:rsidR="00B16EFA" w:rsidRPr="000338D9" w:rsidRDefault="00B16EFA" w:rsidP="00B16EFA">
      <w:pPr>
        <w:pStyle w:val="ListParagraph"/>
        <w:numPr>
          <w:ilvl w:val="0"/>
          <w:numId w:val="24"/>
        </w:numPr>
      </w:pPr>
      <w:r>
        <w:t>Ergon's</w:t>
      </w:r>
      <w:r w:rsidRPr="000338D9">
        <w:t xml:space="preserve"> </w:t>
      </w:r>
      <w:r>
        <w:t>Energy's connection policy provides an outline of its connection services, when connection charges may be payable by its retail customers and how those charges are calculated</w:t>
      </w:r>
      <w:r w:rsidRPr="000338D9">
        <w:t>.</w:t>
      </w:r>
      <w:r w:rsidRPr="000338D9">
        <w:rPr>
          <w:rStyle w:val="FootnoteReference"/>
        </w:rPr>
        <w:footnoteReference w:id="5"/>
      </w:r>
    </w:p>
    <w:p w:rsidR="00B16EFA" w:rsidRPr="0074565D" w:rsidRDefault="00B16EFA" w:rsidP="00B16EFA">
      <w:pPr>
        <w:pStyle w:val="Heading2"/>
      </w:pPr>
      <w:bookmarkStart w:id="20" w:name="_Toc403144138"/>
      <w:bookmarkStart w:id="21" w:name="_Toc408404322"/>
      <w:bookmarkStart w:id="22" w:name="_Toc417734074"/>
      <w:r w:rsidRPr="0074565D">
        <w:t>AER’s assessment approach</w:t>
      </w:r>
      <w:bookmarkEnd w:id="20"/>
      <w:bookmarkEnd w:id="21"/>
      <w:bookmarkEnd w:id="22"/>
    </w:p>
    <w:p w:rsidR="00143BD0" w:rsidRPr="00A43041" w:rsidRDefault="00143BD0" w:rsidP="00143BD0">
      <w:r w:rsidRPr="00A43041">
        <w:t>We examined the proposed connection policy against the requirements of Part DA of chapter 6 as stated above––whether it:</w:t>
      </w:r>
    </w:p>
    <w:p w:rsidR="00143BD0" w:rsidRPr="00A43041" w:rsidRDefault="00143BD0" w:rsidP="00143BD0">
      <w:pPr>
        <w:pStyle w:val="AERbulletlistfirststyle"/>
      </w:pPr>
      <w:r w:rsidRPr="00A43041">
        <w:tab/>
        <w:t>is consistent with the connection charge principles set out in chapter 5A of the NER, and our connection charge guidelines</w:t>
      </w:r>
    </w:p>
    <w:p w:rsidR="00143BD0" w:rsidRPr="00A43041" w:rsidRDefault="00143BD0" w:rsidP="00143BD0">
      <w:pPr>
        <w:pStyle w:val="AERbulletlistfirststyle"/>
      </w:pPr>
      <w:r w:rsidRPr="00A43041">
        <w:tab/>
        <w:t>contains all the information for new customers as prescribed by the NER.</w:t>
      </w:r>
    </w:p>
    <w:p w:rsidR="00143BD0" w:rsidRPr="00A43041" w:rsidRDefault="00143BD0" w:rsidP="00143BD0">
      <w:r w:rsidRPr="00A43041">
        <w:t>In addition, we also examined whether:</w:t>
      </w:r>
    </w:p>
    <w:p w:rsidR="00143BD0" w:rsidRPr="00A43041" w:rsidRDefault="00143BD0" w:rsidP="00143BD0">
      <w:pPr>
        <w:pStyle w:val="AERbulletlistfirststyle"/>
      </w:pPr>
      <w:r w:rsidRPr="00A43041">
        <w:tab/>
        <w:t xml:space="preserve">other connection related charges included in the connection policy, such as metering installation charges, are consistent with the service classification of this </w:t>
      </w:r>
      <w:r w:rsidR="00CB6393">
        <w:t>preliminary</w:t>
      </w:r>
      <w:r w:rsidR="00CB6393" w:rsidRPr="00A43041">
        <w:t xml:space="preserve"> </w:t>
      </w:r>
      <w:r w:rsidRPr="00A43041">
        <w:t>determination</w:t>
      </w:r>
    </w:p>
    <w:p w:rsidR="00143BD0" w:rsidRDefault="00143BD0" w:rsidP="00143BD0">
      <w:pPr>
        <w:pStyle w:val="AERbulletlistfirststyle"/>
      </w:pPr>
      <w:r w:rsidRPr="00A43041">
        <w:tab/>
        <w:t>the connection policy contains terms that are not fair and reasonable.</w:t>
      </w:r>
    </w:p>
    <w:p w:rsidR="00B16EFA" w:rsidRPr="0074565D" w:rsidRDefault="00B16EFA" w:rsidP="00B16EFA">
      <w:pPr>
        <w:pStyle w:val="Heading2"/>
      </w:pPr>
      <w:bookmarkStart w:id="23" w:name="_Toc403144140"/>
      <w:bookmarkStart w:id="24" w:name="_Toc408404324"/>
      <w:bookmarkStart w:id="25" w:name="_Toc417734075"/>
      <w:r w:rsidRPr="0074565D">
        <w:t>Reasons for preliminary decision</w:t>
      </w:r>
      <w:bookmarkEnd w:id="23"/>
      <w:bookmarkEnd w:id="24"/>
      <w:bookmarkEnd w:id="25"/>
      <w:r w:rsidRPr="0074565D">
        <w:t xml:space="preserve"> </w:t>
      </w:r>
    </w:p>
    <w:p w:rsidR="005815BA" w:rsidRDefault="005815BA" w:rsidP="00A50B26">
      <w:pPr>
        <w:numPr>
          <w:ilvl w:val="0"/>
          <w:numId w:val="25"/>
        </w:numPr>
      </w:pPr>
      <w:r>
        <w:t>We have not approved the proposed connection policy because:</w:t>
      </w:r>
    </w:p>
    <w:p w:rsidR="005815BA" w:rsidRDefault="002E4F49" w:rsidP="00A320B1">
      <w:pPr>
        <w:pStyle w:val="AERbulletlistfirststyle"/>
      </w:pPr>
      <w:r>
        <w:t>While its proposed marginal cost per unit of network assets is reasonable,</w:t>
      </w:r>
      <w:r w:rsidRPr="002E4F49">
        <w:t xml:space="preserve"> </w:t>
      </w:r>
      <w:r w:rsidR="00A50B26" w:rsidRPr="00A50B26">
        <w:t xml:space="preserve">Ergon Energy's proposed </w:t>
      </w:r>
      <w:r w:rsidR="00357D04">
        <w:t>share</w:t>
      </w:r>
      <w:r w:rsidR="0023121D">
        <w:t>d</w:t>
      </w:r>
      <w:r w:rsidR="00357D04">
        <w:t xml:space="preserve"> network </w:t>
      </w:r>
      <w:r w:rsidR="00A50B26" w:rsidRPr="00A50B26">
        <w:t xml:space="preserve">augmentation charge </w:t>
      </w:r>
      <w:r w:rsidR="00192932" w:rsidRPr="00A50B26">
        <w:t>rate for customers above the threshold for paying upstream cost</w:t>
      </w:r>
      <w:r w:rsidR="001B5AAC">
        <w:t>s</w:t>
      </w:r>
      <w:r w:rsidR="00192932" w:rsidRPr="00A50B26">
        <w:t xml:space="preserve"> </w:t>
      </w:r>
      <w:r w:rsidR="00192932">
        <w:t xml:space="preserve">is based on the full marginal cost </w:t>
      </w:r>
      <w:r>
        <w:t xml:space="preserve">without </w:t>
      </w:r>
      <w:r w:rsidR="00A50B26" w:rsidRPr="00A50B26">
        <w:t>tak</w:t>
      </w:r>
      <w:r>
        <w:t>ing</w:t>
      </w:r>
      <w:r w:rsidR="00A50B26" w:rsidRPr="00A50B26">
        <w:t xml:space="preserve"> into account the connection lives of new connections as required by our </w:t>
      </w:r>
      <w:r w:rsidR="00F90988">
        <w:t xml:space="preserve">connection charge </w:t>
      </w:r>
      <w:r w:rsidR="00A50B26" w:rsidRPr="00A50B26">
        <w:t>guideline.</w:t>
      </w:r>
    </w:p>
    <w:p w:rsidR="005815BA" w:rsidRDefault="005815BA" w:rsidP="00A320B1">
      <w:pPr>
        <w:pStyle w:val="AERbulletlistfirststyle"/>
      </w:pPr>
      <w:r w:rsidRPr="00A50B26">
        <w:lastRenderedPageBreak/>
        <w:t>While the proposed terms and conditions of the connection polic</w:t>
      </w:r>
      <w:r w:rsidR="00F90988">
        <w:t>y</w:t>
      </w:r>
      <w:r w:rsidRPr="00A50B26">
        <w:t xml:space="preserve"> largely met the minimum requirements of the rules, </w:t>
      </w:r>
      <w:r>
        <w:t>we</w:t>
      </w:r>
      <w:r w:rsidRPr="00A50B26">
        <w:t xml:space="preserve"> consider that the polic</w:t>
      </w:r>
      <w:r>
        <w:t>y</w:t>
      </w:r>
      <w:r w:rsidRPr="00A50B26">
        <w:t xml:space="preserve"> should be more effective in explaining how the charge framework work</w:t>
      </w:r>
      <w:r w:rsidR="00F90988">
        <w:t>s</w:t>
      </w:r>
      <w:r w:rsidR="00D46A18">
        <w:t>,</w:t>
      </w:r>
      <w:r w:rsidRPr="00A50B26">
        <w:t xml:space="preserve"> and </w:t>
      </w:r>
      <w:r w:rsidR="00D46A18" w:rsidRPr="00A50B26">
        <w:t xml:space="preserve">by providing more relevant context on the charging framework </w:t>
      </w:r>
      <w:r w:rsidR="00D46A18">
        <w:t xml:space="preserve">so as </w:t>
      </w:r>
      <w:r w:rsidRPr="00A50B26">
        <w:t xml:space="preserve">to reduce unnecessary customer </w:t>
      </w:r>
      <w:r>
        <w:t>confusion</w:t>
      </w:r>
      <w:r w:rsidRPr="00A50B26">
        <w:t xml:space="preserve">. </w:t>
      </w:r>
    </w:p>
    <w:p w:rsidR="002E4F49" w:rsidRDefault="00A50B26" w:rsidP="002E4F49">
      <w:pPr>
        <w:numPr>
          <w:ilvl w:val="0"/>
          <w:numId w:val="25"/>
        </w:numPr>
      </w:pPr>
      <w:r w:rsidRPr="00A50B26">
        <w:t xml:space="preserve"> Th</w:t>
      </w:r>
      <w:r w:rsidR="005815BA">
        <w:t>ese</w:t>
      </w:r>
      <w:r w:rsidRPr="00A50B26">
        <w:t xml:space="preserve"> issue</w:t>
      </w:r>
      <w:r w:rsidR="005815BA">
        <w:t>s</w:t>
      </w:r>
      <w:r w:rsidRPr="00A50B26">
        <w:t xml:space="preserve"> </w:t>
      </w:r>
      <w:r w:rsidR="005815BA">
        <w:t>are explained below</w:t>
      </w:r>
      <w:r w:rsidRPr="00A50B26">
        <w:t>.</w:t>
      </w:r>
    </w:p>
    <w:p w:rsidR="005815BA" w:rsidRDefault="00AF295E" w:rsidP="00A320B1">
      <w:pPr>
        <w:pStyle w:val="Heading3"/>
      </w:pPr>
      <w:bookmarkStart w:id="26" w:name="_Toc416708285"/>
      <w:bookmarkStart w:id="27" w:name="_Toc417734076"/>
      <w:r>
        <w:t>Marginal cost for s</w:t>
      </w:r>
      <w:r w:rsidR="00357D04">
        <w:t>hared network augmentation</w:t>
      </w:r>
      <w:bookmarkEnd w:id="26"/>
      <w:bookmarkEnd w:id="27"/>
    </w:p>
    <w:p w:rsidR="00357D04" w:rsidRPr="00A50B26" w:rsidRDefault="00357D04" w:rsidP="00A50B26">
      <w:pPr>
        <w:numPr>
          <w:ilvl w:val="0"/>
          <w:numId w:val="25"/>
        </w:numPr>
      </w:pPr>
      <w:r>
        <w:t xml:space="preserve">Ergon Energy proposed a </w:t>
      </w:r>
      <w:r w:rsidR="00AF295E">
        <w:t xml:space="preserve">marginal cost </w:t>
      </w:r>
      <w:r>
        <w:t xml:space="preserve">of $1,486.49 per kVA for 2015-16. This rate is indexed to CPI for each subsequent regulatory year. This rate was </w:t>
      </w:r>
      <w:r w:rsidR="00192932">
        <w:t>calculated</w:t>
      </w:r>
      <w:r>
        <w:t xml:space="preserve"> based on its average capital cost of capacity, which is considered by Ergon Energy to be representative </w:t>
      </w:r>
      <w:r w:rsidR="00D46A18">
        <w:t xml:space="preserve">of </w:t>
      </w:r>
      <w:r>
        <w:t>the long run marginal cost of network augmentation.</w:t>
      </w:r>
      <w:r>
        <w:rPr>
          <w:rStyle w:val="FootnoteReference"/>
        </w:rPr>
        <w:footnoteReference w:id="6"/>
      </w:r>
    </w:p>
    <w:p w:rsidR="00357D04" w:rsidRDefault="00357D04" w:rsidP="00357D04">
      <w:pPr>
        <w:numPr>
          <w:ilvl w:val="0"/>
          <w:numId w:val="25"/>
        </w:numPr>
      </w:pPr>
      <w:r>
        <w:t xml:space="preserve">In order to </w:t>
      </w:r>
      <w:r w:rsidR="00192932">
        <w:t>verify</w:t>
      </w:r>
      <w:r>
        <w:t xml:space="preserve"> whether this charge rate is reasonable, we benchmark</w:t>
      </w:r>
      <w:r w:rsidR="00D46A18">
        <w:t>ed</w:t>
      </w:r>
      <w:r>
        <w:t xml:space="preserve"> </w:t>
      </w:r>
      <w:r w:rsidR="00EF2291">
        <w:t xml:space="preserve">the proposed </w:t>
      </w:r>
      <w:r w:rsidR="00F90988">
        <w:t xml:space="preserve">marginal </w:t>
      </w:r>
      <w:r w:rsidR="00A336FC">
        <w:t xml:space="preserve">cost for shared </w:t>
      </w:r>
      <w:r w:rsidR="008F225D">
        <w:t>network</w:t>
      </w:r>
      <w:r w:rsidR="00A336FC">
        <w:t xml:space="preserve"> augmentation </w:t>
      </w:r>
      <w:r w:rsidR="00EF2291">
        <w:t xml:space="preserve">against </w:t>
      </w:r>
      <w:r w:rsidR="00D46A18">
        <w:t xml:space="preserve">a </w:t>
      </w:r>
      <w:r w:rsidR="00EF2291">
        <w:t>previous study by the Productivity Commission and Ergon Energy's historical cost.</w:t>
      </w:r>
    </w:p>
    <w:p w:rsidR="00EF2291" w:rsidRPr="00A320B1" w:rsidRDefault="00EF2291" w:rsidP="00ED20AF">
      <w:pPr>
        <w:pStyle w:val="HeadingBoldItalic"/>
      </w:pPr>
      <w:bookmarkStart w:id="28" w:name="_Toc416708286"/>
      <w:bookmarkStart w:id="29" w:name="_Toc417734077"/>
      <w:r w:rsidRPr="00A320B1">
        <w:rPr>
          <w:rStyle w:val="AERbody"/>
          <w:color w:val="51626F"/>
          <w:sz w:val="24"/>
        </w:rPr>
        <w:t>Compared with Productivity Commission's findings on</w:t>
      </w:r>
      <w:r w:rsidRPr="00A320B1">
        <w:t xml:space="preserve"> long run marginal cost of network augmentation</w:t>
      </w:r>
      <w:bookmarkEnd w:id="28"/>
      <w:bookmarkEnd w:id="29"/>
    </w:p>
    <w:p w:rsidR="002C1719" w:rsidRPr="002C1719" w:rsidRDefault="002C1719" w:rsidP="00A320B1">
      <w:pPr>
        <w:pStyle w:val="ListBullet"/>
        <w:numPr>
          <w:ilvl w:val="0"/>
          <w:numId w:val="0"/>
        </w:numPr>
      </w:pPr>
      <w:r>
        <w:t xml:space="preserve">In its report published in 2013, the Productivity </w:t>
      </w:r>
      <w:r w:rsidR="001B5AAC">
        <w:t xml:space="preserve">Commission </w:t>
      </w:r>
      <w:r>
        <w:t xml:space="preserve">found that the long run marginal cost </w:t>
      </w:r>
      <w:r w:rsidR="001F4DBC">
        <w:t xml:space="preserve">(LRMC) </w:t>
      </w:r>
      <w:r w:rsidRPr="002C1719">
        <w:t>of distribution infrastructure costs for an additional kW per year</w:t>
      </w:r>
      <w:r>
        <w:t xml:space="preserve"> to be between </w:t>
      </w:r>
      <w:r w:rsidRPr="002C1719">
        <w:t xml:space="preserve">$150 </w:t>
      </w:r>
      <w:r>
        <w:t>and</w:t>
      </w:r>
      <w:r w:rsidRPr="002C1719">
        <w:t xml:space="preserve"> $220</w:t>
      </w:r>
      <w:r>
        <w:t>.</w:t>
      </w:r>
      <w:r w:rsidRPr="002C1719">
        <w:rPr>
          <w:rStyle w:val="FootnoteReference"/>
        </w:rPr>
        <w:footnoteReference w:id="7"/>
      </w:r>
    </w:p>
    <w:p w:rsidR="00D04E2B" w:rsidRDefault="001F4DBC" w:rsidP="00E511B4">
      <w:pPr>
        <w:numPr>
          <w:ilvl w:val="0"/>
          <w:numId w:val="25"/>
        </w:numPr>
        <w:rPr>
          <w:rStyle w:val="AERbody"/>
        </w:rPr>
      </w:pPr>
      <w:r w:rsidRPr="00E511B4">
        <w:rPr>
          <w:rStyle w:val="AERbody"/>
        </w:rPr>
        <w:t xml:space="preserve">The above rate is equivalent to </w:t>
      </w:r>
      <w:r w:rsidR="0087655D" w:rsidRPr="00E511B4">
        <w:rPr>
          <w:rStyle w:val="AERbody"/>
        </w:rPr>
        <w:t xml:space="preserve">about </w:t>
      </w:r>
      <w:r w:rsidR="00E511B4" w:rsidRPr="00E511B4">
        <w:rPr>
          <w:rStyle w:val="AERbody"/>
        </w:rPr>
        <w:t>$1910-$2800</w:t>
      </w:r>
      <w:r w:rsidRPr="00E511B4">
        <w:rPr>
          <w:rStyle w:val="AERbody"/>
        </w:rPr>
        <w:t xml:space="preserve"> per kVA based on </w:t>
      </w:r>
      <w:r w:rsidR="00E511B4" w:rsidRPr="00E511B4">
        <w:rPr>
          <w:rStyle w:val="AERbody"/>
        </w:rPr>
        <w:t>5.85</w:t>
      </w:r>
      <w:r w:rsidR="007408CE">
        <w:rPr>
          <w:rStyle w:val="AERbody"/>
        </w:rPr>
        <w:t xml:space="preserve"> per cent</w:t>
      </w:r>
      <w:r w:rsidRPr="00E511B4">
        <w:rPr>
          <w:rStyle w:val="AERbody"/>
        </w:rPr>
        <w:t xml:space="preserve"> WACC</w:t>
      </w:r>
      <w:r w:rsidRPr="001F4DBC">
        <w:rPr>
          <w:rStyle w:val="AERbody"/>
        </w:rPr>
        <w:t xml:space="preserve"> and 50 years asset life</w:t>
      </w:r>
      <w:r>
        <w:rPr>
          <w:rStyle w:val="AERbody"/>
        </w:rPr>
        <w:t xml:space="preserve"> and a</w:t>
      </w:r>
      <w:r w:rsidR="00F90988">
        <w:rPr>
          <w:rStyle w:val="AERbody"/>
        </w:rPr>
        <w:t>t</w:t>
      </w:r>
      <w:r w:rsidR="00D04E2B">
        <w:rPr>
          <w:rStyle w:val="AERbody"/>
        </w:rPr>
        <w:t xml:space="preserve"> unity (1.</w:t>
      </w:r>
      <w:r>
        <w:rPr>
          <w:rStyle w:val="AERbody"/>
        </w:rPr>
        <w:t>0</w:t>
      </w:r>
      <w:r w:rsidR="00D04E2B">
        <w:rPr>
          <w:rStyle w:val="AERbody"/>
        </w:rPr>
        <w:t>)</w:t>
      </w:r>
      <w:r>
        <w:rPr>
          <w:rStyle w:val="AERbody"/>
        </w:rPr>
        <w:t xml:space="preserve"> power factor</w:t>
      </w:r>
      <w:r w:rsidR="00D04E2B">
        <w:rPr>
          <w:rStyle w:val="AERbody"/>
        </w:rPr>
        <w:t>.</w:t>
      </w:r>
      <w:r>
        <w:rPr>
          <w:rStyle w:val="FootnoteReference"/>
        </w:rPr>
        <w:footnoteReference w:id="8"/>
      </w:r>
      <w:r w:rsidR="00D04E2B" w:rsidRPr="00A320B1">
        <w:rPr>
          <w:rStyle w:val="AERsuperscript"/>
        </w:rPr>
        <w:t>,</w:t>
      </w:r>
      <w:r w:rsidR="00D04E2B">
        <w:rPr>
          <w:rStyle w:val="FootnoteReference"/>
        </w:rPr>
        <w:footnoteReference w:id="9"/>
      </w:r>
      <w:r w:rsidRPr="001F4DBC">
        <w:rPr>
          <w:rStyle w:val="AERbody"/>
        </w:rPr>
        <w:t xml:space="preserve"> </w:t>
      </w:r>
    </w:p>
    <w:p w:rsidR="00D04E2B" w:rsidRDefault="00D04E2B" w:rsidP="001B5AAC">
      <w:pPr>
        <w:numPr>
          <w:ilvl w:val="0"/>
          <w:numId w:val="25"/>
        </w:numPr>
        <w:rPr>
          <w:rStyle w:val="AERbody"/>
        </w:rPr>
      </w:pPr>
      <w:r>
        <w:rPr>
          <w:rStyle w:val="AERbody"/>
        </w:rPr>
        <w:t>Ergon Energy's proposed rate</w:t>
      </w:r>
      <w:r w:rsidR="001B5AAC">
        <w:rPr>
          <w:rStyle w:val="AERbody"/>
        </w:rPr>
        <w:t>––at $</w:t>
      </w:r>
      <w:r w:rsidR="001B5AAC">
        <w:t>1,486.49 per kVA––</w:t>
      </w:r>
      <w:r>
        <w:rPr>
          <w:rStyle w:val="AERbody"/>
        </w:rPr>
        <w:t xml:space="preserve">is less than </w:t>
      </w:r>
      <w:r w:rsidR="001B5AAC">
        <w:rPr>
          <w:rStyle w:val="AERbody"/>
        </w:rPr>
        <w:t>what is predicted by the Productivity Commission's findings.</w:t>
      </w:r>
    </w:p>
    <w:p w:rsidR="00D04E2B" w:rsidRPr="00A320B1" w:rsidRDefault="00192932" w:rsidP="00ED20AF">
      <w:pPr>
        <w:pStyle w:val="HeadingBoldItalic"/>
        <w:rPr>
          <w:rStyle w:val="AERbody"/>
          <w:color w:val="51626F"/>
          <w:sz w:val="24"/>
        </w:rPr>
      </w:pPr>
      <w:bookmarkStart w:id="30" w:name="_Toc416708287"/>
      <w:bookmarkStart w:id="31" w:name="_Toc417734078"/>
      <w:r w:rsidRPr="00A320B1">
        <w:rPr>
          <w:rStyle w:val="AERbody"/>
          <w:color w:val="51626F"/>
          <w:sz w:val="24"/>
        </w:rPr>
        <w:t>Comparison</w:t>
      </w:r>
      <w:r w:rsidR="00D04E2B" w:rsidRPr="00A320B1">
        <w:rPr>
          <w:rStyle w:val="AERbody"/>
          <w:color w:val="51626F"/>
          <w:sz w:val="24"/>
        </w:rPr>
        <w:t xml:space="preserve"> with historical cost</w:t>
      </w:r>
      <w:bookmarkEnd w:id="30"/>
      <w:bookmarkEnd w:id="31"/>
    </w:p>
    <w:p w:rsidR="0066634F" w:rsidRDefault="0066634F" w:rsidP="00357D04">
      <w:pPr>
        <w:numPr>
          <w:ilvl w:val="0"/>
          <w:numId w:val="25"/>
        </w:numPr>
      </w:pPr>
      <w:r>
        <w:t>We calculated that Ergon Energy's historical average shared network cost to be about $2450 per kVA based on its Benchmarking RIN</w:t>
      </w:r>
      <w:r w:rsidR="00F90988">
        <w:t xml:space="preserve"> report</w:t>
      </w:r>
      <w:r>
        <w:t xml:space="preserve"> for 2013–14.</w:t>
      </w:r>
      <w:r w:rsidR="00F90988">
        <w:rPr>
          <w:rStyle w:val="FootnoteReference"/>
        </w:rPr>
        <w:footnoteReference w:id="10"/>
      </w:r>
      <w:r>
        <w:t xml:space="preserve"> This historical cost is also higher than Ergon Energy's proposed </w:t>
      </w:r>
      <w:r w:rsidR="00A336FC">
        <w:t xml:space="preserve">marginal cost for </w:t>
      </w:r>
      <w:r>
        <w:t xml:space="preserve">shared network </w:t>
      </w:r>
      <w:r w:rsidR="00A336FC">
        <w:t>augmentation</w:t>
      </w:r>
      <w:r>
        <w:t>. Table 18.1 provides the details of our calculation.</w:t>
      </w:r>
    </w:p>
    <w:p w:rsidR="00AF295E" w:rsidRDefault="00AF295E" w:rsidP="00AF295E"/>
    <w:p w:rsidR="00AF295E" w:rsidRDefault="00AF295E" w:rsidP="00AF295E"/>
    <w:p w:rsidR="00EF2291" w:rsidRDefault="0066634F" w:rsidP="00ED20AF">
      <w:pPr>
        <w:pStyle w:val="Caption"/>
      </w:pPr>
      <w:bookmarkStart w:id="32" w:name="_Toc416708288"/>
      <w:r>
        <w:t>Table 18.1 assessment of Ergon Energy's historical cost</w:t>
      </w:r>
      <w:bookmarkEnd w:id="32"/>
    </w:p>
    <w:tbl>
      <w:tblPr>
        <w:tblStyle w:val="AERtable-numbers"/>
        <w:tblW w:w="0" w:type="auto"/>
        <w:tblLook w:val="04A0" w:firstRow="1" w:lastRow="0" w:firstColumn="1" w:lastColumn="0" w:noHBand="0" w:noVBand="1"/>
      </w:tblPr>
      <w:tblGrid>
        <w:gridCol w:w="4346"/>
        <w:gridCol w:w="4347"/>
      </w:tblGrid>
      <w:tr w:rsidR="0066634F" w:rsidTr="006A59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66634F" w:rsidRDefault="0066634F" w:rsidP="0066634F">
            <w:r>
              <w:t>Information from Benchmark RIN</w:t>
            </w:r>
          </w:p>
        </w:tc>
        <w:tc>
          <w:tcPr>
            <w:tcW w:w="4347" w:type="dxa"/>
          </w:tcPr>
          <w:p w:rsidR="0066634F" w:rsidRDefault="0066634F" w:rsidP="0066634F">
            <w:pPr>
              <w:cnfStyle w:val="100000000000" w:firstRow="1" w:lastRow="0" w:firstColumn="0" w:lastColumn="0" w:oddVBand="0" w:evenVBand="0" w:oddHBand="0" w:evenHBand="0" w:firstRowFirstColumn="0" w:firstRowLastColumn="0" w:lastRowFirstColumn="0" w:lastRowLastColumn="0"/>
            </w:pPr>
          </w:p>
        </w:tc>
      </w:tr>
      <w:tr w:rsidR="0066634F" w:rsidRPr="001E7A4D" w:rsidTr="006A59D5">
        <w:tc>
          <w:tcPr>
            <w:cnfStyle w:val="001000000000" w:firstRow="0" w:lastRow="0" w:firstColumn="1" w:lastColumn="0" w:oddVBand="0" w:evenVBand="0" w:oddHBand="0" w:evenHBand="0" w:firstRowFirstColumn="0" w:firstRowLastColumn="0" w:lastRowFirstColumn="0" w:lastRowLastColumn="0"/>
            <w:tcW w:w="4346" w:type="dxa"/>
            <w:vAlign w:val="top"/>
          </w:tcPr>
          <w:p w:rsidR="0066634F" w:rsidRPr="0066634F" w:rsidRDefault="0066634F" w:rsidP="0066634F">
            <w:r>
              <w:t xml:space="preserve">Depreciated </w:t>
            </w:r>
            <w:r w:rsidRPr="001E7A4D">
              <w:t>RAB of relevant portion of network asset ($000)  (note a)</w:t>
            </w:r>
          </w:p>
        </w:tc>
        <w:tc>
          <w:tcPr>
            <w:tcW w:w="4347" w:type="dxa"/>
            <w:vAlign w:val="top"/>
          </w:tcPr>
          <w:p w:rsidR="0066634F" w:rsidRPr="0066634F" w:rsidRDefault="00F90988" w:rsidP="0066634F">
            <w:pPr>
              <w:cnfStyle w:val="000000000000" w:firstRow="0" w:lastRow="0" w:firstColumn="0" w:lastColumn="0" w:oddVBand="0" w:evenVBand="0" w:oddHBand="0" w:evenHBand="0" w:firstRowFirstColumn="0" w:firstRowLastColumn="0" w:lastRowFirstColumn="0" w:lastRowLastColumn="0"/>
            </w:pPr>
            <w:r>
              <w:t xml:space="preserve">A= </w:t>
            </w:r>
            <w:r w:rsidR="0066634F" w:rsidRPr="001E7A4D">
              <w:t>8,499,647</w:t>
            </w:r>
          </w:p>
        </w:tc>
      </w:tr>
      <w:tr w:rsidR="0066634F" w:rsidRPr="001E7A4D" w:rsidTr="006A59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vAlign w:val="top"/>
          </w:tcPr>
          <w:p w:rsidR="0066634F" w:rsidRPr="0066634F" w:rsidRDefault="0066634F" w:rsidP="0066634F">
            <w:r w:rsidRPr="001E7A4D">
              <w:t xml:space="preserve">Non-coincident </w:t>
            </w:r>
            <w:r w:rsidRPr="0066634F">
              <w:t>Summated Raw System Annual Maximum Demand (MW)</w:t>
            </w:r>
          </w:p>
        </w:tc>
        <w:tc>
          <w:tcPr>
            <w:tcW w:w="4347" w:type="dxa"/>
            <w:vAlign w:val="top"/>
          </w:tcPr>
          <w:p w:rsidR="0066634F" w:rsidRPr="0066634F" w:rsidRDefault="0066634F" w:rsidP="0066634F">
            <w:pPr>
              <w:cnfStyle w:val="000000010000" w:firstRow="0" w:lastRow="0" w:firstColumn="0" w:lastColumn="0" w:oddVBand="0" w:evenVBand="0" w:oddHBand="0" w:evenHBand="1" w:firstRowFirstColumn="0" w:firstRowLastColumn="0" w:lastRowFirstColumn="0" w:lastRowLastColumn="0"/>
            </w:pPr>
            <w:r w:rsidRPr="001E7A4D">
              <w:t>3,083</w:t>
            </w:r>
          </w:p>
        </w:tc>
      </w:tr>
      <w:tr w:rsidR="0066634F" w:rsidRPr="001E7A4D" w:rsidTr="006A59D5">
        <w:tc>
          <w:tcPr>
            <w:cnfStyle w:val="001000000000" w:firstRow="0" w:lastRow="0" w:firstColumn="1" w:lastColumn="0" w:oddVBand="0" w:evenVBand="0" w:oddHBand="0" w:evenHBand="0" w:firstRowFirstColumn="0" w:firstRowLastColumn="0" w:lastRowFirstColumn="0" w:lastRowLastColumn="0"/>
            <w:tcW w:w="4346" w:type="dxa"/>
            <w:vAlign w:val="top"/>
          </w:tcPr>
          <w:p w:rsidR="0066634F" w:rsidRPr="0066634F" w:rsidRDefault="0066634F" w:rsidP="0066634F">
            <w:r>
              <w:t>AER assumed u</w:t>
            </w:r>
            <w:r w:rsidRPr="001E7A4D">
              <w:t>tilisation factor  (note b)</w:t>
            </w:r>
          </w:p>
        </w:tc>
        <w:tc>
          <w:tcPr>
            <w:tcW w:w="4347" w:type="dxa"/>
            <w:vAlign w:val="top"/>
          </w:tcPr>
          <w:p w:rsidR="0066634F" w:rsidRPr="0066634F" w:rsidRDefault="0066634F" w:rsidP="0066634F">
            <w:pPr>
              <w:cnfStyle w:val="000000000000" w:firstRow="0" w:lastRow="0" w:firstColumn="0" w:lastColumn="0" w:oddVBand="0" w:evenVBand="0" w:oddHBand="0" w:evenHBand="0" w:firstRowFirstColumn="0" w:firstRowLastColumn="0" w:lastRowFirstColumn="0" w:lastRowLastColumn="0"/>
            </w:pPr>
            <w:r w:rsidRPr="001E7A4D">
              <w:t>60%</w:t>
            </w:r>
          </w:p>
        </w:tc>
      </w:tr>
      <w:tr w:rsidR="0066634F" w:rsidRPr="001E7A4D" w:rsidTr="006A59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vAlign w:val="top"/>
          </w:tcPr>
          <w:p w:rsidR="0066634F" w:rsidRPr="0066634F" w:rsidRDefault="0066634F" w:rsidP="0066634F">
            <w:r>
              <w:t>Optimal s</w:t>
            </w:r>
            <w:r w:rsidRPr="001E7A4D">
              <w:t xml:space="preserve">ystem capacity </w:t>
            </w:r>
            <w:r>
              <w:t xml:space="preserve">based on assumed utilisation factor </w:t>
            </w:r>
            <w:r w:rsidR="00CD169C">
              <w:t xml:space="preserve">based on the above utilisation factor </w:t>
            </w:r>
            <w:r w:rsidRPr="001E7A4D">
              <w:t>(MW)</w:t>
            </w:r>
          </w:p>
        </w:tc>
        <w:tc>
          <w:tcPr>
            <w:tcW w:w="4347" w:type="dxa"/>
            <w:vAlign w:val="top"/>
          </w:tcPr>
          <w:p w:rsidR="0066634F" w:rsidRPr="0066634F" w:rsidRDefault="00F90988" w:rsidP="0066634F">
            <w:pPr>
              <w:cnfStyle w:val="000000010000" w:firstRow="0" w:lastRow="0" w:firstColumn="0" w:lastColumn="0" w:oddVBand="0" w:evenVBand="0" w:oddHBand="0" w:evenHBand="1" w:firstRowFirstColumn="0" w:firstRowLastColumn="0" w:lastRowFirstColumn="0" w:lastRowLastColumn="0"/>
            </w:pPr>
            <w:r>
              <w:t xml:space="preserve">B= </w:t>
            </w:r>
            <w:r w:rsidR="0066634F" w:rsidRPr="001E7A4D">
              <w:t>5,139</w:t>
            </w:r>
          </w:p>
        </w:tc>
      </w:tr>
      <w:tr w:rsidR="0066634F" w:rsidRPr="001E7A4D" w:rsidTr="006A59D5">
        <w:tc>
          <w:tcPr>
            <w:cnfStyle w:val="001000000000" w:firstRow="0" w:lastRow="0" w:firstColumn="1" w:lastColumn="0" w:oddVBand="0" w:evenVBand="0" w:oddHBand="0" w:evenHBand="0" w:firstRowFirstColumn="0" w:firstRowLastColumn="0" w:lastRowFirstColumn="0" w:lastRowLastColumn="0"/>
            <w:tcW w:w="4346" w:type="dxa"/>
            <w:vAlign w:val="top"/>
          </w:tcPr>
          <w:p w:rsidR="0066634F" w:rsidRPr="0066634F" w:rsidRDefault="00F90988" w:rsidP="00F90988">
            <w:r>
              <w:t>Average d</w:t>
            </w:r>
            <w:r w:rsidR="0066634F">
              <w:t xml:space="preserve">epreciated </w:t>
            </w:r>
            <w:r w:rsidR="0066634F" w:rsidRPr="001E7A4D">
              <w:t>system capacity</w:t>
            </w:r>
            <w:r w:rsidR="0066634F">
              <w:t xml:space="preserve"> cost, $/kW</w:t>
            </w:r>
            <w:r>
              <w:t xml:space="preserve"> (A/B)</w:t>
            </w:r>
          </w:p>
        </w:tc>
        <w:tc>
          <w:tcPr>
            <w:tcW w:w="4347" w:type="dxa"/>
            <w:vAlign w:val="top"/>
          </w:tcPr>
          <w:p w:rsidR="0066634F" w:rsidRPr="0066634F" w:rsidRDefault="0066634F" w:rsidP="0066634F">
            <w:pPr>
              <w:cnfStyle w:val="000000000000" w:firstRow="0" w:lastRow="0" w:firstColumn="0" w:lastColumn="0" w:oddVBand="0" w:evenVBand="0" w:oddHBand="0" w:evenHBand="0" w:firstRowFirstColumn="0" w:firstRowLastColumn="0" w:lastRowFirstColumn="0" w:lastRowLastColumn="0"/>
            </w:pPr>
            <w:r w:rsidRPr="001E7A4D">
              <w:t>1,654</w:t>
            </w:r>
          </w:p>
        </w:tc>
      </w:tr>
      <w:tr w:rsidR="0066634F" w:rsidRPr="001E7A4D" w:rsidTr="006A59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vAlign w:val="top"/>
          </w:tcPr>
          <w:p w:rsidR="0066634F" w:rsidRPr="0066634F" w:rsidRDefault="0066634F" w:rsidP="0066634F">
            <w:r w:rsidRPr="001E7A4D">
              <w:t>Remaining asset life  (note c)</w:t>
            </w:r>
          </w:p>
        </w:tc>
        <w:tc>
          <w:tcPr>
            <w:tcW w:w="4347" w:type="dxa"/>
            <w:vAlign w:val="top"/>
          </w:tcPr>
          <w:p w:rsidR="0066634F" w:rsidRPr="0066634F" w:rsidRDefault="0066634F" w:rsidP="0066634F">
            <w:pPr>
              <w:cnfStyle w:val="000000010000" w:firstRow="0" w:lastRow="0" w:firstColumn="0" w:lastColumn="0" w:oddVBand="0" w:evenVBand="0" w:oddHBand="0" w:evenHBand="1" w:firstRowFirstColumn="0" w:firstRowLastColumn="0" w:lastRowFirstColumn="0" w:lastRowLastColumn="0"/>
            </w:pPr>
            <w:r w:rsidRPr="001E7A4D">
              <w:t>67%</w:t>
            </w:r>
          </w:p>
        </w:tc>
      </w:tr>
      <w:tr w:rsidR="0066634F" w:rsidRPr="001E7A4D" w:rsidTr="006A59D5">
        <w:tc>
          <w:tcPr>
            <w:cnfStyle w:val="001000000000" w:firstRow="0" w:lastRow="0" w:firstColumn="1" w:lastColumn="0" w:oddVBand="0" w:evenVBand="0" w:oddHBand="0" w:evenHBand="0" w:firstRowFirstColumn="0" w:firstRowLastColumn="0" w:lastRowFirstColumn="0" w:lastRowLastColumn="0"/>
            <w:tcW w:w="4346" w:type="dxa"/>
            <w:vAlign w:val="top"/>
          </w:tcPr>
          <w:p w:rsidR="0066634F" w:rsidRPr="0066634F" w:rsidRDefault="00F90988" w:rsidP="00F90988">
            <w:r>
              <w:t xml:space="preserve">Average undepreciated </w:t>
            </w:r>
            <w:r w:rsidR="0066634F" w:rsidRPr="001E7A4D">
              <w:t>network capacity</w:t>
            </w:r>
            <w:r>
              <w:t xml:space="preserve"> cost ($/kVA)</w:t>
            </w:r>
            <w:r w:rsidR="0066634F" w:rsidRPr="001E7A4D">
              <w:t>, adjusted for straight line depreciation of asset age</w:t>
            </w:r>
            <w:r w:rsidR="0066634F">
              <w:t xml:space="preserve">, based on </w:t>
            </w:r>
            <w:r>
              <w:t xml:space="preserve">unity </w:t>
            </w:r>
            <w:r w:rsidR="0066634F">
              <w:t>power factor</w:t>
            </w:r>
          </w:p>
        </w:tc>
        <w:tc>
          <w:tcPr>
            <w:tcW w:w="4347" w:type="dxa"/>
            <w:vAlign w:val="top"/>
          </w:tcPr>
          <w:p w:rsidR="0066634F" w:rsidRPr="0066634F" w:rsidRDefault="0066634F" w:rsidP="0066634F">
            <w:pPr>
              <w:cnfStyle w:val="000000000000" w:firstRow="0" w:lastRow="0" w:firstColumn="0" w:lastColumn="0" w:oddVBand="0" w:evenVBand="0" w:oddHBand="0" w:evenHBand="0" w:firstRowFirstColumn="0" w:firstRowLastColumn="0" w:lastRowFirstColumn="0" w:lastRowLastColumn="0"/>
            </w:pPr>
            <w:r w:rsidRPr="001E7A4D">
              <w:t>$2,461</w:t>
            </w:r>
          </w:p>
        </w:tc>
      </w:tr>
    </w:tbl>
    <w:p w:rsidR="00AF295E" w:rsidRPr="00AF295E" w:rsidRDefault="00AF295E" w:rsidP="00AF295E">
      <w:pPr>
        <w:pStyle w:val="NoSpacing"/>
        <w:rPr>
          <w:rStyle w:val="AERtextsize8"/>
        </w:rPr>
      </w:pPr>
      <w:r w:rsidRPr="00AF295E">
        <w:rPr>
          <w:rStyle w:val="AERtextsize8"/>
        </w:rPr>
        <w:t>Notes to table</w:t>
      </w:r>
    </w:p>
    <w:p w:rsidR="00AF295E" w:rsidRPr="00AF295E" w:rsidRDefault="00AF295E" w:rsidP="00AF295E">
      <w:pPr>
        <w:pStyle w:val="NoSpacing"/>
        <w:rPr>
          <w:rStyle w:val="AERtextsize8"/>
        </w:rPr>
      </w:pPr>
      <w:r w:rsidRPr="00AF295E">
        <w:rPr>
          <w:rStyle w:val="AERtextsize8"/>
        </w:rPr>
        <w:t xml:space="preserve">(a) The reset RIN does not have all the info that </w:t>
      </w:r>
      <w:r w:rsidR="00F90988">
        <w:rPr>
          <w:rStyle w:val="AERtextsize8"/>
        </w:rPr>
        <w:t>we</w:t>
      </w:r>
      <w:r w:rsidRPr="00AF295E">
        <w:rPr>
          <w:rStyle w:val="AERtextsize8"/>
        </w:rPr>
        <w:t xml:space="preserve"> need (in particular, the average asset life). So, we used the benchmarking RINs for </w:t>
      </w:r>
      <w:r>
        <w:rPr>
          <w:rStyle w:val="AERtextsize8"/>
        </w:rPr>
        <w:t>20</w:t>
      </w:r>
      <w:r w:rsidRPr="00AF295E">
        <w:rPr>
          <w:rStyle w:val="AERtextsize8"/>
        </w:rPr>
        <w:t>13</w:t>
      </w:r>
      <w:r>
        <w:rPr>
          <w:rStyle w:val="AERtextsize8"/>
        </w:rPr>
        <w:t>–</w:t>
      </w:r>
      <w:r w:rsidRPr="00AF295E">
        <w:rPr>
          <w:rStyle w:val="AERtextsize8"/>
        </w:rPr>
        <w:t>14 instead.</w:t>
      </w:r>
      <w:r>
        <w:rPr>
          <w:rStyle w:val="AERtextsize8"/>
        </w:rPr>
        <w:t xml:space="preserve"> </w:t>
      </w:r>
      <w:r w:rsidRPr="00AF295E">
        <w:rPr>
          <w:rStyle w:val="AERtextsize8"/>
        </w:rPr>
        <w:t>Only the following network asset values are included in the calculation, all non-network asset values are not counted:</w:t>
      </w:r>
    </w:p>
    <w:p w:rsidR="00AF295E" w:rsidRPr="00AF295E" w:rsidRDefault="00AF295E" w:rsidP="00AF295E">
      <w:pPr>
        <w:pStyle w:val="AERbulletlistsecondstyle"/>
        <w:rPr>
          <w:rStyle w:val="AERtextsize8"/>
        </w:rPr>
      </w:pPr>
      <w:r w:rsidRPr="00AF295E">
        <w:rPr>
          <w:rStyle w:val="AERtextsize8"/>
        </w:rPr>
        <w:t>overhead network assets less than 33kV</w:t>
      </w:r>
    </w:p>
    <w:p w:rsidR="00AF295E" w:rsidRPr="00AF295E" w:rsidRDefault="00AF295E" w:rsidP="00AF295E">
      <w:pPr>
        <w:pStyle w:val="AERbulletlistsecondstyle"/>
        <w:rPr>
          <w:rStyle w:val="AERtextsize8"/>
        </w:rPr>
      </w:pPr>
      <w:r w:rsidRPr="00AF295E">
        <w:rPr>
          <w:rStyle w:val="AERtextsize8"/>
        </w:rPr>
        <w:t>underground network assets less than 33kV</w:t>
      </w:r>
    </w:p>
    <w:p w:rsidR="00AF295E" w:rsidRPr="00AF295E" w:rsidRDefault="00AF295E" w:rsidP="00AF295E">
      <w:pPr>
        <w:pStyle w:val="AERbulletlistsecondstyle"/>
        <w:rPr>
          <w:rStyle w:val="AERtextsize8"/>
        </w:rPr>
      </w:pPr>
      <w:r w:rsidRPr="00AF295E">
        <w:rPr>
          <w:rStyle w:val="AERtextsize8"/>
        </w:rPr>
        <w:t>distribution substations and transformers</w:t>
      </w:r>
    </w:p>
    <w:p w:rsidR="00AF295E" w:rsidRPr="00AF295E" w:rsidRDefault="00AF295E" w:rsidP="00AF295E">
      <w:pPr>
        <w:pStyle w:val="AERbulletlistsecondstyle"/>
        <w:rPr>
          <w:rStyle w:val="AERtextsize8"/>
        </w:rPr>
      </w:pPr>
      <w:r w:rsidRPr="00AF295E">
        <w:rPr>
          <w:rStyle w:val="AERtextsize8"/>
        </w:rPr>
        <w:t>overhead network assets 33kV and above</w:t>
      </w:r>
    </w:p>
    <w:p w:rsidR="00AF295E" w:rsidRPr="00AF295E" w:rsidRDefault="00AF295E" w:rsidP="00AF295E">
      <w:pPr>
        <w:pStyle w:val="AERbulletlistsecondstyle"/>
        <w:rPr>
          <w:rStyle w:val="AERtextsize8"/>
        </w:rPr>
      </w:pPr>
      <w:r w:rsidRPr="00AF295E">
        <w:rPr>
          <w:rStyle w:val="AERtextsize8"/>
        </w:rPr>
        <w:t>underground network assets 33kV and above</w:t>
      </w:r>
    </w:p>
    <w:p w:rsidR="00AF295E" w:rsidRPr="00AF295E" w:rsidRDefault="00AF295E" w:rsidP="00AF295E">
      <w:pPr>
        <w:pStyle w:val="AERbulletlistsecondstyle"/>
        <w:rPr>
          <w:rStyle w:val="AERtextsize8"/>
        </w:rPr>
      </w:pPr>
      <w:r w:rsidRPr="00AF295E">
        <w:rPr>
          <w:rStyle w:val="AERtextsize8"/>
        </w:rPr>
        <w:t>zone substations and transformers.</w:t>
      </w:r>
    </w:p>
    <w:p w:rsidR="00AF295E" w:rsidRDefault="00AF295E" w:rsidP="00AF295E">
      <w:pPr>
        <w:pStyle w:val="NoSpacing"/>
        <w:rPr>
          <w:rStyle w:val="AERtextsize8"/>
        </w:rPr>
      </w:pPr>
    </w:p>
    <w:p w:rsidR="00AF295E" w:rsidRPr="00AF295E" w:rsidRDefault="00AF295E" w:rsidP="00AF295E">
      <w:pPr>
        <w:pStyle w:val="NoSpacing"/>
        <w:rPr>
          <w:rStyle w:val="AERtextsize8"/>
        </w:rPr>
      </w:pPr>
      <w:r w:rsidRPr="00AF295E">
        <w:rPr>
          <w:rStyle w:val="AERtextsize8"/>
        </w:rPr>
        <w:t>(b) Assumption on utilisation factor based on:</w:t>
      </w:r>
    </w:p>
    <w:p w:rsidR="00AF295E" w:rsidRPr="00AF295E" w:rsidRDefault="00AF295E" w:rsidP="00AF295E">
      <w:pPr>
        <w:pStyle w:val="NoSpacing"/>
        <w:rPr>
          <w:rStyle w:val="AERtextsize8"/>
        </w:rPr>
      </w:pPr>
      <w:r w:rsidRPr="00AF295E">
        <w:rPr>
          <w:rStyle w:val="AERtextsize8"/>
        </w:rPr>
        <w:t>Darryl Somerville, Detailed Report of the Independent Panel for Electricity Distribution and Service Delivery for the 21st Century, [Queensland] – July 2004, p12 statement that:</w:t>
      </w:r>
      <w:r>
        <w:rPr>
          <w:rStyle w:val="AERtextsize8"/>
        </w:rPr>
        <w:t xml:space="preserve"> </w:t>
      </w:r>
      <w:r w:rsidRPr="00AF295E">
        <w:rPr>
          <w:rStyle w:val="AERtextsize8"/>
        </w:rPr>
        <w:t>The Australian average [utilisation factor] is around 56% and the professional advice that the Panel obtained was that prudent practice dictates that utilisation should be around 60% to 65%.</w:t>
      </w:r>
    </w:p>
    <w:p w:rsidR="00AF295E" w:rsidRDefault="00AF295E" w:rsidP="00AF295E">
      <w:pPr>
        <w:pStyle w:val="NoSpacing"/>
        <w:rPr>
          <w:rStyle w:val="AERtextsize8"/>
        </w:rPr>
      </w:pPr>
    </w:p>
    <w:p w:rsidR="00AF295E" w:rsidRPr="00AF295E" w:rsidRDefault="00AF295E" w:rsidP="00AF295E">
      <w:pPr>
        <w:pStyle w:val="NoSpacing"/>
        <w:rPr>
          <w:rStyle w:val="AERtextsize8"/>
        </w:rPr>
      </w:pPr>
      <w:r w:rsidRPr="00AF295E">
        <w:rPr>
          <w:rStyle w:val="AERtextsize8"/>
        </w:rPr>
        <w:t xml:space="preserve">(c) Based on the benchmarking RINs for </w:t>
      </w:r>
      <w:r>
        <w:rPr>
          <w:rStyle w:val="AERtextsize8"/>
        </w:rPr>
        <w:t>20</w:t>
      </w:r>
      <w:r w:rsidRPr="00AF295E">
        <w:rPr>
          <w:rStyle w:val="AERtextsize8"/>
        </w:rPr>
        <w:t>13</w:t>
      </w:r>
      <w:r>
        <w:rPr>
          <w:rStyle w:val="AERtextsize8"/>
        </w:rPr>
        <w:t>–</w:t>
      </w:r>
      <w:r w:rsidRPr="00AF295E">
        <w:rPr>
          <w:rStyle w:val="AERtextsize8"/>
        </w:rPr>
        <w:t xml:space="preserve">14. </w:t>
      </w:r>
    </w:p>
    <w:p w:rsidR="0066634F" w:rsidRPr="00EF2291" w:rsidRDefault="0066634F" w:rsidP="00AF295E">
      <w:pPr>
        <w:pStyle w:val="NoSpacing"/>
      </w:pPr>
    </w:p>
    <w:p w:rsidR="00AF295E" w:rsidRDefault="00AF295E" w:rsidP="00ED20AF">
      <w:pPr>
        <w:pStyle w:val="HeadingBoldItalic"/>
      </w:pPr>
      <w:bookmarkStart w:id="33" w:name="_Toc416708289"/>
      <w:bookmarkStart w:id="34" w:name="_Toc417734079"/>
      <w:r>
        <w:t>Conclusion</w:t>
      </w:r>
      <w:bookmarkEnd w:id="33"/>
      <w:bookmarkEnd w:id="34"/>
    </w:p>
    <w:p w:rsidR="00EF2291" w:rsidRPr="00EF2291" w:rsidRDefault="00AF295E" w:rsidP="00EF2291">
      <w:r>
        <w:t xml:space="preserve">We conclude that Ergon Energy's proposed </w:t>
      </w:r>
      <w:r w:rsidR="001E58C7">
        <w:t xml:space="preserve">marginal cost </w:t>
      </w:r>
      <w:r>
        <w:t xml:space="preserve">for shared network augmentation is </w:t>
      </w:r>
      <w:r w:rsidR="00EF2291" w:rsidRPr="00EF2291">
        <w:t xml:space="preserve">reasonable because the rate </w:t>
      </w:r>
      <w:r>
        <w:t>is</w:t>
      </w:r>
      <w:r w:rsidR="00EF2291" w:rsidRPr="00EF2291">
        <w:t xml:space="preserve"> less than the actual historical cost and consistent with P</w:t>
      </w:r>
      <w:r>
        <w:t xml:space="preserve">roductivity </w:t>
      </w:r>
      <w:r w:rsidR="00770B29">
        <w:t>Commission's</w:t>
      </w:r>
      <w:r w:rsidR="00770B29" w:rsidRPr="00EF2291">
        <w:t xml:space="preserve"> </w:t>
      </w:r>
      <w:r w:rsidR="00EF2291" w:rsidRPr="00EF2291">
        <w:t>findings on the LRMC for providing additional network capacity.</w:t>
      </w:r>
    </w:p>
    <w:p w:rsidR="001E58C7" w:rsidRPr="001E58C7" w:rsidRDefault="001E58C7" w:rsidP="001E58C7">
      <w:pPr>
        <w:pStyle w:val="Heading3"/>
      </w:pPr>
      <w:bookmarkStart w:id="35" w:name="_Toc416708290"/>
      <w:bookmarkStart w:id="36" w:name="_Toc417734080"/>
      <w:r>
        <w:t>S</w:t>
      </w:r>
      <w:r w:rsidRPr="001E58C7">
        <w:t>hared network augmentation</w:t>
      </w:r>
      <w:r>
        <w:t xml:space="preserve"> charge rate</w:t>
      </w:r>
      <w:bookmarkEnd w:id="35"/>
      <w:bookmarkEnd w:id="36"/>
    </w:p>
    <w:p w:rsidR="001E58C7" w:rsidRDefault="001E58C7" w:rsidP="001E58C7">
      <w:pPr>
        <w:numPr>
          <w:ilvl w:val="0"/>
          <w:numId w:val="25"/>
        </w:numPr>
      </w:pPr>
      <w:r>
        <w:t>Ergon Energy proposed to apply the full marginal cost of $1,486.49 per kVA for 2015-16 as the share network augmentation charge rate.</w:t>
      </w:r>
    </w:p>
    <w:p w:rsidR="00357D04" w:rsidRPr="00A50B26" w:rsidRDefault="001E58C7" w:rsidP="00357D04">
      <w:pPr>
        <w:numPr>
          <w:ilvl w:val="0"/>
          <w:numId w:val="25"/>
        </w:numPr>
      </w:pPr>
      <w:r>
        <w:lastRenderedPageBreak/>
        <w:t>We</w:t>
      </w:r>
      <w:r w:rsidR="00357D04" w:rsidRPr="00A50B26">
        <w:t xml:space="preserve"> consider that </w:t>
      </w:r>
      <w:r>
        <w:t>such</w:t>
      </w:r>
      <w:r w:rsidR="00357D04" w:rsidRPr="00A50B26">
        <w:t xml:space="preserve"> proposal to charge new customers the full marginal cost </w:t>
      </w:r>
      <w:r w:rsidR="00CD169C">
        <w:t>is</w:t>
      </w:r>
      <w:r w:rsidR="00357D04" w:rsidRPr="00A50B26">
        <w:t xml:space="preserve"> not consistent with our Connection Charge Guideline, because the rate ha</w:t>
      </w:r>
      <w:r w:rsidR="00CD169C">
        <w:t>s</w:t>
      </w:r>
      <w:r w:rsidR="00357D04" w:rsidRPr="00A50B26">
        <w:t xml:space="preserve"> not taken new customers' connection life into consideration.</w:t>
      </w:r>
      <w:r w:rsidR="00F90988">
        <w:rPr>
          <w:rStyle w:val="FootnoteReference"/>
        </w:rPr>
        <w:footnoteReference w:id="11"/>
      </w:r>
      <w:r w:rsidR="00357D04" w:rsidRPr="00A50B26">
        <w:t xml:space="preserve">  The need to take the connection life into consideration was explained in our </w:t>
      </w:r>
      <w:r w:rsidR="00357D04" w:rsidRPr="001E58C7">
        <w:rPr>
          <w:rStyle w:val="AERtextitalic"/>
        </w:rPr>
        <w:t>Explanatory Statement for the Proposed Connection Charge Guidelines: under chapter 5A of National Electricity Rules for retail customers accessing the electricity distribution network</w:t>
      </w:r>
      <w:r w:rsidR="00700314">
        <w:rPr>
          <w:rStyle w:val="AERtextitalic"/>
        </w:rPr>
        <w:t>.</w:t>
      </w:r>
      <w:r w:rsidR="00357D04" w:rsidRPr="00A50B26">
        <w:t xml:space="preserve"> </w:t>
      </w:r>
      <w:r w:rsidR="00700314">
        <w:t>On page</w:t>
      </w:r>
      <w:r w:rsidR="001575A9">
        <w:t>s</w:t>
      </w:r>
      <w:r w:rsidR="00700314">
        <w:t xml:space="preserve"> </w:t>
      </w:r>
      <w:r w:rsidR="001575A9">
        <w:t>34-34</w:t>
      </w:r>
      <w:r w:rsidR="00700314">
        <w:t xml:space="preserve"> we explain as follows</w:t>
      </w:r>
      <w:r w:rsidR="00357D04" w:rsidRPr="00A50B26">
        <w:t xml:space="preserve">:  </w:t>
      </w:r>
    </w:p>
    <w:p w:rsidR="00357D04" w:rsidRPr="00A50B26" w:rsidRDefault="00357D04" w:rsidP="001E58C7">
      <w:pPr>
        <w:pStyle w:val="AERquote"/>
      </w:pPr>
      <w:r w:rsidRPr="00A50B26">
        <w:t>Where a customer will use an asset for less than its expected useful life, and where a DNSP would reasonably be expected to reuse some of this capacity once that customer leaves the network, each customer should only be charged for the period for which it is using the asset….To address this issue, the AER developed a calculation method under which, in total, the connection charges received by a DNSP would equal the marginal cost of reinforcement (MCR)-or the per unit rate charge.  The AER considers DNSPs will need to either adopt a method similar to this, or an alternative method that achieves a similar outcome.</w:t>
      </w:r>
    </w:p>
    <w:p w:rsidR="00357D04" w:rsidRPr="00A50B26" w:rsidRDefault="00357D04" w:rsidP="001E58C7">
      <w:pPr>
        <w:pStyle w:val="AERquote"/>
      </w:pPr>
      <w:r w:rsidRPr="00A50B26">
        <w:t xml:space="preserve">The rationale of our previously proposed MCR calculation method for CitiPower is that:   </w:t>
      </w:r>
    </w:p>
    <w:p w:rsidR="00357D04" w:rsidRPr="00A50B26" w:rsidRDefault="00357D04" w:rsidP="001E58C7">
      <w:pPr>
        <w:pStyle w:val="AERquote"/>
      </w:pPr>
      <w:r w:rsidRPr="00A50B26">
        <w:t>As upstream assets can be used by multiple customers and the same asset could be used by future new customers once the earlier customers stop using such assets at the end of their connection life, it is not equitable for the first new customer to fund the full cost of upstream augmentation…</w:t>
      </w:r>
    </w:p>
    <w:p w:rsidR="00357D04" w:rsidRPr="00A50B26" w:rsidRDefault="00357D04" w:rsidP="001E58C7">
      <w:pPr>
        <w:pStyle w:val="AERquote"/>
      </w:pPr>
      <w:r w:rsidRPr="00A50B26">
        <w:t>The net present value of all connection charges received by CitiPower in respect to the augmentation of a particular asset should equal the MCR of that asset. A methodology that does not take this into account would result in CitiPower either over or under recovering its costs.</w:t>
      </w:r>
    </w:p>
    <w:p w:rsidR="00357D04" w:rsidRPr="00A50B26" w:rsidRDefault="00357D04" w:rsidP="001E58C7">
      <w:pPr>
        <w:pStyle w:val="AERquote"/>
      </w:pPr>
      <w:r w:rsidRPr="00A50B26">
        <w:t>The charges paid (in respect of the augmentation of a given asset) by previous, current and future new customers should be equal in real terms. A methodology that does not take this into account would result in an intertemporal transfer of wealth and would be inequitable for some customers.</w:t>
      </w:r>
    </w:p>
    <w:p w:rsidR="00357D04" w:rsidRPr="00A50B26" w:rsidRDefault="00357D04" w:rsidP="00357D04">
      <w:pPr>
        <w:numPr>
          <w:ilvl w:val="0"/>
          <w:numId w:val="25"/>
        </w:numPr>
      </w:pPr>
      <w:r w:rsidRPr="00A50B26">
        <w:t xml:space="preserve">As </w:t>
      </w:r>
      <w:r w:rsidR="001E58C7">
        <w:t xml:space="preserve">Ergon Energy </w:t>
      </w:r>
      <w:r w:rsidRPr="00A50B26">
        <w:t>ha</w:t>
      </w:r>
      <w:r w:rsidR="001E58C7">
        <w:t>s</w:t>
      </w:r>
      <w:r w:rsidRPr="00A50B26">
        <w:t xml:space="preserve"> not developed an alternative method to calculate the upstream charge rates based on the expected connection life, </w:t>
      </w:r>
      <w:r w:rsidR="001E58C7">
        <w:t>we</w:t>
      </w:r>
      <w:r w:rsidRPr="00A50B26">
        <w:t xml:space="preserve"> consider that we should adopt the method previously published by us, as indicated in the Explanatory Note.</w:t>
      </w:r>
    </w:p>
    <w:p w:rsidR="00357D04" w:rsidRPr="00A50B26" w:rsidRDefault="001E58C7" w:rsidP="00357D04">
      <w:pPr>
        <w:numPr>
          <w:ilvl w:val="0"/>
          <w:numId w:val="25"/>
        </w:numPr>
      </w:pPr>
      <w:r>
        <w:t>We</w:t>
      </w:r>
      <w:r w:rsidR="00357D04" w:rsidRPr="00A50B26">
        <w:t xml:space="preserve"> calculated that an </w:t>
      </w:r>
      <w:r w:rsidR="00357D04" w:rsidRPr="00E511B4">
        <w:rPr>
          <w:rStyle w:val="AERbody"/>
        </w:rPr>
        <w:t>adjustment factor of 0.</w:t>
      </w:r>
      <w:r w:rsidR="00E511B4" w:rsidRPr="00E511B4">
        <w:rPr>
          <w:rStyle w:val="AERbody"/>
        </w:rPr>
        <w:t>574</w:t>
      </w:r>
      <w:r w:rsidR="00357D04" w:rsidRPr="00E511B4">
        <w:rPr>
          <w:rStyle w:val="AERbody"/>
        </w:rPr>
        <w:t xml:space="preserve"> and 0.8</w:t>
      </w:r>
      <w:r w:rsidR="00E511B4" w:rsidRPr="00E511B4">
        <w:rPr>
          <w:rStyle w:val="AERbody"/>
        </w:rPr>
        <w:t>1</w:t>
      </w:r>
      <w:r w:rsidR="0087655D" w:rsidRPr="00E511B4">
        <w:rPr>
          <w:rStyle w:val="AERbody"/>
        </w:rPr>
        <w:t>8</w:t>
      </w:r>
      <w:r w:rsidR="00357D04" w:rsidRPr="00E511B4">
        <w:rPr>
          <w:rStyle w:val="AERbody"/>
        </w:rPr>
        <w:t xml:space="preserve"> should be applied to the proposed full charge rates for business and residential customers respectively (representing a </w:t>
      </w:r>
      <w:r w:rsidR="00E511B4" w:rsidRPr="00E511B4">
        <w:rPr>
          <w:rStyle w:val="AERbody"/>
        </w:rPr>
        <w:t>4</w:t>
      </w:r>
      <w:r w:rsidR="00357D04" w:rsidRPr="00E511B4">
        <w:rPr>
          <w:rStyle w:val="AERbody"/>
        </w:rPr>
        <w:t>3 and 1</w:t>
      </w:r>
      <w:r w:rsidR="00E511B4" w:rsidRPr="00E511B4">
        <w:rPr>
          <w:rStyle w:val="AERbody"/>
        </w:rPr>
        <w:t>8</w:t>
      </w:r>
      <w:r w:rsidR="00357D04" w:rsidRPr="00E511B4">
        <w:rPr>
          <w:rStyle w:val="AERbody"/>
        </w:rPr>
        <w:t xml:space="preserve"> per cent reduction respectively). These factors are based on </w:t>
      </w:r>
      <w:r w:rsidR="0087655D" w:rsidRPr="00E511B4">
        <w:rPr>
          <w:rStyle w:val="AERbody"/>
        </w:rPr>
        <w:lastRenderedPageBreak/>
        <w:t>the</w:t>
      </w:r>
      <w:r w:rsidR="00357D04" w:rsidRPr="00E511B4">
        <w:rPr>
          <w:rStyle w:val="AERbody"/>
        </w:rPr>
        <w:t xml:space="preserve"> WACC of </w:t>
      </w:r>
      <w:r w:rsidR="00E511B4" w:rsidRPr="00E511B4">
        <w:rPr>
          <w:rStyle w:val="AERbody"/>
        </w:rPr>
        <w:t>5.85</w:t>
      </w:r>
      <w:r w:rsidR="00357D04" w:rsidRPr="00E511B4">
        <w:rPr>
          <w:rStyle w:val="AERbody"/>
        </w:rPr>
        <w:t xml:space="preserve"> per cent</w:t>
      </w:r>
      <w:r w:rsidR="0087655D" w:rsidRPr="00E511B4">
        <w:rPr>
          <w:rStyle w:val="AERbody"/>
        </w:rPr>
        <w:t xml:space="preserve"> for Ergon Energy</w:t>
      </w:r>
      <w:r w:rsidR="00357D04" w:rsidRPr="00E511B4">
        <w:rPr>
          <w:rStyle w:val="AERbody"/>
        </w:rPr>
        <w:t>, and a connection life of 15 and 30 years</w:t>
      </w:r>
      <w:r w:rsidR="00357D04" w:rsidRPr="00A50B26">
        <w:t xml:space="preserve"> for business and residential customers respectively.</w:t>
      </w:r>
    </w:p>
    <w:p w:rsidR="00A50B26" w:rsidRPr="00A50B26" w:rsidRDefault="00A50B26" w:rsidP="00CD169C">
      <w:pPr>
        <w:pStyle w:val="Heading3"/>
      </w:pPr>
      <w:bookmarkStart w:id="37" w:name="_Toc416708291"/>
      <w:bookmarkStart w:id="38" w:name="_Toc417734081"/>
      <w:r w:rsidRPr="00A50B26">
        <w:t xml:space="preserve">Ergon Energy's proposed </w:t>
      </w:r>
      <w:r w:rsidR="00CD169C">
        <w:t xml:space="preserve">terms and conditions of the </w:t>
      </w:r>
      <w:r w:rsidRPr="00A50B26">
        <w:t>connection policy</w:t>
      </w:r>
      <w:bookmarkEnd w:id="37"/>
      <w:bookmarkEnd w:id="38"/>
    </w:p>
    <w:p w:rsidR="00CD169C" w:rsidRPr="00CD169C" w:rsidRDefault="00CD169C" w:rsidP="00CD169C">
      <w:pPr>
        <w:pStyle w:val="ListParagraph"/>
        <w:numPr>
          <w:ilvl w:val="0"/>
          <w:numId w:val="25"/>
        </w:numPr>
      </w:pPr>
      <w:r w:rsidRPr="00CD169C">
        <w:t>While the proposed terms and conditions of the connection polic</w:t>
      </w:r>
      <w:r>
        <w:t>y</w:t>
      </w:r>
      <w:r w:rsidRPr="00CD169C">
        <w:t xml:space="preserve"> largely met the minimum requirements of the rules, </w:t>
      </w:r>
      <w:r>
        <w:t>we</w:t>
      </w:r>
      <w:r w:rsidRPr="00CD169C">
        <w:t xml:space="preserve"> consider that the polic</w:t>
      </w:r>
      <w:r>
        <w:t xml:space="preserve">y </w:t>
      </w:r>
      <w:r w:rsidRPr="00CD169C">
        <w:t>should be improved to be more effective in explaining how the charge framework work</w:t>
      </w:r>
      <w:r>
        <w:t>s</w:t>
      </w:r>
      <w:r w:rsidRPr="00CD169C">
        <w:t xml:space="preserve"> and to provid</w:t>
      </w:r>
      <w:r w:rsidR="00192932">
        <w:t>e</w:t>
      </w:r>
      <w:r w:rsidRPr="00CD169C">
        <w:t xml:space="preserve"> more relevant context on the charging framework.</w:t>
      </w:r>
      <w:r w:rsidR="00192932">
        <w:t xml:space="preserve"> </w:t>
      </w:r>
      <w:r w:rsidRPr="00CD169C">
        <w:t>Examples of these minor improvements include:</w:t>
      </w:r>
    </w:p>
    <w:p w:rsidR="00A50B26" w:rsidRPr="00A50B26" w:rsidRDefault="00192932" w:rsidP="00192932">
      <w:pPr>
        <w:pStyle w:val="AERbulletlistfirststyle"/>
      </w:pPr>
      <w:r>
        <w:t xml:space="preserve">The connection policy </w:t>
      </w:r>
      <w:r w:rsidR="00A50B26" w:rsidRPr="00A50B26">
        <w:t xml:space="preserve">notes that, under standard control, network extension costs are recovered under DUoS. This is only fully clarified further down the document, under the how to calculate connection charge section, that the charge is the difference between the incremental cost and the </w:t>
      </w:r>
      <w:r>
        <w:t>net present value (</w:t>
      </w:r>
      <w:r w:rsidR="00A50B26" w:rsidRPr="00A50B26">
        <w:t>NPV</w:t>
      </w:r>
      <w:r>
        <w:t>)</w:t>
      </w:r>
      <w:r w:rsidR="00A50B26" w:rsidRPr="00A50B26">
        <w:t xml:space="preserve"> of incremental DUoS revenue over the life of the connection. </w:t>
      </w:r>
      <w:r>
        <w:t xml:space="preserve">We consider that </w:t>
      </w:r>
      <w:r w:rsidR="00A50B26" w:rsidRPr="00A50B26">
        <w:t xml:space="preserve">the connection policy should clarify </w:t>
      </w:r>
      <w:r w:rsidRPr="00A50B26">
        <w:t>that connection</w:t>
      </w:r>
      <w:r w:rsidR="00A50B26" w:rsidRPr="00A50B26">
        <w:t xml:space="preserve"> charges are subject to an efficiency test even under standard control, and new customers need to pay the difference between incremental cost and incremental revenue as per our guideline.</w:t>
      </w:r>
    </w:p>
    <w:p w:rsidR="00A50B26" w:rsidRPr="00A50B26" w:rsidRDefault="00192932" w:rsidP="00192932">
      <w:pPr>
        <w:pStyle w:val="AERbulletlistfirststyle"/>
      </w:pPr>
      <w:r>
        <w:t>Some of the reference</w:t>
      </w:r>
      <w:r w:rsidR="00771A62">
        <w:t>s</w:t>
      </w:r>
      <w:r>
        <w:t xml:space="preserve"> to the threshold levels where </w:t>
      </w:r>
      <w:r w:rsidR="00771A62">
        <w:t xml:space="preserve">a </w:t>
      </w:r>
      <w:r>
        <w:t xml:space="preserve">shared network augmentation charge applies </w:t>
      </w:r>
      <w:r w:rsidR="00771A62">
        <w:t>are</w:t>
      </w:r>
      <w:r w:rsidR="00A50B26" w:rsidRPr="00A50B26">
        <w:t xml:space="preserve"> not clear </w:t>
      </w:r>
      <w:r w:rsidR="00771A62">
        <w:t xml:space="preserve">on </w:t>
      </w:r>
      <w:r w:rsidR="00A50B26" w:rsidRPr="00A50B26">
        <w:t>whether the threshold demand level</w:t>
      </w:r>
      <w:r>
        <w:t xml:space="preserve"> </w:t>
      </w:r>
      <w:r w:rsidR="00A50B26" w:rsidRPr="00A50B26">
        <w:t xml:space="preserve">is </w:t>
      </w:r>
      <w:r>
        <w:t xml:space="preserve">the per </w:t>
      </w:r>
      <w:r w:rsidR="00A50B26" w:rsidRPr="00A50B26">
        <w:t>phase</w:t>
      </w:r>
      <w:r>
        <w:t xml:space="preserve"> current limit of up to</w:t>
      </w:r>
      <w:r w:rsidR="00A50B26" w:rsidRPr="00A50B26">
        <w:t xml:space="preserve"> 3-phased supply.</w:t>
      </w:r>
    </w:p>
    <w:p w:rsidR="00A336FC" w:rsidRDefault="00A336FC" w:rsidP="00A336FC">
      <w:pPr>
        <w:pStyle w:val="Heading2"/>
      </w:pPr>
      <w:bookmarkStart w:id="39" w:name="_Toc417734082"/>
      <w:r>
        <w:t>AER approved connection policy</w:t>
      </w:r>
      <w:bookmarkEnd w:id="39"/>
    </w:p>
    <w:p w:rsidR="00192932" w:rsidRDefault="00192932" w:rsidP="00A336FC">
      <w:r>
        <w:t xml:space="preserve">We have modified </w:t>
      </w:r>
      <w:r w:rsidR="00B16EFA">
        <w:t xml:space="preserve">Ergon Energy’s </w:t>
      </w:r>
      <w:r>
        <w:t xml:space="preserve">proposed </w:t>
      </w:r>
      <w:r w:rsidR="00B16EFA">
        <w:t>connection policy</w:t>
      </w:r>
      <w:r w:rsidR="00303D2E">
        <w:t xml:space="preserve"> to reflect the above preliminary decision on this matter</w:t>
      </w:r>
      <w:r>
        <w:t>.</w:t>
      </w:r>
      <w:r w:rsidR="00177724">
        <w:rPr>
          <w:rStyle w:val="FootnoteReference"/>
        </w:rPr>
        <w:footnoteReference w:id="12"/>
      </w:r>
      <w:r>
        <w:t xml:space="preserve"> This revised connection policy is appended to this chapter.</w:t>
      </w:r>
    </w:p>
    <w:p w:rsidR="00A336FC" w:rsidRDefault="00A336FC" w:rsidP="00A336FC">
      <w:pPr>
        <w:pStyle w:val="Heading7"/>
      </w:pPr>
      <w:bookmarkStart w:id="40" w:name="_Toc417734083"/>
      <w:r>
        <w:lastRenderedPageBreak/>
        <w:t>AER approved connection policy for Ergon</w:t>
      </w:r>
      <w:r w:rsidR="00F44DAD">
        <w:t xml:space="preserve"> Energy</w:t>
      </w:r>
      <w:bookmarkEnd w:id="40"/>
    </w:p>
    <w:p w:rsidR="00B4592C" w:rsidRPr="00B4592C" w:rsidRDefault="00B4592C" w:rsidP="00B4592C">
      <w:pPr>
        <w:pStyle w:val="ReportDate"/>
        <w:rPr>
          <w:rStyle w:val="AERtexthighlight"/>
        </w:rPr>
      </w:pPr>
      <w:r w:rsidRPr="00B4592C">
        <w:rPr>
          <w:rStyle w:val="AERtexthighlight"/>
        </w:rPr>
        <w:t>Click image below to access the document.</w:t>
      </w:r>
    </w:p>
    <w:p w:rsidR="00B4592C" w:rsidRPr="00B4592C" w:rsidRDefault="00B4592C" w:rsidP="00B4592C">
      <w:r>
        <w:object w:dxaOrig="7345" w:dyaOrig="9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474.75pt" o:ole="">
            <v:imagedata r:id="rId14" o:title=""/>
          </v:shape>
          <o:OLEObject Type="Embed" ProgID="AcroExch.Document.11" ShapeID="_x0000_i1025" DrawAspect="Content" ObjectID="_1491656576" r:id="rId15"/>
        </w:object>
      </w:r>
    </w:p>
    <w:sectPr w:rsidR="00B4592C" w:rsidRPr="00B4592C"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51544"/>
      <w:docPartObj>
        <w:docPartGallery w:val="Page Numbers (Bottom of Page)"/>
        <w:docPartUnique/>
      </w:docPartObj>
    </w:sdtPr>
    <w:sdtEndPr>
      <w:rPr>
        <w:noProof/>
      </w:rPr>
    </w:sdtEndPr>
    <w:sdtContent>
      <w:p w:rsidR="00DE563D" w:rsidRDefault="00DE563D">
        <w:pPr>
          <w:pStyle w:val="Footer"/>
        </w:pPr>
        <w:r>
          <w:t>18-</w:t>
        </w:r>
        <w:r>
          <w:fldChar w:fldCharType="begin"/>
        </w:r>
        <w:r>
          <w:instrText xml:space="preserve"> PAGE   \* MERGEFORMAT </w:instrText>
        </w:r>
        <w:r>
          <w:fldChar w:fldCharType="separate"/>
        </w:r>
        <w:r w:rsidR="003C38FC">
          <w:rPr>
            <w:noProof/>
          </w:rPr>
          <w:t>9</w:t>
        </w:r>
        <w:r>
          <w:rPr>
            <w:noProof/>
          </w:rPr>
          <w:fldChar w:fldCharType="end"/>
        </w:r>
        <w:r w:rsidR="00DA61F3">
          <w:rPr>
            <w:noProof/>
          </w:rPr>
          <w:t xml:space="preserve">      </w:t>
        </w:r>
        <w:r w:rsidR="00DA61F3">
          <w:t xml:space="preserve">           </w:t>
        </w:r>
        <w:r w:rsidR="00DA61F3">
          <w:rPr>
            <w:noProof/>
          </w:rPr>
          <w:t xml:space="preserve"> </w:t>
        </w:r>
        <w:r>
          <w:rPr>
            <w:noProof/>
          </w:rPr>
          <w:t xml:space="preserve"> Attachment 18 </w:t>
        </w:r>
        <w:r>
          <w:rPr>
            <w:rFonts w:cs="Gautami"/>
            <w:noProof/>
          </w:rPr>
          <w:t xml:space="preserve">– Connection policy | </w:t>
        </w:r>
        <w:r w:rsidR="001201F1">
          <w:t>E</w:t>
        </w:r>
        <w:r w:rsidR="00E57429">
          <w:t>rgon Energy</w:t>
        </w:r>
        <w:r>
          <w:rPr>
            <w:rFonts w:cs="Gautami"/>
            <w:noProof/>
          </w:rPr>
          <w:t xml:space="preserve"> determination 2015–20</w:t>
        </w:r>
      </w:p>
    </w:sdtContent>
  </w:sdt>
  <w:p w:rsidR="00DE563D" w:rsidRDefault="00DE5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6104A" w:rsidRDefault="0066104A">
    <w:pPr>
      <w:pStyle w:val="Footer"/>
    </w:pP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B16EFA" w:rsidRDefault="00B16EFA">
      <w:pPr>
        <w:pStyle w:val="FootnoteText"/>
      </w:pPr>
      <w:r>
        <w:rPr>
          <w:rStyle w:val="FootnoteReference"/>
        </w:rPr>
        <w:footnoteRef/>
      </w:r>
      <w:r>
        <w:t xml:space="preserve"> </w:t>
      </w:r>
      <w:r>
        <w:tab/>
        <w:t xml:space="preserve">NER, </w:t>
      </w:r>
      <w:r w:rsidRPr="00C44FE6">
        <w:t>Part DA of chapter 6</w:t>
      </w:r>
      <w:r>
        <w:t>.</w:t>
      </w:r>
    </w:p>
  </w:footnote>
  <w:footnote w:id="2">
    <w:p w:rsidR="00B16EFA" w:rsidRDefault="00B16EFA" w:rsidP="00B16EFA">
      <w:pPr>
        <w:pStyle w:val="FootnoteText"/>
      </w:pPr>
      <w:r>
        <w:rPr>
          <w:rStyle w:val="FootnoteReference"/>
        </w:rPr>
        <w:footnoteRef/>
      </w:r>
      <w:r>
        <w:t xml:space="preserve"> </w:t>
      </w:r>
      <w:r>
        <w:tab/>
        <w:t>NER, cl. 6.7A.1(b).</w:t>
      </w:r>
    </w:p>
  </w:footnote>
  <w:footnote w:id="3">
    <w:p w:rsidR="00B16EFA" w:rsidRDefault="00B16EFA" w:rsidP="00B16EFA">
      <w:pPr>
        <w:pStyle w:val="FootnoteText"/>
      </w:pPr>
      <w:r>
        <w:rPr>
          <w:rStyle w:val="FootnoteReference"/>
        </w:rPr>
        <w:footnoteRef/>
      </w:r>
      <w:r>
        <w:t xml:space="preserve"> </w:t>
      </w:r>
      <w:r>
        <w:tab/>
      </w:r>
      <w:r w:rsidRPr="001D0C7F">
        <w:t xml:space="preserve">AER, </w:t>
      </w:r>
      <w:r w:rsidRPr="00DA1375">
        <w:rPr>
          <w:rStyle w:val="AERtextitalic"/>
        </w:rPr>
        <w:t>Connection charge guideline for electricity retail customers, Under chapter 5A of the National Electricity Rules Version 1.0</w:t>
      </w:r>
      <w:r w:rsidRPr="001D0C7F">
        <w:t>, June 2012</w:t>
      </w:r>
      <w:r>
        <w:t>.</w:t>
      </w:r>
    </w:p>
  </w:footnote>
  <w:footnote w:id="4">
    <w:p w:rsidR="00852E1D" w:rsidRDefault="00852E1D" w:rsidP="00852E1D">
      <w:pPr>
        <w:pStyle w:val="FootnoteText"/>
      </w:pPr>
      <w:r>
        <w:rPr>
          <w:rStyle w:val="FootnoteReference"/>
        </w:rPr>
        <w:footnoteRef/>
      </w:r>
      <w:r>
        <w:t xml:space="preserve"> </w:t>
      </w:r>
      <w:r>
        <w:tab/>
      </w:r>
      <w:r w:rsidR="00192932">
        <w:t>This charge only applies</w:t>
      </w:r>
      <w:r>
        <w:t xml:space="preserve"> to new customers above certain threshold levels specified in the connection policy, for such larger customers' share of use of the upstream network.</w:t>
      </w:r>
    </w:p>
  </w:footnote>
  <w:footnote w:id="5">
    <w:p w:rsidR="00B16EFA" w:rsidRDefault="00B16EFA" w:rsidP="00B16EFA">
      <w:pPr>
        <w:pStyle w:val="FootnoteText"/>
      </w:pPr>
      <w:r>
        <w:rPr>
          <w:rStyle w:val="FootnoteReference"/>
        </w:rPr>
        <w:footnoteRef/>
      </w:r>
      <w:r>
        <w:t xml:space="preserve"> </w:t>
      </w:r>
      <w:r>
        <w:tab/>
      </w:r>
      <w:r w:rsidR="00450FAC">
        <w:t>Ergon Energy</w:t>
      </w:r>
      <w:r>
        <w:t xml:space="preserve">, </w:t>
      </w:r>
      <w:r w:rsidRPr="00BD0808">
        <w:rPr>
          <w:rStyle w:val="Emphasis"/>
        </w:rPr>
        <w:t xml:space="preserve">Appendix </w:t>
      </w:r>
      <w:r w:rsidR="00450FAC">
        <w:rPr>
          <w:rStyle w:val="Emphasis"/>
        </w:rPr>
        <w:t>D</w:t>
      </w:r>
      <w:r>
        <w:rPr>
          <w:rStyle w:val="Emphasis"/>
        </w:rPr>
        <w:t>:</w:t>
      </w:r>
      <w:r w:rsidRPr="00BD0808">
        <w:rPr>
          <w:rStyle w:val="Emphasis"/>
        </w:rPr>
        <w:t xml:space="preserve"> </w:t>
      </w:r>
      <w:r w:rsidR="00450FAC">
        <w:rPr>
          <w:rStyle w:val="Emphasis"/>
        </w:rPr>
        <w:t xml:space="preserve">Ergon Energy </w:t>
      </w:r>
      <w:r w:rsidRPr="00BD0808">
        <w:rPr>
          <w:rStyle w:val="Emphasis"/>
        </w:rPr>
        <w:t>connection policy</w:t>
      </w:r>
      <w:r>
        <w:t xml:space="preserve">, </w:t>
      </w:r>
      <w:r w:rsidR="00450FAC">
        <w:t>October</w:t>
      </w:r>
      <w:r>
        <w:t xml:space="preserve"> 201</w:t>
      </w:r>
      <w:r w:rsidR="00450FAC">
        <w:t>4</w:t>
      </w:r>
      <w:r>
        <w:t>.</w:t>
      </w:r>
    </w:p>
  </w:footnote>
  <w:footnote w:id="6">
    <w:p w:rsidR="00357D04" w:rsidRDefault="00357D04">
      <w:pPr>
        <w:pStyle w:val="FootnoteText"/>
      </w:pPr>
      <w:r>
        <w:rPr>
          <w:rStyle w:val="FootnoteReference"/>
        </w:rPr>
        <w:footnoteRef/>
      </w:r>
      <w:r>
        <w:t xml:space="preserve">  </w:t>
      </w:r>
      <w:r w:rsidR="00F90988">
        <w:tab/>
      </w:r>
      <w:r>
        <w:t>Ergon Energy, attachment 09.02.01</w:t>
      </w:r>
      <w:r w:rsidR="007408CE">
        <w:t>.</w:t>
      </w:r>
    </w:p>
  </w:footnote>
  <w:footnote w:id="7">
    <w:p w:rsidR="002C1719" w:rsidRPr="009E61B9" w:rsidRDefault="002C1719">
      <w:pPr>
        <w:pStyle w:val="FootnoteText"/>
      </w:pPr>
      <w:r w:rsidRPr="009E61B9">
        <w:rPr>
          <w:rStyle w:val="FootnoteReference"/>
          <w:rFonts w:ascii="Times New Roman" w:hAnsi="Times New Roman"/>
        </w:rPr>
        <w:footnoteRef/>
      </w:r>
      <w:r w:rsidRPr="009E61B9">
        <w:t xml:space="preserve"> </w:t>
      </w:r>
      <w:r w:rsidR="00F90988">
        <w:tab/>
      </w:r>
      <w:r w:rsidRPr="00A320B1">
        <w:t xml:space="preserve">Productivity </w:t>
      </w:r>
      <w:r w:rsidR="00192932" w:rsidRPr="00192932">
        <w:t>Commission</w:t>
      </w:r>
      <w:r w:rsidR="00192932" w:rsidRPr="009E61B9">
        <w:t>,</w:t>
      </w:r>
      <w:r w:rsidR="00192932" w:rsidRPr="00192932">
        <w:rPr>
          <w:rStyle w:val="AERtextitalic"/>
        </w:rPr>
        <w:t xml:space="preserve"> The</w:t>
      </w:r>
      <w:r w:rsidRPr="00A320B1">
        <w:rPr>
          <w:rStyle w:val="AERtextitalic"/>
        </w:rPr>
        <w:t xml:space="preserve"> costs and benefits of demand management for households, Supplement to inquiry report on Electricity Network Regulatory Frameworks, 9 April 2013</w:t>
      </w:r>
      <w:r>
        <w:t>, p.22</w:t>
      </w:r>
      <w:r w:rsidRPr="009E61B9">
        <w:t xml:space="preserve">.  </w:t>
      </w:r>
    </w:p>
  </w:footnote>
  <w:footnote w:id="8">
    <w:p w:rsidR="001F4DBC" w:rsidRDefault="001F4DBC" w:rsidP="001F4DBC">
      <w:pPr>
        <w:pStyle w:val="FootnoteText"/>
      </w:pPr>
      <w:r>
        <w:rPr>
          <w:rStyle w:val="FootnoteReference"/>
        </w:rPr>
        <w:footnoteRef/>
      </w:r>
      <w:r>
        <w:t xml:space="preserve"> </w:t>
      </w:r>
      <w:r w:rsidR="00F90988">
        <w:tab/>
      </w:r>
      <w:r>
        <w:t xml:space="preserve">The Productivity Commission expressed the LRMC is </w:t>
      </w:r>
      <w:r w:rsidRPr="001F4DBC">
        <w:t>$/KW.</w:t>
      </w:r>
      <w:r>
        <w:t xml:space="preserve"> The relationship between kW and kVA is expressed as "</w:t>
      </w:r>
      <w:r w:rsidRPr="001F4DBC">
        <w:t>power factor</w:t>
      </w:r>
      <w:r>
        <w:t xml:space="preserve">". </w:t>
      </w:r>
      <w:r w:rsidRPr="001F4DBC">
        <w:t>1</w:t>
      </w:r>
      <w:r>
        <w:t xml:space="preserve"> </w:t>
      </w:r>
      <w:r w:rsidRPr="001F4DBC">
        <w:t>kVA at 0.9 power factor equals 0.9 kW of real power.</w:t>
      </w:r>
    </w:p>
  </w:footnote>
  <w:footnote w:id="9">
    <w:p w:rsidR="00D04E2B" w:rsidRDefault="00D04E2B">
      <w:pPr>
        <w:pStyle w:val="FootnoteText"/>
      </w:pPr>
      <w:r>
        <w:rPr>
          <w:rStyle w:val="FootnoteReference"/>
        </w:rPr>
        <w:footnoteRef/>
      </w:r>
      <w:r>
        <w:t xml:space="preserve"> </w:t>
      </w:r>
      <w:r w:rsidR="00F90988">
        <w:tab/>
      </w:r>
      <w:r>
        <w:t>Ergon Energy advised that (</w:t>
      </w:r>
      <w:r w:rsidRPr="00D04E2B">
        <w:t>AER Ergon 064</w:t>
      </w:r>
      <w:r>
        <w:t>) its network overall power factor is 0.971, very close to unity.</w:t>
      </w:r>
    </w:p>
  </w:footnote>
  <w:footnote w:id="10">
    <w:p w:rsidR="00F90988" w:rsidRDefault="00F90988">
      <w:pPr>
        <w:pStyle w:val="FootnoteText"/>
      </w:pPr>
      <w:r>
        <w:rPr>
          <w:rStyle w:val="FootnoteReference"/>
        </w:rPr>
        <w:footnoteRef/>
      </w:r>
      <w:r>
        <w:t xml:space="preserve"> </w:t>
      </w:r>
      <w:r>
        <w:tab/>
      </w:r>
      <w:hyperlink r:id="rId1" w:history="1">
        <w:r w:rsidRPr="00574D5B">
          <w:rPr>
            <w:rStyle w:val="Hyperlink"/>
            <w:sz w:val="16"/>
          </w:rPr>
          <w:t>http://www.aer.gov.au/node/483?date%5Bvalue%5D%5Byear%5D=&amp;sector=All&amp;category=1495</w:t>
        </w:r>
      </w:hyperlink>
      <w:r w:rsidR="007408CE">
        <w:rPr>
          <w:rStyle w:val="Hyperlink"/>
        </w:rPr>
        <w:t>.</w:t>
      </w:r>
    </w:p>
    <w:p w:rsidR="00F90988" w:rsidRDefault="00F90988">
      <w:pPr>
        <w:pStyle w:val="FootnoteText"/>
      </w:pPr>
    </w:p>
  </w:footnote>
  <w:footnote w:id="11">
    <w:p w:rsidR="00F90988" w:rsidRDefault="00F90988" w:rsidP="00F90988">
      <w:pPr>
        <w:pStyle w:val="FootnoteText"/>
      </w:pPr>
      <w:r>
        <w:rPr>
          <w:rStyle w:val="FootnoteReference"/>
        </w:rPr>
        <w:footnoteRef/>
      </w:r>
      <w:r>
        <w:t xml:space="preserve"> </w:t>
      </w:r>
      <w:r>
        <w:tab/>
        <w:t xml:space="preserve">Clause </w:t>
      </w:r>
      <w:r w:rsidRPr="00F90988">
        <w:t>5.2.11</w:t>
      </w:r>
      <w:r>
        <w:t xml:space="preserve"> of the Connection Charge Guideline requires that:</w:t>
      </w:r>
      <w:r w:rsidRPr="00F90988">
        <w:t xml:space="preserve"> In calculating the applicable unit rate(s), a distribution network service</w:t>
      </w:r>
      <w:r>
        <w:t xml:space="preserve"> </w:t>
      </w:r>
      <w:r w:rsidRPr="00F90988">
        <w:t>provider must take account of the cost of augmenting each network</w:t>
      </w:r>
      <w:r>
        <w:t xml:space="preserve"> </w:t>
      </w:r>
      <w:r w:rsidRPr="00F90988">
        <w:t>component with reference to:</w:t>
      </w:r>
      <w:r>
        <w:t xml:space="preserve"> </w:t>
      </w:r>
      <w:r w:rsidRPr="00F90988">
        <w:t>(a) The proportion of each network component used by the</w:t>
      </w:r>
      <w:r>
        <w:t xml:space="preserve"> </w:t>
      </w:r>
      <w:r w:rsidRPr="00F90988">
        <w:t>connection applicant; and</w:t>
      </w:r>
      <w:r>
        <w:t xml:space="preserve"> </w:t>
      </w:r>
      <w:r w:rsidRPr="00F90988">
        <w:t>(b) The useful life of the network component and the assumed period</w:t>
      </w:r>
      <w:r>
        <w:t xml:space="preserve"> </w:t>
      </w:r>
      <w:r w:rsidRPr="00F90988">
        <w:t>for which the connection applicant will be using the network.</w:t>
      </w:r>
    </w:p>
  </w:footnote>
  <w:footnote w:id="12">
    <w:p w:rsidR="00177724" w:rsidRDefault="00177724">
      <w:pPr>
        <w:pStyle w:val="FootnoteText"/>
      </w:pPr>
      <w:r>
        <w:rPr>
          <w:rStyle w:val="FootnoteReference"/>
        </w:rPr>
        <w:footnoteRef/>
      </w:r>
      <w:r>
        <w:t xml:space="preserve"> Rule 6.12.3(j) provides that we may</w:t>
      </w:r>
      <w:r w:rsidRPr="00177724">
        <w:t xml:space="preserve"> amend</w:t>
      </w:r>
      <w:r>
        <w:t xml:space="preserve"> the proposed connection policy </w:t>
      </w:r>
      <w:r w:rsidRPr="00177724">
        <w:t>to the extent necessary to enable it to be approved in accordance with the Rules.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70243AA"/>
    <w:multiLevelType w:val="hybridMultilevel"/>
    <w:tmpl w:val="580402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8"/>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FDE6E9AA"/>
    <w:lvl w:ilvl="0">
      <w:start w:val="1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554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6A2855CC"/>
    <w:multiLevelType w:val="hybridMultilevel"/>
    <w:tmpl w:val="5810E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nsid w:val="6DE36827"/>
    <w:multiLevelType w:val="multilevel"/>
    <w:tmpl w:val="950A1C52"/>
    <w:numStyleLink w:val="AERHeadings"/>
  </w:abstractNum>
  <w:abstractNum w:abstractNumId="32">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1"/>
  </w:num>
  <w:num w:numId="14">
    <w:abstractNumId w:val="10"/>
  </w:num>
  <w:num w:numId="15">
    <w:abstractNumId w:val="12"/>
  </w:num>
  <w:num w:numId="16">
    <w:abstractNumId w:val="23"/>
  </w:num>
  <w:num w:numId="17">
    <w:abstractNumId w:val="9"/>
  </w:num>
  <w:num w:numId="18">
    <w:abstractNumId w:val="17"/>
  </w:num>
  <w:num w:numId="19">
    <w:abstractNumId w:val="24"/>
  </w:num>
  <w:num w:numId="20">
    <w:abstractNumId w:val="32"/>
  </w:num>
  <w:num w:numId="21">
    <w:abstractNumId w:val="13"/>
  </w:num>
  <w:num w:numId="22">
    <w:abstractNumId w:val="27"/>
  </w:num>
  <w:num w:numId="23">
    <w:abstractNumId w:val="25"/>
  </w:num>
  <w:num w:numId="24">
    <w:abstractNumId w:val="19"/>
  </w:num>
  <w:num w:numId="25">
    <w:abstractNumId w:val="26"/>
  </w:num>
  <w:num w:numId="26">
    <w:abstractNumId w:val="28"/>
  </w:num>
  <w:num w:numId="27">
    <w:abstractNumId w:val="20"/>
  </w:num>
  <w:num w:numId="28">
    <w:abstractNumId w:val="18"/>
  </w:num>
  <w:num w:numId="29">
    <w:abstractNumId w:val="15"/>
  </w:num>
  <w:num w:numId="30">
    <w:abstractNumId w:val="33"/>
  </w:num>
  <w:num w:numId="31">
    <w:abstractNumId w:val="14"/>
  </w:num>
  <w:num w:numId="32">
    <w:abstractNumId w:val="22"/>
  </w:num>
  <w:num w:numId="33">
    <w:abstractNumId w:val="19"/>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1"/>
  </w:num>
  <w:num w:numId="37">
    <w:abstractNumId w:val="30"/>
  </w:num>
  <w:num w:numId="38">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o0Y2UAQ8rQnKuNejXV+ELOQ2fSliQ41GzgIxuAu0FEY=" w:saltValue="DArPKK+iSMInj/CuoWZb/A==" w:algorithmName="SHA-256"/>
  <w:defaultTabStop w:val="34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A4A"/>
    <w:rsid w:val="00021202"/>
    <w:rsid w:val="0002517F"/>
    <w:rsid w:val="0003578C"/>
    <w:rsid w:val="00063247"/>
    <w:rsid w:val="00070F9F"/>
    <w:rsid w:val="0007137B"/>
    <w:rsid w:val="00085663"/>
    <w:rsid w:val="00085EBF"/>
    <w:rsid w:val="000A3020"/>
    <w:rsid w:val="000A6C7B"/>
    <w:rsid w:val="000D122C"/>
    <w:rsid w:val="000D57F2"/>
    <w:rsid w:val="000E1819"/>
    <w:rsid w:val="000E4821"/>
    <w:rsid w:val="000E6C72"/>
    <w:rsid w:val="000F3E73"/>
    <w:rsid w:val="00116EB2"/>
    <w:rsid w:val="001201F1"/>
    <w:rsid w:val="00124609"/>
    <w:rsid w:val="00126A4C"/>
    <w:rsid w:val="00126CCA"/>
    <w:rsid w:val="00140C81"/>
    <w:rsid w:val="00143BD0"/>
    <w:rsid w:val="0014573B"/>
    <w:rsid w:val="001573E4"/>
    <w:rsid w:val="001575A9"/>
    <w:rsid w:val="00160756"/>
    <w:rsid w:val="00170381"/>
    <w:rsid w:val="0017232E"/>
    <w:rsid w:val="00174102"/>
    <w:rsid w:val="00177724"/>
    <w:rsid w:val="00180157"/>
    <w:rsid w:val="00184DA7"/>
    <w:rsid w:val="00185CB9"/>
    <w:rsid w:val="00186F77"/>
    <w:rsid w:val="001926A4"/>
    <w:rsid w:val="00192932"/>
    <w:rsid w:val="00192AD5"/>
    <w:rsid w:val="001B45A0"/>
    <w:rsid w:val="001B5AAC"/>
    <w:rsid w:val="001D055E"/>
    <w:rsid w:val="001E58C7"/>
    <w:rsid w:val="001E7A4D"/>
    <w:rsid w:val="001F492E"/>
    <w:rsid w:val="001F4DBC"/>
    <w:rsid w:val="001F6DA3"/>
    <w:rsid w:val="002010BC"/>
    <w:rsid w:val="00202E03"/>
    <w:rsid w:val="0020492C"/>
    <w:rsid w:val="00224DB9"/>
    <w:rsid w:val="0023121D"/>
    <w:rsid w:val="00233775"/>
    <w:rsid w:val="00251745"/>
    <w:rsid w:val="00263AC0"/>
    <w:rsid w:val="00264264"/>
    <w:rsid w:val="0026772D"/>
    <w:rsid w:val="00286874"/>
    <w:rsid w:val="00290C63"/>
    <w:rsid w:val="00296B65"/>
    <w:rsid w:val="002A7DEF"/>
    <w:rsid w:val="002C1719"/>
    <w:rsid w:val="002C7852"/>
    <w:rsid w:val="002D74B4"/>
    <w:rsid w:val="002E4F49"/>
    <w:rsid w:val="002E7B22"/>
    <w:rsid w:val="002F7986"/>
    <w:rsid w:val="00301B40"/>
    <w:rsid w:val="003029EE"/>
    <w:rsid w:val="00303D2E"/>
    <w:rsid w:val="00305CC8"/>
    <w:rsid w:val="00307F6D"/>
    <w:rsid w:val="003177A2"/>
    <w:rsid w:val="003271B5"/>
    <w:rsid w:val="00327A1E"/>
    <w:rsid w:val="00331264"/>
    <w:rsid w:val="00334C8D"/>
    <w:rsid w:val="00343A18"/>
    <w:rsid w:val="003518B3"/>
    <w:rsid w:val="00357D04"/>
    <w:rsid w:val="003846F1"/>
    <w:rsid w:val="003B484F"/>
    <w:rsid w:val="003C38FC"/>
    <w:rsid w:val="003F174D"/>
    <w:rsid w:val="00404E74"/>
    <w:rsid w:val="00450FAC"/>
    <w:rsid w:val="0045777E"/>
    <w:rsid w:val="00480B4B"/>
    <w:rsid w:val="00485DC4"/>
    <w:rsid w:val="004939FC"/>
    <w:rsid w:val="004A0071"/>
    <w:rsid w:val="004A43D1"/>
    <w:rsid w:val="004B4412"/>
    <w:rsid w:val="004C348C"/>
    <w:rsid w:val="004D55BA"/>
    <w:rsid w:val="004E22EC"/>
    <w:rsid w:val="004F16C4"/>
    <w:rsid w:val="00530128"/>
    <w:rsid w:val="00532467"/>
    <w:rsid w:val="00551C01"/>
    <w:rsid w:val="00564A4D"/>
    <w:rsid w:val="00567BA5"/>
    <w:rsid w:val="00571B35"/>
    <w:rsid w:val="00571D57"/>
    <w:rsid w:val="00577A09"/>
    <w:rsid w:val="005815BA"/>
    <w:rsid w:val="005829C2"/>
    <w:rsid w:val="00584D8F"/>
    <w:rsid w:val="005959D1"/>
    <w:rsid w:val="005A404D"/>
    <w:rsid w:val="005B1E3C"/>
    <w:rsid w:val="005C26CC"/>
    <w:rsid w:val="005D7BA2"/>
    <w:rsid w:val="005E36C2"/>
    <w:rsid w:val="00615C6B"/>
    <w:rsid w:val="00621DCE"/>
    <w:rsid w:val="00632D6D"/>
    <w:rsid w:val="006419AF"/>
    <w:rsid w:val="00642C3E"/>
    <w:rsid w:val="0066104A"/>
    <w:rsid w:val="00663DAD"/>
    <w:rsid w:val="0066634F"/>
    <w:rsid w:val="00675E20"/>
    <w:rsid w:val="00676679"/>
    <w:rsid w:val="00683C89"/>
    <w:rsid w:val="006B2395"/>
    <w:rsid w:val="006B4CF9"/>
    <w:rsid w:val="006B7AC8"/>
    <w:rsid w:val="006D550F"/>
    <w:rsid w:val="00700314"/>
    <w:rsid w:val="00701CAB"/>
    <w:rsid w:val="00707563"/>
    <w:rsid w:val="0071088F"/>
    <w:rsid w:val="0072348C"/>
    <w:rsid w:val="00724A37"/>
    <w:rsid w:val="00727450"/>
    <w:rsid w:val="00730023"/>
    <w:rsid w:val="007303C3"/>
    <w:rsid w:val="007408CE"/>
    <w:rsid w:val="007429BE"/>
    <w:rsid w:val="00743223"/>
    <w:rsid w:val="00746E01"/>
    <w:rsid w:val="00757BDF"/>
    <w:rsid w:val="00763E5D"/>
    <w:rsid w:val="00767740"/>
    <w:rsid w:val="00770B29"/>
    <w:rsid w:val="00771A62"/>
    <w:rsid w:val="00777EE6"/>
    <w:rsid w:val="00782EEA"/>
    <w:rsid w:val="007B2C72"/>
    <w:rsid w:val="007C1C53"/>
    <w:rsid w:val="007C74BB"/>
    <w:rsid w:val="007E4904"/>
    <w:rsid w:val="007E4CB5"/>
    <w:rsid w:val="007F066B"/>
    <w:rsid w:val="007F43D5"/>
    <w:rsid w:val="008033C4"/>
    <w:rsid w:val="00806C88"/>
    <w:rsid w:val="0081034E"/>
    <w:rsid w:val="008344F6"/>
    <w:rsid w:val="0083510F"/>
    <w:rsid w:val="00851209"/>
    <w:rsid w:val="00852E1D"/>
    <w:rsid w:val="0087655D"/>
    <w:rsid w:val="008837AC"/>
    <w:rsid w:val="008A587D"/>
    <w:rsid w:val="008B35CD"/>
    <w:rsid w:val="008B5FCC"/>
    <w:rsid w:val="008C5486"/>
    <w:rsid w:val="008D1661"/>
    <w:rsid w:val="008E7031"/>
    <w:rsid w:val="008E77DE"/>
    <w:rsid w:val="008F07A3"/>
    <w:rsid w:val="008F225D"/>
    <w:rsid w:val="008F7D1B"/>
    <w:rsid w:val="00900E1B"/>
    <w:rsid w:val="009233EE"/>
    <w:rsid w:val="009460AA"/>
    <w:rsid w:val="00951978"/>
    <w:rsid w:val="00961A4A"/>
    <w:rsid w:val="009661DE"/>
    <w:rsid w:val="00983C25"/>
    <w:rsid w:val="009856B7"/>
    <w:rsid w:val="00985C86"/>
    <w:rsid w:val="009A5FC3"/>
    <w:rsid w:val="009B74B0"/>
    <w:rsid w:val="009D4C04"/>
    <w:rsid w:val="009D6B46"/>
    <w:rsid w:val="009F4940"/>
    <w:rsid w:val="009F5BA1"/>
    <w:rsid w:val="00A02A88"/>
    <w:rsid w:val="00A0562E"/>
    <w:rsid w:val="00A0726D"/>
    <w:rsid w:val="00A320B1"/>
    <w:rsid w:val="00A32FBB"/>
    <w:rsid w:val="00A336FC"/>
    <w:rsid w:val="00A428EE"/>
    <w:rsid w:val="00A4478A"/>
    <w:rsid w:val="00A44852"/>
    <w:rsid w:val="00A50B26"/>
    <w:rsid w:val="00A57D04"/>
    <w:rsid w:val="00A60A26"/>
    <w:rsid w:val="00A61598"/>
    <w:rsid w:val="00A84A99"/>
    <w:rsid w:val="00A84F46"/>
    <w:rsid w:val="00A871F4"/>
    <w:rsid w:val="00AC1B2C"/>
    <w:rsid w:val="00AC3264"/>
    <w:rsid w:val="00AE1BF1"/>
    <w:rsid w:val="00AE4204"/>
    <w:rsid w:val="00AF016B"/>
    <w:rsid w:val="00AF0DD2"/>
    <w:rsid w:val="00AF295E"/>
    <w:rsid w:val="00B050E5"/>
    <w:rsid w:val="00B13048"/>
    <w:rsid w:val="00B16EFA"/>
    <w:rsid w:val="00B1716D"/>
    <w:rsid w:val="00B17A1D"/>
    <w:rsid w:val="00B207A0"/>
    <w:rsid w:val="00B4592C"/>
    <w:rsid w:val="00B514DD"/>
    <w:rsid w:val="00B52AF0"/>
    <w:rsid w:val="00B561BD"/>
    <w:rsid w:val="00B56E03"/>
    <w:rsid w:val="00B8080B"/>
    <w:rsid w:val="00B87BA5"/>
    <w:rsid w:val="00B87C39"/>
    <w:rsid w:val="00BA4665"/>
    <w:rsid w:val="00BB2FB2"/>
    <w:rsid w:val="00BB3304"/>
    <w:rsid w:val="00BD3446"/>
    <w:rsid w:val="00BE1F1B"/>
    <w:rsid w:val="00BE47B5"/>
    <w:rsid w:val="00C25FA6"/>
    <w:rsid w:val="00C538A9"/>
    <w:rsid w:val="00C53B5A"/>
    <w:rsid w:val="00C54F5A"/>
    <w:rsid w:val="00C569B4"/>
    <w:rsid w:val="00C67A92"/>
    <w:rsid w:val="00C86679"/>
    <w:rsid w:val="00CA489E"/>
    <w:rsid w:val="00CB0279"/>
    <w:rsid w:val="00CB6393"/>
    <w:rsid w:val="00CB666B"/>
    <w:rsid w:val="00CC7F1D"/>
    <w:rsid w:val="00CD169C"/>
    <w:rsid w:val="00D006AE"/>
    <w:rsid w:val="00D01CF0"/>
    <w:rsid w:val="00D0442A"/>
    <w:rsid w:val="00D04E2B"/>
    <w:rsid w:val="00D27A0F"/>
    <w:rsid w:val="00D46A18"/>
    <w:rsid w:val="00D61388"/>
    <w:rsid w:val="00D61A54"/>
    <w:rsid w:val="00D64DEA"/>
    <w:rsid w:val="00D7168E"/>
    <w:rsid w:val="00D71E57"/>
    <w:rsid w:val="00D80893"/>
    <w:rsid w:val="00D84854"/>
    <w:rsid w:val="00D92CF1"/>
    <w:rsid w:val="00D92D38"/>
    <w:rsid w:val="00D950F5"/>
    <w:rsid w:val="00DA4752"/>
    <w:rsid w:val="00DA61F3"/>
    <w:rsid w:val="00DB0F93"/>
    <w:rsid w:val="00DB1A67"/>
    <w:rsid w:val="00DB5074"/>
    <w:rsid w:val="00DC7981"/>
    <w:rsid w:val="00DE1093"/>
    <w:rsid w:val="00DE2C4F"/>
    <w:rsid w:val="00DE4EFA"/>
    <w:rsid w:val="00DE5520"/>
    <w:rsid w:val="00DE563D"/>
    <w:rsid w:val="00DF57F3"/>
    <w:rsid w:val="00E04818"/>
    <w:rsid w:val="00E06442"/>
    <w:rsid w:val="00E23993"/>
    <w:rsid w:val="00E25B8C"/>
    <w:rsid w:val="00E511B4"/>
    <w:rsid w:val="00E57429"/>
    <w:rsid w:val="00E65C85"/>
    <w:rsid w:val="00E66199"/>
    <w:rsid w:val="00E755EC"/>
    <w:rsid w:val="00E7624D"/>
    <w:rsid w:val="00EA3D42"/>
    <w:rsid w:val="00EA6B1B"/>
    <w:rsid w:val="00ED20AF"/>
    <w:rsid w:val="00ED7323"/>
    <w:rsid w:val="00EE28F3"/>
    <w:rsid w:val="00EF2291"/>
    <w:rsid w:val="00EF5110"/>
    <w:rsid w:val="00F10411"/>
    <w:rsid w:val="00F15882"/>
    <w:rsid w:val="00F171E0"/>
    <w:rsid w:val="00F20BD3"/>
    <w:rsid w:val="00F373A5"/>
    <w:rsid w:val="00F44DAD"/>
    <w:rsid w:val="00F47559"/>
    <w:rsid w:val="00F64C7B"/>
    <w:rsid w:val="00F676DD"/>
    <w:rsid w:val="00F75A26"/>
    <w:rsid w:val="00F76706"/>
    <w:rsid w:val="00F83FAD"/>
    <w:rsid w:val="00F90988"/>
    <w:rsid w:val="00F952A0"/>
    <w:rsid w:val="00FA3C7F"/>
    <w:rsid w:val="00FB74E2"/>
    <w:rsid w:val="00FC10C4"/>
    <w:rsid w:val="00FD5614"/>
    <w:rsid w:val="00FE0BE1"/>
    <w:rsid w:val="00FE1DE9"/>
    <w:rsid w:val="00FE2E1C"/>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72171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www.aer.gov.au/node/483?date%5Bvalue%5D%5Byear%5D=&amp;sector=All&amp;category=1495"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4118B600</Template>
  <TotalTime>0</TotalTime>
  <Pages>13</Pages>
  <Words>2459</Words>
  <Characters>14020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2015-04-27T06:16:00Z</dcterms:created>
  <dcterms:modified xsi:type="dcterms:W3CDTF">2015-04-27T06:17:00Z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8355443</vt:lpwstr>
  </property>
  <property fmtid="{D5CDD505-2E9C-101B-9397-08002B2CF9AE}" pid="3" name="_MarkAsFinal">
    <vt:bool>true</vt:bool>
  </property>
</Properties>
</file>