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495A942" wp14:editId="6C8B143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w:t>
          </w:r>
          <w:r w:rsidR="00E5742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EE7726" w:rsidP="008F07A3">
          <w:pPr>
            <w:pStyle w:val="ReportSubtitle"/>
          </w:pPr>
          <w:r>
            <w:t>Attachment 2</w:t>
          </w:r>
          <w:r w:rsidR="00DA4752">
            <w:t xml:space="preserve"> </w:t>
          </w:r>
          <w:r w:rsidR="00DA4752">
            <w:rPr>
              <w:rFonts w:cs="Arial"/>
            </w:rPr>
            <w:t>−</w:t>
          </w:r>
          <w:r w:rsidR="00DA4752">
            <w:t xml:space="preserve"> </w:t>
          </w:r>
          <w:r>
            <w:t>Regulatory asset base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C02047" w:rsidP="008F07A3">
      <w:r>
        <w:t>AER reference:</w:t>
      </w:r>
      <w:r>
        <w:tab/>
        <w:t>50835</w:t>
      </w:r>
    </w:p>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3831059"/>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E57429">
        <w:t>Ergon Energy</w:t>
      </w:r>
      <w:r w:rsidR="001201F1">
        <w:t>'s</w:t>
      </w:r>
      <w:r>
        <w:t xml:space="preserve"> 2015–20 distribution determination. It should be read with </w:t>
      </w:r>
      <w:r w:rsidR="00A05458">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B00FED" w:rsidRPr="00B00FED" w:rsidRDefault="008F07A3" w:rsidP="00B00FED">
      <w:pPr>
        <w:numPr>
          <w:ilvl w:val="0"/>
          <w:numId w:val="25"/>
        </w:numPr>
      </w:pPr>
      <w:r>
        <w:t xml:space="preserve">Attachment 18 – Connection </w:t>
      </w:r>
      <w:r w:rsidR="00B00FED" w:rsidRPr="00B00FED">
        <w:t>policy</w:t>
      </w:r>
    </w:p>
    <w:p w:rsidR="008F07A3" w:rsidRPr="008B6C33" w:rsidRDefault="008F07A3" w:rsidP="008F07A3">
      <w:pPr>
        <w:numPr>
          <w:ilvl w:val="0"/>
          <w:numId w:val="25"/>
        </w:numPr>
      </w:pP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13831060"/>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6B131F"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3831059" w:history="1">
            <w:r w:rsidR="006B131F" w:rsidRPr="00236B93">
              <w:rPr>
                <w:rStyle w:val="Hyperlink"/>
              </w:rPr>
              <w:t>Note</w:t>
            </w:r>
            <w:r w:rsidR="006B131F">
              <w:rPr>
                <w:webHidden/>
              </w:rPr>
              <w:tab/>
            </w:r>
            <w:r w:rsidR="00A05458">
              <w:rPr>
                <w:webHidden/>
              </w:rPr>
              <w:t>2-</w:t>
            </w:r>
            <w:r w:rsidR="006B131F">
              <w:rPr>
                <w:webHidden/>
              </w:rPr>
              <w:fldChar w:fldCharType="begin"/>
            </w:r>
            <w:r w:rsidR="006B131F">
              <w:rPr>
                <w:webHidden/>
              </w:rPr>
              <w:instrText xml:space="preserve"> PAGEREF _Toc413831059 \h </w:instrText>
            </w:r>
            <w:r w:rsidR="006B131F">
              <w:rPr>
                <w:webHidden/>
              </w:rPr>
            </w:r>
            <w:r w:rsidR="006B131F">
              <w:rPr>
                <w:webHidden/>
              </w:rPr>
              <w:fldChar w:fldCharType="separate"/>
            </w:r>
            <w:r w:rsidR="002B109B">
              <w:rPr>
                <w:webHidden/>
              </w:rPr>
              <w:t>2</w:t>
            </w:r>
            <w:r w:rsidR="006B131F">
              <w:rPr>
                <w:webHidden/>
              </w:rPr>
              <w:fldChar w:fldCharType="end"/>
            </w:r>
          </w:hyperlink>
        </w:p>
        <w:p w:rsidR="006B131F" w:rsidRDefault="00146416">
          <w:pPr>
            <w:pStyle w:val="TOC1"/>
            <w:rPr>
              <w:rFonts w:asciiTheme="minorHAnsi" w:eastAsiaTheme="minorEastAsia" w:hAnsiTheme="minorHAnsi"/>
              <w:b w:val="0"/>
              <w:color w:val="auto"/>
              <w:sz w:val="22"/>
              <w:lang w:val="en-AU" w:eastAsia="en-AU"/>
            </w:rPr>
          </w:pPr>
          <w:hyperlink w:anchor="_Toc413831060" w:history="1">
            <w:r w:rsidR="006B131F" w:rsidRPr="00236B93">
              <w:rPr>
                <w:rStyle w:val="Hyperlink"/>
              </w:rPr>
              <w:t>Contents</w:t>
            </w:r>
            <w:r w:rsidR="006B131F">
              <w:rPr>
                <w:webHidden/>
              </w:rPr>
              <w:tab/>
            </w:r>
            <w:r w:rsidR="00A05458">
              <w:rPr>
                <w:webHidden/>
              </w:rPr>
              <w:t>2-</w:t>
            </w:r>
            <w:r w:rsidR="006B131F">
              <w:rPr>
                <w:webHidden/>
              </w:rPr>
              <w:fldChar w:fldCharType="begin"/>
            </w:r>
            <w:r w:rsidR="006B131F">
              <w:rPr>
                <w:webHidden/>
              </w:rPr>
              <w:instrText xml:space="preserve"> PAGEREF _Toc413831060 \h </w:instrText>
            </w:r>
            <w:r w:rsidR="006B131F">
              <w:rPr>
                <w:webHidden/>
              </w:rPr>
            </w:r>
            <w:r w:rsidR="006B131F">
              <w:rPr>
                <w:webHidden/>
              </w:rPr>
              <w:fldChar w:fldCharType="separate"/>
            </w:r>
            <w:r w:rsidR="002B109B">
              <w:rPr>
                <w:webHidden/>
              </w:rPr>
              <w:t>3</w:t>
            </w:r>
            <w:r w:rsidR="006B131F">
              <w:rPr>
                <w:webHidden/>
              </w:rPr>
              <w:fldChar w:fldCharType="end"/>
            </w:r>
          </w:hyperlink>
        </w:p>
        <w:p w:rsidR="006B131F" w:rsidRDefault="00146416">
          <w:pPr>
            <w:pStyle w:val="TOC1"/>
            <w:rPr>
              <w:rFonts w:asciiTheme="minorHAnsi" w:eastAsiaTheme="minorEastAsia" w:hAnsiTheme="minorHAnsi"/>
              <w:b w:val="0"/>
              <w:color w:val="auto"/>
              <w:sz w:val="22"/>
              <w:lang w:val="en-AU" w:eastAsia="en-AU"/>
            </w:rPr>
          </w:pPr>
          <w:hyperlink w:anchor="_Toc413831061" w:history="1">
            <w:r w:rsidR="006B131F" w:rsidRPr="00236B93">
              <w:rPr>
                <w:rStyle w:val="Hyperlink"/>
              </w:rPr>
              <w:t>Shortened forms</w:t>
            </w:r>
            <w:r w:rsidR="006B131F">
              <w:rPr>
                <w:webHidden/>
              </w:rPr>
              <w:tab/>
            </w:r>
            <w:r w:rsidR="00A05458">
              <w:rPr>
                <w:webHidden/>
              </w:rPr>
              <w:t>2-</w:t>
            </w:r>
            <w:r w:rsidR="006B131F">
              <w:rPr>
                <w:webHidden/>
              </w:rPr>
              <w:fldChar w:fldCharType="begin"/>
            </w:r>
            <w:r w:rsidR="006B131F">
              <w:rPr>
                <w:webHidden/>
              </w:rPr>
              <w:instrText xml:space="preserve"> PAGEREF _Toc413831061 \h </w:instrText>
            </w:r>
            <w:r w:rsidR="006B131F">
              <w:rPr>
                <w:webHidden/>
              </w:rPr>
            </w:r>
            <w:r w:rsidR="006B131F">
              <w:rPr>
                <w:webHidden/>
              </w:rPr>
              <w:fldChar w:fldCharType="separate"/>
            </w:r>
            <w:r w:rsidR="002B109B">
              <w:rPr>
                <w:webHidden/>
              </w:rPr>
              <w:t>4</w:t>
            </w:r>
            <w:r w:rsidR="006B131F">
              <w:rPr>
                <w:webHidden/>
              </w:rPr>
              <w:fldChar w:fldCharType="end"/>
            </w:r>
          </w:hyperlink>
        </w:p>
        <w:p w:rsidR="006B131F" w:rsidRDefault="00146416">
          <w:pPr>
            <w:pStyle w:val="TOC1"/>
            <w:rPr>
              <w:rFonts w:asciiTheme="minorHAnsi" w:eastAsiaTheme="minorEastAsia" w:hAnsiTheme="minorHAnsi"/>
              <w:b w:val="0"/>
              <w:color w:val="auto"/>
              <w:sz w:val="22"/>
              <w:lang w:val="en-AU" w:eastAsia="en-AU"/>
            </w:rPr>
          </w:pPr>
          <w:hyperlink w:anchor="_Toc413831062" w:history="1">
            <w:r w:rsidR="006B131F" w:rsidRPr="00236B93">
              <w:rPr>
                <w:rStyle w:val="Hyperlink"/>
              </w:rPr>
              <w:t>2</w:t>
            </w:r>
            <w:r w:rsidR="006B131F">
              <w:rPr>
                <w:rFonts w:asciiTheme="minorHAnsi" w:eastAsiaTheme="minorEastAsia" w:hAnsiTheme="minorHAnsi"/>
                <w:b w:val="0"/>
                <w:color w:val="auto"/>
                <w:sz w:val="22"/>
                <w:lang w:val="en-AU" w:eastAsia="en-AU"/>
              </w:rPr>
              <w:tab/>
            </w:r>
            <w:r w:rsidR="006B131F" w:rsidRPr="00236B93">
              <w:rPr>
                <w:rStyle w:val="Hyperlink"/>
              </w:rPr>
              <w:t>Regulatory asset base</w:t>
            </w:r>
            <w:r w:rsidR="006B131F">
              <w:rPr>
                <w:webHidden/>
              </w:rPr>
              <w:tab/>
            </w:r>
            <w:r w:rsidR="00A05458">
              <w:rPr>
                <w:webHidden/>
              </w:rPr>
              <w:t>2-</w:t>
            </w:r>
            <w:r w:rsidR="006B131F">
              <w:rPr>
                <w:webHidden/>
              </w:rPr>
              <w:fldChar w:fldCharType="begin"/>
            </w:r>
            <w:r w:rsidR="006B131F">
              <w:rPr>
                <w:webHidden/>
              </w:rPr>
              <w:instrText xml:space="preserve"> PAGEREF _Toc413831062 \h </w:instrText>
            </w:r>
            <w:r w:rsidR="006B131F">
              <w:rPr>
                <w:webHidden/>
              </w:rPr>
            </w:r>
            <w:r w:rsidR="006B131F">
              <w:rPr>
                <w:webHidden/>
              </w:rPr>
              <w:fldChar w:fldCharType="separate"/>
            </w:r>
            <w:r w:rsidR="002B109B">
              <w:rPr>
                <w:webHidden/>
              </w:rPr>
              <w:t>6</w:t>
            </w:r>
            <w:r w:rsidR="006B131F">
              <w:rPr>
                <w:webHidden/>
              </w:rPr>
              <w:fldChar w:fldCharType="end"/>
            </w:r>
          </w:hyperlink>
        </w:p>
        <w:p w:rsidR="006B131F" w:rsidRDefault="00146416">
          <w:pPr>
            <w:pStyle w:val="TOC2"/>
            <w:rPr>
              <w:rFonts w:asciiTheme="minorHAnsi" w:eastAsiaTheme="minorEastAsia" w:hAnsiTheme="minorHAnsi"/>
              <w:b w:val="0"/>
              <w:color w:val="auto"/>
              <w:sz w:val="22"/>
              <w:lang w:eastAsia="en-AU"/>
            </w:rPr>
          </w:pPr>
          <w:hyperlink w:anchor="_Toc413831063" w:history="1">
            <w:r w:rsidR="006B131F" w:rsidRPr="00236B93">
              <w:rPr>
                <w:rStyle w:val="Hyperlink"/>
              </w:rPr>
              <w:t>2.1</w:t>
            </w:r>
            <w:r w:rsidR="006B131F">
              <w:rPr>
                <w:rFonts w:asciiTheme="minorHAnsi" w:eastAsiaTheme="minorEastAsia" w:hAnsiTheme="minorHAnsi"/>
                <w:b w:val="0"/>
                <w:color w:val="auto"/>
                <w:sz w:val="22"/>
                <w:lang w:eastAsia="en-AU"/>
              </w:rPr>
              <w:tab/>
            </w:r>
            <w:r w:rsidR="006B131F" w:rsidRPr="00236B93">
              <w:rPr>
                <w:rStyle w:val="Hyperlink"/>
              </w:rPr>
              <w:t>Preliminary decision</w:t>
            </w:r>
            <w:r w:rsidR="006B131F">
              <w:rPr>
                <w:webHidden/>
              </w:rPr>
              <w:tab/>
            </w:r>
            <w:r w:rsidR="00A05458">
              <w:rPr>
                <w:webHidden/>
              </w:rPr>
              <w:t>2-</w:t>
            </w:r>
            <w:r w:rsidR="006B131F">
              <w:rPr>
                <w:webHidden/>
              </w:rPr>
              <w:fldChar w:fldCharType="begin"/>
            </w:r>
            <w:r w:rsidR="006B131F">
              <w:rPr>
                <w:webHidden/>
              </w:rPr>
              <w:instrText xml:space="preserve"> PAGEREF _Toc413831063 \h </w:instrText>
            </w:r>
            <w:r w:rsidR="006B131F">
              <w:rPr>
                <w:webHidden/>
              </w:rPr>
            </w:r>
            <w:r w:rsidR="006B131F">
              <w:rPr>
                <w:webHidden/>
              </w:rPr>
              <w:fldChar w:fldCharType="separate"/>
            </w:r>
            <w:r w:rsidR="002B109B">
              <w:rPr>
                <w:webHidden/>
              </w:rPr>
              <w:t>6</w:t>
            </w:r>
            <w:r w:rsidR="006B131F">
              <w:rPr>
                <w:webHidden/>
              </w:rPr>
              <w:fldChar w:fldCharType="end"/>
            </w:r>
          </w:hyperlink>
        </w:p>
        <w:p w:rsidR="006B131F" w:rsidRDefault="00146416">
          <w:pPr>
            <w:pStyle w:val="TOC2"/>
            <w:rPr>
              <w:rFonts w:asciiTheme="minorHAnsi" w:eastAsiaTheme="minorEastAsia" w:hAnsiTheme="minorHAnsi"/>
              <w:b w:val="0"/>
              <w:color w:val="auto"/>
              <w:sz w:val="22"/>
              <w:lang w:eastAsia="en-AU"/>
            </w:rPr>
          </w:pPr>
          <w:hyperlink w:anchor="_Toc413831064" w:history="1">
            <w:r w:rsidR="006B131F" w:rsidRPr="00236B93">
              <w:rPr>
                <w:rStyle w:val="Hyperlink"/>
              </w:rPr>
              <w:t>2.2</w:t>
            </w:r>
            <w:r w:rsidR="006B131F">
              <w:rPr>
                <w:rFonts w:asciiTheme="minorHAnsi" w:eastAsiaTheme="minorEastAsia" w:hAnsiTheme="minorHAnsi"/>
                <w:b w:val="0"/>
                <w:color w:val="auto"/>
                <w:sz w:val="22"/>
                <w:lang w:eastAsia="en-AU"/>
              </w:rPr>
              <w:tab/>
            </w:r>
            <w:r w:rsidR="006B131F" w:rsidRPr="00236B93">
              <w:rPr>
                <w:rStyle w:val="Hyperlink"/>
              </w:rPr>
              <w:t>Ergon Energy's proposal</w:t>
            </w:r>
            <w:r w:rsidR="006B131F">
              <w:rPr>
                <w:webHidden/>
              </w:rPr>
              <w:tab/>
            </w:r>
            <w:r w:rsidR="00A05458">
              <w:rPr>
                <w:webHidden/>
              </w:rPr>
              <w:t>2-</w:t>
            </w:r>
            <w:r w:rsidR="006B131F">
              <w:rPr>
                <w:webHidden/>
              </w:rPr>
              <w:fldChar w:fldCharType="begin"/>
            </w:r>
            <w:r w:rsidR="006B131F">
              <w:rPr>
                <w:webHidden/>
              </w:rPr>
              <w:instrText xml:space="preserve"> PAGEREF _Toc413831064 \h </w:instrText>
            </w:r>
            <w:r w:rsidR="006B131F">
              <w:rPr>
                <w:webHidden/>
              </w:rPr>
            </w:r>
            <w:r w:rsidR="006B131F">
              <w:rPr>
                <w:webHidden/>
              </w:rPr>
              <w:fldChar w:fldCharType="separate"/>
            </w:r>
            <w:r w:rsidR="002B109B">
              <w:rPr>
                <w:webHidden/>
              </w:rPr>
              <w:t>8</w:t>
            </w:r>
            <w:r w:rsidR="006B131F">
              <w:rPr>
                <w:webHidden/>
              </w:rPr>
              <w:fldChar w:fldCharType="end"/>
            </w:r>
          </w:hyperlink>
        </w:p>
        <w:p w:rsidR="006B131F" w:rsidRDefault="00146416">
          <w:pPr>
            <w:pStyle w:val="TOC2"/>
            <w:rPr>
              <w:rFonts w:asciiTheme="minorHAnsi" w:eastAsiaTheme="minorEastAsia" w:hAnsiTheme="minorHAnsi"/>
              <w:b w:val="0"/>
              <w:color w:val="auto"/>
              <w:sz w:val="22"/>
              <w:lang w:eastAsia="en-AU"/>
            </w:rPr>
          </w:pPr>
          <w:hyperlink w:anchor="_Toc413831065" w:history="1">
            <w:r w:rsidR="006B131F" w:rsidRPr="00236B93">
              <w:rPr>
                <w:rStyle w:val="Hyperlink"/>
              </w:rPr>
              <w:t>2.3</w:t>
            </w:r>
            <w:r w:rsidR="006B131F">
              <w:rPr>
                <w:rFonts w:asciiTheme="minorHAnsi" w:eastAsiaTheme="minorEastAsia" w:hAnsiTheme="minorHAnsi"/>
                <w:b w:val="0"/>
                <w:color w:val="auto"/>
                <w:sz w:val="22"/>
                <w:lang w:eastAsia="en-AU"/>
              </w:rPr>
              <w:tab/>
            </w:r>
            <w:r w:rsidR="006B131F" w:rsidRPr="00236B93">
              <w:rPr>
                <w:rStyle w:val="Hyperlink"/>
              </w:rPr>
              <w:t>AER’s assessment approach</w:t>
            </w:r>
            <w:r w:rsidR="006B131F">
              <w:rPr>
                <w:webHidden/>
              </w:rPr>
              <w:tab/>
            </w:r>
            <w:r w:rsidR="00A05458">
              <w:rPr>
                <w:webHidden/>
              </w:rPr>
              <w:t>2-</w:t>
            </w:r>
            <w:r w:rsidR="006B131F">
              <w:rPr>
                <w:webHidden/>
              </w:rPr>
              <w:fldChar w:fldCharType="begin"/>
            </w:r>
            <w:r w:rsidR="006B131F">
              <w:rPr>
                <w:webHidden/>
              </w:rPr>
              <w:instrText xml:space="preserve"> PAGEREF _Toc413831065 \h </w:instrText>
            </w:r>
            <w:r w:rsidR="006B131F">
              <w:rPr>
                <w:webHidden/>
              </w:rPr>
            </w:r>
            <w:r w:rsidR="006B131F">
              <w:rPr>
                <w:webHidden/>
              </w:rPr>
              <w:fldChar w:fldCharType="separate"/>
            </w:r>
            <w:r w:rsidR="002B109B">
              <w:rPr>
                <w:webHidden/>
              </w:rPr>
              <w:t>9</w:t>
            </w:r>
            <w:r w:rsidR="006B131F">
              <w:rPr>
                <w:webHidden/>
              </w:rPr>
              <w:fldChar w:fldCharType="end"/>
            </w:r>
          </w:hyperlink>
        </w:p>
        <w:p w:rsidR="006B131F" w:rsidRDefault="00146416">
          <w:pPr>
            <w:pStyle w:val="TOC3"/>
            <w:rPr>
              <w:rFonts w:asciiTheme="minorHAnsi" w:eastAsiaTheme="minorEastAsia" w:hAnsiTheme="minorHAnsi"/>
              <w:lang w:eastAsia="en-AU"/>
            </w:rPr>
          </w:pPr>
          <w:hyperlink w:anchor="_Toc413831066" w:history="1">
            <w:r w:rsidR="006B131F" w:rsidRPr="00236B93">
              <w:rPr>
                <w:rStyle w:val="Hyperlink"/>
              </w:rPr>
              <w:t>2.3.1</w:t>
            </w:r>
            <w:r w:rsidR="006B131F">
              <w:rPr>
                <w:rFonts w:asciiTheme="minorHAnsi" w:eastAsiaTheme="minorEastAsia" w:hAnsiTheme="minorHAnsi"/>
                <w:lang w:eastAsia="en-AU"/>
              </w:rPr>
              <w:tab/>
            </w:r>
            <w:r w:rsidR="006B131F" w:rsidRPr="00236B93">
              <w:rPr>
                <w:rStyle w:val="Hyperlink"/>
              </w:rPr>
              <w:t>Interrelationships</w:t>
            </w:r>
            <w:r w:rsidR="006B131F">
              <w:rPr>
                <w:webHidden/>
              </w:rPr>
              <w:tab/>
            </w:r>
            <w:r w:rsidR="00A05458">
              <w:rPr>
                <w:webHidden/>
              </w:rPr>
              <w:t>2-</w:t>
            </w:r>
            <w:r w:rsidR="006B131F">
              <w:rPr>
                <w:webHidden/>
              </w:rPr>
              <w:fldChar w:fldCharType="begin"/>
            </w:r>
            <w:r w:rsidR="006B131F">
              <w:rPr>
                <w:webHidden/>
              </w:rPr>
              <w:instrText xml:space="preserve"> PAGEREF _Toc413831066 \h </w:instrText>
            </w:r>
            <w:r w:rsidR="006B131F">
              <w:rPr>
                <w:webHidden/>
              </w:rPr>
            </w:r>
            <w:r w:rsidR="006B131F">
              <w:rPr>
                <w:webHidden/>
              </w:rPr>
              <w:fldChar w:fldCharType="separate"/>
            </w:r>
            <w:r w:rsidR="002B109B">
              <w:rPr>
                <w:webHidden/>
              </w:rPr>
              <w:t>11</w:t>
            </w:r>
            <w:r w:rsidR="006B131F">
              <w:rPr>
                <w:webHidden/>
              </w:rPr>
              <w:fldChar w:fldCharType="end"/>
            </w:r>
          </w:hyperlink>
        </w:p>
        <w:p w:rsidR="006B131F" w:rsidRDefault="00146416">
          <w:pPr>
            <w:pStyle w:val="TOC2"/>
            <w:rPr>
              <w:rFonts w:asciiTheme="minorHAnsi" w:eastAsiaTheme="minorEastAsia" w:hAnsiTheme="minorHAnsi"/>
              <w:b w:val="0"/>
              <w:color w:val="auto"/>
              <w:sz w:val="22"/>
              <w:lang w:eastAsia="en-AU"/>
            </w:rPr>
          </w:pPr>
          <w:hyperlink w:anchor="_Toc413831067" w:history="1">
            <w:r w:rsidR="006B131F" w:rsidRPr="00236B93">
              <w:rPr>
                <w:rStyle w:val="Hyperlink"/>
              </w:rPr>
              <w:t>2.4</w:t>
            </w:r>
            <w:r w:rsidR="006B131F">
              <w:rPr>
                <w:rFonts w:asciiTheme="minorHAnsi" w:eastAsiaTheme="minorEastAsia" w:hAnsiTheme="minorHAnsi"/>
                <w:b w:val="0"/>
                <w:color w:val="auto"/>
                <w:sz w:val="22"/>
                <w:lang w:eastAsia="en-AU"/>
              </w:rPr>
              <w:tab/>
            </w:r>
            <w:r w:rsidR="006B131F" w:rsidRPr="00236B93">
              <w:rPr>
                <w:rStyle w:val="Hyperlink"/>
              </w:rPr>
              <w:t>Reasons for preliminary decision</w:t>
            </w:r>
            <w:r w:rsidR="006B131F">
              <w:rPr>
                <w:webHidden/>
              </w:rPr>
              <w:tab/>
            </w:r>
            <w:r w:rsidR="00A05458">
              <w:rPr>
                <w:webHidden/>
              </w:rPr>
              <w:t>2-</w:t>
            </w:r>
            <w:r w:rsidR="006B131F">
              <w:rPr>
                <w:webHidden/>
              </w:rPr>
              <w:fldChar w:fldCharType="begin"/>
            </w:r>
            <w:r w:rsidR="006B131F">
              <w:rPr>
                <w:webHidden/>
              </w:rPr>
              <w:instrText xml:space="preserve"> PAGEREF _Toc413831067 \h </w:instrText>
            </w:r>
            <w:r w:rsidR="006B131F">
              <w:rPr>
                <w:webHidden/>
              </w:rPr>
            </w:r>
            <w:r w:rsidR="006B131F">
              <w:rPr>
                <w:webHidden/>
              </w:rPr>
              <w:fldChar w:fldCharType="separate"/>
            </w:r>
            <w:r w:rsidR="002B109B">
              <w:rPr>
                <w:webHidden/>
              </w:rPr>
              <w:t>13</w:t>
            </w:r>
            <w:r w:rsidR="006B131F">
              <w:rPr>
                <w:webHidden/>
              </w:rPr>
              <w:fldChar w:fldCharType="end"/>
            </w:r>
          </w:hyperlink>
        </w:p>
        <w:p w:rsidR="006B131F" w:rsidRDefault="00146416">
          <w:pPr>
            <w:pStyle w:val="TOC3"/>
            <w:rPr>
              <w:rFonts w:asciiTheme="minorHAnsi" w:eastAsiaTheme="minorEastAsia" w:hAnsiTheme="minorHAnsi"/>
              <w:lang w:eastAsia="en-AU"/>
            </w:rPr>
          </w:pPr>
          <w:hyperlink w:anchor="_Toc413831068" w:history="1">
            <w:r w:rsidR="006B131F" w:rsidRPr="00236B93">
              <w:rPr>
                <w:rStyle w:val="Hyperlink"/>
              </w:rPr>
              <w:t>2.4.1</w:t>
            </w:r>
            <w:r w:rsidR="006B131F">
              <w:rPr>
                <w:rFonts w:asciiTheme="minorHAnsi" w:eastAsiaTheme="minorEastAsia" w:hAnsiTheme="minorHAnsi"/>
                <w:lang w:eastAsia="en-AU"/>
              </w:rPr>
              <w:tab/>
            </w:r>
            <w:r w:rsidR="006B131F" w:rsidRPr="00236B93">
              <w:rPr>
                <w:rStyle w:val="Hyperlink"/>
              </w:rPr>
              <w:t>Opening RAB as at 1 July 2015</w:t>
            </w:r>
            <w:r w:rsidR="006B131F">
              <w:rPr>
                <w:webHidden/>
              </w:rPr>
              <w:tab/>
            </w:r>
            <w:r w:rsidR="00A05458">
              <w:rPr>
                <w:webHidden/>
              </w:rPr>
              <w:t>2-</w:t>
            </w:r>
            <w:r w:rsidR="006B131F">
              <w:rPr>
                <w:webHidden/>
              </w:rPr>
              <w:fldChar w:fldCharType="begin"/>
            </w:r>
            <w:r w:rsidR="006B131F">
              <w:rPr>
                <w:webHidden/>
              </w:rPr>
              <w:instrText xml:space="preserve"> PAGEREF _Toc413831068 \h </w:instrText>
            </w:r>
            <w:r w:rsidR="006B131F">
              <w:rPr>
                <w:webHidden/>
              </w:rPr>
            </w:r>
            <w:r w:rsidR="006B131F">
              <w:rPr>
                <w:webHidden/>
              </w:rPr>
              <w:fldChar w:fldCharType="separate"/>
            </w:r>
            <w:r w:rsidR="002B109B">
              <w:rPr>
                <w:webHidden/>
              </w:rPr>
              <w:t>14</w:t>
            </w:r>
            <w:r w:rsidR="006B131F">
              <w:rPr>
                <w:webHidden/>
              </w:rPr>
              <w:fldChar w:fldCharType="end"/>
            </w:r>
          </w:hyperlink>
        </w:p>
        <w:p w:rsidR="006B131F" w:rsidRDefault="00146416">
          <w:pPr>
            <w:pStyle w:val="TOC4"/>
            <w:tabs>
              <w:tab w:val="left" w:pos="2552"/>
            </w:tabs>
            <w:rPr>
              <w:rFonts w:asciiTheme="minorHAnsi" w:eastAsiaTheme="minorEastAsia" w:hAnsiTheme="minorHAnsi"/>
              <w:lang w:eastAsia="en-AU"/>
            </w:rPr>
          </w:pPr>
          <w:hyperlink w:anchor="_Toc413831069" w:history="1">
            <w:r w:rsidR="006B131F" w:rsidRPr="00236B93">
              <w:rPr>
                <w:rStyle w:val="Hyperlink"/>
              </w:rPr>
              <w:t>2.4.1.1</w:t>
            </w:r>
            <w:r w:rsidR="006B131F">
              <w:rPr>
                <w:rFonts w:asciiTheme="minorHAnsi" w:eastAsiaTheme="minorEastAsia" w:hAnsiTheme="minorHAnsi"/>
                <w:lang w:eastAsia="en-AU"/>
              </w:rPr>
              <w:tab/>
            </w:r>
            <w:r w:rsidR="006B131F" w:rsidRPr="00236B93">
              <w:rPr>
                <w:rStyle w:val="Hyperlink"/>
              </w:rPr>
              <w:t>Size of the opening RAB</w:t>
            </w:r>
            <w:r w:rsidR="006B131F">
              <w:rPr>
                <w:webHidden/>
              </w:rPr>
              <w:tab/>
            </w:r>
            <w:r w:rsidR="00A05458">
              <w:rPr>
                <w:webHidden/>
              </w:rPr>
              <w:t>2-</w:t>
            </w:r>
            <w:r w:rsidR="006B131F">
              <w:rPr>
                <w:webHidden/>
              </w:rPr>
              <w:fldChar w:fldCharType="begin"/>
            </w:r>
            <w:r w:rsidR="006B131F">
              <w:rPr>
                <w:webHidden/>
              </w:rPr>
              <w:instrText xml:space="preserve"> PAGEREF _Toc413831069 \h </w:instrText>
            </w:r>
            <w:r w:rsidR="006B131F">
              <w:rPr>
                <w:webHidden/>
              </w:rPr>
            </w:r>
            <w:r w:rsidR="006B131F">
              <w:rPr>
                <w:webHidden/>
              </w:rPr>
              <w:fldChar w:fldCharType="separate"/>
            </w:r>
            <w:r w:rsidR="002B109B">
              <w:rPr>
                <w:webHidden/>
              </w:rPr>
              <w:t>14</w:t>
            </w:r>
            <w:r w:rsidR="006B131F">
              <w:rPr>
                <w:webHidden/>
              </w:rPr>
              <w:fldChar w:fldCharType="end"/>
            </w:r>
          </w:hyperlink>
        </w:p>
        <w:p w:rsidR="006B131F" w:rsidRDefault="00146416">
          <w:pPr>
            <w:pStyle w:val="TOC4"/>
            <w:tabs>
              <w:tab w:val="left" w:pos="2552"/>
            </w:tabs>
            <w:rPr>
              <w:rFonts w:asciiTheme="minorHAnsi" w:eastAsiaTheme="minorEastAsia" w:hAnsiTheme="minorHAnsi"/>
              <w:lang w:eastAsia="en-AU"/>
            </w:rPr>
          </w:pPr>
          <w:hyperlink w:anchor="_Toc413831070" w:history="1">
            <w:r w:rsidR="006B131F" w:rsidRPr="00236B93">
              <w:rPr>
                <w:rStyle w:val="Hyperlink"/>
              </w:rPr>
              <w:t>2.4.1.2</w:t>
            </w:r>
            <w:r w:rsidR="006B131F">
              <w:rPr>
                <w:rFonts w:asciiTheme="minorHAnsi" w:eastAsiaTheme="minorEastAsia" w:hAnsiTheme="minorHAnsi"/>
                <w:lang w:eastAsia="en-AU"/>
              </w:rPr>
              <w:tab/>
            </w:r>
            <w:r w:rsidR="006B131F" w:rsidRPr="00236B93">
              <w:rPr>
                <w:rStyle w:val="Hyperlink"/>
              </w:rPr>
              <w:t>Remaining asset lives</w:t>
            </w:r>
            <w:r w:rsidR="006B131F">
              <w:rPr>
                <w:webHidden/>
              </w:rPr>
              <w:tab/>
            </w:r>
            <w:r w:rsidR="00A05458">
              <w:rPr>
                <w:webHidden/>
              </w:rPr>
              <w:t>2-</w:t>
            </w:r>
            <w:r w:rsidR="006B131F">
              <w:rPr>
                <w:webHidden/>
              </w:rPr>
              <w:fldChar w:fldCharType="begin"/>
            </w:r>
            <w:r w:rsidR="006B131F">
              <w:rPr>
                <w:webHidden/>
              </w:rPr>
              <w:instrText xml:space="preserve"> PAGEREF _Toc413831070 \h </w:instrText>
            </w:r>
            <w:r w:rsidR="006B131F">
              <w:rPr>
                <w:webHidden/>
              </w:rPr>
            </w:r>
            <w:r w:rsidR="006B131F">
              <w:rPr>
                <w:webHidden/>
              </w:rPr>
              <w:fldChar w:fldCharType="separate"/>
            </w:r>
            <w:r w:rsidR="002B109B">
              <w:rPr>
                <w:webHidden/>
              </w:rPr>
              <w:t>16</w:t>
            </w:r>
            <w:r w:rsidR="006B131F">
              <w:rPr>
                <w:webHidden/>
              </w:rPr>
              <w:fldChar w:fldCharType="end"/>
            </w:r>
          </w:hyperlink>
        </w:p>
        <w:p w:rsidR="006B131F" w:rsidRDefault="00146416">
          <w:pPr>
            <w:pStyle w:val="TOC4"/>
            <w:tabs>
              <w:tab w:val="left" w:pos="2552"/>
            </w:tabs>
            <w:rPr>
              <w:rFonts w:asciiTheme="minorHAnsi" w:eastAsiaTheme="minorEastAsia" w:hAnsiTheme="minorHAnsi"/>
              <w:lang w:eastAsia="en-AU"/>
            </w:rPr>
          </w:pPr>
          <w:hyperlink w:anchor="_Toc413831071" w:history="1">
            <w:r w:rsidR="006B131F" w:rsidRPr="00236B93">
              <w:rPr>
                <w:rStyle w:val="Hyperlink"/>
              </w:rPr>
              <w:t>2.4.1.3</w:t>
            </w:r>
            <w:r w:rsidR="006B131F">
              <w:rPr>
                <w:rFonts w:asciiTheme="minorHAnsi" w:eastAsiaTheme="minorEastAsia" w:hAnsiTheme="minorHAnsi"/>
                <w:lang w:eastAsia="en-AU"/>
              </w:rPr>
              <w:tab/>
            </w:r>
            <w:r w:rsidR="006B131F" w:rsidRPr="00236B93">
              <w:rPr>
                <w:rStyle w:val="Hyperlink"/>
              </w:rPr>
              <w:t>Capitalised provisions</w:t>
            </w:r>
            <w:r w:rsidR="006B131F">
              <w:rPr>
                <w:webHidden/>
              </w:rPr>
              <w:tab/>
            </w:r>
            <w:r w:rsidR="00A05458">
              <w:rPr>
                <w:webHidden/>
              </w:rPr>
              <w:t>2-</w:t>
            </w:r>
            <w:r w:rsidR="006B131F">
              <w:rPr>
                <w:webHidden/>
              </w:rPr>
              <w:fldChar w:fldCharType="begin"/>
            </w:r>
            <w:r w:rsidR="006B131F">
              <w:rPr>
                <w:webHidden/>
              </w:rPr>
              <w:instrText xml:space="preserve"> PAGEREF _Toc413831071 \h </w:instrText>
            </w:r>
            <w:r w:rsidR="006B131F">
              <w:rPr>
                <w:webHidden/>
              </w:rPr>
            </w:r>
            <w:r w:rsidR="006B131F">
              <w:rPr>
                <w:webHidden/>
              </w:rPr>
              <w:fldChar w:fldCharType="separate"/>
            </w:r>
            <w:r w:rsidR="002B109B">
              <w:rPr>
                <w:webHidden/>
              </w:rPr>
              <w:t>16</w:t>
            </w:r>
            <w:r w:rsidR="006B131F">
              <w:rPr>
                <w:webHidden/>
              </w:rPr>
              <w:fldChar w:fldCharType="end"/>
            </w:r>
          </w:hyperlink>
        </w:p>
        <w:p w:rsidR="006B131F" w:rsidRDefault="00146416">
          <w:pPr>
            <w:pStyle w:val="TOC4"/>
            <w:tabs>
              <w:tab w:val="left" w:pos="2552"/>
            </w:tabs>
            <w:rPr>
              <w:rFonts w:asciiTheme="minorHAnsi" w:eastAsiaTheme="minorEastAsia" w:hAnsiTheme="minorHAnsi"/>
              <w:lang w:eastAsia="en-AU"/>
            </w:rPr>
          </w:pPr>
          <w:hyperlink w:anchor="_Toc413831072" w:history="1">
            <w:r w:rsidR="006B131F" w:rsidRPr="00236B93">
              <w:rPr>
                <w:rStyle w:val="Hyperlink"/>
              </w:rPr>
              <w:t>2.4.1.4</w:t>
            </w:r>
            <w:r w:rsidR="006B131F">
              <w:rPr>
                <w:rFonts w:asciiTheme="minorHAnsi" w:eastAsiaTheme="minorEastAsia" w:hAnsiTheme="minorHAnsi"/>
                <w:lang w:eastAsia="en-AU"/>
              </w:rPr>
              <w:tab/>
            </w:r>
            <w:r w:rsidR="006B131F" w:rsidRPr="00236B93">
              <w:rPr>
                <w:rStyle w:val="Hyperlink"/>
              </w:rPr>
              <w:t>Disposals</w:t>
            </w:r>
            <w:r w:rsidR="006B131F">
              <w:rPr>
                <w:webHidden/>
              </w:rPr>
              <w:tab/>
            </w:r>
            <w:r w:rsidR="00A05458">
              <w:rPr>
                <w:webHidden/>
              </w:rPr>
              <w:t>2-</w:t>
            </w:r>
            <w:r w:rsidR="006B131F">
              <w:rPr>
                <w:webHidden/>
              </w:rPr>
              <w:fldChar w:fldCharType="begin"/>
            </w:r>
            <w:r w:rsidR="006B131F">
              <w:rPr>
                <w:webHidden/>
              </w:rPr>
              <w:instrText xml:space="preserve"> PAGEREF _Toc413831072 \h </w:instrText>
            </w:r>
            <w:r w:rsidR="006B131F">
              <w:rPr>
                <w:webHidden/>
              </w:rPr>
            </w:r>
            <w:r w:rsidR="006B131F">
              <w:rPr>
                <w:webHidden/>
              </w:rPr>
              <w:fldChar w:fldCharType="separate"/>
            </w:r>
            <w:r w:rsidR="002B109B">
              <w:rPr>
                <w:webHidden/>
              </w:rPr>
              <w:t>16</w:t>
            </w:r>
            <w:r w:rsidR="006B131F">
              <w:rPr>
                <w:webHidden/>
              </w:rPr>
              <w:fldChar w:fldCharType="end"/>
            </w:r>
          </w:hyperlink>
        </w:p>
        <w:p w:rsidR="006B131F" w:rsidRDefault="00146416">
          <w:pPr>
            <w:pStyle w:val="TOC4"/>
            <w:tabs>
              <w:tab w:val="left" w:pos="2552"/>
            </w:tabs>
            <w:rPr>
              <w:rFonts w:asciiTheme="minorHAnsi" w:eastAsiaTheme="minorEastAsia" w:hAnsiTheme="minorHAnsi"/>
              <w:lang w:eastAsia="en-AU"/>
            </w:rPr>
          </w:pPr>
          <w:hyperlink w:anchor="_Toc413831073" w:history="1">
            <w:r w:rsidR="006B131F" w:rsidRPr="00236B93">
              <w:rPr>
                <w:rStyle w:val="Hyperlink"/>
              </w:rPr>
              <w:t>2.4.1.5</w:t>
            </w:r>
            <w:r w:rsidR="006B131F">
              <w:rPr>
                <w:rFonts w:asciiTheme="minorHAnsi" w:eastAsiaTheme="minorEastAsia" w:hAnsiTheme="minorHAnsi"/>
                <w:lang w:eastAsia="en-AU"/>
              </w:rPr>
              <w:tab/>
            </w:r>
            <w:r w:rsidR="006B131F" w:rsidRPr="00236B93">
              <w:rPr>
                <w:rStyle w:val="Hyperlink"/>
              </w:rPr>
              <w:t>Equity raising costs</w:t>
            </w:r>
            <w:r w:rsidR="006B131F">
              <w:rPr>
                <w:webHidden/>
              </w:rPr>
              <w:tab/>
            </w:r>
            <w:r w:rsidR="00A05458">
              <w:rPr>
                <w:webHidden/>
              </w:rPr>
              <w:t>2-</w:t>
            </w:r>
            <w:r w:rsidR="006B131F">
              <w:rPr>
                <w:webHidden/>
              </w:rPr>
              <w:fldChar w:fldCharType="begin"/>
            </w:r>
            <w:r w:rsidR="006B131F">
              <w:rPr>
                <w:webHidden/>
              </w:rPr>
              <w:instrText xml:space="preserve"> PAGEREF _Toc413831073 \h </w:instrText>
            </w:r>
            <w:r w:rsidR="006B131F">
              <w:rPr>
                <w:webHidden/>
              </w:rPr>
            </w:r>
            <w:r w:rsidR="006B131F">
              <w:rPr>
                <w:webHidden/>
              </w:rPr>
              <w:fldChar w:fldCharType="separate"/>
            </w:r>
            <w:r w:rsidR="002B109B">
              <w:rPr>
                <w:webHidden/>
              </w:rPr>
              <w:t>17</w:t>
            </w:r>
            <w:r w:rsidR="006B131F">
              <w:rPr>
                <w:webHidden/>
              </w:rPr>
              <w:fldChar w:fldCharType="end"/>
            </w:r>
          </w:hyperlink>
        </w:p>
        <w:p w:rsidR="006B131F" w:rsidRDefault="00146416">
          <w:pPr>
            <w:pStyle w:val="TOC4"/>
            <w:tabs>
              <w:tab w:val="left" w:pos="2552"/>
            </w:tabs>
            <w:rPr>
              <w:rFonts w:asciiTheme="minorHAnsi" w:eastAsiaTheme="minorEastAsia" w:hAnsiTheme="minorHAnsi"/>
              <w:lang w:eastAsia="en-AU"/>
            </w:rPr>
          </w:pPr>
          <w:hyperlink w:anchor="_Toc413831074" w:history="1">
            <w:r w:rsidR="006B131F" w:rsidRPr="00236B93">
              <w:rPr>
                <w:rStyle w:val="Hyperlink"/>
              </w:rPr>
              <w:t>2.4.1.6</w:t>
            </w:r>
            <w:r w:rsidR="006B131F">
              <w:rPr>
                <w:rFonts w:asciiTheme="minorHAnsi" w:eastAsiaTheme="minorEastAsia" w:hAnsiTheme="minorHAnsi"/>
                <w:lang w:eastAsia="en-AU"/>
              </w:rPr>
              <w:tab/>
            </w:r>
            <w:r w:rsidR="006B131F" w:rsidRPr="00236B93">
              <w:rPr>
                <w:rStyle w:val="Hyperlink"/>
              </w:rPr>
              <w:t>Hayman Island cable</w:t>
            </w:r>
            <w:r w:rsidR="006B131F">
              <w:rPr>
                <w:webHidden/>
              </w:rPr>
              <w:tab/>
            </w:r>
            <w:r w:rsidR="00A05458">
              <w:rPr>
                <w:webHidden/>
              </w:rPr>
              <w:t>2-</w:t>
            </w:r>
            <w:r w:rsidR="006B131F">
              <w:rPr>
                <w:webHidden/>
              </w:rPr>
              <w:fldChar w:fldCharType="begin"/>
            </w:r>
            <w:r w:rsidR="006B131F">
              <w:rPr>
                <w:webHidden/>
              </w:rPr>
              <w:instrText xml:space="preserve"> PAGEREF _Toc413831074 \h </w:instrText>
            </w:r>
            <w:r w:rsidR="006B131F">
              <w:rPr>
                <w:webHidden/>
              </w:rPr>
            </w:r>
            <w:r w:rsidR="006B131F">
              <w:rPr>
                <w:webHidden/>
              </w:rPr>
              <w:fldChar w:fldCharType="separate"/>
            </w:r>
            <w:r w:rsidR="002B109B">
              <w:rPr>
                <w:webHidden/>
              </w:rPr>
              <w:t>17</w:t>
            </w:r>
            <w:r w:rsidR="006B131F">
              <w:rPr>
                <w:webHidden/>
              </w:rPr>
              <w:fldChar w:fldCharType="end"/>
            </w:r>
          </w:hyperlink>
        </w:p>
        <w:p w:rsidR="006B131F" w:rsidRDefault="00146416">
          <w:pPr>
            <w:pStyle w:val="TOC4"/>
            <w:tabs>
              <w:tab w:val="left" w:pos="2552"/>
            </w:tabs>
            <w:rPr>
              <w:rFonts w:asciiTheme="minorHAnsi" w:eastAsiaTheme="minorEastAsia" w:hAnsiTheme="minorHAnsi"/>
              <w:lang w:eastAsia="en-AU"/>
            </w:rPr>
          </w:pPr>
          <w:hyperlink w:anchor="_Toc413831075" w:history="1">
            <w:r w:rsidR="006B131F" w:rsidRPr="00236B93">
              <w:rPr>
                <w:rStyle w:val="Hyperlink"/>
              </w:rPr>
              <w:t>2.4.1.7</w:t>
            </w:r>
            <w:r w:rsidR="006B131F">
              <w:rPr>
                <w:rFonts w:asciiTheme="minorHAnsi" w:eastAsiaTheme="minorEastAsia" w:hAnsiTheme="minorHAnsi"/>
                <w:lang w:eastAsia="en-AU"/>
              </w:rPr>
              <w:tab/>
            </w:r>
            <w:r w:rsidR="006B131F" w:rsidRPr="00236B93">
              <w:rPr>
                <w:rStyle w:val="Hyperlink"/>
              </w:rPr>
              <w:t xml:space="preserve">Separation of alternative control services and unregulated </w:t>
            </w:r>
            <w:r w:rsidR="006B131F">
              <w:rPr>
                <w:rStyle w:val="Hyperlink"/>
              </w:rPr>
              <w:tab/>
            </w:r>
            <w:r w:rsidR="006B131F" w:rsidRPr="00236B93">
              <w:rPr>
                <w:rStyle w:val="Hyperlink"/>
              </w:rPr>
              <w:t>assets</w:t>
            </w:r>
            <w:r w:rsidR="006B131F">
              <w:rPr>
                <w:webHidden/>
              </w:rPr>
              <w:tab/>
            </w:r>
            <w:r w:rsidR="00A05458">
              <w:rPr>
                <w:webHidden/>
              </w:rPr>
              <w:t>2-</w:t>
            </w:r>
            <w:r w:rsidR="006B131F">
              <w:rPr>
                <w:webHidden/>
              </w:rPr>
              <w:fldChar w:fldCharType="begin"/>
            </w:r>
            <w:r w:rsidR="006B131F">
              <w:rPr>
                <w:webHidden/>
              </w:rPr>
              <w:instrText xml:space="preserve"> PAGEREF _Toc413831075 \h </w:instrText>
            </w:r>
            <w:r w:rsidR="006B131F">
              <w:rPr>
                <w:webHidden/>
              </w:rPr>
            </w:r>
            <w:r w:rsidR="006B131F">
              <w:rPr>
                <w:webHidden/>
              </w:rPr>
              <w:fldChar w:fldCharType="separate"/>
            </w:r>
            <w:r w:rsidR="002B109B">
              <w:rPr>
                <w:webHidden/>
              </w:rPr>
              <w:t>17</w:t>
            </w:r>
            <w:r w:rsidR="006B131F">
              <w:rPr>
                <w:webHidden/>
              </w:rPr>
              <w:fldChar w:fldCharType="end"/>
            </w:r>
          </w:hyperlink>
        </w:p>
        <w:p w:rsidR="006B131F" w:rsidRDefault="00146416">
          <w:pPr>
            <w:pStyle w:val="TOC3"/>
            <w:rPr>
              <w:rFonts w:asciiTheme="minorHAnsi" w:eastAsiaTheme="minorEastAsia" w:hAnsiTheme="minorHAnsi"/>
              <w:lang w:eastAsia="en-AU"/>
            </w:rPr>
          </w:pPr>
          <w:hyperlink w:anchor="_Toc413831076" w:history="1">
            <w:r w:rsidR="006B131F" w:rsidRPr="00236B93">
              <w:rPr>
                <w:rStyle w:val="Hyperlink"/>
              </w:rPr>
              <w:t>2.4.2</w:t>
            </w:r>
            <w:r w:rsidR="006B131F">
              <w:rPr>
                <w:rFonts w:asciiTheme="minorHAnsi" w:eastAsiaTheme="minorEastAsia" w:hAnsiTheme="minorHAnsi"/>
                <w:lang w:eastAsia="en-AU"/>
              </w:rPr>
              <w:tab/>
            </w:r>
            <w:r w:rsidR="006B131F" w:rsidRPr="00236B93">
              <w:rPr>
                <w:rStyle w:val="Hyperlink"/>
              </w:rPr>
              <w:t>Forecast closing RAB as at 30 June 2020</w:t>
            </w:r>
            <w:r w:rsidR="006B131F">
              <w:rPr>
                <w:webHidden/>
              </w:rPr>
              <w:tab/>
            </w:r>
            <w:r w:rsidR="00A05458">
              <w:rPr>
                <w:webHidden/>
              </w:rPr>
              <w:t>2-</w:t>
            </w:r>
            <w:r w:rsidR="006B131F">
              <w:rPr>
                <w:webHidden/>
              </w:rPr>
              <w:fldChar w:fldCharType="begin"/>
            </w:r>
            <w:r w:rsidR="006B131F">
              <w:rPr>
                <w:webHidden/>
              </w:rPr>
              <w:instrText xml:space="preserve"> PAGEREF _Toc413831076 \h </w:instrText>
            </w:r>
            <w:r w:rsidR="006B131F">
              <w:rPr>
                <w:webHidden/>
              </w:rPr>
            </w:r>
            <w:r w:rsidR="006B131F">
              <w:rPr>
                <w:webHidden/>
              </w:rPr>
              <w:fldChar w:fldCharType="separate"/>
            </w:r>
            <w:r w:rsidR="002B109B">
              <w:rPr>
                <w:webHidden/>
              </w:rPr>
              <w:t>18</w:t>
            </w:r>
            <w:r w:rsidR="006B131F">
              <w:rPr>
                <w:webHidden/>
              </w:rPr>
              <w:fldChar w:fldCharType="end"/>
            </w:r>
          </w:hyperlink>
        </w:p>
        <w:p w:rsidR="006B131F" w:rsidRDefault="00146416">
          <w:pPr>
            <w:pStyle w:val="TOC3"/>
            <w:rPr>
              <w:rFonts w:asciiTheme="minorHAnsi" w:eastAsiaTheme="minorEastAsia" w:hAnsiTheme="minorHAnsi"/>
              <w:lang w:eastAsia="en-AU"/>
            </w:rPr>
          </w:pPr>
          <w:hyperlink w:anchor="_Toc413831077" w:history="1">
            <w:r w:rsidR="006B131F" w:rsidRPr="00236B93">
              <w:rPr>
                <w:rStyle w:val="Hyperlink"/>
              </w:rPr>
              <w:t>2.4.3</w:t>
            </w:r>
            <w:r w:rsidR="006B131F">
              <w:rPr>
                <w:rFonts w:asciiTheme="minorHAnsi" w:eastAsiaTheme="minorEastAsia" w:hAnsiTheme="minorHAnsi"/>
                <w:lang w:eastAsia="en-AU"/>
              </w:rPr>
              <w:tab/>
            </w:r>
            <w:r w:rsidR="006B131F" w:rsidRPr="00236B93">
              <w:rPr>
                <w:rStyle w:val="Hyperlink"/>
              </w:rPr>
              <w:t xml:space="preserve">Application of depreciation approach in RAB roll forward for next </w:t>
            </w:r>
            <w:r w:rsidR="006B131F">
              <w:rPr>
                <w:rStyle w:val="Hyperlink"/>
              </w:rPr>
              <w:tab/>
            </w:r>
            <w:r w:rsidR="006B131F" w:rsidRPr="00236B93">
              <w:rPr>
                <w:rStyle w:val="Hyperlink"/>
              </w:rPr>
              <w:t>reset</w:t>
            </w:r>
            <w:r w:rsidR="006B131F">
              <w:rPr>
                <w:webHidden/>
              </w:rPr>
              <w:tab/>
            </w:r>
            <w:r w:rsidR="00A05458">
              <w:rPr>
                <w:webHidden/>
              </w:rPr>
              <w:t>2-</w:t>
            </w:r>
            <w:r w:rsidR="006B131F">
              <w:rPr>
                <w:webHidden/>
              </w:rPr>
              <w:fldChar w:fldCharType="begin"/>
            </w:r>
            <w:r w:rsidR="006B131F">
              <w:rPr>
                <w:webHidden/>
              </w:rPr>
              <w:instrText xml:space="preserve"> PAGEREF _Toc413831077 \h </w:instrText>
            </w:r>
            <w:r w:rsidR="006B131F">
              <w:rPr>
                <w:webHidden/>
              </w:rPr>
            </w:r>
            <w:r w:rsidR="006B131F">
              <w:rPr>
                <w:webHidden/>
              </w:rPr>
              <w:fldChar w:fldCharType="separate"/>
            </w:r>
            <w:r w:rsidR="002B109B">
              <w:rPr>
                <w:webHidden/>
              </w:rPr>
              <w:t>18</w:t>
            </w:r>
            <w:r w:rsidR="006B131F">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13831061"/>
      <w:r>
        <w:lastRenderedPageBreak/>
        <w:t>Shortened forms</w:t>
      </w:r>
      <w:bookmarkEnd w:id="7"/>
      <w:bookmarkEnd w:id="8"/>
    </w:p>
    <w:tbl>
      <w:tblPr>
        <w:tblStyle w:val="AERtable-numbers"/>
        <w:tblW w:w="0" w:type="auto"/>
        <w:tblLook w:val="04A0" w:firstRow="1" w:lastRow="0" w:firstColumn="1" w:lastColumn="0" w:noHBand="0" w:noVBand="1"/>
      </w:tblPr>
      <w:tblGrid>
        <w:gridCol w:w="4346"/>
        <w:gridCol w:w="4347"/>
      </w:tblGrid>
      <w:tr w:rsidR="00DE563D" w:rsidTr="00416F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Shortened form</w:t>
            </w:r>
          </w:p>
        </w:tc>
        <w:tc>
          <w:tcPr>
            <w:tcW w:w="4347"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683184" w:rsidTr="008A770D">
        <w:tc>
          <w:tcPr>
            <w:cnfStyle w:val="001000000000" w:firstRow="0" w:lastRow="0" w:firstColumn="1" w:lastColumn="0" w:oddVBand="0" w:evenVBand="0" w:oddHBand="0" w:evenHBand="0" w:firstRowFirstColumn="0" w:firstRowLastColumn="0" w:lastRowFirstColumn="0" w:lastRowLastColumn="0"/>
            <w:tcW w:w="4346" w:type="dxa"/>
          </w:tcPr>
          <w:p w:rsidR="00683184" w:rsidRPr="00683184" w:rsidRDefault="00683184" w:rsidP="00683184">
            <w:pPr>
              <w:pStyle w:val="AERtabletextleft"/>
            </w:pPr>
            <w:r>
              <w:t>AB</w:t>
            </w:r>
            <w:r w:rsidRPr="00683184">
              <w:t>S</w:t>
            </w:r>
          </w:p>
        </w:tc>
        <w:tc>
          <w:tcPr>
            <w:tcW w:w="4347" w:type="dxa"/>
          </w:tcPr>
          <w:p w:rsidR="00683184" w:rsidRPr="00683184" w:rsidRDefault="00683184" w:rsidP="00683184">
            <w:pPr>
              <w:pStyle w:val="AERtabletextleft"/>
              <w:jc w:val="left"/>
              <w:cnfStyle w:val="000000000000" w:firstRow="0" w:lastRow="0" w:firstColumn="0" w:lastColumn="0" w:oddVBand="0" w:evenVBand="0" w:oddHBand="0" w:evenHBand="0" w:firstRowFirstColumn="0" w:firstRowLastColumn="0" w:lastRowFirstColumn="0" w:lastRowLastColumn="0"/>
            </w:pPr>
            <w:r>
              <w:t>Australian Bureau of Statistics</w:t>
            </w:r>
          </w:p>
        </w:tc>
      </w:tr>
      <w:tr w:rsidR="00416FB6"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416FB6" w:rsidRPr="00416FB6" w:rsidRDefault="00416FB6" w:rsidP="00416FB6">
            <w:pPr>
              <w:pStyle w:val="AERtabletextleft"/>
            </w:pPr>
            <w:r>
              <w:t>ACS</w:t>
            </w:r>
          </w:p>
        </w:tc>
        <w:tc>
          <w:tcPr>
            <w:tcW w:w="4347" w:type="dxa"/>
          </w:tcPr>
          <w:p w:rsidR="00416FB6" w:rsidRPr="00416FB6" w:rsidRDefault="00416FB6" w:rsidP="00416FB6">
            <w:pPr>
              <w:pStyle w:val="AERtabletextleft"/>
              <w:jc w:val="left"/>
              <w:cnfStyle w:val="000000010000" w:firstRow="0" w:lastRow="0" w:firstColumn="0" w:lastColumn="0" w:oddVBand="0" w:evenVBand="0" w:oddHBand="0" w:evenHBand="1" w:firstRowFirstColumn="0" w:firstRowLastColumn="0" w:lastRowFirstColumn="0" w:lastRowLastColumn="0"/>
            </w:pPr>
            <w:r>
              <w:t>alternative control services</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AEMO</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AER</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proofErr w:type="spellStart"/>
            <w:r>
              <w:t>augex</w:t>
            </w:r>
            <w:proofErr w:type="spellEnd"/>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capex</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CCP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CESS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CPI</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distributor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DUoS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EBSS</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D3DE3" w:rsidP="00DE563D">
            <w:pPr>
              <w:pStyle w:val="AERtabletextleft"/>
            </w:pPr>
            <w:r>
              <w:t>E</w:t>
            </w:r>
            <w:r w:rsidR="00DE563D">
              <w:t xml:space="preserve">xpenditure </w:t>
            </w:r>
            <w:r>
              <w:t>A</w:t>
            </w:r>
            <w:r w:rsidR="00DE563D">
              <w:t xml:space="preserve">ssessment </w:t>
            </w:r>
            <w:r>
              <w:t>G</w:t>
            </w:r>
            <w:r w:rsidR="00DE563D">
              <w:t>uideline</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expenditure forecast assessment </w:t>
            </w:r>
            <w:r w:rsidR="00DD3DE3">
              <w:t>G</w:t>
            </w:r>
            <w:r>
              <w:t>uideline for electricity distribution</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F&amp;A</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MRP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NEL</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NEO</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NSP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lastRenderedPageBreak/>
              <w:t>opex</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PPI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PTRM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RAB</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RBA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repex</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RFM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RIN</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RPP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DD3DE3">
              <w:t xml:space="preserve">and </w:t>
            </w:r>
            <w:r>
              <w:t>pricing principles</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SAIDI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SAIFI</w:t>
            </w:r>
          </w:p>
        </w:tc>
        <w:tc>
          <w:tcPr>
            <w:tcW w:w="4347" w:type="dxa"/>
          </w:tcPr>
          <w:p w:rsidR="00DE563D" w:rsidRDefault="00DE563D" w:rsidP="00416FB6">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416FB6" w:rsidTr="008A770D">
        <w:tc>
          <w:tcPr>
            <w:cnfStyle w:val="001000000000" w:firstRow="0" w:lastRow="0" w:firstColumn="1" w:lastColumn="0" w:oddVBand="0" w:evenVBand="0" w:oddHBand="0" w:evenHBand="0" w:firstRowFirstColumn="0" w:firstRowLastColumn="0" w:lastRowFirstColumn="0" w:lastRowLastColumn="0"/>
            <w:tcW w:w="4346" w:type="dxa"/>
          </w:tcPr>
          <w:p w:rsidR="00416FB6" w:rsidRPr="00416FB6" w:rsidRDefault="00416FB6" w:rsidP="00416FB6">
            <w:pPr>
              <w:pStyle w:val="AERtabletextleft"/>
            </w:pPr>
            <w:r>
              <w:t>SCS</w:t>
            </w:r>
          </w:p>
        </w:tc>
        <w:tc>
          <w:tcPr>
            <w:tcW w:w="4347" w:type="dxa"/>
          </w:tcPr>
          <w:p w:rsidR="00416FB6" w:rsidRPr="00416FB6" w:rsidRDefault="00416FB6" w:rsidP="00416FB6">
            <w:pPr>
              <w:pStyle w:val="AERtabletextleft"/>
              <w:jc w:val="left"/>
              <w:cnfStyle w:val="000000000000" w:firstRow="0" w:lastRow="0" w:firstColumn="0" w:lastColumn="0" w:oddVBand="0" w:evenVBand="0" w:oddHBand="0" w:evenHBand="0" w:firstRowFirstColumn="0" w:firstRowLastColumn="0" w:lastRowFirstColumn="0" w:lastRowLastColumn="0"/>
            </w:pPr>
            <w:r>
              <w:t>standard control services</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SLCAPM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DE563D" w:rsidTr="00416FB6">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STPIS</w:t>
            </w:r>
          </w:p>
        </w:tc>
        <w:tc>
          <w:tcPr>
            <w:tcW w:w="4347" w:type="dxa"/>
          </w:tcPr>
          <w:p w:rsidR="00DE563D" w:rsidRDefault="00DE563D" w:rsidP="00D904FE">
            <w:pPr>
              <w:pStyle w:val="AERtabletextleft"/>
              <w:jc w:val="lef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DE563D" w:rsidTr="00416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WACC</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B00FED" w:rsidRDefault="00EE7726" w:rsidP="00B00FED">
      <w:pPr>
        <w:pStyle w:val="Heading1"/>
      </w:pPr>
      <w:bookmarkStart w:id="9" w:name="_Toc413831062"/>
      <w:r w:rsidRPr="00B00FED">
        <w:lastRenderedPageBreak/>
        <w:t>Regulatory asset base</w:t>
      </w:r>
      <w:bookmarkEnd w:id="9"/>
    </w:p>
    <w:p w:rsidR="00DE563D" w:rsidRDefault="000D3764" w:rsidP="00C02047">
      <w:r>
        <w:rPr>
          <w:rStyle w:val="AERbody"/>
        </w:rPr>
        <w:t>We are</w:t>
      </w:r>
      <w:r w:rsidRPr="003E2D82">
        <w:rPr>
          <w:rStyle w:val="AERbody"/>
        </w:rPr>
        <w:t xml:space="preserve"> required to make a decision on </w:t>
      </w:r>
      <w:r>
        <w:rPr>
          <w:rStyle w:val="AERbody"/>
        </w:rPr>
        <w:t>Ergon Energy's</w:t>
      </w:r>
      <w:r w:rsidRPr="003E2D82">
        <w:rPr>
          <w:rStyle w:val="AERbody"/>
        </w:rPr>
        <w:t xml:space="preserve"> opening regulatory asset base (RAB) </w:t>
      </w:r>
      <w:r>
        <w:rPr>
          <w:rStyle w:val="AERbody"/>
        </w:rPr>
        <w:t xml:space="preserve">as </w:t>
      </w:r>
      <w:r w:rsidRPr="003E2D82">
        <w:rPr>
          <w:rStyle w:val="AERbody"/>
        </w:rPr>
        <w:t xml:space="preserve">at </w:t>
      </w:r>
      <w:r>
        <w:rPr>
          <w:rStyle w:val="AERbody"/>
        </w:rPr>
        <w:t>1 July 2015</w:t>
      </w:r>
      <w:r w:rsidRPr="003E2D82">
        <w:rPr>
          <w:rStyle w:val="AERbody"/>
        </w:rPr>
        <w:t>.</w:t>
      </w:r>
      <w:r w:rsidRPr="003214CF">
        <w:rPr>
          <w:rStyle w:val="AERbody"/>
          <w:vertAlign w:val="superscript"/>
        </w:rPr>
        <w:footnoteReference w:id="1"/>
      </w:r>
      <w:r w:rsidRPr="00B24F2B">
        <w:rPr>
          <w:rStyle w:val="AERbody"/>
        </w:rPr>
        <w:t xml:space="preserve"> </w:t>
      </w:r>
      <w:r w:rsidRPr="008528F2">
        <w:rPr>
          <w:rStyle w:val="AERbody"/>
        </w:rPr>
        <w:t xml:space="preserve">We use the RAB </w:t>
      </w:r>
      <w:r>
        <w:rPr>
          <w:rStyle w:val="AERbody"/>
        </w:rPr>
        <w:t xml:space="preserve">at the start of </w:t>
      </w:r>
      <w:r w:rsidRPr="008528F2">
        <w:rPr>
          <w:rStyle w:val="AERbody"/>
        </w:rPr>
        <w:t>each regulatory year to determine the return of capital (regulatory depreciation) and re</w:t>
      </w:r>
      <w:bookmarkStart w:id="10" w:name="_GoBack"/>
      <w:bookmarkEnd w:id="10"/>
      <w:r w:rsidRPr="008528F2">
        <w:rPr>
          <w:rStyle w:val="AERbody"/>
        </w:rPr>
        <w:t>turn on capital building block allowances.</w:t>
      </w:r>
      <w:r>
        <w:rPr>
          <w:rStyle w:val="AERbody"/>
        </w:rPr>
        <w:t xml:space="preserve"> </w:t>
      </w:r>
      <w:r w:rsidRPr="003E2D82">
        <w:rPr>
          <w:rStyle w:val="AERbody"/>
        </w:rPr>
        <w:t xml:space="preserve">This attachment presents </w:t>
      </w:r>
      <w:r>
        <w:rPr>
          <w:rStyle w:val="AERbody"/>
        </w:rPr>
        <w:t>our preliminary decision</w:t>
      </w:r>
      <w:r w:rsidRPr="003E2D82">
        <w:rPr>
          <w:rStyle w:val="AERbody"/>
        </w:rPr>
        <w:t xml:space="preserve"> o</w:t>
      </w:r>
      <w:r>
        <w:rPr>
          <w:rStyle w:val="AERbody"/>
        </w:rPr>
        <w:t>n</w:t>
      </w:r>
      <w:r w:rsidRPr="003E2D82">
        <w:rPr>
          <w:rStyle w:val="AERbody"/>
        </w:rPr>
        <w:t xml:space="preserve"> the opening RAB </w:t>
      </w:r>
      <w:r>
        <w:rPr>
          <w:rStyle w:val="AERbody"/>
        </w:rPr>
        <w:t xml:space="preserve">value </w:t>
      </w:r>
      <w:r w:rsidRPr="003E2D82">
        <w:rPr>
          <w:rStyle w:val="AERbody"/>
        </w:rPr>
        <w:t>as at 1 July 201</w:t>
      </w:r>
      <w:r>
        <w:rPr>
          <w:rStyle w:val="AERbody"/>
        </w:rPr>
        <w:t>5</w:t>
      </w:r>
      <w:r w:rsidRPr="003E2D82">
        <w:rPr>
          <w:rStyle w:val="AERbody"/>
        </w:rPr>
        <w:t xml:space="preserve"> </w:t>
      </w:r>
      <w:r>
        <w:rPr>
          <w:rStyle w:val="AERbody"/>
        </w:rPr>
        <w:t xml:space="preserve">for Ergon Energy </w:t>
      </w:r>
      <w:r w:rsidRPr="003E2D82">
        <w:rPr>
          <w:rStyle w:val="AERbody"/>
        </w:rPr>
        <w:t xml:space="preserve">and roll forward </w:t>
      </w:r>
      <w:r>
        <w:rPr>
          <w:rStyle w:val="AERbody"/>
        </w:rPr>
        <w:t xml:space="preserve">of </w:t>
      </w:r>
      <w:r w:rsidRPr="003E2D82">
        <w:rPr>
          <w:rStyle w:val="AERbody"/>
        </w:rPr>
        <w:t xml:space="preserve">the </w:t>
      </w:r>
      <w:r>
        <w:rPr>
          <w:rStyle w:val="AERbody"/>
        </w:rPr>
        <w:t xml:space="preserve">forecast </w:t>
      </w:r>
      <w:r w:rsidRPr="003E2D82">
        <w:rPr>
          <w:rStyle w:val="AERbody"/>
        </w:rPr>
        <w:t xml:space="preserve">RAB over the </w:t>
      </w:r>
      <w:r>
        <w:rPr>
          <w:rStyle w:val="AERbody"/>
        </w:rPr>
        <w:t>2015–20 regulatory control period.</w:t>
      </w:r>
    </w:p>
    <w:p w:rsidR="00DE563D" w:rsidRPr="00B00FED" w:rsidRDefault="00DE563D" w:rsidP="00B00FED">
      <w:pPr>
        <w:pStyle w:val="Heading2"/>
      </w:pPr>
      <w:bookmarkStart w:id="11" w:name="_Toc403144136"/>
      <w:bookmarkStart w:id="12" w:name="_Toc413831063"/>
      <w:r w:rsidRPr="00B00FED">
        <w:t>Preliminary decision</w:t>
      </w:r>
      <w:bookmarkEnd w:id="11"/>
      <w:bookmarkEnd w:id="12"/>
    </w:p>
    <w:p w:rsidR="00DE563D" w:rsidRDefault="000D3764" w:rsidP="00DE563D">
      <w:r>
        <w:t>We do not accept Ergon Ene</w:t>
      </w:r>
      <w:r w:rsidR="00090F90">
        <w:t>rgy's proposed opening RAB of $10</w:t>
      </w:r>
      <w:r w:rsidR="00D904FE">
        <w:t> </w:t>
      </w:r>
      <w:r w:rsidR="00090F90">
        <w:t>041.5</w:t>
      </w:r>
      <w:r>
        <w:t> million ($ nominal) as at 1 July 2015.</w:t>
      </w:r>
      <w:r>
        <w:rPr>
          <w:rStyle w:val="FootnoteReference"/>
        </w:rPr>
        <w:footnoteReference w:id="2"/>
      </w:r>
      <w:r>
        <w:t xml:space="preserve"> We instead determine an opening RAB value of </w:t>
      </w:r>
      <w:r w:rsidRPr="00500715">
        <w:rPr>
          <w:rStyle w:val="AERbody"/>
        </w:rPr>
        <w:t>$</w:t>
      </w:r>
      <w:r w:rsidR="006E1CA3">
        <w:rPr>
          <w:rStyle w:val="AERbody"/>
        </w:rPr>
        <w:t>10</w:t>
      </w:r>
      <w:r w:rsidR="00D904FE">
        <w:rPr>
          <w:rStyle w:val="AERbody"/>
        </w:rPr>
        <w:t> </w:t>
      </w:r>
      <w:r w:rsidR="006E1CA3">
        <w:rPr>
          <w:rStyle w:val="AERbody"/>
        </w:rPr>
        <w:t>102.</w:t>
      </w:r>
      <w:r w:rsidR="008A770D">
        <w:rPr>
          <w:rStyle w:val="AERbody"/>
        </w:rPr>
        <w:t>2</w:t>
      </w:r>
      <w:r w:rsidRPr="00500715">
        <w:rPr>
          <w:rStyle w:val="AERbody"/>
        </w:rPr>
        <w:t> million ($ nominal) as at 1 July 2015. This is because</w:t>
      </w:r>
      <w:r w:rsidR="00090F90" w:rsidRPr="00500715">
        <w:rPr>
          <w:rStyle w:val="AERbody"/>
        </w:rPr>
        <w:t xml:space="preserve"> </w:t>
      </w:r>
      <w:r w:rsidR="00650427">
        <w:rPr>
          <w:rStyle w:val="AERbody"/>
        </w:rPr>
        <w:t xml:space="preserve">of input </w:t>
      </w:r>
      <w:r w:rsidR="00090F90" w:rsidRPr="00500715">
        <w:rPr>
          <w:rStyle w:val="AERbody"/>
        </w:rPr>
        <w:t>errors in the remaining asset lives used to roll forward the RAB</w:t>
      </w:r>
      <w:r w:rsidR="006E1CA3">
        <w:rPr>
          <w:rStyle w:val="AERbody"/>
        </w:rPr>
        <w:t xml:space="preserve"> and timing of </w:t>
      </w:r>
      <w:r w:rsidR="00741C62">
        <w:rPr>
          <w:rStyle w:val="AERbody"/>
        </w:rPr>
        <w:t xml:space="preserve">benchmark </w:t>
      </w:r>
      <w:r w:rsidR="006E1CA3">
        <w:rPr>
          <w:rStyle w:val="AERbody"/>
        </w:rPr>
        <w:t>equity raising costs being added to the RAB</w:t>
      </w:r>
      <w:r w:rsidR="00090F90" w:rsidRPr="00500715">
        <w:rPr>
          <w:rStyle w:val="AERbody"/>
        </w:rPr>
        <w:t>, adjustments for capitalised provisions</w:t>
      </w:r>
      <w:r w:rsidR="00500715">
        <w:rPr>
          <w:rStyle w:val="AERbody"/>
        </w:rPr>
        <w:t xml:space="preserve"> and disposals</w:t>
      </w:r>
      <w:r w:rsidR="006E1CA3">
        <w:rPr>
          <w:rStyle w:val="AERbody"/>
        </w:rPr>
        <w:t>.</w:t>
      </w:r>
      <w:r w:rsidR="006E1CA3">
        <w:rPr>
          <w:rStyle w:val="FootnoteReference"/>
        </w:rPr>
        <w:footnoteReference w:id="3"/>
      </w:r>
      <w:r w:rsidRPr="00500715">
        <w:rPr>
          <w:rStyle w:val="AERbody"/>
        </w:rPr>
        <w:t xml:space="preserve"> </w:t>
      </w:r>
      <w:r w:rsidR="00502CA7" w:rsidRPr="00502CA7">
        <w:rPr>
          <w:rStyle w:val="AERbody"/>
        </w:rPr>
        <w:t>Meters were reclassified as alternative control services</w:t>
      </w:r>
      <w:r w:rsidR="00DA158C">
        <w:rPr>
          <w:rStyle w:val="AERbody"/>
        </w:rPr>
        <w:t xml:space="preserve"> </w:t>
      </w:r>
      <w:r w:rsidR="00677CBE">
        <w:rPr>
          <w:rStyle w:val="AERbody"/>
        </w:rPr>
        <w:t xml:space="preserve">(ACS) </w:t>
      </w:r>
      <w:r w:rsidR="00DA158C">
        <w:rPr>
          <w:rStyle w:val="AERbody"/>
        </w:rPr>
        <w:t>as at 1 July 2015</w:t>
      </w:r>
      <w:r w:rsidR="00677CBE">
        <w:rPr>
          <w:rStyle w:val="AERbody"/>
        </w:rPr>
        <w:t xml:space="preserve">. </w:t>
      </w:r>
      <w:r w:rsidR="00A42655">
        <w:rPr>
          <w:rStyle w:val="AERbody"/>
        </w:rPr>
        <w:t>We have therefore removed m</w:t>
      </w:r>
      <w:r w:rsidR="00677CBE">
        <w:rPr>
          <w:rStyle w:val="AERbody"/>
        </w:rPr>
        <w:t>eters and other ACS assets</w:t>
      </w:r>
      <w:r w:rsidR="00677CBE" w:rsidRPr="00677CBE">
        <w:rPr>
          <w:rStyle w:val="AERbody"/>
        </w:rPr>
        <w:t xml:space="preserve"> </w:t>
      </w:r>
      <w:r w:rsidR="00677CBE">
        <w:rPr>
          <w:rStyle w:val="AERbody"/>
        </w:rPr>
        <w:t>as at 1 July 2015</w:t>
      </w:r>
      <w:r w:rsidR="00DA158C">
        <w:rPr>
          <w:rStyle w:val="AERbody"/>
        </w:rPr>
        <w:t>.</w:t>
      </w:r>
      <w:r w:rsidR="00502CA7" w:rsidRPr="00502CA7">
        <w:rPr>
          <w:rStyle w:val="AERbody"/>
        </w:rPr>
        <w:t xml:space="preserve"> </w:t>
      </w:r>
      <w:r w:rsidR="005952F2">
        <w:rPr>
          <w:rStyle w:val="AERbody"/>
        </w:rPr>
        <w:t>We have not added to the RAB t</w:t>
      </w:r>
      <w:r w:rsidR="00775842">
        <w:rPr>
          <w:rStyle w:val="AERbody"/>
        </w:rPr>
        <w:t xml:space="preserve">he unregulated Hayman Island undersea cable as proposed by Ergon Energy. </w:t>
      </w:r>
      <w:r w:rsidRPr="00500715">
        <w:rPr>
          <w:rStyle w:val="AERbody"/>
        </w:rPr>
        <w:t>Th</w:t>
      </w:r>
      <w:r w:rsidR="00090F90" w:rsidRPr="00500715">
        <w:rPr>
          <w:rStyle w:val="AERbody"/>
        </w:rPr>
        <w:t>ese changes</w:t>
      </w:r>
      <w:r w:rsidRPr="00500715">
        <w:rPr>
          <w:rStyle w:val="AERbody"/>
        </w:rPr>
        <w:t xml:space="preserve"> increased the opening RAB as at 1 July 2015 by $</w:t>
      </w:r>
      <w:r w:rsidR="00BB2989">
        <w:rPr>
          <w:rStyle w:val="AERbody"/>
        </w:rPr>
        <w:t>60.</w:t>
      </w:r>
      <w:r w:rsidR="00890AA2">
        <w:rPr>
          <w:rStyle w:val="AERbody"/>
        </w:rPr>
        <w:t>7</w:t>
      </w:r>
      <w:r w:rsidRPr="00500715">
        <w:rPr>
          <w:rStyle w:val="AERbody"/>
        </w:rPr>
        <w:t xml:space="preserve"> million (or </w:t>
      </w:r>
      <w:r w:rsidR="008A770D">
        <w:rPr>
          <w:rStyle w:val="AERbody"/>
        </w:rPr>
        <w:t>0.6</w:t>
      </w:r>
      <w:r w:rsidR="00BB2989" w:rsidRPr="00500715">
        <w:rPr>
          <w:rStyle w:val="AERbody"/>
        </w:rPr>
        <w:t xml:space="preserve"> </w:t>
      </w:r>
      <w:r w:rsidRPr="00500715">
        <w:rPr>
          <w:rStyle w:val="AERbody"/>
        </w:rPr>
        <w:t>per cent</w:t>
      </w:r>
      <w:r w:rsidRPr="00E05035">
        <w:t>)</w:t>
      </w:r>
      <w:r>
        <w:t xml:space="preserve"> compared to that proposed</w:t>
      </w:r>
      <w:r w:rsidR="00BB2989">
        <w:t>. It is the error in remaining asset lives that increases the RAB overall. All other adjustments decrease it compared to that proposed.</w:t>
      </w:r>
    </w:p>
    <w:p w:rsidR="000D3764" w:rsidRDefault="000D3764" w:rsidP="000D3764">
      <w:pPr>
        <w:numPr>
          <w:ilvl w:val="0"/>
          <w:numId w:val="25"/>
        </w:numPr>
      </w:pPr>
      <w:r w:rsidRPr="0091153D">
        <w:t>To determine the opening RAB as at 1 July 201</w:t>
      </w:r>
      <w:r>
        <w:t>5,</w:t>
      </w:r>
      <w:r w:rsidRPr="0091153D">
        <w:t xml:space="preserve"> we have rolled forward the RAB over the 20</w:t>
      </w:r>
      <w:r>
        <w:t>10</w:t>
      </w:r>
      <w:r w:rsidRPr="0091153D">
        <w:t>–1</w:t>
      </w:r>
      <w:r>
        <w:t>5</w:t>
      </w:r>
      <w:r w:rsidRPr="0091153D">
        <w:t xml:space="preserve"> regulatory control period to determine a closing RAB value at 30 June 201</w:t>
      </w:r>
      <w:r>
        <w:t>5</w:t>
      </w:r>
      <w:r w:rsidRPr="0091153D">
        <w:t xml:space="preserve">. </w:t>
      </w:r>
      <w:r>
        <w:t xml:space="preserve">This roll forward includes an adjustment at the end of the 2010–15 regulatory control period to account for the difference </w:t>
      </w:r>
      <w:r w:rsidRPr="00C45EFB">
        <w:t xml:space="preserve">between </w:t>
      </w:r>
      <w:r>
        <w:t xml:space="preserve">actual </w:t>
      </w:r>
      <w:r w:rsidRPr="00C45EFB">
        <w:t>20</w:t>
      </w:r>
      <w:r>
        <w:t>09–10</w:t>
      </w:r>
      <w:r w:rsidRPr="00C45EFB">
        <w:t xml:space="preserve"> capex</w:t>
      </w:r>
      <w:r>
        <w:t xml:space="preserve"> and the estimate approved at the 2010 determination.</w:t>
      </w:r>
      <w:r>
        <w:rPr>
          <w:rStyle w:val="FootnoteReference"/>
        </w:rPr>
        <w:footnoteReference w:id="4"/>
      </w:r>
      <w:r w:rsidR="006E1CA3">
        <w:t xml:space="preserve"> </w:t>
      </w:r>
    </w:p>
    <w:p w:rsidR="00206E39" w:rsidRDefault="00206E39" w:rsidP="00206E39">
      <w:pPr>
        <w:numPr>
          <w:ilvl w:val="0"/>
          <w:numId w:val="25"/>
        </w:numPr>
      </w:pPr>
      <w:r w:rsidRPr="00D904FE">
        <w:fldChar w:fldCharType="begin"/>
      </w:r>
      <w:r w:rsidRPr="00D904FE">
        <w:instrText xml:space="preserve"> REF _Ref406141567 \h </w:instrText>
      </w:r>
      <w:r w:rsidR="00D904FE" w:rsidRPr="00D904FE">
        <w:instrText xml:space="preserve"> \* MERGEFORMAT </w:instrText>
      </w:r>
      <w:r w:rsidRPr="00D904FE">
        <w:fldChar w:fldCharType="separate"/>
      </w:r>
      <w:r w:rsidR="00D904FE" w:rsidRPr="00D904FE">
        <w:t>Table 2.1</w:t>
      </w:r>
      <w:r w:rsidRPr="00D904FE">
        <w:fldChar w:fldCharType="end"/>
      </w:r>
      <w:r w:rsidRPr="00D904FE">
        <w:t xml:space="preserve"> sets out our preliminary decision on the roll forward of the RAB values for</w:t>
      </w:r>
      <w:r w:rsidRPr="002B4DA4">
        <w:t xml:space="preserve"> </w:t>
      </w:r>
      <w:r>
        <w:t>the</w:t>
      </w:r>
      <w:r w:rsidRPr="002B4DA4">
        <w:t xml:space="preserve"> 20</w:t>
      </w:r>
      <w:r>
        <w:t>10</w:t>
      </w:r>
      <w:r w:rsidRPr="002B4DA4">
        <w:t>–1</w:t>
      </w:r>
      <w:r>
        <w:t>5</w:t>
      </w:r>
      <w:r w:rsidRPr="002B4DA4">
        <w:t xml:space="preserve"> regulatory control period</w:t>
      </w:r>
      <w:r>
        <w:t>.</w:t>
      </w:r>
    </w:p>
    <w:p w:rsidR="005952F2" w:rsidRDefault="005952F2" w:rsidP="00206E39">
      <w:pPr>
        <w:numPr>
          <w:ilvl w:val="0"/>
          <w:numId w:val="25"/>
        </w:numPr>
      </w:pPr>
    </w:p>
    <w:p w:rsidR="00206E39" w:rsidRPr="00877D7D" w:rsidRDefault="00206E39" w:rsidP="00877D7D">
      <w:pPr>
        <w:pStyle w:val="Caption"/>
        <w:rPr>
          <w:rStyle w:val="Strong"/>
          <w:b/>
          <w:bCs/>
        </w:rPr>
      </w:pPr>
      <w:bookmarkStart w:id="13" w:name="_Ref406141567"/>
      <w:bookmarkStart w:id="14" w:name="_Ref406141561"/>
      <w:r w:rsidRPr="00877D7D">
        <w:rPr>
          <w:rStyle w:val="Strong"/>
          <w:b/>
          <w:bCs/>
        </w:rPr>
        <w:lastRenderedPageBreak/>
        <w:t xml:space="preserve">Table </w:t>
      </w:r>
      <w:r w:rsidR="00E9116B">
        <w:rPr>
          <w:rStyle w:val="Strong"/>
          <w:b/>
          <w:bCs/>
        </w:rPr>
        <w:fldChar w:fldCharType="begin"/>
      </w:r>
      <w:r w:rsidR="00E9116B">
        <w:rPr>
          <w:rStyle w:val="Strong"/>
          <w:b/>
          <w:bCs/>
        </w:rPr>
        <w:instrText xml:space="preserve"> STYLEREF 1 \s </w:instrText>
      </w:r>
      <w:r w:rsidR="00E9116B">
        <w:rPr>
          <w:rStyle w:val="Strong"/>
          <w:b/>
          <w:bCs/>
        </w:rPr>
        <w:fldChar w:fldCharType="separate"/>
      </w:r>
      <w:r w:rsidR="00D904FE">
        <w:rPr>
          <w:rStyle w:val="Strong"/>
          <w:b/>
          <w:bCs/>
          <w:noProof/>
        </w:rPr>
        <w:t>2</w:t>
      </w:r>
      <w:r w:rsidR="00E9116B">
        <w:rPr>
          <w:rStyle w:val="Strong"/>
          <w:b/>
          <w:bCs/>
        </w:rPr>
        <w:fldChar w:fldCharType="end"/>
      </w:r>
      <w:r w:rsidR="00E9116B">
        <w:rPr>
          <w:rStyle w:val="Strong"/>
          <w:b/>
          <w:bCs/>
        </w:rPr>
        <w:t>.</w:t>
      </w:r>
      <w:r w:rsidR="00E9116B">
        <w:rPr>
          <w:rStyle w:val="Strong"/>
          <w:b/>
          <w:bCs/>
        </w:rPr>
        <w:fldChar w:fldCharType="begin"/>
      </w:r>
      <w:r w:rsidR="00E9116B">
        <w:rPr>
          <w:rStyle w:val="Strong"/>
          <w:b/>
          <w:bCs/>
        </w:rPr>
        <w:instrText xml:space="preserve"> SEQ Table \* ARABIC \s 1 </w:instrText>
      </w:r>
      <w:r w:rsidR="00E9116B">
        <w:rPr>
          <w:rStyle w:val="Strong"/>
          <w:b/>
          <w:bCs/>
        </w:rPr>
        <w:fldChar w:fldCharType="separate"/>
      </w:r>
      <w:r w:rsidR="00D904FE">
        <w:rPr>
          <w:rStyle w:val="Strong"/>
          <w:b/>
          <w:bCs/>
          <w:noProof/>
        </w:rPr>
        <w:t>1</w:t>
      </w:r>
      <w:r w:rsidR="00E9116B">
        <w:rPr>
          <w:rStyle w:val="Strong"/>
          <w:b/>
          <w:bCs/>
        </w:rPr>
        <w:fldChar w:fldCharType="end"/>
      </w:r>
      <w:bookmarkEnd w:id="13"/>
      <w:r w:rsidRPr="00877D7D">
        <w:rPr>
          <w:rStyle w:val="Strong"/>
          <w:b/>
          <w:bCs/>
        </w:rPr>
        <w:tab/>
        <w:t xml:space="preserve">AER's preliminary decision on </w:t>
      </w:r>
      <w:r w:rsidR="00090F90" w:rsidRPr="00877D7D">
        <w:rPr>
          <w:rStyle w:val="Strong"/>
          <w:b/>
          <w:bCs/>
        </w:rPr>
        <w:t>Ergon Energ</w:t>
      </w:r>
      <w:r w:rsidR="00650427">
        <w:rPr>
          <w:rStyle w:val="Strong"/>
        </w:rPr>
        <w:t>y</w:t>
      </w:r>
      <w:r w:rsidR="00090F90" w:rsidRPr="00877D7D">
        <w:rPr>
          <w:rStyle w:val="Strong"/>
          <w:b/>
          <w:bCs/>
        </w:rPr>
        <w:t>'s</w:t>
      </w:r>
      <w:r w:rsidRPr="00877D7D">
        <w:rPr>
          <w:rStyle w:val="Strong"/>
          <w:b/>
          <w:bCs/>
        </w:rPr>
        <w:t xml:space="preserve"> RAB for the 2010–15 regulatory control period ($ million, nominal)</w:t>
      </w:r>
      <w:bookmarkEnd w:id="14"/>
    </w:p>
    <w:tbl>
      <w:tblPr>
        <w:tblStyle w:val="AERtable-numbers"/>
        <w:tblW w:w="5000" w:type="pct"/>
        <w:tblLook w:val="04A0" w:firstRow="1" w:lastRow="0" w:firstColumn="1" w:lastColumn="0" w:noHBand="0" w:noVBand="1"/>
      </w:tblPr>
      <w:tblGrid>
        <w:gridCol w:w="3876"/>
        <w:gridCol w:w="967"/>
        <w:gridCol w:w="963"/>
        <w:gridCol w:w="963"/>
        <w:gridCol w:w="963"/>
        <w:gridCol w:w="961"/>
      </w:tblGrid>
      <w:tr w:rsidR="00586AD0" w:rsidRPr="00F10B24" w:rsidTr="008A77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206E39" w:rsidRPr="00F10B24" w:rsidRDefault="00206E39" w:rsidP="00F10B24">
            <w:r w:rsidRPr="00F10B24">
              <w:t> </w:t>
            </w:r>
          </w:p>
        </w:tc>
        <w:tc>
          <w:tcPr>
            <w:tcW w:w="556" w:type="pct"/>
            <w:noWrap/>
            <w:hideMark/>
          </w:tcPr>
          <w:p w:rsidR="00206E39" w:rsidRPr="00F10B24" w:rsidRDefault="00206E39" w:rsidP="00F10B24">
            <w:pPr>
              <w:cnfStyle w:val="100000000000" w:firstRow="1" w:lastRow="0" w:firstColumn="0" w:lastColumn="0" w:oddVBand="0" w:evenVBand="0" w:oddHBand="0" w:evenHBand="0" w:firstRowFirstColumn="0" w:firstRowLastColumn="0" w:lastRowFirstColumn="0" w:lastRowLastColumn="0"/>
            </w:pPr>
            <w:r w:rsidRPr="00F10B24">
              <w:t>2010–11</w:t>
            </w:r>
          </w:p>
        </w:tc>
        <w:tc>
          <w:tcPr>
            <w:tcW w:w="554" w:type="pct"/>
            <w:noWrap/>
            <w:hideMark/>
          </w:tcPr>
          <w:p w:rsidR="00206E39" w:rsidRPr="00F10B24" w:rsidRDefault="00206E39" w:rsidP="00F10B24">
            <w:pPr>
              <w:cnfStyle w:val="100000000000" w:firstRow="1" w:lastRow="0" w:firstColumn="0" w:lastColumn="0" w:oddVBand="0" w:evenVBand="0" w:oddHBand="0" w:evenHBand="0" w:firstRowFirstColumn="0" w:firstRowLastColumn="0" w:lastRowFirstColumn="0" w:lastRowLastColumn="0"/>
            </w:pPr>
            <w:r w:rsidRPr="00F10B24">
              <w:t>2011–12</w:t>
            </w:r>
          </w:p>
        </w:tc>
        <w:tc>
          <w:tcPr>
            <w:tcW w:w="554" w:type="pct"/>
            <w:noWrap/>
            <w:hideMark/>
          </w:tcPr>
          <w:p w:rsidR="00206E39" w:rsidRPr="00F10B24" w:rsidRDefault="00206E39" w:rsidP="00F10B24">
            <w:pPr>
              <w:cnfStyle w:val="100000000000" w:firstRow="1" w:lastRow="0" w:firstColumn="0" w:lastColumn="0" w:oddVBand="0" w:evenVBand="0" w:oddHBand="0" w:evenHBand="0" w:firstRowFirstColumn="0" w:firstRowLastColumn="0" w:lastRowFirstColumn="0" w:lastRowLastColumn="0"/>
            </w:pPr>
            <w:r w:rsidRPr="00F10B24">
              <w:t>2012–13</w:t>
            </w:r>
          </w:p>
        </w:tc>
        <w:tc>
          <w:tcPr>
            <w:tcW w:w="554" w:type="pct"/>
            <w:noWrap/>
            <w:hideMark/>
          </w:tcPr>
          <w:p w:rsidR="00206E39" w:rsidRPr="00F10B24" w:rsidRDefault="00206E39" w:rsidP="00F10B24">
            <w:pPr>
              <w:cnfStyle w:val="100000000000" w:firstRow="1" w:lastRow="0" w:firstColumn="0" w:lastColumn="0" w:oddVBand="0" w:evenVBand="0" w:oddHBand="0" w:evenHBand="0" w:firstRowFirstColumn="0" w:firstRowLastColumn="0" w:lastRowFirstColumn="0" w:lastRowLastColumn="0"/>
            </w:pPr>
            <w:r w:rsidRPr="00F10B24">
              <w:t>2013–14</w:t>
            </w:r>
          </w:p>
        </w:tc>
        <w:tc>
          <w:tcPr>
            <w:tcW w:w="554" w:type="pct"/>
            <w:noWrap/>
            <w:hideMark/>
          </w:tcPr>
          <w:p w:rsidR="00206E39" w:rsidRPr="00F10B24" w:rsidRDefault="00206E39" w:rsidP="00F10B24">
            <w:pPr>
              <w:cnfStyle w:val="100000000000" w:firstRow="1" w:lastRow="0" w:firstColumn="0" w:lastColumn="0" w:oddVBand="0" w:evenVBand="0" w:oddHBand="0" w:evenHBand="0" w:firstRowFirstColumn="0" w:firstRowLastColumn="0" w:lastRowFirstColumn="0" w:lastRowLastColumn="0"/>
            </w:pPr>
            <w:r w:rsidRPr="00F10B24">
              <w:t>2014–15</w:t>
            </w:r>
            <w:r w:rsidRPr="00F10B24">
              <w:rPr>
                <w:rStyle w:val="AERsuperscript"/>
              </w:rPr>
              <w:t>a</w:t>
            </w:r>
          </w:p>
        </w:tc>
      </w:tr>
      <w:tr w:rsidR="008A770D" w:rsidRPr="00F10B24" w:rsidTr="008A770D">
        <w:trPr>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8A770D" w:rsidRPr="008A770D" w:rsidRDefault="008A770D" w:rsidP="008A770D">
            <w:r w:rsidRPr="008A770D">
              <w:t>Opening RAB</w:t>
            </w:r>
          </w:p>
        </w:tc>
        <w:tc>
          <w:tcPr>
            <w:tcW w:w="556"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7148.9</w:t>
            </w:r>
          </w:p>
        </w:tc>
        <w:tc>
          <w:tcPr>
            <w:tcW w:w="554"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7870.5</w:t>
            </w:r>
          </w:p>
        </w:tc>
        <w:tc>
          <w:tcPr>
            <w:tcW w:w="554"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8393.0</w:t>
            </w:r>
          </w:p>
        </w:tc>
        <w:tc>
          <w:tcPr>
            <w:tcW w:w="554"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9072.3</w:t>
            </w:r>
          </w:p>
        </w:tc>
        <w:tc>
          <w:tcPr>
            <w:tcW w:w="554"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9681.3</w:t>
            </w:r>
          </w:p>
        </w:tc>
      </w:tr>
      <w:tr w:rsidR="008A770D" w:rsidRPr="00F10B24" w:rsidTr="008A77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8A770D" w:rsidRPr="008A770D" w:rsidRDefault="008A770D" w:rsidP="008A770D">
            <w:r w:rsidRPr="008A770D">
              <w:t>Capital expenditure</w:t>
            </w:r>
            <w:r w:rsidRPr="008A770D">
              <w:rPr>
                <w:rStyle w:val="AERsuperscript"/>
              </w:rPr>
              <w:t>b</w:t>
            </w:r>
          </w:p>
        </w:tc>
        <w:tc>
          <w:tcPr>
            <w:tcW w:w="556" w:type="pct"/>
            <w:noWrap/>
            <w:vAlign w:val="top"/>
          </w:tcPr>
          <w:p w:rsidR="008A770D" w:rsidRPr="008A770D" w:rsidRDefault="008A770D" w:rsidP="008A770D">
            <w:pPr>
              <w:cnfStyle w:val="000000010000" w:firstRow="0" w:lastRow="0" w:firstColumn="0" w:lastColumn="0" w:oddVBand="0" w:evenVBand="0" w:oddHBand="0" w:evenHBand="1" w:firstRowFirstColumn="0" w:firstRowLastColumn="0" w:lastRowFirstColumn="0" w:lastRowLastColumn="0"/>
            </w:pPr>
            <w:r w:rsidRPr="008A770D">
              <w:t>809.5</w:t>
            </w:r>
          </w:p>
        </w:tc>
        <w:tc>
          <w:tcPr>
            <w:tcW w:w="554" w:type="pct"/>
            <w:noWrap/>
            <w:vAlign w:val="top"/>
          </w:tcPr>
          <w:p w:rsidR="008A770D" w:rsidRPr="008A770D" w:rsidRDefault="008A770D" w:rsidP="008A770D">
            <w:pPr>
              <w:cnfStyle w:val="000000010000" w:firstRow="0" w:lastRow="0" w:firstColumn="0" w:lastColumn="0" w:oddVBand="0" w:evenVBand="0" w:oddHBand="0" w:evenHBand="1" w:firstRowFirstColumn="0" w:firstRowLastColumn="0" w:lastRowFirstColumn="0" w:lastRowLastColumn="0"/>
            </w:pPr>
            <w:r w:rsidRPr="008A770D">
              <w:t>748.3</w:t>
            </w:r>
          </w:p>
        </w:tc>
        <w:tc>
          <w:tcPr>
            <w:tcW w:w="554" w:type="pct"/>
            <w:noWrap/>
            <w:vAlign w:val="top"/>
          </w:tcPr>
          <w:p w:rsidR="008A770D" w:rsidRPr="008A770D" w:rsidRDefault="008A770D" w:rsidP="008A770D">
            <w:pPr>
              <w:cnfStyle w:val="000000010000" w:firstRow="0" w:lastRow="0" w:firstColumn="0" w:lastColumn="0" w:oddVBand="0" w:evenVBand="0" w:oddHBand="0" w:evenHBand="1" w:firstRowFirstColumn="0" w:firstRowLastColumn="0" w:lastRowFirstColumn="0" w:lastRowLastColumn="0"/>
            </w:pPr>
            <w:r w:rsidRPr="008A770D">
              <w:t>836.5</w:t>
            </w:r>
          </w:p>
        </w:tc>
        <w:tc>
          <w:tcPr>
            <w:tcW w:w="554" w:type="pct"/>
            <w:noWrap/>
            <w:vAlign w:val="top"/>
          </w:tcPr>
          <w:p w:rsidR="008A770D" w:rsidRPr="008A770D" w:rsidRDefault="008A770D" w:rsidP="008A770D">
            <w:pPr>
              <w:cnfStyle w:val="000000010000" w:firstRow="0" w:lastRow="0" w:firstColumn="0" w:lastColumn="0" w:oddVBand="0" w:evenVBand="0" w:oddHBand="0" w:evenHBand="1" w:firstRowFirstColumn="0" w:firstRowLastColumn="0" w:lastRowFirstColumn="0" w:lastRowLastColumn="0"/>
            </w:pPr>
            <w:r w:rsidRPr="008A770D">
              <w:t>743.8</w:t>
            </w:r>
          </w:p>
        </w:tc>
        <w:tc>
          <w:tcPr>
            <w:tcW w:w="554" w:type="pct"/>
            <w:noWrap/>
            <w:vAlign w:val="top"/>
          </w:tcPr>
          <w:p w:rsidR="008A770D" w:rsidRPr="008A770D" w:rsidRDefault="008A770D" w:rsidP="008A770D">
            <w:pPr>
              <w:cnfStyle w:val="000000010000" w:firstRow="0" w:lastRow="0" w:firstColumn="0" w:lastColumn="0" w:oddVBand="0" w:evenVBand="0" w:oddHBand="0" w:evenHBand="1" w:firstRowFirstColumn="0" w:firstRowLastColumn="0" w:lastRowFirstColumn="0" w:lastRowLastColumn="0"/>
            </w:pPr>
            <w:r w:rsidRPr="008A770D">
              <w:t>885.9</w:t>
            </w:r>
          </w:p>
        </w:tc>
      </w:tr>
      <w:tr w:rsidR="008A770D" w:rsidRPr="00F10B24" w:rsidTr="008A770D">
        <w:trPr>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8A770D" w:rsidRPr="008A770D" w:rsidRDefault="008A770D" w:rsidP="008A770D">
            <w:r w:rsidRPr="008A770D">
              <w:t>Inflation indexation on opening RAB</w:t>
            </w:r>
          </w:p>
        </w:tc>
        <w:tc>
          <w:tcPr>
            <w:tcW w:w="556"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238.3</w:t>
            </w:r>
          </w:p>
        </w:tc>
        <w:tc>
          <w:tcPr>
            <w:tcW w:w="554"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124.7</w:t>
            </w:r>
          </w:p>
        </w:tc>
        <w:tc>
          <w:tcPr>
            <w:tcW w:w="554"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210.0</w:t>
            </w:r>
          </w:p>
        </w:tc>
        <w:tc>
          <w:tcPr>
            <w:tcW w:w="554"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265.8</w:t>
            </w:r>
          </w:p>
        </w:tc>
        <w:tc>
          <w:tcPr>
            <w:tcW w:w="554"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217.8</w:t>
            </w:r>
          </w:p>
        </w:tc>
      </w:tr>
      <w:tr w:rsidR="008A770D" w:rsidRPr="00F10B24" w:rsidTr="008A77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8A770D" w:rsidRPr="008A770D" w:rsidRDefault="008A770D" w:rsidP="008A770D">
            <w:r w:rsidRPr="008A770D">
              <w:rPr>
                <w:rStyle w:val="AERtextitalic"/>
              </w:rPr>
              <w:t>Less</w:t>
            </w:r>
            <w:r w:rsidRPr="008A770D">
              <w:t>: straight-line depreciation</w:t>
            </w:r>
          </w:p>
        </w:tc>
        <w:tc>
          <w:tcPr>
            <w:tcW w:w="556" w:type="pct"/>
            <w:noWrap/>
            <w:vAlign w:val="top"/>
          </w:tcPr>
          <w:p w:rsidR="008A770D" w:rsidRPr="008A770D" w:rsidRDefault="008A770D" w:rsidP="008A770D">
            <w:pPr>
              <w:cnfStyle w:val="000000010000" w:firstRow="0" w:lastRow="0" w:firstColumn="0" w:lastColumn="0" w:oddVBand="0" w:evenVBand="0" w:oddHBand="0" w:evenHBand="1" w:firstRowFirstColumn="0" w:firstRowLastColumn="0" w:lastRowFirstColumn="0" w:lastRowLastColumn="0"/>
            </w:pPr>
            <w:r w:rsidRPr="008A770D">
              <w:t>326.3</w:t>
            </w:r>
          </w:p>
        </w:tc>
        <w:tc>
          <w:tcPr>
            <w:tcW w:w="554" w:type="pct"/>
            <w:noWrap/>
            <w:vAlign w:val="top"/>
          </w:tcPr>
          <w:p w:rsidR="008A770D" w:rsidRPr="008A770D" w:rsidRDefault="008A770D" w:rsidP="008A770D">
            <w:pPr>
              <w:cnfStyle w:val="000000010000" w:firstRow="0" w:lastRow="0" w:firstColumn="0" w:lastColumn="0" w:oddVBand="0" w:evenVBand="0" w:oddHBand="0" w:evenHBand="1" w:firstRowFirstColumn="0" w:firstRowLastColumn="0" w:lastRowFirstColumn="0" w:lastRowLastColumn="0"/>
            </w:pPr>
            <w:r w:rsidRPr="008A770D">
              <w:t>350.5</w:t>
            </w:r>
          </w:p>
        </w:tc>
        <w:tc>
          <w:tcPr>
            <w:tcW w:w="554" w:type="pct"/>
            <w:noWrap/>
            <w:vAlign w:val="top"/>
          </w:tcPr>
          <w:p w:rsidR="008A770D" w:rsidRPr="008A770D" w:rsidRDefault="008A770D" w:rsidP="008A770D">
            <w:pPr>
              <w:cnfStyle w:val="000000010000" w:firstRow="0" w:lastRow="0" w:firstColumn="0" w:lastColumn="0" w:oddVBand="0" w:evenVBand="0" w:oddHBand="0" w:evenHBand="1" w:firstRowFirstColumn="0" w:firstRowLastColumn="0" w:lastRowFirstColumn="0" w:lastRowLastColumn="0"/>
            </w:pPr>
            <w:r w:rsidRPr="008A770D">
              <w:t>367.2</w:t>
            </w:r>
          </w:p>
        </w:tc>
        <w:tc>
          <w:tcPr>
            <w:tcW w:w="554" w:type="pct"/>
            <w:noWrap/>
            <w:vAlign w:val="top"/>
          </w:tcPr>
          <w:p w:rsidR="008A770D" w:rsidRPr="008A770D" w:rsidRDefault="008A770D" w:rsidP="008A770D">
            <w:pPr>
              <w:cnfStyle w:val="000000010000" w:firstRow="0" w:lastRow="0" w:firstColumn="0" w:lastColumn="0" w:oddVBand="0" w:evenVBand="0" w:oddHBand="0" w:evenHBand="1" w:firstRowFirstColumn="0" w:firstRowLastColumn="0" w:lastRowFirstColumn="0" w:lastRowLastColumn="0"/>
            </w:pPr>
            <w:r w:rsidRPr="008A770D">
              <w:t>400.5</w:t>
            </w:r>
          </w:p>
        </w:tc>
        <w:tc>
          <w:tcPr>
            <w:tcW w:w="554" w:type="pct"/>
            <w:noWrap/>
            <w:vAlign w:val="top"/>
          </w:tcPr>
          <w:p w:rsidR="008A770D" w:rsidRPr="008A770D" w:rsidRDefault="008A770D" w:rsidP="008A770D">
            <w:pPr>
              <w:cnfStyle w:val="000000010000" w:firstRow="0" w:lastRow="0" w:firstColumn="0" w:lastColumn="0" w:oddVBand="0" w:evenVBand="0" w:oddHBand="0" w:evenHBand="1" w:firstRowFirstColumn="0" w:firstRowLastColumn="0" w:lastRowFirstColumn="0" w:lastRowLastColumn="0"/>
            </w:pPr>
            <w:r w:rsidRPr="008A770D">
              <w:t>397.2</w:t>
            </w:r>
          </w:p>
        </w:tc>
      </w:tr>
      <w:tr w:rsidR="008A770D" w:rsidRPr="00F10B24" w:rsidTr="008A770D">
        <w:trPr>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8A770D" w:rsidRPr="008A770D" w:rsidRDefault="008A770D" w:rsidP="008A770D">
            <w:r w:rsidRPr="008A770D">
              <w:t>Closing RAB</w:t>
            </w:r>
          </w:p>
        </w:tc>
        <w:tc>
          <w:tcPr>
            <w:tcW w:w="556"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7870.5</w:t>
            </w:r>
          </w:p>
        </w:tc>
        <w:tc>
          <w:tcPr>
            <w:tcW w:w="554"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8393.0</w:t>
            </w:r>
          </w:p>
        </w:tc>
        <w:tc>
          <w:tcPr>
            <w:tcW w:w="554"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9072.3</w:t>
            </w:r>
          </w:p>
        </w:tc>
        <w:tc>
          <w:tcPr>
            <w:tcW w:w="554"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9681.3</w:t>
            </w:r>
          </w:p>
        </w:tc>
        <w:tc>
          <w:tcPr>
            <w:tcW w:w="554" w:type="pct"/>
            <w:noWrap/>
            <w:vAlign w:val="top"/>
          </w:tcPr>
          <w:p w:rsidR="008A770D" w:rsidRPr="008A770D" w:rsidRDefault="008A770D" w:rsidP="008A770D">
            <w:pPr>
              <w:cnfStyle w:val="000000000000" w:firstRow="0" w:lastRow="0" w:firstColumn="0" w:lastColumn="0" w:oddVBand="0" w:evenVBand="0" w:oddHBand="0" w:evenHBand="0" w:firstRowFirstColumn="0" w:firstRowLastColumn="0" w:lastRowFirstColumn="0" w:lastRowLastColumn="0"/>
            </w:pPr>
            <w:r w:rsidRPr="008A770D">
              <w:t>10387.9</w:t>
            </w:r>
          </w:p>
        </w:tc>
      </w:tr>
      <w:tr w:rsidR="00586AD0" w:rsidRPr="00F10B24" w:rsidTr="008A77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9" w:type="pct"/>
            <w:hideMark/>
          </w:tcPr>
          <w:p w:rsidR="00090F90" w:rsidRPr="00F10B24" w:rsidRDefault="00090F90" w:rsidP="00F10B24">
            <w:r w:rsidRPr="00F10B24">
              <w:t xml:space="preserve">Difference between estimated and actual capex </w:t>
            </w:r>
            <w:r w:rsidR="00154C51" w:rsidRPr="00F10B24">
              <w:br/>
            </w:r>
            <w:r w:rsidRPr="00F10B24">
              <w:t>(1 July 2009 to 30 June 2010)</w:t>
            </w:r>
          </w:p>
        </w:tc>
        <w:tc>
          <w:tcPr>
            <w:tcW w:w="556" w:type="pct"/>
            <w:noWrap/>
            <w:vAlign w:val="bottom"/>
            <w:hideMark/>
          </w:tcPr>
          <w:p w:rsidR="00090F90" w:rsidRPr="00F10B24" w:rsidRDefault="00090F90" w:rsidP="00F10B24">
            <w:pPr>
              <w:cnfStyle w:val="000000010000" w:firstRow="0" w:lastRow="0" w:firstColumn="0" w:lastColumn="0" w:oddVBand="0" w:evenVBand="0" w:oddHBand="0" w:evenHBand="1" w:firstRowFirstColumn="0" w:firstRowLastColumn="0" w:lastRowFirstColumn="0" w:lastRowLastColumn="0"/>
            </w:pPr>
          </w:p>
        </w:tc>
        <w:tc>
          <w:tcPr>
            <w:tcW w:w="554" w:type="pct"/>
            <w:noWrap/>
            <w:vAlign w:val="bottom"/>
            <w:hideMark/>
          </w:tcPr>
          <w:p w:rsidR="00090F90" w:rsidRPr="00F10B24" w:rsidRDefault="00090F90" w:rsidP="00F10B24">
            <w:pPr>
              <w:cnfStyle w:val="000000010000" w:firstRow="0" w:lastRow="0" w:firstColumn="0" w:lastColumn="0" w:oddVBand="0" w:evenVBand="0" w:oddHBand="0" w:evenHBand="1" w:firstRowFirstColumn="0" w:firstRowLastColumn="0" w:lastRowFirstColumn="0" w:lastRowLastColumn="0"/>
            </w:pPr>
          </w:p>
        </w:tc>
        <w:tc>
          <w:tcPr>
            <w:tcW w:w="554" w:type="pct"/>
            <w:noWrap/>
            <w:vAlign w:val="bottom"/>
            <w:hideMark/>
          </w:tcPr>
          <w:p w:rsidR="00090F90" w:rsidRPr="00F10B24" w:rsidRDefault="00090F90" w:rsidP="00F10B24">
            <w:pPr>
              <w:cnfStyle w:val="000000010000" w:firstRow="0" w:lastRow="0" w:firstColumn="0" w:lastColumn="0" w:oddVBand="0" w:evenVBand="0" w:oddHBand="0" w:evenHBand="1" w:firstRowFirstColumn="0" w:firstRowLastColumn="0" w:lastRowFirstColumn="0" w:lastRowLastColumn="0"/>
            </w:pPr>
            <w:r w:rsidRPr="00F10B24">
              <w:t> </w:t>
            </w:r>
          </w:p>
        </w:tc>
        <w:tc>
          <w:tcPr>
            <w:tcW w:w="554" w:type="pct"/>
            <w:noWrap/>
            <w:vAlign w:val="bottom"/>
            <w:hideMark/>
          </w:tcPr>
          <w:p w:rsidR="00090F90" w:rsidRPr="00F10B24" w:rsidRDefault="00090F90" w:rsidP="00F10B24">
            <w:pPr>
              <w:cnfStyle w:val="000000010000" w:firstRow="0" w:lastRow="0" w:firstColumn="0" w:lastColumn="0" w:oddVBand="0" w:evenVBand="0" w:oddHBand="0" w:evenHBand="1" w:firstRowFirstColumn="0" w:firstRowLastColumn="0" w:lastRowFirstColumn="0" w:lastRowLastColumn="0"/>
            </w:pPr>
            <w:r w:rsidRPr="00F10B24">
              <w:t> </w:t>
            </w:r>
          </w:p>
        </w:tc>
        <w:tc>
          <w:tcPr>
            <w:tcW w:w="554" w:type="pct"/>
            <w:noWrap/>
            <w:vAlign w:val="top"/>
          </w:tcPr>
          <w:p w:rsidR="00090F90" w:rsidRPr="00F10B24" w:rsidRDefault="006E1CA3" w:rsidP="00F10B24">
            <w:pPr>
              <w:cnfStyle w:val="000000010000" w:firstRow="0" w:lastRow="0" w:firstColumn="0" w:lastColumn="0" w:oddVBand="0" w:evenVBand="0" w:oddHBand="0" w:evenHBand="1" w:firstRowFirstColumn="0" w:firstRowLastColumn="0" w:lastRowFirstColumn="0" w:lastRowLastColumn="0"/>
            </w:pPr>
            <w:r w:rsidRPr="00F10B24">
              <w:t>–132.8</w:t>
            </w:r>
          </w:p>
        </w:tc>
      </w:tr>
      <w:tr w:rsidR="00090F90" w:rsidRPr="00F10B24" w:rsidTr="008A770D">
        <w:trPr>
          <w:trHeight w:val="300"/>
        </w:trPr>
        <w:tc>
          <w:tcPr>
            <w:cnfStyle w:val="001000000000" w:firstRow="0" w:lastRow="0" w:firstColumn="1" w:lastColumn="0" w:oddVBand="0" w:evenVBand="0" w:oddHBand="0" w:evenHBand="0" w:firstRowFirstColumn="0" w:firstRowLastColumn="0" w:lastRowFirstColumn="0" w:lastRowLastColumn="0"/>
            <w:tcW w:w="2229" w:type="pct"/>
            <w:hideMark/>
          </w:tcPr>
          <w:p w:rsidR="00090F90" w:rsidRPr="00F10B24" w:rsidRDefault="00090F90" w:rsidP="00F10B24">
            <w:r w:rsidRPr="00F10B24">
              <w:t>Return on difference for 2009–10 capex</w:t>
            </w:r>
          </w:p>
        </w:tc>
        <w:tc>
          <w:tcPr>
            <w:tcW w:w="556" w:type="pct"/>
            <w:noWrap/>
            <w:vAlign w:val="bottom"/>
            <w:hideMark/>
          </w:tcPr>
          <w:p w:rsidR="00090F90" w:rsidRPr="00F10B24" w:rsidRDefault="00090F90" w:rsidP="00F10B24">
            <w:pPr>
              <w:cnfStyle w:val="000000000000" w:firstRow="0" w:lastRow="0" w:firstColumn="0" w:lastColumn="0" w:oddVBand="0" w:evenVBand="0" w:oddHBand="0" w:evenHBand="0" w:firstRowFirstColumn="0" w:firstRowLastColumn="0" w:lastRowFirstColumn="0" w:lastRowLastColumn="0"/>
            </w:pPr>
          </w:p>
        </w:tc>
        <w:tc>
          <w:tcPr>
            <w:tcW w:w="554" w:type="pct"/>
            <w:noWrap/>
            <w:vAlign w:val="bottom"/>
            <w:hideMark/>
          </w:tcPr>
          <w:p w:rsidR="00090F90" w:rsidRPr="00F10B24" w:rsidRDefault="00090F90" w:rsidP="00F10B24">
            <w:pPr>
              <w:cnfStyle w:val="000000000000" w:firstRow="0" w:lastRow="0" w:firstColumn="0" w:lastColumn="0" w:oddVBand="0" w:evenVBand="0" w:oddHBand="0" w:evenHBand="0" w:firstRowFirstColumn="0" w:firstRowLastColumn="0" w:lastRowFirstColumn="0" w:lastRowLastColumn="0"/>
            </w:pPr>
          </w:p>
        </w:tc>
        <w:tc>
          <w:tcPr>
            <w:tcW w:w="554" w:type="pct"/>
            <w:noWrap/>
            <w:vAlign w:val="bottom"/>
            <w:hideMark/>
          </w:tcPr>
          <w:p w:rsidR="00090F90" w:rsidRPr="00F10B24" w:rsidRDefault="00090F90" w:rsidP="00F10B24">
            <w:pPr>
              <w:cnfStyle w:val="000000000000" w:firstRow="0" w:lastRow="0" w:firstColumn="0" w:lastColumn="0" w:oddVBand="0" w:evenVBand="0" w:oddHBand="0" w:evenHBand="0" w:firstRowFirstColumn="0" w:firstRowLastColumn="0" w:lastRowFirstColumn="0" w:lastRowLastColumn="0"/>
            </w:pPr>
          </w:p>
        </w:tc>
        <w:tc>
          <w:tcPr>
            <w:tcW w:w="554" w:type="pct"/>
            <w:noWrap/>
            <w:vAlign w:val="bottom"/>
            <w:hideMark/>
          </w:tcPr>
          <w:p w:rsidR="00090F90" w:rsidRPr="00F10B24" w:rsidRDefault="00090F90" w:rsidP="00F10B24">
            <w:pPr>
              <w:cnfStyle w:val="000000000000" w:firstRow="0" w:lastRow="0" w:firstColumn="0" w:lastColumn="0" w:oddVBand="0" w:evenVBand="0" w:oddHBand="0" w:evenHBand="0" w:firstRowFirstColumn="0" w:firstRowLastColumn="0" w:lastRowFirstColumn="0" w:lastRowLastColumn="0"/>
            </w:pPr>
          </w:p>
        </w:tc>
        <w:tc>
          <w:tcPr>
            <w:tcW w:w="554" w:type="pct"/>
            <w:noWrap/>
            <w:vAlign w:val="top"/>
          </w:tcPr>
          <w:p w:rsidR="00090F90" w:rsidRPr="00F10B24" w:rsidRDefault="006E1CA3" w:rsidP="00F10B24">
            <w:pPr>
              <w:cnfStyle w:val="000000000000" w:firstRow="0" w:lastRow="0" w:firstColumn="0" w:lastColumn="0" w:oddVBand="0" w:evenVBand="0" w:oddHBand="0" w:evenHBand="0" w:firstRowFirstColumn="0" w:firstRowLastColumn="0" w:lastRowFirstColumn="0" w:lastRowLastColumn="0"/>
            </w:pPr>
            <w:r w:rsidRPr="00F10B24">
              <w:t>–78.3</w:t>
            </w:r>
          </w:p>
        </w:tc>
      </w:tr>
      <w:tr w:rsidR="00586AD0" w:rsidRPr="00F10B24" w:rsidTr="008A77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9" w:type="pct"/>
            <w:noWrap/>
            <w:hideMark/>
          </w:tcPr>
          <w:p w:rsidR="00090F90" w:rsidRPr="00F10B24" w:rsidRDefault="00090F90" w:rsidP="00F10B24">
            <w:r w:rsidRPr="00F10B24">
              <w:t>Closing RAB as at 30 June 2015</w:t>
            </w:r>
          </w:p>
        </w:tc>
        <w:tc>
          <w:tcPr>
            <w:tcW w:w="556" w:type="pct"/>
            <w:noWrap/>
            <w:vAlign w:val="bottom"/>
            <w:hideMark/>
          </w:tcPr>
          <w:p w:rsidR="00090F90" w:rsidRPr="00F10B24" w:rsidRDefault="00090F90" w:rsidP="00F10B24">
            <w:pPr>
              <w:cnfStyle w:val="000000010000" w:firstRow="0" w:lastRow="0" w:firstColumn="0" w:lastColumn="0" w:oddVBand="0" w:evenVBand="0" w:oddHBand="0" w:evenHBand="1" w:firstRowFirstColumn="0" w:firstRowLastColumn="0" w:lastRowFirstColumn="0" w:lastRowLastColumn="0"/>
            </w:pPr>
          </w:p>
        </w:tc>
        <w:tc>
          <w:tcPr>
            <w:tcW w:w="554" w:type="pct"/>
            <w:noWrap/>
            <w:vAlign w:val="bottom"/>
            <w:hideMark/>
          </w:tcPr>
          <w:p w:rsidR="00090F90" w:rsidRPr="00F10B24" w:rsidRDefault="00090F90" w:rsidP="00F10B24">
            <w:pPr>
              <w:cnfStyle w:val="000000010000" w:firstRow="0" w:lastRow="0" w:firstColumn="0" w:lastColumn="0" w:oddVBand="0" w:evenVBand="0" w:oddHBand="0" w:evenHBand="1" w:firstRowFirstColumn="0" w:firstRowLastColumn="0" w:lastRowFirstColumn="0" w:lastRowLastColumn="0"/>
            </w:pPr>
          </w:p>
        </w:tc>
        <w:tc>
          <w:tcPr>
            <w:tcW w:w="554" w:type="pct"/>
            <w:noWrap/>
            <w:vAlign w:val="bottom"/>
            <w:hideMark/>
          </w:tcPr>
          <w:p w:rsidR="00090F90" w:rsidRPr="00F10B24" w:rsidRDefault="00090F90" w:rsidP="00F10B24">
            <w:pPr>
              <w:cnfStyle w:val="000000010000" w:firstRow="0" w:lastRow="0" w:firstColumn="0" w:lastColumn="0" w:oddVBand="0" w:evenVBand="0" w:oddHBand="0" w:evenHBand="1" w:firstRowFirstColumn="0" w:firstRowLastColumn="0" w:lastRowFirstColumn="0" w:lastRowLastColumn="0"/>
            </w:pPr>
          </w:p>
        </w:tc>
        <w:tc>
          <w:tcPr>
            <w:tcW w:w="554" w:type="pct"/>
            <w:noWrap/>
            <w:vAlign w:val="bottom"/>
            <w:hideMark/>
          </w:tcPr>
          <w:p w:rsidR="00090F90" w:rsidRPr="00F10B24" w:rsidRDefault="00090F90" w:rsidP="00F10B24">
            <w:pPr>
              <w:cnfStyle w:val="000000010000" w:firstRow="0" w:lastRow="0" w:firstColumn="0" w:lastColumn="0" w:oddVBand="0" w:evenVBand="0" w:oddHBand="0" w:evenHBand="1" w:firstRowFirstColumn="0" w:firstRowLastColumn="0" w:lastRowFirstColumn="0" w:lastRowLastColumn="0"/>
            </w:pPr>
          </w:p>
        </w:tc>
        <w:tc>
          <w:tcPr>
            <w:tcW w:w="554" w:type="pct"/>
            <w:noWrap/>
            <w:vAlign w:val="top"/>
          </w:tcPr>
          <w:p w:rsidR="00090F90" w:rsidRPr="00F10B24" w:rsidRDefault="008A770D" w:rsidP="00F10B24">
            <w:pPr>
              <w:cnfStyle w:val="000000010000" w:firstRow="0" w:lastRow="0" w:firstColumn="0" w:lastColumn="0" w:oddVBand="0" w:evenVBand="0" w:oddHBand="0" w:evenHBand="1" w:firstRowFirstColumn="0" w:firstRowLastColumn="0" w:lastRowFirstColumn="0" w:lastRowLastColumn="0"/>
            </w:pPr>
            <w:r w:rsidRPr="008A770D">
              <w:t>10176.8</w:t>
            </w:r>
          </w:p>
        </w:tc>
      </w:tr>
      <w:tr w:rsidR="00090F90" w:rsidRPr="00F10B24" w:rsidTr="008A770D">
        <w:trPr>
          <w:trHeight w:val="300"/>
        </w:trPr>
        <w:tc>
          <w:tcPr>
            <w:cnfStyle w:val="001000000000" w:firstRow="0" w:lastRow="0" w:firstColumn="1" w:lastColumn="0" w:oddVBand="0" w:evenVBand="0" w:oddHBand="0" w:evenHBand="0" w:firstRowFirstColumn="0" w:firstRowLastColumn="0" w:lastRowFirstColumn="0" w:lastRowLastColumn="0"/>
            <w:tcW w:w="2229" w:type="pct"/>
            <w:noWrap/>
            <w:vAlign w:val="top"/>
          </w:tcPr>
          <w:p w:rsidR="00090F90" w:rsidRPr="00F10B24" w:rsidRDefault="00090F90" w:rsidP="00F10B24">
            <w:r w:rsidRPr="00F10B24">
              <w:t>ACS</w:t>
            </w:r>
            <w:r w:rsidR="00586AD0" w:rsidRPr="00F10B24">
              <w:t xml:space="preserve"> (</w:t>
            </w:r>
            <w:r w:rsidR="00154C51" w:rsidRPr="00F10B24">
              <w:t>m</w:t>
            </w:r>
            <w:r w:rsidR="00586AD0" w:rsidRPr="00F10B24">
              <w:t>etering and other)</w:t>
            </w:r>
            <w:r w:rsidR="00502CA7" w:rsidRPr="00F10B24">
              <w:t xml:space="preserve"> assets removed</w:t>
            </w:r>
          </w:p>
        </w:tc>
        <w:tc>
          <w:tcPr>
            <w:tcW w:w="556" w:type="pct"/>
            <w:noWrap/>
            <w:vAlign w:val="bottom"/>
          </w:tcPr>
          <w:p w:rsidR="00090F90" w:rsidRPr="00F10B24" w:rsidRDefault="00090F90" w:rsidP="00F10B24">
            <w:pPr>
              <w:cnfStyle w:val="000000000000" w:firstRow="0" w:lastRow="0" w:firstColumn="0" w:lastColumn="0" w:oddVBand="0" w:evenVBand="0" w:oddHBand="0" w:evenHBand="0" w:firstRowFirstColumn="0" w:firstRowLastColumn="0" w:lastRowFirstColumn="0" w:lastRowLastColumn="0"/>
            </w:pPr>
          </w:p>
        </w:tc>
        <w:tc>
          <w:tcPr>
            <w:tcW w:w="554" w:type="pct"/>
            <w:noWrap/>
            <w:vAlign w:val="bottom"/>
          </w:tcPr>
          <w:p w:rsidR="00090F90" w:rsidRPr="00F10B24" w:rsidRDefault="00090F90" w:rsidP="00F10B24">
            <w:pPr>
              <w:cnfStyle w:val="000000000000" w:firstRow="0" w:lastRow="0" w:firstColumn="0" w:lastColumn="0" w:oddVBand="0" w:evenVBand="0" w:oddHBand="0" w:evenHBand="0" w:firstRowFirstColumn="0" w:firstRowLastColumn="0" w:lastRowFirstColumn="0" w:lastRowLastColumn="0"/>
            </w:pPr>
          </w:p>
        </w:tc>
        <w:tc>
          <w:tcPr>
            <w:tcW w:w="554" w:type="pct"/>
            <w:noWrap/>
            <w:vAlign w:val="bottom"/>
          </w:tcPr>
          <w:p w:rsidR="00090F90" w:rsidRPr="00F10B24" w:rsidRDefault="00090F90" w:rsidP="00F10B24">
            <w:pPr>
              <w:cnfStyle w:val="000000000000" w:firstRow="0" w:lastRow="0" w:firstColumn="0" w:lastColumn="0" w:oddVBand="0" w:evenVBand="0" w:oddHBand="0" w:evenHBand="0" w:firstRowFirstColumn="0" w:firstRowLastColumn="0" w:lastRowFirstColumn="0" w:lastRowLastColumn="0"/>
            </w:pPr>
          </w:p>
        </w:tc>
        <w:tc>
          <w:tcPr>
            <w:tcW w:w="554" w:type="pct"/>
            <w:noWrap/>
            <w:vAlign w:val="bottom"/>
          </w:tcPr>
          <w:p w:rsidR="00090F90" w:rsidRPr="00F10B24" w:rsidRDefault="00090F90" w:rsidP="00F10B24">
            <w:pPr>
              <w:cnfStyle w:val="000000000000" w:firstRow="0" w:lastRow="0" w:firstColumn="0" w:lastColumn="0" w:oddVBand="0" w:evenVBand="0" w:oddHBand="0" w:evenHBand="0" w:firstRowFirstColumn="0" w:firstRowLastColumn="0" w:lastRowFirstColumn="0" w:lastRowLastColumn="0"/>
            </w:pPr>
          </w:p>
        </w:tc>
        <w:tc>
          <w:tcPr>
            <w:tcW w:w="554" w:type="pct"/>
            <w:noWrap/>
            <w:vAlign w:val="top"/>
          </w:tcPr>
          <w:p w:rsidR="00090F90" w:rsidRPr="00F10B24" w:rsidRDefault="00154C51" w:rsidP="00F10B24">
            <w:pPr>
              <w:cnfStyle w:val="000000000000" w:firstRow="0" w:lastRow="0" w:firstColumn="0" w:lastColumn="0" w:oddVBand="0" w:evenVBand="0" w:oddHBand="0" w:evenHBand="0" w:firstRowFirstColumn="0" w:firstRowLastColumn="0" w:lastRowFirstColumn="0" w:lastRowLastColumn="0"/>
            </w:pPr>
            <w:r w:rsidRPr="00F10B24">
              <w:t>–</w:t>
            </w:r>
            <w:r w:rsidR="006E1CA3" w:rsidRPr="00F10B24">
              <w:t>7</w:t>
            </w:r>
            <w:r w:rsidR="0071160E">
              <w:t>4</w:t>
            </w:r>
            <w:r w:rsidR="006E1CA3" w:rsidRPr="00F10B24">
              <w:t>.</w:t>
            </w:r>
            <w:r w:rsidR="0071160E">
              <w:t>6</w:t>
            </w:r>
          </w:p>
        </w:tc>
      </w:tr>
      <w:tr w:rsidR="00586AD0" w:rsidRPr="00F10B24" w:rsidTr="008A770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9" w:type="pct"/>
            <w:noWrap/>
            <w:vAlign w:val="top"/>
          </w:tcPr>
          <w:p w:rsidR="00090F90" w:rsidRPr="00F10B24" w:rsidRDefault="00090F90" w:rsidP="00F10B24">
            <w:pPr>
              <w:rPr>
                <w:rStyle w:val="Strong"/>
              </w:rPr>
            </w:pPr>
            <w:r w:rsidRPr="00F10B24">
              <w:rPr>
                <w:rStyle w:val="Strong"/>
              </w:rPr>
              <w:t>Opening RAB as at 1 July 2015</w:t>
            </w:r>
          </w:p>
        </w:tc>
        <w:tc>
          <w:tcPr>
            <w:tcW w:w="556" w:type="pct"/>
            <w:noWrap/>
            <w:vAlign w:val="bottom"/>
          </w:tcPr>
          <w:p w:rsidR="00090F90" w:rsidRPr="00F10B24" w:rsidRDefault="00090F90" w:rsidP="00F10B24">
            <w:pPr>
              <w:cnfStyle w:val="000000010000" w:firstRow="0" w:lastRow="0" w:firstColumn="0" w:lastColumn="0" w:oddVBand="0" w:evenVBand="0" w:oddHBand="0" w:evenHBand="1" w:firstRowFirstColumn="0" w:firstRowLastColumn="0" w:lastRowFirstColumn="0" w:lastRowLastColumn="0"/>
              <w:rPr>
                <w:rStyle w:val="Strong"/>
              </w:rPr>
            </w:pPr>
          </w:p>
        </w:tc>
        <w:tc>
          <w:tcPr>
            <w:tcW w:w="554" w:type="pct"/>
            <w:noWrap/>
            <w:vAlign w:val="bottom"/>
          </w:tcPr>
          <w:p w:rsidR="00090F90" w:rsidRPr="00F10B24" w:rsidRDefault="00090F90" w:rsidP="00F10B24">
            <w:pPr>
              <w:cnfStyle w:val="000000010000" w:firstRow="0" w:lastRow="0" w:firstColumn="0" w:lastColumn="0" w:oddVBand="0" w:evenVBand="0" w:oddHBand="0" w:evenHBand="1" w:firstRowFirstColumn="0" w:firstRowLastColumn="0" w:lastRowFirstColumn="0" w:lastRowLastColumn="0"/>
              <w:rPr>
                <w:rStyle w:val="Strong"/>
              </w:rPr>
            </w:pPr>
          </w:p>
        </w:tc>
        <w:tc>
          <w:tcPr>
            <w:tcW w:w="554" w:type="pct"/>
            <w:noWrap/>
            <w:vAlign w:val="bottom"/>
          </w:tcPr>
          <w:p w:rsidR="00090F90" w:rsidRPr="00F10B24" w:rsidRDefault="00090F90" w:rsidP="00F10B24">
            <w:pPr>
              <w:cnfStyle w:val="000000010000" w:firstRow="0" w:lastRow="0" w:firstColumn="0" w:lastColumn="0" w:oddVBand="0" w:evenVBand="0" w:oddHBand="0" w:evenHBand="1" w:firstRowFirstColumn="0" w:firstRowLastColumn="0" w:lastRowFirstColumn="0" w:lastRowLastColumn="0"/>
              <w:rPr>
                <w:rStyle w:val="Strong"/>
              </w:rPr>
            </w:pPr>
          </w:p>
        </w:tc>
        <w:tc>
          <w:tcPr>
            <w:tcW w:w="554" w:type="pct"/>
            <w:noWrap/>
            <w:vAlign w:val="bottom"/>
          </w:tcPr>
          <w:p w:rsidR="00090F90" w:rsidRPr="00F10B24" w:rsidRDefault="00090F90" w:rsidP="00F10B24">
            <w:pPr>
              <w:cnfStyle w:val="000000010000" w:firstRow="0" w:lastRow="0" w:firstColumn="0" w:lastColumn="0" w:oddVBand="0" w:evenVBand="0" w:oddHBand="0" w:evenHBand="1" w:firstRowFirstColumn="0" w:firstRowLastColumn="0" w:lastRowFirstColumn="0" w:lastRowLastColumn="0"/>
              <w:rPr>
                <w:rStyle w:val="Strong"/>
              </w:rPr>
            </w:pPr>
          </w:p>
        </w:tc>
        <w:tc>
          <w:tcPr>
            <w:tcW w:w="554" w:type="pct"/>
            <w:noWrap/>
            <w:vAlign w:val="top"/>
          </w:tcPr>
          <w:p w:rsidR="00090F90" w:rsidRPr="00F10B24" w:rsidRDefault="006E1CA3" w:rsidP="00F10B24">
            <w:pPr>
              <w:cnfStyle w:val="000000010000" w:firstRow="0" w:lastRow="0" w:firstColumn="0" w:lastColumn="0" w:oddVBand="0" w:evenVBand="0" w:oddHBand="0" w:evenHBand="1" w:firstRowFirstColumn="0" w:firstRowLastColumn="0" w:lastRowFirstColumn="0" w:lastRowLastColumn="0"/>
              <w:rPr>
                <w:rStyle w:val="Strong"/>
              </w:rPr>
            </w:pPr>
            <w:r w:rsidRPr="00F10B24">
              <w:rPr>
                <w:rStyle w:val="Strong"/>
              </w:rPr>
              <w:t>10102.</w:t>
            </w:r>
            <w:r w:rsidR="008A770D">
              <w:rPr>
                <w:rStyle w:val="Strong"/>
              </w:rPr>
              <w:t>2</w:t>
            </w:r>
          </w:p>
        </w:tc>
      </w:tr>
    </w:tbl>
    <w:p w:rsidR="00206E39" w:rsidRPr="00983648" w:rsidRDefault="00206E39" w:rsidP="00206E39">
      <w:pPr>
        <w:pStyle w:val="AERtablesource"/>
      </w:pPr>
      <w:r w:rsidRPr="00983648">
        <w:t>Source:</w:t>
      </w:r>
      <w:r w:rsidRPr="00983648">
        <w:tab/>
        <w:t>AER analysis.</w:t>
      </w:r>
    </w:p>
    <w:p w:rsidR="00206E39" w:rsidRPr="00983648" w:rsidRDefault="00D904FE" w:rsidP="00206E39">
      <w:pPr>
        <w:pStyle w:val="AERtablesource"/>
      </w:pPr>
      <w:r>
        <w:t>(a)</w:t>
      </w:r>
      <w:r w:rsidR="00206E39" w:rsidRPr="00983648">
        <w:tab/>
        <w:t xml:space="preserve">Based on estimated capex. We will update the RAB roll forward in the </w:t>
      </w:r>
      <w:r w:rsidR="00965BB2">
        <w:t xml:space="preserve">substitute </w:t>
      </w:r>
      <w:r w:rsidR="00206E39" w:rsidRPr="00983648">
        <w:t>decision.</w:t>
      </w:r>
    </w:p>
    <w:p w:rsidR="00206E39" w:rsidRPr="00983648" w:rsidRDefault="00206E39" w:rsidP="00206E39">
      <w:pPr>
        <w:pStyle w:val="AERtablesource"/>
      </w:pPr>
      <w:r w:rsidRPr="00983648">
        <w:t>(b)</w:t>
      </w:r>
      <w:r w:rsidRPr="00983648">
        <w:tab/>
        <w:t>Net of disposals and adjusted for CPI.</w:t>
      </w:r>
    </w:p>
    <w:p w:rsidR="00206E39" w:rsidRDefault="00206E39" w:rsidP="00500715">
      <w:r>
        <w:t xml:space="preserve">We </w:t>
      </w:r>
      <w:r w:rsidRPr="00500715">
        <w:rPr>
          <w:rStyle w:val="AERbody"/>
        </w:rPr>
        <w:t>determine a forecast closing RAB value at 30 June 2020 of $</w:t>
      </w:r>
      <w:r w:rsidR="00890AA2">
        <w:rPr>
          <w:rStyle w:val="AERbody"/>
        </w:rPr>
        <w:t>11</w:t>
      </w:r>
      <w:r w:rsidR="00D904FE">
        <w:rPr>
          <w:rStyle w:val="AERbody"/>
        </w:rPr>
        <w:t> </w:t>
      </w:r>
      <w:r w:rsidR="00890AA2">
        <w:rPr>
          <w:rStyle w:val="AERbody"/>
        </w:rPr>
        <w:t>773.7</w:t>
      </w:r>
      <w:r w:rsidRPr="00500715">
        <w:rPr>
          <w:rStyle w:val="AERbody"/>
        </w:rPr>
        <w:t> million ($ nominal). This is $</w:t>
      </w:r>
      <w:r w:rsidR="00890AA2">
        <w:rPr>
          <w:rStyle w:val="AERbody"/>
        </w:rPr>
        <w:t xml:space="preserve">1093.3 </w:t>
      </w:r>
      <w:r w:rsidRPr="00500715">
        <w:rPr>
          <w:rStyle w:val="AERbody"/>
        </w:rPr>
        <w:t xml:space="preserve">million (or </w:t>
      </w:r>
      <w:r w:rsidR="00890AA2">
        <w:rPr>
          <w:rStyle w:val="AERbody"/>
        </w:rPr>
        <w:t>8.5</w:t>
      </w:r>
      <w:r w:rsidRPr="00500715">
        <w:rPr>
          <w:rStyle w:val="AERbody"/>
        </w:rPr>
        <w:t xml:space="preserve"> per cent) lower than the amount of $</w:t>
      </w:r>
      <w:r w:rsidR="00890AA2">
        <w:rPr>
          <w:rStyle w:val="AERbody"/>
        </w:rPr>
        <w:t>12</w:t>
      </w:r>
      <w:r w:rsidR="00D904FE">
        <w:rPr>
          <w:rStyle w:val="AERbody"/>
        </w:rPr>
        <w:t> </w:t>
      </w:r>
      <w:r w:rsidR="00890AA2">
        <w:rPr>
          <w:rStyle w:val="AERbody"/>
        </w:rPr>
        <w:t>867.0</w:t>
      </w:r>
      <w:r w:rsidRPr="00500715">
        <w:rPr>
          <w:rStyle w:val="AERbody"/>
        </w:rPr>
        <w:t> million ($ nominal) proposed by Ergon Energy. Our preliminary decision on the forecast closing RAB reflects the amended opening RAB as at 1 July 2015</w:t>
      </w:r>
      <w:r>
        <w:t>, and our preliminary decisions on forecast capex (attachment 6) and forecast regulatory depreciation (attachment 5).</w:t>
      </w:r>
    </w:p>
    <w:p w:rsidR="000D3764" w:rsidRDefault="00206E39" w:rsidP="000D3764">
      <w:r w:rsidRPr="00D904FE">
        <w:fldChar w:fldCharType="begin"/>
      </w:r>
      <w:r w:rsidRPr="00D904FE">
        <w:instrText xml:space="preserve"> REF _Ref406144543 \h </w:instrText>
      </w:r>
      <w:r w:rsidR="00D904FE" w:rsidRPr="00D904FE">
        <w:instrText xml:space="preserve"> \* MERGEFORMAT </w:instrText>
      </w:r>
      <w:r w:rsidRPr="00D904FE">
        <w:fldChar w:fldCharType="separate"/>
      </w:r>
      <w:r w:rsidR="00D904FE" w:rsidRPr="00D904FE">
        <w:t>Table 2.2</w:t>
      </w:r>
      <w:r w:rsidRPr="00D904FE">
        <w:fldChar w:fldCharType="end"/>
      </w:r>
      <w:r w:rsidRPr="00D904FE">
        <w:t xml:space="preserve"> sets out our preliminary decision on the forecast RAB values for Ergon</w:t>
      </w:r>
      <w:r>
        <w:t xml:space="preserve"> Energy over the</w:t>
      </w:r>
      <w:r w:rsidRPr="00B817CE">
        <w:t xml:space="preserve"> </w:t>
      </w:r>
      <w:r>
        <w:t xml:space="preserve">2015–20 regulatory control </w:t>
      </w:r>
      <w:proofErr w:type="gramStart"/>
      <w:r>
        <w:t>period</w:t>
      </w:r>
      <w:proofErr w:type="gramEnd"/>
      <w:r>
        <w:t>.</w:t>
      </w:r>
    </w:p>
    <w:p w:rsidR="00206E39" w:rsidRPr="00877D7D" w:rsidRDefault="00206E39" w:rsidP="00650427">
      <w:pPr>
        <w:pStyle w:val="Caption"/>
      </w:pPr>
      <w:bookmarkStart w:id="15" w:name="_Ref406144543"/>
      <w:r w:rsidRPr="00877D7D">
        <w:rPr>
          <w:rStyle w:val="Strong"/>
          <w:b/>
          <w:bCs/>
        </w:rPr>
        <w:t xml:space="preserve">Table </w:t>
      </w:r>
      <w:r w:rsidR="00E9116B">
        <w:rPr>
          <w:rStyle w:val="Strong"/>
          <w:b/>
          <w:bCs/>
        </w:rPr>
        <w:fldChar w:fldCharType="begin"/>
      </w:r>
      <w:r w:rsidR="00E9116B">
        <w:rPr>
          <w:rStyle w:val="Strong"/>
          <w:b/>
          <w:bCs/>
        </w:rPr>
        <w:instrText xml:space="preserve"> STYLEREF 1 \s </w:instrText>
      </w:r>
      <w:r w:rsidR="00E9116B">
        <w:rPr>
          <w:rStyle w:val="Strong"/>
          <w:b/>
          <w:bCs/>
        </w:rPr>
        <w:fldChar w:fldCharType="separate"/>
      </w:r>
      <w:r w:rsidR="00D904FE">
        <w:rPr>
          <w:rStyle w:val="Strong"/>
          <w:b/>
          <w:bCs/>
          <w:noProof/>
        </w:rPr>
        <w:t>2</w:t>
      </w:r>
      <w:r w:rsidR="00E9116B">
        <w:rPr>
          <w:rStyle w:val="Strong"/>
          <w:b/>
          <w:bCs/>
        </w:rPr>
        <w:fldChar w:fldCharType="end"/>
      </w:r>
      <w:r w:rsidR="00E9116B">
        <w:rPr>
          <w:rStyle w:val="Strong"/>
          <w:b/>
          <w:bCs/>
        </w:rPr>
        <w:t>.</w:t>
      </w:r>
      <w:r w:rsidR="00E9116B">
        <w:rPr>
          <w:rStyle w:val="Strong"/>
          <w:b/>
          <w:bCs/>
        </w:rPr>
        <w:fldChar w:fldCharType="begin"/>
      </w:r>
      <w:r w:rsidR="00E9116B">
        <w:rPr>
          <w:rStyle w:val="Strong"/>
          <w:b/>
          <w:bCs/>
        </w:rPr>
        <w:instrText xml:space="preserve"> SEQ Table \* ARABIC \s 1 </w:instrText>
      </w:r>
      <w:r w:rsidR="00E9116B">
        <w:rPr>
          <w:rStyle w:val="Strong"/>
          <w:b/>
          <w:bCs/>
        </w:rPr>
        <w:fldChar w:fldCharType="separate"/>
      </w:r>
      <w:r w:rsidR="00D904FE">
        <w:rPr>
          <w:rStyle w:val="Strong"/>
          <w:b/>
          <w:bCs/>
          <w:noProof/>
        </w:rPr>
        <w:t>2</w:t>
      </w:r>
      <w:r w:rsidR="00E9116B">
        <w:rPr>
          <w:rStyle w:val="Strong"/>
          <w:b/>
          <w:bCs/>
        </w:rPr>
        <w:fldChar w:fldCharType="end"/>
      </w:r>
      <w:bookmarkEnd w:id="15"/>
      <w:r w:rsidRPr="00877D7D">
        <w:rPr>
          <w:rStyle w:val="Strong"/>
          <w:b/>
          <w:bCs/>
        </w:rPr>
        <w:tab/>
      </w:r>
      <w:r w:rsidRPr="00650427">
        <w:rPr>
          <w:rStyle w:val="Strong"/>
          <w:b/>
          <w:bCs/>
        </w:rPr>
        <w:t xml:space="preserve">AER's preliminary decision on Ergon Energy's RAB for the 2015–20 </w:t>
      </w:r>
      <w:r w:rsidR="00650427" w:rsidRPr="00650427">
        <w:rPr>
          <w:rStyle w:val="Strong"/>
          <w:b/>
          <w:bCs/>
        </w:rPr>
        <w:t xml:space="preserve">regulatory control </w:t>
      </w:r>
      <w:r w:rsidRPr="00650427">
        <w:rPr>
          <w:rStyle w:val="Strong"/>
          <w:b/>
          <w:bCs/>
        </w:rPr>
        <w:t>period ($ million, nominal)</w:t>
      </w:r>
    </w:p>
    <w:tbl>
      <w:tblPr>
        <w:tblStyle w:val="AERtable-numbers"/>
        <w:tblW w:w="5000" w:type="pct"/>
        <w:tblLook w:val="04A0" w:firstRow="1" w:lastRow="0" w:firstColumn="1" w:lastColumn="0" w:noHBand="0" w:noVBand="1"/>
      </w:tblPr>
      <w:tblGrid>
        <w:gridCol w:w="3458"/>
        <w:gridCol w:w="1047"/>
        <w:gridCol w:w="1047"/>
        <w:gridCol w:w="1047"/>
        <w:gridCol w:w="1047"/>
        <w:gridCol w:w="1047"/>
      </w:tblGrid>
      <w:tr w:rsidR="00206E39" w:rsidRPr="00F10B24" w:rsidTr="00090F9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206E39" w:rsidRPr="00F10B24" w:rsidRDefault="00206E39" w:rsidP="00F10B24">
            <w:r w:rsidRPr="00F10B24">
              <w:t> </w:t>
            </w:r>
          </w:p>
        </w:tc>
        <w:tc>
          <w:tcPr>
            <w:tcW w:w="602" w:type="pct"/>
            <w:noWrap/>
            <w:hideMark/>
          </w:tcPr>
          <w:p w:rsidR="00206E39" w:rsidRPr="00F10B24" w:rsidRDefault="00206E39" w:rsidP="00F10B24">
            <w:pPr>
              <w:cnfStyle w:val="100000000000" w:firstRow="1" w:lastRow="0" w:firstColumn="0" w:lastColumn="0" w:oddVBand="0" w:evenVBand="0" w:oddHBand="0" w:evenHBand="0" w:firstRowFirstColumn="0" w:firstRowLastColumn="0" w:lastRowFirstColumn="0" w:lastRowLastColumn="0"/>
            </w:pPr>
            <w:r w:rsidRPr="00F10B24">
              <w:t>2015–16</w:t>
            </w:r>
          </w:p>
        </w:tc>
        <w:tc>
          <w:tcPr>
            <w:tcW w:w="602" w:type="pct"/>
            <w:noWrap/>
            <w:hideMark/>
          </w:tcPr>
          <w:p w:rsidR="00206E39" w:rsidRPr="00F10B24" w:rsidRDefault="00206E39" w:rsidP="00F10B24">
            <w:pPr>
              <w:cnfStyle w:val="100000000000" w:firstRow="1" w:lastRow="0" w:firstColumn="0" w:lastColumn="0" w:oddVBand="0" w:evenVBand="0" w:oddHBand="0" w:evenHBand="0" w:firstRowFirstColumn="0" w:firstRowLastColumn="0" w:lastRowFirstColumn="0" w:lastRowLastColumn="0"/>
            </w:pPr>
            <w:r w:rsidRPr="00F10B24">
              <w:t>2016–17</w:t>
            </w:r>
          </w:p>
        </w:tc>
        <w:tc>
          <w:tcPr>
            <w:tcW w:w="602" w:type="pct"/>
            <w:noWrap/>
            <w:hideMark/>
          </w:tcPr>
          <w:p w:rsidR="00206E39" w:rsidRPr="00F10B24" w:rsidRDefault="00206E39" w:rsidP="00F10B24">
            <w:pPr>
              <w:cnfStyle w:val="100000000000" w:firstRow="1" w:lastRow="0" w:firstColumn="0" w:lastColumn="0" w:oddVBand="0" w:evenVBand="0" w:oddHBand="0" w:evenHBand="0" w:firstRowFirstColumn="0" w:firstRowLastColumn="0" w:lastRowFirstColumn="0" w:lastRowLastColumn="0"/>
            </w:pPr>
            <w:r w:rsidRPr="00F10B24">
              <w:t>2017–18</w:t>
            </w:r>
          </w:p>
        </w:tc>
        <w:tc>
          <w:tcPr>
            <w:tcW w:w="602" w:type="pct"/>
            <w:noWrap/>
            <w:hideMark/>
          </w:tcPr>
          <w:p w:rsidR="00206E39" w:rsidRPr="00F10B24" w:rsidRDefault="00206E39" w:rsidP="00F10B24">
            <w:pPr>
              <w:cnfStyle w:val="100000000000" w:firstRow="1" w:lastRow="0" w:firstColumn="0" w:lastColumn="0" w:oddVBand="0" w:evenVBand="0" w:oddHBand="0" w:evenHBand="0" w:firstRowFirstColumn="0" w:firstRowLastColumn="0" w:lastRowFirstColumn="0" w:lastRowLastColumn="0"/>
            </w:pPr>
            <w:r w:rsidRPr="00F10B24">
              <w:t>2018–19</w:t>
            </w:r>
          </w:p>
        </w:tc>
        <w:tc>
          <w:tcPr>
            <w:tcW w:w="602" w:type="pct"/>
            <w:noWrap/>
            <w:hideMark/>
          </w:tcPr>
          <w:p w:rsidR="00206E39" w:rsidRPr="00F10B24" w:rsidRDefault="00206E39" w:rsidP="00F10B24">
            <w:pPr>
              <w:cnfStyle w:val="100000000000" w:firstRow="1" w:lastRow="0" w:firstColumn="0" w:lastColumn="0" w:oddVBand="0" w:evenVBand="0" w:oddHBand="0" w:evenHBand="0" w:firstRowFirstColumn="0" w:firstRowLastColumn="0" w:lastRowFirstColumn="0" w:lastRowLastColumn="0"/>
            </w:pPr>
            <w:r w:rsidRPr="00F10B24">
              <w:t>2019–20</w:t>
            </w:r>
          </w:p>
        </w:tc>
      </w:tr>
      <w:tr w:rsidR="00890AA2" w:rsidRPr="00F10B24" w:rsidTr="00520CED">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890AA2" w:rsidRPr="00890AA2" w:rsidRDefault="00890AA2" w:rsidP="00890AA2">
            <w:r w:rsidRPr="00890AA2">
              <w:t>Opening RAB</w:t>
            </w:r>
          </w:p>
        </w:tc>
        <w:tc>
          <w:tcPr>
            <w:tcW w:w="602" w:type="pct"/>
            <w:noWrap/>
            <w:vAlign w:val="top"/>
          </w:tcPr>
          <w:p w:rsidR="00890AA2" w:rsidRPr="00890AA2" w:rsidRDefault="00890AA2" w:rsidP="00890AA2">
            <w:pPr>
              <w:cnfStyle w:val="000000000000" w:firstRow="0" w:lastRow="0" w:firstColumn="0" w:lastColumn="0" w:oddVBand="0" w:evenVBand="0" w:oddHBand="0" w:evenHBand="0" w:firstRowFirstColumn="0" w:firstRowLastColumn="0" w:lastRowFirstColumn="0" w:lastRowLastColumn="0"/>
            </w:pPr>
            <w:r w:rsidRPr="00890AA2">
              <w:t>10102.2</w:t>
            </w:r>
          </w:p>
        </w:tc>
        <w:tc>
          <w:tcPr>
            <w:tcW w:w="602" w:type="pct"/>
            <w:noWrap/>
            <w:vAlign w:val="top"/>
          </w:tcPr>
          <w:p w:rsidR="00890AA2" w:rsidRPr="00890AA2" w:rsidRDefault="00890AA2" w:rsidP="00890AA2">
            <w:pPr>
              <w:cnfStyle w:val="000000000000" w:firstRow="0" w:lastRow="0" w:firstColumn="0" w:lastColumn="0" w:oddVBand="0" w:evenVBand="0" w:oddHBand="0" w:evenHBand="0" w:firstRowFirstColumn="0" w:firstRowLastColumn="0" w:lastRowFirstColumn="0" w:lastRowLastColumn="0"/>
            </w:pPr>
            <w:r w:rsidRPr="00890AA2">
              <w:t>10551.0</w:t>
            </w:r>
          </w:p>
        </w:tc>
        <w:tc>
          <w:tcPr>
            <w:tcW w:w="602" w:type="pct"/>
            <w:noWrap/>
            <w:vAlign w:val="top"/>
          </w:tcPr>
          <w:p w:rsidR="00890AA2" w:rsidRPr="00890AA2" w:rsidRDefault="00890AA2" w:rsidP="00890AA2">
            <w:pPr>
              <w:cnfStyle w:val="000000000000" w:firstRow="0" w:lastRow="0" w:firstColumn="0" w:lastColumn="0" w:oddVBand="0" w:evenVBand="0" w:oddHBand="0" w:evenHBand="0" w:firstRowFirstColumn="0" w:firstRowLastColumn="0" w:lastRowFirstColumn="0" w:lastRowLastColumn="0"/>
            </w:pPr>
            <w:r w:rsidRPr="00890AA2">
              <w:t>10951.5</w:t>
            </w:r>
          </w:p>
        </w:tc>
        <w:tc>
          <w:tcPr>
            <w:tcW w:w="602" w:type="pct"/>
            <w:noWrap/>
            <w:vAlign w:val="top"/>
          </w:tcPr>
          <w:p w:rsidR="00890AA2" w:rsidRPr="00890AA2" w:rsidRDefault="00890AA2" w:rsidP="00890AA2">
            <w:pPr>
              <w:cnfStyle w:val="000000000000" w:firstRow="0" w:lastRow="0" w:firstColumn="0" w:lastColumn="0" w:oddVBand="0" w:evenVBand="0" w:oddHBand="0" w:evenHBand="0" w:firstRowFirstColumn="0" w:firstRowLastColumn="0" w:lastRowFirstColumn="0" w:lastRowLastColumn="0"/>
            </w:pPr>
            <w:r w:rsidRPr="00890AA2">
              <w:t>11266.7</w:t>
            </w:r>
          </w:p>
        </w:tc>
        <w:tc>
          <w:tcPr>
            <w:tcW w:w="602" w:type="pct"/>
            <w:noWrap/>
            <w:vAlign w:val="top"/>
          </w:tcPr>
          <w:p w:rsidR="00890AA2" w:rsidRPr="00890AA2" w:rsidRDefault="00890AA2" w:rsidP="00890AA2">
            <w:pPr>
              <w:cnfStyle w:val="000000000000" w:firstRow="0" w:lastRow="0" w:firstColumn="0" w:lastColumn="0" w:oddVBand="0" w:evenVBand="0" w:oddHBand="0" w:evenHBand="0" w:firstRowFirstColumn="0" w:firstRowLastColumn="0" w:lastRowFirstColumn="0" w:lastRowLastColumn="0"/>
            </w:pPr>
            <w:r w:rsidRPr="00890AA2">
              <w:t>11535.2</w:t>
            </w:r>
          </w:p>
        </w:tc>
      </w:tr>
      <w:tr w:rsidR="00890AA2" w:rsidRPr="00F10B24" w:rsidTr="00520CE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890AA2" w:rsidRPr="00890AA2" w:rsidRDefault="00890AA2" w:rsidP="00890AA2">
            <w:r w:rsidRPr="00890AA2">
              <w:t>Capital expenditure</w:t>
            </w:r>
            <w:r w:rsidRPr="00890AA2">
              <w:rPr>
                <w:rStyle w:val="AERsuperscript"/>
              </w:rPr>
              <w:t>a</w:t>
            </w:r>
          </w:p>
        </w:tc>
        <w:tc>
          <w:tcPr>
            <w:tcW w:w="602" w:type="pct"/>
            <w:noWrap/>
            <w:vAlign w:val="top"/>
          </w:tcPr>
          <w:p w:rsidR="00890AA2" w:rsidRPr="00890AA2" w:rsidRDefault="00890AA2" w:rsidP="00890AA2">
            <w:pPr>
              <w:cnfStyle w:val="000000010000" w:firstRow="0" w:lastRow="0" w:firstColumn="0" w:lastColumn="0" w:oddVBand="0" w:evenVBand="0" w:oddHBand="0" w:evenHBand="1" w:firstRowFirstColumn="0" w:firstRowLastColumn="0" w:lastRowFirstColumn="0" w:lastRowLastColumn="0"/>
            </w:pPr>
            <w:r w:rsidRPr="00890AA2">
              <w:t>555.4</w:t>
            </w:r>
          </w:p>
        </w:tc>
        <w:tc>
          <w:tcPr>
            <w:tcW w:w="602" w:type="pct"/>
            <w:noWrap/>
            <w:vAlign w:val="top"/>
          </w:tcPr>
          <w:p w:rsidR="00890AA2" w:rsidRPr="00890AA2" w:rsidRDefault="00890AA2" w:rsidP="00890AA2">
            <w:pPr>
              <w:cnfStyle w:val="000000010000" w:firstRow="0" w:lastRow="0" w:firstColumn="0" w:lastColumn="0" w:oddVBand="0" w:evenVBand="0" w:oddHBand="0" w:evenHBand="1" w:firstRowFirstColumn="0" w:firstRowLastColumn="0" w:lastRowFirstColumn="0" w:lastRowLastColumn="0"/>
            </w:pPr>
            <w:r w:rsidRPr="00890AA2">
              <w:t>521.7</w:t>
            </w:r>
          </w:p>
        </w:tc>
        <w:tc>
          <w:tcPr>
            <w:tcW w:w="602" w:type="pct"/>
            <w:noWrap/>
            <w:vAlign w:val="top"/>
          </w:tcPr>
          <w:p w:rsidR="00890AA2" w:rsidRPr="00890AA2" w:rsidRDefault="00890AA2" w:rsidP="00890AA2">
            <w:pPr>
              <w:cnfStyle w:val="000000010000" w:firstRow="0" w:lastRow="0" w:firstColumn="0" w:lastColumn="0" w:oddVBand="0" w:evenVBand="0" w:oddHBand="0" w:evenHBand="1" w:firstRowFirstColumn="0" w:firstRowLastColumn="0" w:lastRowFirstColumn="0" w:lastRowLastColumn="0"/>
            </w:pPr>
            <w:r w:rsidRPr="00890AA2">
              <w:t>452.5</w:t>
            </w:r>
          </w:p>
        </w:tc>
        <w:tc>
          <w:tcPr>
            <w:tcW w:w="602" w:type="pct"/>
            <w:noWrap/>
            <w:vAlign w:val="top"/>
          </w:tcPr>
          <w:p w:rsidR="00890AA2" w:rsidRPr="00890AA2" w:rsidRDefault="00890AA2" w:rsidP="00890AA2">
            <w:pPr>
              <w:cnfStyle w:val="000000010000" w:firstRow="0" w:lastRow="0" w:firstColumn="0" w:lastColumn="0" w:oddVBand="0" w:evenVBand="0" w:oddHBand="0" w:evenHBand="1" w:firstRowFirstColumn="0" w:firstRowLastColumn="0" w:lastRowFirstColumn="0" w:lastRowLastColumn="0"/>
            </w:pPr>
            <w:r w:rsidRPr="00890AA2">
              <w:t>415.7</w:t>
            </w:r>
          </w:p>
        </w:tc>
        <w:tc>
          <w:tcPr>
            <w:tcW w:w="602" w:type="pct"/>
            <w:noWrap/>
            <w:vAlign w:val="top"/>
          </w:tcPr>
          <w:p w:rsidR="00890AA2" w:rsidRPr="00890AA2" w:rsidRDefault="00890AA2" w:rsidP="00890AA2">
            <w:pPr>
              <w:cnfStyle w:val="000000010000" w:firstRow="0" w:lastRow="0" w:firstColumn="0" w:lastColumn="0" w:oddVBand="0" w:evenVBand="0" w:oddHBand="0" w:evenHBand="1" w:firstRowFirstColumn="0" w:firstRowLastColumn="0" w:lastRowFirstColumn="0" w:lastRowLastColumn="0"/>
            </w:pPr>
            <w:r w:rsidRPr="00890AA2">
              <w:t>380.8</w:t>
            </w:r>
          </w:p>
        </w:tc>
      </w:tr>
      <w:tr w:rsidR="00890AA2" w:rsidRPr="00F10B24" w:rsidTr="00520CED">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890AA2" w:rsidRPr="00890AA2" w:rsidRDefault="00890AA2" w:rsidP="00890AA2">
            <w:r w:rsidRPr="00890AA2">
              <w:t>Inflation indexation on opening RAB</w:t>
            </w:r>
          </w:p>
        </w:tc>
        <w:tc>
          <w:tcPr>
            <w:tcW w:w="602" w:type="pct"/>
            <w:noWrap/>
            <w:vAlign w:val="top"/>
          </w:tcPr>
          <w:p w:rsidR="00890AA2" w:rsidRPr="00890AA2" w:rsidRDefault="00890AA2" w:rsidP="00890AA2">
            <w:pPr>
              <w:cnfStyle w:val="000000000000" w:firstRow="0" w:lastRow="0" w:firstColumn="0" w:lastColumn="0" w:oddVBand="0" w:evenVBand="0" w:oddHBand="0" w:evenHBand="0" w:firstRowFirstColumn="0" w:firstRowLastColumn="0" w:lastRowFirstColumn="0" w:lastRowLastColumn="0"/>
            </w:pPr>
            <w:r w:rsidRPr="00890AA2">
              <w:t>257.6</w:t>
            </w:r>
          </w:p>
        </w:tc>
        <w:tc>
          <w:tcPr>
            <w:tcW w:w="602" w:type="pct"/>
            <w:noWrap/>
            <w:vAlign w:val="top"/>
          </w:tcPr>
          <w:p w:rsidR="00890AA2" w:rsidRPr="00890AA2" w:rsidRDefault="00890AA2" w:rsidP="00890AA2">
            <w:pPr>
              <w:cnfStyle w:val="000000000000" w:firstRow="0" w:lastRow="0" w:firstColumn="0" w:lastColumn="0" w:oddVBand="0" w:evenVBand="0" w:oddHBand="0" w:evenHBand="0" w:firstRowFirstColumn="0" w:firstRowLastColumn="0" w:lastRowFirstColumn="0" w:lastRowLastColumn="0"/>
            </w:pPr>
            <w:r w:rsidRPr="00890AA2">
              <w:t>269.0</w:t>
            </w:r>
          </w:p>
        </w:tc>
        <w:tc>
          <w:tcPr>
            <w:tcW w:w="602" w:type="pct"/>
            <w:noWrap/>
            <w:vAlign w:val="top"/>
          </w:tcPr>
          <w:p w:rsidR="00890AA2" w:rsidRPr="00890AA2" w:rsidRDefault="00890AA2" w:rsidP="00890AA2">
            <w:pPr>
              <w:cnfStyle w:val="000000000000" w:firstRow="0" w:lastRow="0" w:firstColumn="0" w:lastColumn="0" w:oddVBand="0" w:evenVBand="0" w:oddHBand="0" w:evenHBand="0" w:firstRowFirstColumn="0" w:firstRowLastColumn="0" w:lastRowFirstColumn="0" w:lastRowLastColumn="0"/>
            </w:pPr>
            <w:r w:rsidRPr="00890AA2">
              <w:t>279.3</w:t>
            </w:r>
          </w:p>
        </w:tc>
        <w:tc>
          <w:tcPr>
            <w:tcW w:w="602" w:type="pct"/>
            <w:noWrap/>
            <w:vAlign w:val="top"/>
          </w:tcPr>
          <w:p w:rsidR="00890AA2" w:rsidRPr="00890AA2" w:rsidRDefault="00890AA2" w:rsidP="00890AA2">
            <w:pPr>
              <w:cnfStyle w:val="000000000000" w:firstRow="0" w:lastRow="0" w:firstColumn="0" w:lastColumn="0" w:oddVBand="0" w:evenVBand="0" w:oddHBand="0" w:evenHBand="0" w:firstRowFirstColumn="0" w:firstRowLastColumn="0" w:lastRowFirstColumn="0" w:lastRowLastColumn="0"/>
            </w:pPr>
            <w:r w:rsidRPr="00890AA2">
              <w:t>287.3</w:t>
            </w:r>
          </w:p>
        </w:tc>
        <w:tc>
          <w:tcPr>
            <w:tcW w:w="602" w:type="pct"/>
            <w:noWrap/>
            <w:vAlign w:val="top"/>
          </w:tcPr>
          <w:p w:rsidR="00890AA2" w:rsidRPr="00890AA2" w:rsidRDefault="00890AA2" w:rsidP="00890AA2">
            <w:pPr>
              <w:cnfStyle w:val="000000000000" w:firstRow="0" w:lastRow="0" w:firstColumn="0" w:lastColumn="0" w:oddVBand="0" w:evenVBand="0" w:oddHBand="0" w:evenHBand="0" w:firstRowFirstColumn="0" w:firstRowLastColumn="0" w:lastRowFirstColumn="0" w:lastRowLastColumn="0"/>
            </w:pPr>
            <w:r w:rsidRPr="00890AA2">
              <w:t>294.1</w:t>
            </w:r>
          </w:p>
        </w:tc>
      </w:tr>
      <w:tr w:rsidR="00890AA2" w:rsidRPr="00F10B24" w:rsidTr="00520CE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890AA2" w:rsidRPr="00890AA2" w:rsidRDefault="00890AA2" w:rsidP="00890AA2">
            <w:r w:rsidRPr="00890AA2">
              <w:rPr>
                <w:rStyle w:val="AERtextitalic"/>
              </w:rPr>
              <w:t>Less</w:t>
            </w:r>
            <w:r w:rsidRPr="00890AA2">
              <w:t>: straight-line depreciation</w:t>
            </w:r>
          </w:p>
        </w:tc>
        <w:tc>
          <w:tcPr>
            <w:tcW w:w="602" w:type="pct"/>
            <w:noWrap/>
            <w:vAlign w:val="top"/>
          </w:tcPr>
          <w:p w:rsidR="00890AA2" w:rsidRPr="00890AA2" w:rsidRDefault="00890AA2" w:rsidP="00890AA2">
            <w:pPr>
              <w:cnfStyle w:val="000000010000" w:firstRow="0" w:lastRow="0" w:firstColumn="0" w:lastColumn="0" w:oddVBand="0" w:evenVBand="0" w:oddHBand="0" w:evenHBand="1" w:firstRowFirstColumn="0" w:firstRowLastColumn="0" w:lastRowFirstColumn="0" w:lastRowLastColumn="0"/>
            </w:pPr>
            <w:r w:rsidRPr="00890AA2">
              <w:t>364.3</w:t>
            </w:r>
          </w:p>
        </w:tc>
        <w:tc>
          <w:tcPr>
            <w:tcW w:w="602" w:type="pct"/>
            <w:noWrap/>
            <w:vAlign w:val="top"/>
          </w:tcPr>
          <w:p w:rsidR="00890AA2" w:rsidRPr="00890AA2" w:rsidRDefault="00890AA2" w:rsidP="00890AA2">
            <w:pPr>
              <w:cnfStyle w:val="000000010000" w:firstRow="0" w:lastRow="0" w:firstColumn="0" w:lastColumn="0" w:oddVBand="0" w:evenVBand="0" w:oddHBand="0" w:evenHBand="1" w:firstRowFirstColumn="0" w:firstRowLastColumn="0" w:lastRowFirstColumn="0" w:lastRowLastColumn="0"/>
            </w:pPr>
            <w:r w:rsidRPr="00890AA2">
              <w:t>390.2</w:t>
            </w:r>
          </w:p>
        </w:tc>
        <w:tc>
          <w:tcPr>
            <w:tcW w:w="602" w:type="pct"/>
            <w:noWrap/>
            <w:vAlign w:val="top"/>
          </w:tcPr>
          <w:p w:rsidR="00890AA2" w:rsidRPr="00890AA2" w:rsidRDefault="00890AA2" w:rsidP="00890AA2">
            <w:pPr>
              <w:cnfStyle w:val="000000010000" w:firstRow="0" w:lastRow="0" w:firstColumn="0" w:lastColumn="0" w:oddVBand="0" w:evenVBand="0" w:oddHBand="0" w:evenHBand="1" w:firstRowFirstColumn="0" w:firstRowLastColumn="0" w:lastRowFirstColumn="0" w:lastRowLastColumn="0"/>
            </w:pPr>
            <w:r w:rsidRPr="00890AA2">
              <w:t>416.6</w:t>
            </w:r>
          </w:p>
        </w:tc>
        <w:tc>
          <w:tcPr>
            <w:tcW w:w="602" w:type="pct"/>
            <w:noWrap/>
            <w:vAlign w:val="top"/>
          </w:tcPr>
          <w:p w:rsidR="00890AA2" w:rsidRPr="00890AA2" w:rsidRDefault="00890AA2" w:rsidP="00890AA2">
            <w:pPr>
              <w:cnfStyle w:val="000000010000" w:firstRow="0" w:lastRow="0" w:firstColumn="0" w:lastColumn="0" w:oddVBand="0" w:evenVBand="0" w:oddHBand="0" w:evenHBand="1" w:firstRowFirstColumn="0" w:firstRowLastColumn="0" w:lastRowFirstColumn="0" w:lastRowLastColumn="0"/>
            </w:pPr>
            <w:r w:rsidRPr="00890AA2">
              <w:t>434.5</w:t>
            </w:r>
          </w:p>
        </w:tc>
        <w:tc>
          <w:tcPr>
            <w:tcW w:w="602" w:type="pct"/>
            <w:noWrap/>
            <w:vAlign w:val="top"/>
          </w:tcPr>
          <w:p w:rsidR="00890AA2" w:rsidRPr="00890AA2" w:rsidRDefault="00890AA2" w:rsidP="00890AA2">
            <w:pPr>
              <w:cnfStyle w:val="000000010000" w:firstRow="0" w:lastRow="0" w:firstColumn="0" w:lastColumn="0" w:oddVBand="0" w:evenVBand="0" w:oddHBand="0" w:evenHBand="1" w:firstRowFirstColumn="0" w:firstRowLastColumn="0" w:lastRowFirstColumn="0" w:lastRowLastColumn="0"/>
            </w:pPr>
            <w:r w:rsidRPr="00890AA2">
              <w:t>436.4</w:t>
            </w:r>
          </w:p>
        </w:tc>
      </w:tr>
      <w:tr w:rsidR="00890AA2" w:rsidRPr="00D904FE" w:rsidTr="00520CED">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890AA2" w:rsidRPr="00D904FE" w:rsidRDefault="00890AA2" w:rsidP="00890AA2">
            <w:pPr>
              <w:rPr>
                <w:rStyle w:val="Strong"/>
              </w:rPr>
            </w:pPr>
            <w:r w:rsidRPr="00D904FE">
              <w:rPr>
                <w:rStyle w:val="Strong"/>
              </w:rPr>
              <w:t>Closing RAB</w:t>
            </w:r>
          </w:p>
        </w:tc>
        <w:tc>
          <w:tcPr>
            <w:tcW w:w="602" w:type="pct"/>
            <w:noWrap/>
            <w:vAlign w:val="top"/>
          </w:tcPr>
          <w:p w:rsidR="00890AA2" w:rsidRPr="00D904FE" w:rsidRDefault="00890AA2" w:rsidP="00890AA2">
            <w:pPr>
              <w:cnfStyle w:val="000000000000" w:firstRow="0" w:lastRow="0" w:firstColumn="0" w:lastColumn="0" w:oddVBand="0" w:evenVBand="0" w:oddHBand="0" w:evenHBand="0" w:firstRowFirstColumn="0" w:firstRowLastColumn="0" w:lastRowFirstColumn="0" w:lastRowLastColumn="0"/>
              <w:rPr>
                <w:rStyle w:val="Strong"/>
              </w:rPr>
            </w:pPr>
            <w:r w:rsidRPr="00D904FE">
              <w:rPr>
                <w:rStyle w:val="Strong"/>
              </w:rPr>
              <w:t>10551.0</w:t>
            </w:r>
          </w:p>
        </w:tc>
        <w:tc>
          <w:tcPr>
            <w:tcW w:w="602" w:type="pct"/>
            <w:noWrap/>
            <w:vAlign w:val="top"/>
          </w:tcPr>
          <w:p w:rsidR="00890AA2" w:rsidRPr="00D904FE" w:rsidRDefault="00890AA2" w:rsidP="00890AA2">
            <w:pPr>
              <w:cnfStyle w:val="000000000000" w:firstRow="0" w:lastRow="0" w:firstColumn="0" w:lastColumn="0" w:oddVBand="0" w:evenVBand="0" w:oddHBand="0" w:evenHBand="0" w:firstRowFirstColumn="0" w:firstRowLastColumn="0" w:lastRowFirstColumn="0" w:lastRowLastColumn="0"/>
              <w:rPr>
                <w:rStyle w:val="Strong"/>
              </w:rPr>
            </w:pPr>
            <w:r w:rsidRPr="00D904FE">
              <w:rPr>
                <w:rStyle w:val="Strong"/>
              </w:rPr>
              <w:t>10951.5</w:t>
            </w:r>
          </w:p>
        </w:tc>
        <w:tc>
          <w:tcPr>
            <w:tcW w:w="602" w:type="pct"/>
            <w:noWrap/>
            <w:vAlign w:val="top"/>
          </w:tcPr>
          <w:p w:rsidR="00890AA2" w:rsidRPr="00D904FE" w:rsidRDefault="00890AA2" w:rsidP="00890AA2">
            <w:pPr>
              <w:cnfStyle w:val="000000000000" w:firstRow="0" w:lastRow="0" w:firstColumn="0" w:lastColumn="0" w:oddVBand="0" w:evenVBand="0" w:oddHBand="0" w:evenHBand="0" w:firstRowFirstColumn="0" w:firstRowLastColumn="0" w:lastRowFirstColumn="0" w:lastRowLastColumn="0"/>
              <w:rPr>
                <w:rStyle w:val="Strong"/>
              </w:rPr>
            </w:pPr>
            <w:r w:rsidRPr="00D904FE">
              <w:rPr>
                <w:rStyle w:val="Strong"/>
              </w:rPr>
              <w:t>11266.7</w:t>
            </w:r>
          </w:p>
        </w:tc>
        <w:tc>
          <w:tcPr>
            <w:tcW w:w="602" w:type="pct"/>
            <w:noWrap/>
            <w:vAlign w:val="top"/>
          </w:tcPr>
          <w:p w:rsidR="00890AA2" w:rsidRPr="00D904FE" w:rsidRDefault="00890AA2" w:rsidP="00890AA2">
            <w:pPr>
              <w:cnfStyle w:val="000000000000" w:firstRow="0" w:lastRow="0" w:firstColumn="0" w:lastColumn="0" w:oddVBand="0" w:evenVBand="0" w:oddHBand="0" w:evenHBand="0" w:firstRowFirstColumn="0" w:firstRowLastColumn="0" w:lastRowFirstColumn="0" w:lastRowLastColumn="0"/>
              <w:rPr>
                <w:rStyle w:val="Strong"/>
              </w:rPr>
            </w:pPr>
            <w:r w:rsidRPr="00D904FE">
              <w:rPr>
                <w:rStyle w:val="Strong"/>
              </w:rPr>
              <w:t>11535.2</w:t>
            </w:r>
          </w:p>
        </w:tc>
        <w:tc>
          <w:tcPr>
            <w:tcW w:w="602" w:type="pct"/>
            <w:noWrap/>
            <w:vAlign w:val="top"/>
          </w:tcPr>
          <w:p w:rsidR="00890AA2" w:rsidRPr="00D904FE" w:rsidRDefault="00890AA2" w:rsidP="00890AA2">
            <w:pPr>
              <w:cnfStyle w:val="000000000000" w:firstRow="0" w:lastRow="0" w:firstColumn="0" w:lastColumn="0" w:oddVBand="0" w:evenVBand="0" w:oddHBand="0" w:evenHBand="0" w:firstRowFirstColumn="0" w:firstRowLastColumn="0" w:lastRowFirstColumn="0" w:lastRowLastColumn="0"/>
              <w:rPr>
                <w:rStyle w:val="Strong"/>
              </w:rPr>
            </w:pPr>
            <w:r w:rsidRPr="00D904FE">
              <w:rPr>
                <w:rStyle w:val="Strong"/>
              </w:rPr>
              <w:t>11773.7</w:t>
            </w:r>
          </w:p>
        </w:tc>
      </w:tr>
    </w:tbl>
    <w:p w:rsidR="00206E39" w:rsidRPr="00176AFB" w:rsidRDefault="00206E39" w:rsidP="00206E39">
      <w:pPr>
        <w:pStyle w:val="AERtablesource"/>
      </w:pPr>
      <w:r w:rsidRPr="00176AFB">
        <w:t>Source:</w:t>
      </w:r>
      <w:r w:rsidRPr="00176AFB">
        <w:tab/>
        <w:t>AER analysis.</w:t>
      </w:r>
    </w:p>
    <w:p w:rsidR="00206E39" w:rsidRPr="00176AFB" w:rsidRDefault="00206E39" w:rsidP="00206E39">
      <w:pPr>
        <w:pStyle w:val="AERtablesource"/>
      </w:pPr>
      <w:r w:rsidRPr="00176AFB">
        <w:t>(a):</w:t>
      </w:r>
      <w:r w:rsidRPr="00176AFB">
        <w:tab/>
        <w:t>Net of forecast disposals and capital contributions.</w:t>
      </w:r>
    </w:p>
    <w:p w:rsidR="00DE563D" w:rsidRDefault="00206E39" w:rsidP="00DE563D">
      <w:r w:rsidRPr="002B4DA4">
        <w:lastRenderedPageBreak/>
        <w:t xml:space="preserve">We determine that the forecast depreciation approach is to be used to establish the </w:t>
      </w:r>
      <w:r>
        <w:t xml:space="preserve">opening </w:t>
      </w:r>
      <w:r w:rsidRPr="002B4DA4">
        <w:t>RAB at the commencement of the 20</w:t>
      </w:r>
      <w:r>
        <w:t>20</w:t>
      </w:r>
      <w:r w:rsidRPr="002B4DA4">
        <w:t>–2</w:t>
      </w:r>
      <w:r>
        <w:t>5</w:t>
      </w:r>
      <w:r w:rsidRPr="002B4DA4">
        <w:t xml:space="preserve"> regulatory control period</w:t>
      </w:r>
      <w:r>
        <w:t xml:space="preserve"> for Ergon Energy</w:t>
      </w:r>
      <w:r w:rsidRPr="002B4DA4">
        <w:t>.</w:t>
      </w:r>
      <w:r>
        <w:rPr>
          <w:rStyle w:val="FootnoteReference"/>
        </w:rPr>
        <w:footnoteReference w:id="5"/>
      </w:r>
      <w:r w:rsidRPr="002B4DA4">
        <w:t xml:space="preserve"> </w:t>
      </w:r>
    </w:p>
    <w:p w:rsidR="00DE563D" w:rsidRDefault="001201F1" w:rsidP="00DE563D">
      <w:pPr>
        <w:pStyle w:val="Heading2"/>
      </w:pPr>
      <w:bookmarkStart w:id="16" w:name="_Toc403144137"/>
      <w:bookmarkStart w:id="17" w:name="_Toc413831064"/>
      <w:r w:rsidRPr="00B00FED">
        <w:t>E</w:t>
      </w:r>
      <w:r w:rsidR="00E57429" w:rsidRPr="00B00FED">
        <w:t>rgon Energy's</w:t>
      </w:r>
      <w:r w:rsidR="00DE563D" w:rsidRPr="00B00FED">
        <w:t xml:space="preserve"> proposal</w:t>
      </w:r>
      <w:bookmarkEnd w:id="16"/>
      <w:bookmarkEnd w:id="17"/>
    </w:p>
    <w:p w:rsidR="00FD654C" w:rsidRDefault="00FD654C" w:rsidP="00FD654C">
      <w:pPr>
        <w:numPr>
          <w:ilvl w:val="0"/>
          <w:numId w:val="25"/>
        </w:numPr>
      </w:pPr>
      <w:r w:rsidRPr="000638E8">
        <w:t>Ergon Energy</w:t>
      </w:r>
      <w:r>
        <w:t xml:space="preserve"> used our RFM to establish an opening RAB as at 1</w:t>
      </w:r>
      <w:r w:rsidR="00650427">
        <w:t> </w:t>
      </w:r>
      <w:r>
        <w:t>July 2015 and our PTRM to roll forward the RAB over the 2015–20 regulatory control period.</w:t>
      </w:r>
    </w:p>
    <w:p w:rsidR="00D904FE" w:rsidRDefault="00FD654C" w:rsidP="00F10B24">
      <w:pPr>
        <w:numPr>
          <w:ilvl w:val="0"/>
          <w:numId w:val="25"/>
        </w:numPr>
      </w:pPr>
      <w:r>
        <w:t>Ergon Energy</w:t>
      </w:r>
      <w:r w:rsidRPr="00FA1C0B">
        <w:t xml:space="preserve"> proposed an opening RAB value as at 1 July 20</w:t>
      </w:r>
      <w:r>
        <w:t>10</w:t>
      </w:r>
      <w:r w:rsidRPr="00FA1C0B">
        <w:t xml:space="preserve"> of $</w:t>
      </w:r>
      <w:r w:rsidRPr="00A4397B">
        <w:t>7160.9</w:t>
      </w:r>
      <w:r w:rsidRPr="00FA1C0B">
        <w:t xml:space="preserve"> million ($</w:t>
      </w:r>
      <w:r>
        <w:t> </w:t>
      </w:r>
      <w:r w:rsidRPr="00FA1C0B">
        <w:t>nominal).</w:t>
      </w:r>
      <w:r>
        <w:rPr>
          <w:rStyle w:val="FootnoteReference"/>
        </w:rPr>
        <w:footnoteReference w:id="6"/>
      </w:r>
      <w:r w:rsidRPr="00FA1C0B">
        <w:t xml:space="preserve"> Rolling forward this RAB and using depreciation based on actual capex, </w:t>
      </w:r>
      <w:r>
        <w:t>Ergon Energy</w:t>
      </w:r>
      <w:r w:rsidRPr="00FA1C0B">
        <w:t xml:space="preserve"> proposed a closing RAB as at 30 June 201</w:t>
      </w:r>
      <w:r>
        <w:t>5</w:t>
      </w:r>
      <w:r w:rsidRPr="00FA1C0B">
        <w:t xml:space="preserve"> of $</w:t>
      </w:r>
      <w:r w:rsidRPr="00CB3531">
        <w:t>10</w:t>
      </w:r>
      <w:r w:rsidR="00D904FE">
        <w:t> </w:t>
      </w:r>
      <w:r w:rsidRPr="00CB3531">
        <w:t>095.8</w:t>
      </w:r>
      <w:r w:rsidR="00877D7D">
        <w:t xml:space="preserve"> </w:t>
      </w:r>
      <w:r w:rsidRPr="00FA1C0B">
        <w:t xml:space="preserve">million ($ nominal). </w:t>
      </w:r>
      <w:r w:rsidR="00877D7D">
        <w:t>It proposed a</w:t>
      </w:r>
      <w:r w:rsidR="00650427">
        <w:t>n</w:t>
      </w:r>
      <w:r w:rsidR="00877D7D">
        <w:t xml:space="preserve"> opening RAB of $10</w:t>
      </w:r>
      <w:r w:rsidR="00D904FE">
        <w:t> </w:t>
      </w:r>
      <w:r w:rsidR="00877D7D">
        <w:t xml:space="preserve">041.5 million, after accounting for the </w:t>
      </w:r>
      <w:r w:rsidR="00520CED">
        <w:t xml:space="preserve">reclassification </w:t>
      </w:r>
      <w:r w:rsidR="00877D7D">
        <w:t xml:space="preserve">of meters to </w:t>
      </w:r>
      <w:r w:rsidR="0064050F">
        <w:t>ACS</w:t>
      </w:r>
      <w:r w:rsidR="00877D7D">
        <w:t xml:space="preserve">. </w:t>
      </w:r>
      <w:r w:rsidRPr="00FA1C0B">
        <w:fldChar w:fldCharType="begin"/>
      </w:r>
      <w:r w:rsidRPr="00FA1C0B">
        <w:instrText xml:space="preserve"> REF _Ref393095893 \h </w:instrText>
      </w:r>
      <w:r w:rsidRPr="00FA1C0B">
        <w:fldChar w:fldCharType="separate"/>
      </w:r>
    </w:p>
    <w:p w:rsidR="005952F2" w:rsidRDefault="00D904FE" w:rsidP="00F10B24">
      <w:pPr>
        <w:numPr>
          <w:ilvl w:val="0"/>
          <w:numId w:val="25"/>
        </w:numPr>
      </w:pPr>
      <w:r>
        <w:t xml:space="preserve">Table </w:t>
      </w:r>
      <w:r>
        <w:rPr>
          <w:noProof/>
        </w:rPr>
        <w:t>2</w:t>
      </w:r>
      <w:r>
        <w:t>.</w:t>
      </w:r>
      <w:r>
        <w:rPr>
          <w:noProof/>
        </w:rPr>
        <w:t>3</w:t>
      </w:r>
      <w:r w:rsidR="00FD654C" w:rsidRPr="00FA1C0B">
        <w:fldChar w:fldCharType="end"/>
      </w:r>
      <w:r w:rsidR="00FD654C" w:rsidRPr="00FA1C0B">
        <w:t xml:space="preserve"> presents </w:t>
      </w:r>
      <w:r w:rsidR="00FD654C">
        <w:t>Ergon Energy's</w:t>
      </w:r>
      <w:r w:rsidR="00FD654C" w:rsidRPr="00FA1C0B">
        <w:t xml:space="preserve"> proposed roll forward of its RAB during the 20</w:t>
      </w:r>
      <w:r w:rsidR="00FD654C">
        <w:t>10</w:t>
      </w:r>
      <w:r w:rsidR="00FD654C" w:rsidRPr="00FA1C0B">
        <w:t>–1</w:t>
      </w:r>
      <w:r w:rsidR="00FD654C">
        <w:t xml:space="preserve">5 regulatory control </w:t>
      </w:r>
      <w:proofErr w:type="gramStart"/>
      <w:r w:rsidR="00FD654C">
        <w:t>period</w:t>
      </w:r>
      <w:proofErr w:type="gramEnd"/>
      <w:r w:rsidR="00FD654C">
        <w:t xml:space="preserve">. </w:t>
      </w:r>
      <w:bookmarkStart w:id="18" w:name="_Ref393095893"/>
    </w:p>
    <w:p w:rsidR="00FD654C" w:rsidRDefault="00FD654C" w:rsidP="00FD654C">
      <w:pPr>
        <w:pStyle w:val="Caption"/>
      </w:pPr>
      <w:r>
        <w:t xml:space="preserve">Table </w:t>
      </w:r>
      <w:r w:rsidR="00146416">
        <w:fldChar w:fldCharType="begin"/>
      </w:r>
      <w:r w:rsidR="00146416">
        <w:instrText xml:space="preserve"> STYLEREF 1 \s </w:instrText>
      </w:r>
      <w:r w:rsidR="00146416">
        <w:fldChar w:fldCharType="separate"/>
      </w:r>
      <w:r w:rsidR="00D904FE">
        <w:rPr>
          <w:noProof/>
        </w:rPr>
        <w:t>2</w:t>
      </w:r>
      <w:r w:rsidR="00146416">
        <w:rPr>
          <w:noProof/>
        </w:rPr>
        <w:fldChar w:fldCharType="end"/>
      </w:r>
      <w:r w:rsidR="00E9116B">
        <w:t>.</w:t>
      </w:r>
      <w:r w:rsidR="00146416">
        <w:fldChar w:fldCharType="begin"/>
      </w:r>
      <w:r w:rsidR="00146416">
        <w:instrText xml:space="preserve"> SEQ Table \* ARABIC \s 1 </w:instrText>
      </w:r>
      <w:r w:rsidR="00146416">
        <w:fldChar w:fldCharType="separate"/>
      </w:r>
      <w:r w:rsidR="00D904FE">
        <w:rPr>
          <w:noProof/>
        </w:rPr>
        <w:t>3</w:t>
      </w:r>
      <w:r w:rsidR="00146416">
        <w:rPr>
          <w:noProof/>
        </w:rPr>
        <w:fldChar w:fldCharType="end"/>
      </w:r>
      <w:bookmarkEnd w:id="18"/>
      <w:r>
        <w:tab/>
        <w:t>Ergon Energy's</w:t>
      </w:r>
      <w:r w:rsidRPr="00955101">
        <w:t xml:space="preserve"> proposed RAB for the </w:t>
      </w:r>
      <w:r>
        <w:t>2010–15</w:t>
      </w:r>
      <w:r w:rsidRPr="00955101">
        <w:t xml:space="preserve"> regulatory control period ($million, nominal)</w:t>
      </w:r>
    </w:p>
    <w:tbl>
      <w:tblPr>
        <w:tblStyle w:val="AERtable-numbers"/>
        <w:tblW w:w="8755" w:type="dxa"/>
        <w:tblLayout w:type="fixed"/>
        <w:tblLook w:val="04A0" w:firstRow="1" w:lastRow="0" w:firstColumn="1" w:lastColumn="0" w:noHBand="0" w:noVBand="1"/>
      </w:tblPr>
      <w:tblGrid>
        <w:gridCol w:w="3887"/>
        <w:gridCol w:w="973"/>
        <w:gridCol w:w="244"/>
        <w:gridCol w:w="730"/>
        <w:gridCol w:w="487"/>
        <w:gridCol w:w="486"/>
        <w:gridCol w:w="731"/>
        <w:gridCol w:w="243"/>
        <w:gridCol w:w="974"/>
      </w:tblGrid>
      <w:tr w:rsidR="00FD3A80" w:rsidRPr="00F10B24" w:rsidTr="00F10B24">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3887" w:type="dxa"/>
            <w:noWrap/>
            <w:hideMark/>
          </w:tcPr>
          <w:p w:rsidR="00FD654C" w:rsidRPr="00F10B24" w:rsidRDefault="00FD654C" w:rsidP="00F10B24">
            <w:r w:rsidRPr="00F10B24">
              <w:t> </w:t>
            </w:r>
          </w:p>
        </w:tc>
        <w:tc>
          <w:tcPr>
            <w:tcW w:w="973" w:type="dxa"/>
            <w:noWrap/>
            <w:hideMark/>
          </w:tcPr>
          <w:p w:rsidR="00FD654C" w:rsidRPr="00F10B24" w:rsidRDefault="00FD654C" w:rsidP="00F10B24">
            <w:pPr>
              <w:cnfStyle w:val="100000000000" w:firstRow="1" w:lastRow="0" w:firstColumn="0" w:lastColumn="0" w:oddVBand="0" w:evenVBand="0" w:oddHBand="0" w:evenHBand="0" w:firstRowFirstColumn="0" w:firstRowLastColumn="0" w:lastRowFirstColumn="0" w:lastRowLastColumn="0"/>
            </w:pPr>
            <w:r w:rsidRPr="00F10B24">
              <w:t>2010–11</w:t>
            </w:r>
          </w:p>
        </w:tc>
        <w:tc>
          <w:tcPr>
            <w:tcW w:w="974" w:type="dxa"/>
            <w:gridSpan w:val="2"/>
            <w:noWrap/>
            <w:hideMark/>
          </w:tcPr>
          <w:p w:rsidR="00FD654C" w:rsidRPr="00F10B24" w:rsidRDefault="00FD654C" w:rsidP="00F10B24">
            <w:pPr>
              <w:cnfStyle w:val="100000000000" w:firstRow="1" w:lastRow="0" w:firstColumn="0" w:lastColumn="0" w:oddVBand="0" w:evenVBand="0" w:oddHBand="0" w:evenHBand="0" w:firstRowFirstColumn="0" w:firstRowLastColumn="0" w:lastRowFirstColumn="0" w:lastRowLastColumn="0"/>
            </w:pPr>
            <w:r w:rsidRPr="00F10B24">
              <w:t>2011–12</w:t>
            </w:r>
          </w:p>
        </w:tc>
        <w:tc>
          <w:tcPr>
            <w:tcW w:w="973" w:type="dxa"/>
            <w:gridSpan w:val="2"/>
            <w:noWrap/>
            <w:hideMark/>
          </w:tcPr>
          <w:p w:rsidR="00FD654C" w:rsidRPr="00F10B24" w:rsidRDefault="00FD654C" w:rsidP="00F10B24">
            <w:pPr>
              <w:cnfStyle w:val="100000000000" w:firstRow="1" w:lastRow="0" w:firstColumn="0" w:lastColumn="0" w:oddVBand="0" w:evenVBand="0" w:oddHBand="0" w:evenHBand="0" w:firstRowFirstColumn="0" w:firstRowLastColumn="0" w:lastRowFirstColumn="0" w:lastRowLastColumn="0"/>
            </w:pPr>
            <w:r w:rsidRPr="00F10B24">
              <w:t>2012–13</w:t>
            </w:r>
          </w:p>
        </w:tc>
        <w:tc>
          <w:tcPr>
            <w:tcW w:w="974" w:type="dxa"/>
            <w:gridSpan w:val="2"/>
            <w:noWrap/>
            <w:hideMark/>
          </w:tcPr>
          <w:p w:rsidR="00FD654C" w:rsidRPr="00F10B24" w:rsidRDefault="00FD654C" w:rsidP="00F10B24">
            <w:pPr>
              <w:cnfStyle w:val="100000000000" w:firstRow="1" w:lastRow="0" w:firstColumn="0" w:lastColumn="0" w:oddVBand="0" w:evenVBand="0" w:oddHBand="0" w:evenHBand="0" w:firstRowFirstColumn="0" w:firstRowLastColumn="0" w:lastRowFirstColumn="0" w:lastRowLastColumn="0"/>
            </w:pPr>
            <w:r w:rsidRPr="00F10B24">
              <w:t>2013–14</w:t>
            </w:r>
          </w:p>
        </w:tc>
        <w:tc>
          <w:tcPr>
            <w:tcW w:w="974" w:type="dxa"/>
            <w:noWrap/>
            <w:hideMark/>
          </w:tcPr>
          <w:p w:rsidR="00FD654C" w:rsidRPr="00F10B24" w:rsidRDefault="00FD654C" w:rsidP="00F10B24">
            <w:pPr>
              <w:cnfStyle w:val="100000000000" w:firstRow="1" w:lastRow="0" w:firstColumn="0" w:lastColumn="0" w:oddVBand="0" w:evenVBand="0" w:oddHBand="0" w:evenHBand="0" w:firstRowFirstColumn="0" w:firstRowLastColumn="0" w:lastRowFirstColumn="0" w:lastRowLastColumn="0"/>
            </w:pPr>
            <w:r w:rsidRPr="00F10B24">
              <w:t>2014–15</w:t>
            </w:r>
            <w:r w:rsidRPr="00F10B24">
              <w:rPr>
                <w:rStyle w:val="AERsuperscript"/>
              </w:rPr>
              <w:t>a</w:t>
            </w:r>
          </w:p>
        </w:tc>
      </w:tr>
      <w:tr w:rsidR="00FD3A80" w:rsidRPr="00F10B24" w:rsidTr="00F10B24">
        <w:trPr>
          <w:trHeight w:val="269"/>
        </w:trPr>
        <w:tc>
          <w:tcPr>
            <w:cnfStyle w:val="001000000000" w:firstRow="0" w:lastRow="0" w:firstColumn="1" w:lastColumn="0" w:oddVBand="0" w:evenVBand="0" w:oddHBand="0" w:evenHBand="0" w:firstRowFirstColumn="0" w:firstRowLastColumn="0" w:lastRowFirstColumn="0" w:lastRowLastColumn="0"/>
            <w:tcW w:w="3887" w:type="dxa"/>
            <w:noWrap/>
            <w:hideMark/>
          </w:tcPr>
          <w:p w:rsidR="00FD654C" w:rsidRPr="00F10B24" w:rsidRDefault="00FD654C" w:rsidP="00F10B24">
            <w:r w:rsidRPr="00F10B24">
              <w:t>Opening RAB</w:t>
            </w:r>
          </w:p>
        </w:tc>
        <w:tc>
          <w:tcPr>
            <w:tcW w:w="973" w:type="dxa"/>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7160.9</w:t>
            </w:r>
          </w:p>
        </w:tc>
        <w:tc>
          <w:tcPr>
            <w:tcW w:w="974"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7858.1</w:t>
            </w:r>
          </w:p>
        </w:tc>
        <w:tc>
          <w:tcPr>
            <w:tcW w:w="973"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8360.8</w:t>
            </w:r>
          </w:p>
        </w:tc>
        <w:tc>
          <w:tcPr>
            <w:tcW w:w="974"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9006.8</w:t>
            </w:r>
          </w:p>
        </w:tc>
        <w:tc>
          <w:tcPr>
            <w:tcW w:w="974" w:type="dxa"/>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9606.3</w:t>
            </w:r>
          </w:p>
        </w:tc>
      </w:tr>
      <w:tr w:rsidR="00FD3A80" w:rsidRPr="00F10B24" w:rsidTr="00F10B24">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887" w:type="dxa"/>
            <w:noWrap/>
            <w:hideMark/>
          </w:tcPr>
          <w:p w:rsidR="00FD654C" w:rsidRPr="00F10B24" w:rsidRDefault="00FD654C" w:rsidP="00F10B24">
            <w:r w:rsidRPr="00F10B24">
              <w:t>Capital expenditure</w:t>
            </w:r>
            <w:r w:rsidRPr="00F10B24">
              <w:rPr>
                <w:rStyle w:val="AERsuperscript"/>
              </w:rPr>
              <w:t>b</w:t>
            </w:r>
          </w:p>
        </w:tc>
        <w:tc>
          <w:tcPr>
            <w:tcW w:w="973" w:type="dxa"/>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801.5</w:t>
            </w:r>
          </w:p>
        </w:tc>
        <w:tc>
          <w:tcPr>
            <w:tcW w:w="974" w:type="dxa"/>
            <w:gridSpan w:val="2"/>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758.2</w:t>
            </w:r>
          </w:p>
        </w:tc>
        <w:tc>
          <w:tcPr>
            <w:tcW w:w="973" w:type="dxa"/>
            <w:gridSpan w:val="2"/>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827.9</w:t>
            </w:r>
          </w:p>
        </w:tc>
        <w:tc>
          <w:tcPr>
            <w:tcW w:w="974" w:type="dxa"/>
            <w:gridSpan w:val="2"/>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748.5</w:t>
            </w:r>
          </w:p>
        </w:tc>
        <w:tc>
          <w:tcPr>
            <w:tcW w:w="974" w:type="dxa"/>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885.9</w:t>
            </w:r>
          </w:p>
        </w:tc>
      </w:tr>
      <w:tr w:rsidR="00FD3A80" w:rsidRPr="00F10B24" w:rsidTr="00F10B24">
        <w:trPr>
          <w:trHeight w:val="269"/>
        </w:trPr>
        <w:tc>
          <w:tcPr>
            <w:cnfStyle w:val="001000000000" w:firstRow="0" w:lastRow="0" w:firstColumn="1" w:lastColumn="0" w:oddVBand="0" w:evenVBand="0" w:oddHBand="0" w:evenHBand="0" w:firstRowFirstColumn="0" w:firstRowLastColumn="0" w:lastRowFirstColumn="0" w:lastRowLastColumn="0"/>
            <w:tcW w:w="3887" w:type="dxa"/>
            <w:noWrap/>
            <w:hideMark/>
          </w:tcPr>
          <w:p w:rsidR="00FD654C" w:rsidRPr="00F10B24" w:rsidRDefault="00FD654C" w:rsidP="00F10B24">
            <w:r w:rsidRPr="00F10B24">
              <w:t>Inflation indexation on opening RAB</w:t>
            </w:r>
          </w:p>
        </w:tc>
        <w:tc>
          <w:tcPr>
            <w:tcW w:w="973" w:type="dxa"/>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238.5</w:t>
            </w:r>
          </w:p>
        </w:tc>
        <w:tc>
          <w:tcPr>
            <w:tcW w:w="974"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124.2</w:t>
            </w:r>
          </w:p>
        </w:tc>
        <w:tc>
          <w:tcPr>
            <w:tcW w:w="973"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209.0</w:t>
            </w:r>
          </w:p>
        </w:tc>
        <w:tc>
          <w:tcPr>
            <w:tcW w:w="974"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263.9</w:t>
            </w:r>
          </w:p>
        </w:tc>
        <w:tc>
          <w:tcPr>
            <w:tcW w:w="974" w:type="dxa"/>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216.1</w:t>
            </w:r>
          </w:p>
        </w:tc>
      </w:tr>
      <w:tr w:rsidR="00FD3A80" w:rsidRPr="00F10B24" w:rsidTr="00F10B24">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887" w:type="dxa"/>
            <w:noWrap/>
            <w:hideMark/>
          </w:tcPr>
          <w:p w:rsidR="00FD654C" w:rsidRPr="00F10B24" w:rsidRDefault="00FD654C" w:rsidP="00F10B24">
            <w:r w:rsidRPr="00F10B24">
              <w:rPr>
                <w:rStyle w:val="AERtextitalic"/>
              </w:rPr>
              <w:t>Less</w:t>
            </w:r>
            <w:r w:rsidRPr="00F10B24">
              <w:t>: straight-line depreciation</w:t>
            </w:r>
          </w:p>
        </w:tc>
        <w:tc>
          <w:tcPr>
            <w:tcW w:w="973" w:type="dxa"/>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342.9</w:t>
            </w:r>
          </w:p>
        </w:tc>
        <w:tc>
          <w:tcPr>
            <w:tcW w:w="974" w:type="dxa"/>
            <w:gridSpan w:val="2"/>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379.6</w:t>
            </w:r>
          </w:p>
        </w:tc>
        <w:tc>
          <w:tcPr>
            <w:tcW w:w="973" w:type="dxa"/>
            <w:gridSpan w:val="2"/>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390.9</w:t>
            </w:r>
          </w:p>
        </w:tc>
        <w:tc>
          <w:tcPr>
            <w:tcW w:w="974" w:type="dxa"/>
            <w:gridSpan w:val="2"/>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412.9</w:t>
            </w:r>
          </w:p>
        </w:tc>
        <w:tc>
          <w:tcPr>
            <w:tcW w:w="974" w:type="dxa"/>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402.8</w:t>
            </w:r>
          </w:p>
        </w:tc>
      </w:tr>
      <w:tr w:rsidR="00FD3A80" w:rsidRPr="00F10B24" w:rsidTr="00F10B24">
        <w:trPr>
          <w:trHeight w:val="269"/>
        </w:trPr>
        <w:tc>
          <w:tcPr>
            <w:cnfStyle w:val="001000000000" w:firstRow="0" w:lastRow="0" w:firstColumn="1" w:lastColumn="0" w:oddVBand="0" w:evenVBand="0" w:oddHBand="0" w:evenHBand="0" w:firstRowFirstColumn="0" w:firstRowLastColumn="0" w:lastRowFirstColumn="0" w:lastRowLastColumn="0"/>
            <w:tcW w:w="3887" w:type="dxa"/>
            <w:noWrap/>
            <w:hideMark/>
          </w:tcPr>
          <w:p w:rsidR="00FD654C" w:rsidRPr="00F10B24" w:rsidRDefault="00FD654C" w:rsidP="00F10B24">
            <w:r w:rsidRPr="00F10B24">
              <w:t>Closing RAB</w:t>
            </w:r>
          </w:p>
        </w:tc>
        <w:tc>
          <w:tcPr>
            <w:tcW w:w="973" w:type="dxa"/>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7858.1</w:t>
            </w:r>
          </w:p>
        </w:tc>
        <w:tc>
          <w:tcPr>
            <w:tcW w:w="974"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8360.8</w:t>
            </w:r>
          </w:p>
        </w:tc>
        <w:tc>
          <w:tcPr>
            <w:tcW w:w="973"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9006.8</w:t>
            </w:r>
          </w:p>
        </w:tc>
        <w:tc>
          <w:tcPr>
            <w:tcW w:w="974"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9606.3</w:t>
            </w:r>
          </w:p>
        </w:tc>
        <w:tc>
          <w:tcPr>
            <w:tcW w:w="974" w:type="dxa"/>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10305.6</w:t>
            </w:r>
          </w:p>
        </w:tc>
      </w:tr>
      <w:tr w:rsidR="00FD3A80" w:rsidRPr="00F10B24" w:rsidTr="00F10B24">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887" w:type="dxa"/>
            <w:noWrap/>
            <w:hideMark/>
          </w:tcPr>
          <w:p w:rsidR="00FD654C" w:rsidRPr="00F10B24" w:rsidRDefault="00FD654C" w:rsidP="00F10B24">
            <w:r w:rsidRPr="00F10B24">
              <w:t>Difference between estimated and actual capex</w:t>
            </w:r>
            <w:r w:rsidR="00FD3A80" w:rsidRPr="00F10B24">
              <w:t xml:space="preserve"> </w:t>
            </w:r>
            <w:r w:rsidR="00154C51" w:rsidRPr="00F10B24">
              <w:br/>
            </w:r>
            <w:r w:rsidRPr="00F10B24">
              <w:t>(1 July 2009 to 30 June 2010)</w:t>
            </w:r>
          </w:p>
        </w:tc>
        <w:tc>
          <w:tcPr>
            <w:tcW w:w="2434" w:type="dxa"/>
            <w:gridSpan w:val="4"/>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p>
        </w:tc>
        <w:tc>
          <w:tcPr>
            <w:tcW w:w="2434" w:type="dxa"/>
            <w:gridSpan w:val="4"/>
            <w:noWrap/>
          </w:tcPr>
          <w:p w:rsidR="00FD654C" w:rsidRPr="00F10B24" w:rsidRDefault="0080029D" w:rsidP="00F10B24">
            <w:pPr>
              <w:cnfStyle w:val="000000010000" w:firstRow="0" w:lastRow="0" w:firstColumn="0" w:lastColumn="0" w:oddVBand="0" w:evenVBand="0" w:oddHBand="0" w:evenHBand="1" w:firstRowFirstColumn="0" w:firstRowLastColumn="0" w:lastRowFirstColumn="0" w:lastRowLastColumn="0"/>
            </w:pPr>
            <w:r w:rsidRPr="00F10B24">
              <w:t>–</w:t>
            </w:r>
            <w:r w:rsidR="00FD654C" w:rsidRPr="00F10B24">
              <w:t>131.9</w:t>
            </w:r>
          </w:p>
        </w:tc>
      </w:tr>
      <w:tr w:rsidR="00FD3A80" w:rsidRPr="00F10B24" w:rsidTr="00F10B24">
        <w:trPr>
          <w:trHeight w:val="269"/>
        </w:trPr>
        <w:tc>
          <w:tcPr>
            <w:cnfStyle w:val="001000000000" w:firstRow="0" w:lastRow="0" w:firstColumn="1" w:lastColumn="0" w:oddVBand="0" w:evenVBand="0" w:oddHBand="0" w:evenHBand="0" w:firstRowFirstColumn="0" w:firstRowLastColumn="0" w:lastRowFirstColumn="0" w:lastRowLastColumn="0"/>
            <w:tcW w:w="3887" w:type="dxa"/>
            <w:noWrap/>
            <w:hideMark/>
          </w:tcPr>
          <w:p w:rsidR="00FD654C" w:rsidRPr="00F10B24" w:rsidRDefault="00FD654C" w:rsidP="00F10B24">
            <w:r w:rsidRPr="00F10B24">
              <w:t>Return on difference for 2009–10 capex</w:t>
            </w:r>
          </w:p>
        </w:tc>
        <w:tc>
          <w:tcPr>
            <w:tcW w:w="1217" w:type="dxa"/>
            <w:gridSpan w:val="2"/>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p>
        </w:tc>
        <w:tc>
          <w:tcPr>
            <w:tcW w:w="1217"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p>
        </w:tc>
        <w:tc>
          <w:tcPr>
            <w:tcW w:w="1217"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p>
        </w:tc>
        <w:tc>
          <w:tcPr>
            <w:tcW w:w="1217" w:type="dxa"/>
            <w:gridSpan w:val="2"/>
            <w:noWrap/>
          </w:tcPr>
          <w:p w:rsidR="00FD654C" w:rsidRPr="00F10B24" w:rsidRDefault="0080029D" w:rsidP="00F10B24">
            <w:pPr>
              <w:cnfStyle w:val="000000000000" w:firstRow="0" w:lastRow="0" w:firstColumn="0" w:lastColumn="0" w:oddVBand="0" w:evenVBand="0" w:oddHBand="0" w:evenHBand="0" w:firstRowFirstColumn="0" w:firstRowLastColumn="0" w:lastRowFirstColumn="0" w:lastRowLastColumn="0"/>
            </w:pPr>
            <w:r w:rsidRPr="00F10B24">
              <w:t>–</w:t>
            </w:r>
            <w:r w:rsidR="00FD654C" w:rsidRPr="00F10B24">
              <w:t>77.8</w:t>
            </w:r>
          </w:p>
        </w:tc>
      </w:tr>
      <w:tr w:rsidR="00FD3A80" w:rsidRPr="00F10B24" w:rsidTr="00F10B24">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887" w:type="dxa"/>
            <w:noWrap/>
            <w:hideMark/>
          </w:tcPr>
          <w:p w:rsidR="00FD654C" w:rsidRPr="00F10B24" w:rsidRDefault="00FD654C" w:rsidP="00F10B24">
            <w:r w:rsidRPr="00F10B24">
              <w:t>Closing RAB as at 30 June 2015</w:t>
            </w:r>
          </w:p>
        </w:tc>
        <w:tc>
          <w:tcPr>
            <w:tcW w:w="973" w:type="dxa"/>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p>
        </w:tc>
        <w:tc>
          <w:tcPr>
            <w:tcW w:w="974" w:type="dxa"/>
            <w:gridSpan w:val="2"/>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p>
        </w:tc>
        <w:tc>
          <w:tcPr>
            <w:tcW w:w="973" w:type="dxa"/>
            <w:gridSpan w:val="2"/>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p>
        </w:tc>
        <w:tc>
          <w:tcPr>
            <w:tcW w:w="974" w:type="dxa"/>
            <w:gridSpan w:val="2"/>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p>
        </w:tc>
        <w:tc>
          <w:tcPr>
            <w:tcW w:w="974" w:type="dxa"/>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10095.8</w:t>
            </w:r>
          </w:p>
        </w:tc>
      </w:tr>
      <w:tr w:rsidR="00FD3A80" w:rsidRPr="00F10B24" w:rsidTr="00F10B24">
        <w:trPr>
          <w:trHeight w:val="269"/>
        </w:trPr>
        <w:tc>
          <w:tcPr>
            <w:cnfStyle w:val="001000000000" w:firstRow="0" w:lastRow="0" w:firstColumn="1" w:lastColumn="0" w:oddVBand="0" w:evenVBand="0" w:oddHBand="0" w:evenHBand="0" w:firstRowFirstColumn="0" w:firstRowLastColumn="0" w:lastRowFirstColumn="0" w:lastRowLastColumn="0"/>
            <w:tcW w:w="3887" w:type="dxa"/>
            <w:noWrap/>
          </w:tcPr>
          <w:p w:rsidR="00FD654C" w:rsidRPr="00F10B24" w:rsidRDefault="00FD654C" w:rsidP="00520CED">
            <w:r w:rsidRPr="00F10B24">
              <w:t xml:space="preserve">Meters </w:t>
            </w:r>
            <w:r w:rsidR="00520CED">
              <w:t>reclassified</w:t>
            </w:r>
            <w:r w:rsidR="00520CED" w:rsidRPr="00F10B24">
              <w:t xml:space="preserve"> </w:t>
            </w:r>
            <w:r w:rsidR="00520CED">
              <w:t>as</w:t>
            </w:r>
            <w:r w:rsidR="00520CED" w:rsidRPr="00F10B24">
              <w:t xml:space="preserve"> </w:t>
            </w:r>
            <w:r w:rsidRPr="00F10B24">
              <w:t>ACS</w:t>
            </w:r>
          </w:p>
        </w:tc>
        <w:tc>
          <w:tcPr>
            <w:tcW w:w="973" w:type="dxa"/>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p>
        </w:tc>
        <w:tc>
          <w:tcPr>
            <w:tcW w:w="974"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p>
        </w:tc>
        <w:tc>
          <w:tcPr>
            <w:tcW w:w="973"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p>
        </w:tc>
        <w:tc>
          <w:tcPr>
            <w:tcW w:w="974" w:type="dxa"/>
            <w:gridSpan w:val="2"/>
            <w:noWrap/>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p>
        </w:tc>
        <w:tc>
          <w:tcPr>
            <w:tcW w:w="974" w:type="dxa"/>
            <w:noWrap/>
          </w:tcPr>
          <w:p w:rsidR="00FD654C" w:rsidRPr="00F10B24" w:rsidRDefault="00877D7D" w:rsidP="00F10B24">
            <w:pPr>
              <w:cnfStyle w:val="000000000000" w:firstRow="0" w:lastRow="0" w:firstColumn="0" w:lastColumn="0" w:oddVBand="0" w:evenVBand="0" w:oddHBand="0" w:evenHBand="0" w:firstRowFirstColumn="0" w:firstRowLastColumn="0" w:lastRowFirstColumn="0" w:lastRowLastColumn="0"/>
            </w:pPr>
            <w:r w:rsidRPr="00F10B24">
              <w:t>–</w:t>
            </w:r>
            <w:r w:rsidR="00FD654C" w:rsidRPr="00F10B24">
              <w:t>54.3</w:t>
            </w:r>
          </w:p>
        </w:tc>
      </w:tr>
      <w:tr w:rsidR="00FD3A80" w:rsidRPr="00F10B24" w:rsidTr="00F10B24">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887" w:type="dxa"/>
            <w:noWrap/>
          </w:tcPr>
          <w:p w:rsidR="00FD654C" w:rsidRPr="00F10B24" w:rsidRDefault="00FD654C" w:rsidP="00F10B24">
            <w:pPr>
              <w:rPr>
                <w:rStyle w:val="Strong"/>
              </w:rPr>
            </w:pPr>
            <w:r w:rsidRPr="00F10B24">
              <w:rPr>
                <w:rStyle w:val="Strong"/>
              </w:rPr>
              <w:t>Opening RAB as at 1 July 2015</w:t>
            </w:r>
          </w:p>
        </w:tc>
        <w:tc>
          <w:tcPr>
            <w:tcW w:w="973" w:type="dxa"/>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rPr>
                <w:rStyle w:val="Strong"/>
              </w:rPr>
            </w:pPr>
          </w:p>
        </w:tc>
        <w:tc>
          <w:tcPr>
            <w:tcW w:w="974" w:type="dxa"/>
            <w:gridSpan w:val="2"/>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rPr>
                <w:rStyle w:val="Strong"/>
              </w:rPr>
            </w:pPr>
          </w:p>
        </w:tc>
        <w:tc>
          <w:tcPr>
            <w:tcW w:w="973" w:type="dxa"/>
            <w:gridSpan w:val="2"/>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rPr>
                <w:rStyle w:val="Strong"/>
              </w:rPr>
            </w:pPr>
          </w:p>
        </w:tc>
        <w:tc>
          <w:tcPr>
            <w:tcW w:w="974" w:type="dxa"/>
            <w:gridSpan w:val="2"/>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rPr>
                <w:rStyle w:val="Strong"/>
              </w:rPr>
            </w:pPr>
          </w:p>
        </w:tc>
        <w:tc>
          <w:tcPr>
            <w:tcW w:w="974" w:type="dxa"/>
            <w:noWrap/>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rPr>
                <w:rStyle w:val="Strong"/>
              </w:rPr>
            </w:pPr>
            <w:r w:rsidRPr="00F10B24">
              <w:rPr>
                <w:rStyle w:val="Strong"/>
              </w:rPr>
              <w:t>10041.5</w:t>
            </w:r>
          </w:p>
        </w:tc>
      </w:tr>
    </w:tbl>
    <w:p w:rsidR="00FD654C" w:rsidRDefault="00FD654C" w:rsidP="00FD654C">
      <w:pPr>
        <w:pStyle w:val="AERtablesource"/>
      </w:pPr>
      <w:r>
        <w:t>Source:</w:t>
      </w:r>
      <w:r>
        <w:tab/>
        <w:t>Ergon Energy,</w:t>
      </w:r>
      <w:r w:rsidR="0046582E">
        <w:t xml:space="preserve"> </w:t>
      </w:r>
      <w:r w:rsidR="0046582E" w:rsidRPr="0046582E">
        <w:rPr>
          <w:rStyle w:val="AERtextitalic"/>
        </w:rPr>
        <w:t>Regulatory proposal 03.01.01</w:t>
      </w:r>
      <w:r w:rsidR="0046582E">
        <w:t>,</w:t>
      </w:r>
      <w:r>
        <w:t xml:space="preserve"> October</w:t>
      </w:r>
      <w:r w:rsidR="0046582E">
        <w:t xml:space="preserve"> 2014, p.</w:t>
      </w:r>
      <w:r w:rsidR="00650427">
        <w:t xml:space="preserve"> </w:t>
      </w:r>
      <w:r w:rsidR="0046582E">
        <w:t>8.</w:t>
      </w:r>
    </w:p>
    <w:p w:rsidR="00FD654C" w:rsidRPr="00FC0432" w:rsidRDefault="00FD654C" w:rsidP="00FD654C">
      <w:pPr>
        <w:pStyle w:val="AERtablesource"/>
      </w:pPr>
      <w:r w:rsidRPr="00FC0432">
        <w:t>(a)</w:t>
      </w:r>
      <w:r w:rsidRPr="00FC0432">
        <w:tab/>
        <w:t>Based on estimated capex</w:t>
      </w:r>
      <w:r>
        <w:t>.</w:t>
      </w:r>
    </w:p>
    <w:p w:rsidR="00FD654C" w:rsidRPr="00FC0432" w:rsidRDefault="00FD654C" w:rsidP="00FD654C">
      <w:pPr>
        <w:pStyle w:val="AERtablesource"/>
      </w:pPr>
      <w:r w:rsidRPr="00FC0432">
        <w:t>(b)</w:t>
      </w:r>
      <w:r w:rsidRPr="00FC0432">
        <w:tab/>
        <w:t xml:space="preserve">Net of disposals </w:t>
      </w:r>
      <w:r>
        <w:t>and adjusted for CPI</w:t>
      </w:r>
      <w:r w:rsidRPr="00FC0432">
        <w:t>.</w:t>
      </w:r>
    </w:p>
    <w:p w:rsidR="00FD654C" w:rsidRDefault="00FD654C" w:rsidP="00FD654C">
      <w:pPr>
        <w:numPr>
          <w:ilvl w:val="0"/>
          <w:numId w:val="25"/>
        </w:numPr>
      </w:pPr>
      <w:r>
        <w:t>Ergon Energy</w:t>
      </w:r>
      <w:r w:rsidRPr="00FA1C0B">
        <w:t xml:space="preserve"> proposed a closing forecast RAB as at 30 June 20</w:t>
      </w:r>
      <w:r>
        <w:t>20</w:t>
      </w:r>
      <w:r w:rsidRPr="00FA1C0B">
        <w:t xml:space="preserve"> of $</w:t>
      </w:r>
      <w:r w:rsidRPr="00CB3531">
        <w:t>12</w:t>
      </w:r>
      <w:r w:rsidR="00D904FE">
        <w:t> </w:t>
      </w:r>
      <w:r w:rsidRPr="00CB3531">
        <w:t>867.0</w:t>
      </w:r>
      <w:r w:rsidRPr="00FA1C0B">
        <w:t xml:space="preserve"> million ($ nominal). This value reflects its proposed opening RAB, forecast capex, </w:t>
      </w:r>
      <w:r w:rsidRPr="00FA1C0B">
        <w:lastRenderedPageBreak/>
        <w:t>forecast inflation and depreciation (based on forecast capex) over the 201</w:t>
      </w:r>
      <w:r>
        <w:t>5</w:t>
      </w:r>
      <w:r w:rsidRPr="00FA1C0B">
        <w:t>–</w:t>
      </w:r>
      <w:r>
        <w:t>20</w:t>
      </w:r>
      <w:r w:rsidRPr="00FA1C0B">
        <w:t xml:space="preserve"> </w:t>
      </w:r>
      <w:r>
        <w:t xml:space="preserve">regulatory control </w:t>
      </w:r>
      <w:r w:rsidRPr="00FA1C0B">
        <w:t>period. Its projected RAB over the 20</w:t>
      </w:r>
      <w:r>
        <w:t>15</w:t>
      </w:r>
      <w:r w:rsidRPr="00FA1C0B">
        <w:t>–</w:t>
      </w:r>
      <w:r>
        <w:t>20</w:t>
      </w:r>
      <w:r w:rsidRPr="00FA1C0B">
        <w:t xml:space="preserve"> </w:t>
      </w:r>
      <w:r>
        <w:t xml:space="preserve">regulatory control </w:t>
      </w:r>
      <w:proofErr w:type="gramStart"/>
      <w:r w:rsidRPr="00FA1C0B">
        <w:t>period</w:t>
      </w:r>
      <w:proofErr w:type="gramEnd"/>
      <w:r w:rsidRPr="00FA1C0B">
        <w:t xml:space="preserve"> is shown in </w:t>
      </w:r>
      <w:r w:rsidRPr="00FA1C0B">
        <w:fldChar w:fldCharType="begin"/>
      </w:r>
      <w:r w:rsidRPr="00FA1C0B">
        <w:instrText xml:space="preserve"> REF _Ref393095900 \h </w:instrText>
      </w:r>
      <w:r w:rsidRPr="00FA1C0B">
        <w:fldChar w:fldCharType="separate"/>
      </w:r>
      <w:r w:rsidR="00A05458">
        <w:t>t</w:t>
      </w:r>
      <w:r w:rsidR="00D904FE">
        <w:t xml:space="preserve">able </w:t>
      </w:r>
      <w:r w:rsidR="00D904FE">
        <w:rPr>
          <w:noProof/>
        </w:rPr>
        <w:t>2</w:t>
      </w:r>
      <w:r w:rsidR="00D904FE">
        <w:t>.</w:t>
      </w:r>
      <w:r w:rsidR="00D904FE">
        <w:rPr>
          <w:noProof/>
        </w:rPr>
        <w:t>4</w:t>
      </w:r>
      <w:r w:rsidRPr="00FA1C0B">
        <w:fldChar w:fldCharType="end"/>
      </w:r>
      <w:r w:rsidRPr="00FA1C0B">
        <w:t>.</w:t>
      </w:r>
    </w:p>
    <w:p w:rsidR="00FD654C" w:rsidRDefault="00FD654C" w:rsidP="00FD654C">
      <w:pPr>
        <w:pStyle w:val="Caption"/>
      </w:pPr>
      <w:bookmarkStart w:id="19" w:name="_Ref393095900"/>
      <w:r>
        <w:t xml:space="preserve">Table </w:t>
      </w:r>
      <w:r w:rsidR="00146416">
        <w:fldChar w:fldCharType="begin"/>
      </w:r>
      <w:r w:rsidR="00146416">
        <w:instrText xml:space="preserve"> STYLEREF 1 \s </w:instrText>
      </w:r>
      <w:r w:rsidR="00146416">
        <w:fldChar w:fldCharType="separate"/>
      </w:r>
      <w:r w:rsidR="00D904FE">
        <w:rPr>
          <w:noProof/>
        </w:rPr>
        <w:t>2</w:t>
      </w:r>
      <w:r w:rsidR="00146416">
        <w:rPr>
          <w:noProof/>
        </w:rPr>
        <w:fldChar w:fldCharType="end"/>
      </w:r>
      <w:r w:rsidR="00E9116B">
        <w:t>.</w:t>
      </w:r>
      <w:r w:rsidR="00146416">
        <w:fldChar w:fldCharType="begin"/>
      </w:r>
      <w:r w:rsidR="00146416">
        <w:instrText xml:space="preserve"> SEQ Table \* ARABIC \s 1 </w:instrText>
      </w:r>
      <w:r w:rsidR="00146416">
        <w:fldChar w:fldCharType="separate"/>
      </w:r>
      <w:r w:rsidR="00D904FE">
        <w:rPr>
          <w:noProof/>
        </w:rPr>
        <w:t>4</w:t>
      </w:r>
      <w:r w:rsidR="00146416">
        <w:rPr>
          <w:noProof/>
        </w:rPr>
        <w:fldChar w:fldCharType="end"/>
      </w:r>
      <w:bookmarkEnd w:id="19"/>
      <w:r>
        <w:tab/>
        <w:t>Ergon Energy</w:t>
      </w:r>
      <w:r w:rsidRPr="00955101">
        <w:t>'</w:t>
      </w:r>
      <w:r>
        <w:t>s</w:t>
      </w:r>
      <w:r w:rsidRPr="00955101">
        <w:t xml:space="preserve"> proposed RAB for the </w:t>
      </w:r>
      <w:r>
        <w:t>2015–20</w:t>
      </w:r>
      <w:r w:rsidR="00650427">
        <w:t xml:space="preserve"> regulatory control</w:t>
      </w:r>
      <w:r>
        <w:t xml:space="preserve"> period</w:t>
      </w:r>
      <w:r w:rsidRPr="00955101">
        <w:t xml:space="preserve"> ($million, nominal)</w:t>
      </w:r>
    </w:p>
    <w:tbl>
      <w:tblPr>
        <w:tblStyle w:val="AERtable-numbers"/>
        <w:tblW w:w="8689" w:type="dxa"/>
        <w:tblLook w:val="04A0" w:firstRow="1" w:lastRow="0" w:firstColumn="1" w:lastColumn="0" w:noHBand="0" w:noVBand="1"/>
      </w:tblPr>
      <w:tblGrid>
        <w:gridCol w:w="3454"/>
        <w:gridCol w:w="1047"/>
        <w:gridCol w:w="1047"/>
        <w:gridCol w:w="1047"/>
        <w:gridCol w:w="1047"/>
        <w:gridCol w:w="1047"/>
      </w:tblGrid>
      <w:tr w:rsidR="00FD654C" w:rsidRPr="00F10B24" w:rsidTr="00500715">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3454" w:type="dxa"/>
            <w:noWrap/>
            <w:hideMark/>
          </w:tcPr>
          <w:p w:rsidR="00FD654C" w:rsidRPr="00F10B24" w:rsidRDefault="00FD654C" w:rsidP="00F10B24">
            <w:r w:rsidRPr="00F10B24">
              <w:t> </w:t>
            </w:r>
          </w:p>
        </w:tc>
        <w:tc>
          <w:tcPr>
            <w:tcW w:w="1047" w:type="dxa"/>
            <w:noWrap/>
            <w:hideMark/>
          </w:tcPr>
          <w:p w:rsidR="00FD654C" w:rsidRPr="00F10B24" w:rsidRDefault="00FD654C" w:rsidP="00F10B24">
            <w:pPr>
              <w:cnfStyle w:val="100000000000" w:firstRow="1" w:lastRow="0" w:firstColumn="0" w:lastColumn="0" w:oddVBand="0" w:evenVBand="0" w:oddHBand="0" w:evenHBand="0" w:firstRowFirstColumn="0" w:firstRowLastColumn="0" w:lastRowFirstColumn="0" w:lastRowLastColumn="0"/>
            </w:pPr>
            <w:r w:rsidRPr="00F10B24">
              <w:t>2015–16</w:t>
            </w:r>
          </w:p>
        </w:tc>
        <w:tc>
          <w:tcPr>
            <w:tcW w:w="1047" w:type="dxa"/>
            <w:noWrap/>
            <w:hideMark/>
          </w:tcPr>
          <w:p w:rsidR="00FD654C" w:rsidRPr="00F10B24" w:rsidRDefault="00FD654C" w:rsidP="00F10B24">
            <w:pPr>
              <w:cnfStyle w:val="100000000000" w:firstRow="1" w:lastRow="0" w:firstColumn="0" w:lastColumn="0" w:oddVBand="0" w:evenVBand="0" w:oddHBand="0" w:evenHBand="0" w:firstRowFirstColumn="0" w:firstRowLastColumn="0" w:lastRowFirstColumn="0" w:lastRowLastColumn="0"/>
            </w:pPr>
            <w:r w:rsidRPr="00F10B24">
              <w:t>2016–17</w:t>
            </w:r>
          </w:p>
        </w:tc>
        <w:tc>
          <w:tcPr>
            <w:tcW w:w="1047" w:type="dxa"/>
            <w:noWrap/>
            <w:hideMark/>
          </w:tcPr>
          <w:p w:rsidR="00FD654C" w:rsidRPr="00F10B24" w:rsidRDefault="00FD654C" w:rsidP="00F10B24">
            <w:pPr>
              <w:cnfStyle w:val="100000000000" w:firstRow="1" w:lastRow="0" w:firstColumn="0" w:lastColumn="0" w:oddVBand="0" w:evenVBand="0" w:oddHBand="0" w:evenHBand="0" w:firstRowFirstColumn="0" w:firstRowLastColumn="0" w:lastRowFirstColumn="0" w:lastRowLastColumn="0"/>
            </w:pPr>
            <w:r w:rsidRPr="00F10B24">
              <w:t>2017–18</w:t>
            </w:r>
          </w:p>
        </w:tc>
        <w:tc>
          <w:tcPr>
            <w:tcW w:w="1047" w:type="dxa"/>
            <w:noWrap/>
            <w:hideMark/>
          </w:tcPr>
          <w:p w:rsidR="00FD654C" w:rsidRPr="00F10B24" w:rsidRDefault="00FD654C" w:rsidP="00F10B24">
            <w:pPr>
              <w:cnfStyle w:val="100000000000" w:firstRow="1" w:lastRow="0" w:firstColumn="0" w:lastColumn="0" w:oddVBand="0" w:evenVBand="0" w:oddHBand="0" w:evenHBand="0" w:firstRowFirstColumn="0" w:firstRowLastColumn="0" w:lastRowFirstColumn="0" w:lastRowLastColumn="0"/>
            </w:pPr>
            <w:r w:rsidRPr="00F10B24">
              <w:t>2018–19</w:t>
            </w:r>
          </w:p>
        </w:tc>
        <w:tc>
          <w:tcPr>
            <w:tcW w:w="1047" w:type="dxa"/>
            <w:noWrap/>
            <w:hideMark/>
          </w:tcPr>
          <w:p w:rsidR="00FD654C" w:rsidRPr="00F10B24" w:rsidRDefault="00FD654C" w:rsidP="00F10B24">
            <w:pPr>
              <w:cnfStyle w:val="100000000000" w:firstRow="1" w:lastRow="0" w:firstColumn="0" w:lastColumn="0" w:oddVBand="0" w:evenVBand="0" w:oddHBand="0" w:evenHBand="0" w:firstRowFirstColumn="0" w:firstRowLastColumn="0" w:lastRowFirstColumn="0" w:lastRowLastColumn="0"/>
            </w:pPr>
            <w:r w:rsidRPr="00F10B24">
              <w:t>2019–20</w:t>
            </w:r>
          </w:p>
        </w:tc>
      </w:tr>
      <w:tr w:rsidR="00FD654C" w:rsidRPr="00F10B24" w:rsidTr="00500715">
        <w:trPr>
          <w:trHeight w:val="287"/>
        </w:trPr>
        <w:tc>
          <w:tcPr>
            <w:cnfStyle w:val="001000000000" w:firstRow="0" w:lastRow="0" w:firstColumn="1" w:lastColumn="0" w:oddVBand="0" w:evenVBand="0" w:oddHBand="0" w:evenHBand="0" w:firstRowFirstColumn="0" w:firstRowLastColumn="0" w:lastRowFirstColumn="0" w:lastRowLastColumn="0"/>
            <w:tcW w:w="3454" w:type="dxa"/>
            <w:noWrap/>
            <w:hideMark/>
          </w:tcPr>
          <w:p w:rsidR="00FD654C" w:rsidRPr="00F10B24" w:rsidRDefault="00FD654C" w:rsidP="00F10B24">
            <w:r w:rsidRPr="00F10B24">
              <w:t>Opening RAB</w:t>
            </w:r>
          </w:p>
        </w:tc>
        <w:tc>
          <w:tcPr>
            <w:tcW w:w="1047" w:type="dxa"/>
            <w:noWrap/>
            <w:vAlign w:val="bottom"/>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10041.5</w:t>
            </w:r>
          </w:p>
        </w:tc>
        <w:tc>
          <w:tcPr>
            <w:tcW w:w="1047" w:type="dxa"/>
            <w:noWrap/>
            <w:vAlign w:val="bottom"/>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10651.7</w:t>
            </w:r>
          </w:p>
        </w:tc>
        <w:tc>
          <w:tcPr>
            <w:tcW w:w="1047" w:type="dxa"/>
            <w:noWrap/>
            <w:vAlign w:val="bottom"/>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11233.3</w:t>
            </w:r>
          </w:p>
        </w:tc>
        <w:tc>
          <w:tcPr>
            <w:tcW w:w="1047" w:type="dxa"/>
            <w:noWrap/>
            <w:vAlign w:val="bottom"/>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11748.1</w:t>
            </w:r>
          </w:p>
        </w:tc>
        <w:tc>
          <w:tcPr>
            <w:tcW w:w="1047" w:type="dxa"/>
            <w:noWrap/>
            <w:vAlign w:val="bottom"/>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12311.5</w:t>
            </w:r>
          </w:p>
        </w:tc>
      </w:tr>
      <w:tr w:rsidR="00FD654C" w:rsidRPr="00F10B24" w:rsidTr="0050071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54" w:type="dxa"/>
            <w:noWrap/>
            <w:hideMark/>
          </w:tcPr>
          <w:p w:rsidR="00FD654C" w:rsidRPr="00F10B24" w:rsidRDefault="00FD654C" w:rsidP="00F10B24">
            <w:r w:rsidRPr="00F10B24">
              <w:t>Capital expenditure</w:t>
            </w:r>
            <w:r w:rsidRPr="00F10B24">
              <w:rPr>
                <w:rStyle w:val="AERsuperscript"/>
              </w:rPr>
              <w:t>a</w:t>
            </w:r>
          </w:p>
        </w:tc>
        <w:tc>
          <w:tcPr>
            <w:tcW w:w="1047" w:type="dxa"/>
            <w:noWrap/>
            <w:vAlign w:val="bottom"/>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783.7</w:t>
            </w:r>
          </w:p>
        </w:tc>
        <w:tc>
          <w:tcPr>
            <w:tcW w:w="1047" w:type="dxa"/>
            <w:noWrap/>
            <w:vAlign w:val="bottom"/>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773.2</w:t>
            </w:r>
          </w:p>
        </w:tc>
        <w:tc>
          <w:tcPr>
            <w:tcW w:w="1047" w:type="dxa"/>
            <w:noWrap/>
            <w:vAlign w:val="bottom"/>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722.5</w:t>
            </w:r>
          </w:p>
        </w:tc>
        <w:tc>
          <w:tcPr>
            <w:tcW w:w="1047" w:type="dxa"/>
            <w:noWrap/>
            <w:vAlign w:val="bottom"/>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724.1</w:t>
            </w:r>
          </w:p>
        </w:tc>
        <w:tc>
          <w:tcPr>
            <w:tcW w:w="1047" w:type="dxa"/>
            <w:noWrap/>
            <w:vAlign w:val="bottom"/>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725.8</w:t>
            </w:r>
          </w:p>
        </w:tc>
      </w:tr>
      <w:tr w:rsidR="00FD654C" w:rsidRPr="00F10B24" w:rsidTr="00500715">
        <w:trPr>
          <w:trHeight w:val="287"/>
        </w:trPr>
        <w:tc>
          <w:tcPr>
            <w:cnfStyle w:val="001000000000" w:firstRow="0" w:lastRow="0" w:firstColumn="1" w:lastColumn="0" w:oddVBand="0" w:evenVBand="0" w:oddHBand="0" w:evenHBand="0" w:firstRowFirstColumn="0" w:firstRowLastColumn="0" w:lastRowFirstColumn="0" w:lastRowLastColumn="0"/>
            <w:tcW w:w="3454" w:type="dxa"/>
            <w:noWrap/>
            <w:hideMark/>
          </w:tcPr>
          <w:p w:rsidR="00FD654C" w:rsidRPr="00F10B24" w:rsidRDefault="00FD654C" w:rsidP="00F10B24">
            <w:r w:rsidRPr="00F10B24">
              <w:t>Inflation indexation on opening RAB</w:t>
            </w:r>
          </w:p>
        </w:tc>
        <w:tc>
          <w:tcPr>
            <w:tcW w:w="1047" w:type="dxa"/>
            <w:noWrap/>
            <w:vAlign w:val="bottom"/>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258.1</w:t>
            </w:r>
          </w:p>
        </w:tc>
        <w:tc>
          <w:tcPr>
            <w:tcW w:w="1047" w:type="dxa"/>
            <w:noWrap/>
            <w:vAlign w:val="bottom"/>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273.7</w:t>
            </w:r>
          </w:p>
        </w:tc>
        <w:tc>
          <w:tcPr>
            <w:tcW w:w="1047" w:type="dxa"/>
            <w:noWrap/>
            <w:vAlign w:val="bottom"/>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288.7</w:t>
            </w:r>
          </w:p>
        </w:tc>
        <w:tc>
          <w:tcPr>
            <w:tcW w:w="1047" w:type="dxa"/>
            <w:noWrap/>
            <w:vAlign w:val="bottom"/>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301.9</w:t>
            </w:r>
          </w:p>
        </w:tc>
        <w:tc>
          <w:tcPr>
            <w:tcW w:w="1047" w:type="dxa"/>
            <w:noWrap/>
            <w:vAlign w:val="bottom"/>
          </w:tcPr>
          <w:p w:rsidR="00FD654C" w:rsidRPr="00F10B24" w:rsidRDefault="00FD654C" w:rsidP="00F10B24">
            <w:pPr>
              <w:cnfStyle w:val="000000000000" w:firstRow="0" w:lastRow="0" w:firstColumn="0" w:lastColumn="0" w:oddVBand="0" w:evenVBand="0" w:oddHBand="0" w:evenHBand="0" w:firstRowFirstColumn="0" w:firstRowLastColumn="0" w:lastRowFirstColumn="0" w:lastRowLastColumn="0"/>
            </w:pPr>
            <w:r w:rsidRPr="00F10B24">
              <w:t>316.4</w:t>
            </w:r>
          </w:p>
        </w:tc>
      </w:tr>
      <w:tr w:rsidR="00FD654C" w:rsidRPr="00F10B24" w:rsidTr="00500715">
        <w:trPr>
          <w:cnfStyle w:val="000000010000" w:firstRow="0" w:lastRow="0" w:firstColumn="0" w:lastColumn="0" w:oddVBand="0" w:evenVBand="0" w:oddHBand="0" w:evenHBand="1"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54" w:type="dxa"/>
            <w:noWrap/>
            <w:hideMark/>
          </w:tcPr>
          <w:p w:rsidR="00FD654C" w:rsidRPr="00F10B24" w:rsidRDefault="00FD654C" w:rsidP="00F10B24">
            <w:r w:rsidRPr="00F10B24">
              <w:rPr>
                <w:rStyle w:val="AERtextitalic"/>
              </w:rPr>
              <w:t>Less</w:t>
            </w:r>
            <w:r w:rsidRPr="00F10B24">
              <w:t>: straight-line depreciation</w:t>
            </w:r>
          </w:p>
        </w:tc>
        <w:tc>
          <w:tcPr>
            <w:tcW w:w="1047" w:type="dxa"/>
            <w:noWrap/>
            <w:vAlign w:val="bottom"/>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431.6</w:t>
            </w:r>
          </w:p>
        </w:tc>
        <w:tc>
          <w:tcPr>
            <w:tcW w:w="1047" w:type="dxa"/>
            <w:noWrap/>
            <w:vAlign w:val="bottom"/>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465.5</w:t>
            </w:r>
          </w:p>
        </w:tc>
        <w:tc>
          <w:tcPr>
            <w:tcW w:w="1047" w:type="dxa"/>
            <w:noWrap/>
            <w:vAlign w:val="bottom"/>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496.4</w:t>
            </w:r>
          </w:p>
        </w:tc>
        <w:tc>
          <w:tcPr>
            <w:tcW w:w="1047" w:type="dxa"/>
            <w:noWrap/>
            <w:vAlign w:val="bottom"/>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462.7</w:t>
            </w:r>
          </w:p>
        </w:tc>
        <w:tc>
          <w:tcPr>
            <w:tcW w:w="1047" w:type="dxa"/>
            <w:noWrap/>
            <w:vAlign w:val="bottom"/>
          </w:tcPr>
          <w:p w:rsidR="00FD654C" w:rsidRPr="00F10B24" w:rsidRDefault="00FD654C" w:rsidP="00F10B24">
            <w:pPr>
              <w:cnfStyle w:val="000000010000" w:firstRow="0" w:lastRow="0" w:firstColumn="0" w:lastColumn="0" w:oddVBand="0" w:evenVBand="0" w:oddHBand="0" w:evenHBand="1" w:firstRowFirstColumn="0" w:firstRowLastColumn="0" w:lastRowFirstColumn="0" w:lastRowLastColumn="0"/>
            </w:pPr>
            <w:r w:rsidRPr="00F10B24">
              <w:t>486.7</w:t>
            </w:r>
          </w:p>
        </w:tc>
      </w:tr>
      <w:tr w:rsidR="00FD654C" w:rsidRPr="00D904FE" w:rsidTr="00500715">
        <w:trPr>
          <w:trHeight w:val="287"/>
        </w:trPr>
        <w:tc>
          <w:tcPr>
            <w:cnfStyle w:val="001000000000" w:firstRow="0" w:lastRow="0" w:firstColumn="1" w:lastColumn="0" w:oddVBand="0" w:evenVBand="0" w:oddHBand="0" w:evenHBand="0" w:firstRowFirstColumn="0" w:firstRowLastColumn="0" w:lastRowFirstColumn="0" w:lastRowLastColumn="0"/>
            <w:tcW w:w="3454" w:type="dxa"/>
            <w:noWrap/>
            <w:hideMark/>
          </w:tcPr>
          <w:p w:rsidR="00FD654C" w:rsidRPr="00D904FE" w:rsidRDefault="00FD654C" w:rsidP="00F10B24">
            <w:pPr>
              <w:rPr>
                <w:rStyle w:val="Strong"/>
              </w:rPr>
            </w:pPr>
            <w:r w:rsidRPr="00D904FE">
              <w:rPr>
                <w:rStyle w:val="Strong"/>
              </w:rPr>
              <w:t>Closing RAB</w:t>
            </w:r>
          </w:p>
        </w:tc>
        <w:tc>
          <w:tcPr>
            <w:tcW w:w="1047" w:type="dxa"/>
            <w:noWrap/>
            <w:vAlign w:val="bottom"/>
          </w:tcPr>
          <w:p w:rsidR="00FD654C" w:rsidRPr="00D904FE" w:rsidRDefault="00FD654C" w:rsidP="00F10B24">
            <w:pPr>
              <w:cnfStyle w:val="000000000000" w:firstRow="0" w:lastRow="0" w:firstColumn="0" w:lastColumn="0" w:oddVBand="0" w:evenVBand="0" w:oddHBand="0" w:evenHBand="0" w:firstRowFirstColumn="0" w:firstRowLastColumn="0" w:lastRowFirstColumn="0" w:lastRowLastColumn="0"/>
              <w:rPr>
                <w:rStyle w:val="Strong"/>
              </w:rPr>
            </w:pPr>
            <w:r w:rsidRPr="00D904FE">
              <w:rPr>
                <w:rStyle w:val="Strong"/>
              </w:rPr>
              <w:t>10651.7</w:t>
            </w:r>
          </w:p>
        </w:tc>
        <w:tc>
          <w:tcPr>
            <w:tcW w:w="1047" w:type="dxa"/>
            <w:noWrap/>
            <w:vAlign w:val="bottom"/>
          </w:tcPr>
          <w:p w:rsidR="00FD654C" w:rsidRPr="00D904FE" w:rsidRDefault="00FD654C" w:rsidP="00F10B24">
            <w:pPr>
              <w:cnfStyle w:val="000000000000" w:firstRow="0" w:lastRow="0" w:firstColumn="0" w:lastColumn="0" w:oddVBand="0" w:evenVBand="0" w:oddHBand="0" w:evenHBand="0" w:firstRowFirstColumn="0" w:firstRowLastColumn="0" w:lastRowFirstColumn="0" w:lastRowLastColumn="0"/>
              <w:rPr>
                <w:rStyle w:val="Strong"/>
              </w:rPr>
            </w:pPr>
            <w:r w:rsidRPr="00D904FE">
              <w:rPr>
                <w:rStyle w:val="Strong"/>
              </w:rPr>
              <w:t>11233.3</w:t>
            </w:r>
          </w:p>
        </w:tc>
        <w:tc>
          <w:tcPr>
            <w:tcW w:w="1047" w:type="dxa"/>
            <w:noWrap/>
            <w:vAlign w:val="bottom"/>
          </w:tcPr>
          <w:p w:rsidR="00FD654C" w:rsidRPr="00D904FE" w:rsidRDefault="00FD654C" w:rsidP="00F10B24">
            <w:pPr>
              <w:cnfStyle w:val="000000000000" w:firstRow="0" w:lastRow="0" w:firstColumn="0" w:lastColumn="0" w:oddVBand="0" w:evenVBand="0" w:oddHBand="0" w:evenHBand="0" w:firstRowFirstColumn="0" w:firstRowLastColumn="0" w:lastRowFirstColumn="0" w:lastRowLastColumn="0"/>
              <w:rPr>
                <w:rStyle w:val="Strong"/>
              </w:rPr>
            </w:pPr>
            <w:r w:rsidRPr="00D904FE">
              <w:rPr>
                <w:rStyle w:val="Strong"/>
              </w:rPr>
              <w:t>11748.1</w:t>
            </w:r>
          </w:p>
        </w:tc>
        <w:tc>
          <w:tcPr>
            <w:tcW w:w="1047" w:type="dxa"/>
            <w:noWrap/>
            <w:vAlign w:val="bottom"/>
          </w:tcPr>
          <w:p w:rsidR="00FD654C" w:rsidRPr="00D904FE" w:rsidRDefault="00FD654C" w:rsidP="00F10B24">
            <w:pPr>
              <w:cnfStyle w:val="000000000000" w:firstRow="0" w:lastRow="0" w:firstColumn="0" w:lastColumn="0" w:oddVBand="0" w:evenVBand="0" w:oddHBand="0" w:evenHBand="0" w:firstRowFirstColumn="0" w:firstRowLastColumn="0" w:lastRowFirstColumn="0" w:lastRowLastColumn="0"/>
              <w:rPr>
                <w:rStyle w:val="Strong"/>
              </w:rPr>
            </w:pPr>
            <w:r w:rsidRPr="00D904FE">
              <w:rPr>
                <w:rStyle w:val="Strong"/>
              </w:rPr>
              <w:t>12311.5</w:t>
            </w:r>
          </w:p>
        </w:tc>
        <w:tc>
          <w:tcPr>
            <w:tcW w:w="1047" w:type="dxa"/>
            <w:noWrap/>
            <w:vAlign w:val="bottom"/>
          </w:tcPr>
          <w:p w:rsidR="00FD654C" w:rsidRPr="00D904FE" w:rsidRDefault="00FD654C" w:rsidP="00F10B24">
            <w:pPr>
              <w:cnfStyle w:val="000000000000" w:firstRow="0" w:lastRow="0" w:firstColumn="0" w:lastColumn="0" w:oddVBand="0" w:evenVBand="0" w:oddHBand="0" w:evenHBand="0" w:firstRowFirstColumn="0" w:firstRowLastColumn="0" w:lastRowFirstColumn="0" w:lastRowLastColumn="0"/>
              <w:rPr>
                <w:rStyle w:val="Strong"/>
              </w:rPr>
            </w:pPr>
            <w:r w:rsidRPr="00D904FE">
              <w:rPr>
                <w:rStyle w:val="Strong"/>
              </w:rPr>
              <w:t>12867.0</w:t>
            </w:r>
          </w:p>
        </w:tc>
      </w:tr>
    </w:tbl>
    <w:p w:rsidR="00FD654C" w:rsidRDefault="00FD654C" w:rsidP="00FD654C">
      <w:pPr>
        <w:pStyle w:val="AERtablesource"/>
      </w:pPr>
      <w:r>
        <w:t>Source:</w:t>
      </w:r>
      <w:r>
        <w:tab/>
      </w:r>
      <w:r w:rsidR="0046582E">
        <w:t xml:space="preserve">Ergon Energy, </w:t>
      </w:r>
      <w:r w:rsidR="00F10B24" w:rsidRPr="00F10B24">
        <w:rPr>
          <w:rStyle w:val="AERtextitalic"/>
        </w:rPr>
        <w:t>P</w:t>
      </w:r>
      <w:r w:rsidR="0046582E" w:rsidRPr="00F10B24">
        <w:rPr>
          <w:rStyle w:val="AERtextitalic"/>
        </w:rPr>
        <w:t>roposed PTRM</w:t>
      </w:r>
      <w:r w:rsidR="0046582E">
        <w:t xml:space="preserve">, </w:t>
      </w:r>
      <w:r>
        <w:t>October 2014</w:t>
      </w:r>
      <w:r w:rsidRPr="00FC0432">
        <w:t>.</w:t>
      </w:r>
    </w:p>
    <w:p w:rsidR="00FD654C" w:rsidRDefault="00FD654C" w:rsidP="00FD654C">
      <w:pPr>
        <w:pStyle w:val="AERtablesource"/>
      </w:pPr>
      <w:r w:rsidRPr="00FC0432">
        <w:t>(a)</w:t>
      </w:r>
      <w:r>
        <w:t>:</w:t>
      </w:r>
      <w:r w:rsidRPr="00FC0432">
        <w:tab/>
        <w:t>Net of disposals and capital contributions.</w:t>
      </w:r>
    </w:p>
    <w:p w:rsidR="00DE563D" w:rsidRDefault="00877D7D" w:rsidP="00DE563D">
      <w:pPr>
        <w:numPr>
          <w:ilvl w:val="0"/>
          <w:numId w:val="25"/>
        </w:numPr>
      </w:pPr>
      <w:r>
        <w:t>Ergon Energy did not propose a</w:t>
      </w:r>
      <w:r w:rsidR="00FD654C" w:rsidRPr="00830BA6">
        <w:t xml:space="preserve"> depreciation approach to establish the RAB at the commencement of 20</w:t>
      </w:r>
      <w:r w:rsidR="00FD654C">
        <w:t>20</w:t>
      </w:r>
      <w:r w:rsidR="00FD654C" w:rsidRPr="00830BA6">
        <w:t>–2</w:t>
      </w:r>
      <w:r w:rsidR="00FD654C">
        <w:t>5</w:t>
      </w:r>
      <w:r w:rsidR="00FD654C" w:rsidRPr="00830BA6">
        <w:t xml:space="preserve"> regulatory control period</w:t>
      </w:r>
      <w:r>
        <w:t>.</w:t>
      </w:r>
    </w:p>
    <w:p w:rsidR="00DE563D" w:rsidRPr="00B00FED" w:rsidRDefault="00DE563D" w:rsidP="00B00FED">
      <w:pPr>
        <w:pStyle w:val="Heading2"/>
      </w:pPr>
      <w:bookmarkStart w:id="20" w:name="_Toc403144138"/>
      <w:bookmarkStart w:id="21" w:name="_Ref413830763"/>
      <w:bookmarkStart w:id="22" w:name="_Toc413831065"/>
      <w:r w:rsidRPr="00B00FED">
        <w:t>AER’s assessment approach</w:t>
      </w:r>
      <w:bookmarkEnd w:id="20"/>
      <w:bookmarkEnd w:id="21"/>
      <w:bookmarkEnd w:id="22"/>
    </w:p>
    <w:p w:rsidR="00FD654C" w:rsidRPr="002D453A" w:rsidRDefault="00FD654C" w:rsidP="00FD654C">
      <w:pPr>
        <w:numPr>
          <w:ilvl w:val="0"/>
          <w:numId w:val="25"/>
        </w:numPr>
      </w:pPr>
      <w:r w:rsidRPr="002D453A">
        <w:t xml:space="preserve">We are required to roll forward the service provider's RAB during the </w:t>
      </w:r>
      <w:r>
        <w:t>2010–15</w:t>
      </w:r>
      <w:r w:rsidRPr="002D453A">
        <w:t xml:space="preserve"> regulatory control period to establish the opening RAB at 1 July 201</w:t>
      </w:r>
      <w:r>
        <w:t>5</w:t>
      </w:r>
      <w:r w:rsidRPr="002D453A">
        <w:t xml:space="preserve">. This value can be adjusted for any differences in the forecast and actual capex, disposals and capital contributions. It may also be adjusted to reflect any changes in the use of the assets, with only assets used in the provision of </w:t>
      </w:r>
      <w:r w:rsidR="0063197C">
        <w:t xml:space="preserve">SCS </w:t>
      </w:r>
      <w:r w:rsidRPr="002D453A">
        <w:t>to be included in the RAB.</w:t>
      </w:r>
      <w:r w:rsidRPr="002D453A">
        <w:rPr>
          <w:rStyle w:val="FootnoteReference"/>
        </w:rPr>
        <w:footnoteReference w:id="7"/>
      </w:r>
    </w:p>
    <w:p w:rsidR="00FD654C" w:rsidRPr="002D453A" w:rsidRDefault="00FD654C" w:rsidP="00FD654C">
      <w:pPr>
        <w:numPr>
          <w:ilvl w:val="0"/>
          <w:numId w:val="25"/>
        </w:numPr>
      </w:pPr>
      <w:r w:rsidRPr="002D453A">
        <w:t>To determine the opening RAB, we developed an asset base RFM in accordance with the requirements of the NER.</w:t>
      </w:r>
      <w:r w:rsidRPr="002D453A">
        <w:rPr>
          <w:rStyle w:val="FootnoteReference"/>
        </w:rPr>
        <w:footnoteReference w:id="8"/>
      </w:r>
      <w:r w:rsidRPr="002D453A">
        <w:t xml:space="preserve"> A service provider must use the RFM in preparing its regulatory proposal.</w:t>
      </w:r>
      <w:r w:rsidR="002D2E3E">
        <w:rPr>
          <w:rStyle w:val="FootnoteReference"/>
        </w:rPr>
        <w:footnoteReference w:id="9"/>
      </w:r>
      <w:r w:rsidRPr="002D453A">
        <w:t xml:space="preserve"> The RFM rolls forward the RAB from the beginning of the final year of the 200</w:t>
      </w:r>
      <w:r>
        <w:t>5</w:t>
      </w:r>
      <w:r w:rsidRPr="002D453A">
        <w:t>–</w:t>
      </w:r>
      <w:r>
        <w:t>10</w:t>
      </w:r>
      <w:r w:rsidRPr="002D453A">
        <w:t xml:space="preserve"> regulatory control period, through the 20</w:t>
      </w:r>
      <w:r>
        <w:t>10</w:t>
      </w:r>
      <w:r w:rsidRPr="002D453A">
        <w:t>–1</w:t>
      </w:r>
      <w:r>
        <w:t>5</w:t>
      </w:r>
      <w:r w:rsidRPr="002D453A">
        <w:t xml:space="preserve"> regulatory control period, to the beginning of the next period. The roll f</w:t>
      </w:r>
      <w:r>
        <w:t>orward occurs for each year by:</w:t>
      </w:r>
    </w:p>
    <w:p w:rsidR="00FD654C" w:rsidRPr="00FD654C" w:rsidRDefault="00FD654C" w:rsidP="00FD654C">
      <w:pPr>
        <w:pStyle w:val="AERbulletlistfirststyle"/>
      </w:pPr>
      <w:r w:rsidRPr="002D453A">
        <w:t>Adding an inflation (indexation) adjustment to the opening RAB for the relevant year. This adjustment must be consistent with the inflation factor used in the control mechanism.</w:t>
      </w:r>
      <w:r w:rsidRPr="00FD654C">
        <w:rPr>
          <w:rStyle w:val="FootnoteReference"/>
        </w:rPr>
        <w:footnoteReference w:id="10"/>
      </w:r>
    </w:p>
    <w:p w:rsidR="00FD654C" w:rsidRPr="00FD654C" w:rsidRDefault="00FD654C" w:rsidP="00FD654C">
      <w:pPr>
        <w:pStyle w:val="AERbulletlistfirststyle"/>
      </w:pPr>
      <w:r w:rsidRPr="002D453A">
        <w:t>Adding capex</w:t>
      </w:r>
      <w:r w:rsidR="00457B36">
        <w:t xml:space="preserve"> (including capital contributions</w:t>
      </w:r>
      <w:r w:rsidR="00457B36">
        <w:rPr>
          <w:rStyle w:val="FootnoteReference"/>
        </w:rPr>
        <w:footnoteReference w:id="11"/>
      </w:r>
      <w:r w:rsidR="00457B36">
        <w:t>)</w:t>
      </w:r>
      <w:r w:rsidRPr="002D453A">
        <w:t xml:space="preserve"> to the RAB for the relevant year.</w:t>
      </w:r>
      <w:r w:rsidRPr="00FD654C">
        <w:rPr>
          <w:rStyle w:val="FootnoteReference"/>
        </w:rPr>
        <w:footnoteReference w:id="12"/>
      </w:r>
      <w:r w:rsidRPr="00FD654C">
        <w:t xml:space="preserve"> In future determinations, the NER allows us to review a service provider's past </w:t>
      </w:r>
      <w:r w:rsidRPr="00FD654C">
        <w:lastRenderedPageBreak/>
        <w:t>capex and exclude inefficient past capex from being rolled into the RAB</w:t>
      </w:r>
      <w:r w:rsidR="00953101">
        <w:t xml:space="preserve"> </w:t>
      </w:r>
      <w:r w:rsidR="00491298">
        <w:t>where total capex exceeds the regulatory allowance</w:t>
      </w:r>
      <w:r w:rsidRPr="00FD654C">
        <w:t>.</w:t>
      </w:r>
      <w:r w:rsidRPr="00FD654C">
        <w:rPr>
          <w:rStyle w:val="FootnoteReference"/>
        </w:rPr>
        <w:footnoteReference w:id="13"/>
      </w:r>
      <w:r w:rsidRPr="00FD654C">
        <w:t xml:space="preserve"> </w:t>
      </w:r>
      <w:r w:rsidR="00953101">
        <w:t xml:space="preserve">The </w:t>
      </w:r>
      <w:r w:rsidR="00953101" w:rsidRPr="00BD0C68">
        <w:t xml:space="preserve">details of our assessment approach </w:t>
      </w:r>
      <w:r w:rsidR="00953101">
        <w:t xml:space="preserve">for inefficient capex are set out in </w:t>
      </w:r>
      <w:r w:rsidR="00953101" w:rsidRPr="00166EE4">
        <w:t xml:space="preserve">the </w:t>
      </w:r>
      <w:r w:rsidR="00A05458">
        <w:t>C</w:t>
      </w:r>
      <w:r w:rsidR="00953101" w:rsidRPr="00A05458">
        <w:t xml:space="preserve">apital </w:t>
      </w:r>
      <w:r w:rsidR="00A05458">
        <w:t>E</w:t>
      </w:r>
      <w:r w:rsidR="00953101" w:rsidRPr="00A05458">
        <w:t xml:space="preserve">xpenditure </w:t>
      </w:r>
      <w:r w:rsidR="00A05458">
        <w:t>I</w:t>
      </w:r>
      <w:r w:rsidR="00953101" w:rsidRPr="00A05458">
        <w:t xml:space="preserve">ncentive </w:t>
      </w:r>
      <w:r w:rsidR="00A05458">
        <w:t>G</w:t>
      </w:r>
      <w:r w:rsidR="00953101" w:rsidRPr="00A05458">
        <w:t>uideline</w:t>
      </w:r>
      <w:r w:rsidR="00953101" w:rsidRPr="00166EE4">
        <w:t>.</w:t>
      </w:r>
      <w:r w:rsidR="00953101">
        <w:rPr>
          <w:rStyle w:val="FootnoteReference"/>
        </w:rPr>
        <w:footnoteReference w:id="14"/>
      </w:r>
      <w:r w:rsidR="00953101">
        <w:t xml:space="preserve"> </w:t>
      </w:r>
      <w:r w:rsidRPr="00FD654C">
        <w:t>We note that under the transitional rules, the review of past capex does not apply to Ergon Energy prior to 1 July 2015.</w:t>
      </w:r>
      <w:r w:rsidRPr="00FD654C">
        <w:rPr>
          <w:rStyle w:val="FootnoteReference"/>
        </w:rPr>
        <w:footnoteReference w:id="15"/>
      </w:r>
      <w:r w:rsidRPr="00FD654C">
        <w:t xml:space="preserve"> Therefore, for the purposes of this preliminary decision, we will add Er</w:t>
      </w:r>
      <w:r w:rsidR="00457B36">
        <w:t>gon Energy</w:t>
      </w:r>
      <w:r w:rsidRPr="00FD654C">
        <w:t>'s actual or estimated capex in the 2010–15 regulatory control period to the RAB. We check actual capex amounts against audited annual reporting RIN data and generally accept the capex reported in those RINs in rolling forward the RAB. However, there may be instances where adjustments are required to the annual reporting RIN data</w:t>
      </w:r>
      <w:r w:rsidR="002D2E3E">
        <w:t>. This may include where</w:t>
      </w:r>
      <w:r w:rsidRPr="00FD654C">
        <w:t xml:space="preserve"> it is not fit for purpose. </w:t>
      </w:r>
    </w:p>
    <w:p w:rsidR="00FD654C" w:rsidRPr="00FD654C" w:rsidRDefault="00FD654C" w:rsidP="00FD654C">
      <w:pPr>
        <w:pStyle w:val="AERbulletlistfirststyle"/>
      </w:pPr>
      <w:r w:rsidRPr="002D453A">
        <w:t>Subtracting depreciation from the RAB for the relevant year, calculated in accordance with the relevant distribution determination for that year.</w:t>
      </w:r>
      <w:r w:rsidRPr="00FD654C">
        <w:rPr>
          <w:rStyle w:val="FootnoteReference"/>
        </w:rPr>
        <w:footnoteReference w:id="16"/>
      </w:r>
      <w:r w:rsidRPr="00FD654C">
        <w:t xml:space="preserve"> Depreciation based on forecast or actual capex can be used to roll forward the RAB.</w:t>
      </w:r>
      <w:r w:rsidRPr="00FD654C">
        <w:rPr>
          <w:rStyle w:val="FootnoteReference"/>
        </w:rPr>
        <w:footnoteReference w:id="17"/>
      </w:r>
      <w:r w:rsidRPr="00FD654C">
        <w:t xml:space="preserve"> By default the RFM applies the depreciation approach based on actual capex, although this can be modified to apply a depreciation approach based on forecast capex </w:t>
      </w:r>
      <w:r w:rsidR="008928D8">
        <w:t xml:space="preserve">when </w:t>
      </w:r>
      <w:r w:rsidRPr="00FD654C">
        <w:t>necessary. For this preliminary decision, we use depreciation based on actual capex for rolling forward Ergon Energy's RAB values over the 2010–15 regulatory control period.</w:t>
      </w:r>
      <w:r w:rsidRPr="00FD654C">
        <w:rPr>
          <w:rStyle w:val="FootnoteReference"/>
        </w:rPr>
        <w:footnoteReference w:id="18"/>
      </w:r>
      <w:r w:rsidR="008928D8">
        <w:t xml:space="preserve"> However, depreciation based on forecast capex will be used for the 2015</w:t>
      </w:r>
      <w:r w:rsidR="009A7CE2">
        <w:t>–</w:t>
      </w:r>
      <w:r w:rsidR="008928D8">
        <w:t>20 regulatory control period</w:t>
      </w:r>
      <w:r w:rsidR="00104540">
        <w:t xml:space="preserve"> at the next reset</w:t>
      </w:r>
      <w:r w:rsidR="008928D8">
        <w:t>.</w:t>
      </w:r>
      <w:r w:rsidR="002D2E3E">
        <w:rPr>
          <w:rStyle w:val="FootnoteReference"/>
        </w:rPr>
        <w:footnoteReference w:id="19"/>
      </w:r>
    </w:p>
    <w:p w:rsidR="00FD654C" w:rsidRPr="00FD654C" w:rsidRDefault="00FD654C" w:rsidP="00FD654C">
      <w:pPr>
        <w:pStyle w:val="AERbulletlistfirststyle"/>
      </w:pPr>
      <w:r w:rsidRPr="002D453A">
        <w:t>Subtracting any disposals from the RAB for the relevant year.</w:t>
      </w:r>
      <w:r w:rsidRPr="00FD654C">
        <w:rPr>
          <w:rStyle w:val="FootnoteReference"/>
        </w:rPr>
        <w:footnoteReference w:id="20"/>
      </w:r>
      <w:r w:rsidRPr="00FD654C">
        <w:t xml:space="preserve"> We check these amounts against audited annual reporting RIN data.</w:t>
      </w:r>
    </w:p>
    <w:p w:rsidR="00FD654C" w:rsidRPr="00FD654C" w:rsidRDefault="00FD654C" w:rsidP="00FD654C">
      <w:pPr>
        <w:numPr>
          <w:ilvl w:val="0"/>
          <w:numId w:val="25"/>
        </w:numPr>
        <w:rPr>
          <w:rStyle w:val="AERbody"/>
        </w:rPr>
      </w:pPr>
      <w:r w:rsidRPr="002D453A">
        <w:rPr>
          <w:rStyle w:val="AERbody"/>
        </w:rPr>
        <w:t xml:space="preserve">These annual adjustments give the closing RAB for any particular year, which then becomes the opening RAB for the following year. Through this process the RFM rolls forward the RAB to the end of the </w:t>
      </w:r>
      <w:r>
        <w:rPr>
          <w:rStyle w:val="AERbody"/>
        </w:rPr>
        <w:t>2010–15</w:t>
      </w:r>
      <w:r w:rsidRPr="002D453A">
        <w:rPr>
          <w:rStyle w:val="AERbody"/>
        </w:rPr>
        <w:t xml:space="preserve"> regulatory control period. The PTRM used to calculate the annual revenue requirement for the </w:t>
      </w:r>
      <w:r>
        <w:rPr>
          <w:rStyle w:val="AERbody"/>
        </w:rPr>
        <w:t>2015–20</w:t>
      </w:r>
      <w:r w:rsidRPr="002D453A">
        <w:rPr>
          <w:rStyle w:val="AERbody"/>
        </w:rPr>
        <w:t xml:space="preserve"> </w:t>
      </w:r>
      <w:r w:rsidR="009A7CE2">
        <w:rPr>
          <w:rStyle w:val="AERbody"/>
        </w:rPr>
        <w:t xml:space="preserve">regulatory control </w:t>
      </w:r>
      <w:r w:rsidRPr="002D453A">
        <w:rPr>
          <w:rStyle w:val="AERbody"/>
        </w:rPr>
        <w:t>period generally adopts the same RAB roll forward approach as the RFM, although the annual adjustments to the RAB are based on forecasts, rather than actual amounts.</w:t>
      </w:r>
    </w:p>
    <w:p w:rsidR="00FD654C" w:rsidRPr="00FD654C" w:rsidRDefault="00FD654C" w:rsidP="00FD654C">
      <w:pPr>
        <w:numPr>
          <w:ilvl w:val="0"/>
          <w:numId w:val="25"/>
        </w:numPr>
        <w:rPr>
          <w:rStyle w:val="AERbody"/>
        </w:rPr>
      </w:pPr>
      <w:r w:rsidRPr="002D453A">
        <w:rPr>
          <w:rStyle w:val="AERbody"/>
        </w:rPr>
        <w:lastRenderedPageBreak/>
        <w:t>We are required to decide whether depreciation for establishing the service provider's RAB as at the commencement of the 20</w:t>
      </w:r>
      <w:r>
        <w:rPr>
          <w:rStyle w:val="AERbody"/>
        </w:rPr>
        <w:t>20</w:t>
      </w:r>
      <w:r w:rsidRPr="002D453A">
        <w:rPr>
          <w:rStyle w:val="AERbody"/>
        </w:rPr>
        <w:t>–2</w:t>
      </w:r>
      <w:r>
        <w:rPr>
          <w:rStyle w:val="AERbody"/>
        </w:rPr>
        <w:t>5</w:t>
      </w:r>
      <w:r w:rsidRPr="002D453A">
        <w:rPr>
          <w:rStyle w:val="AERbody"/>
        </w:rPr>
        <w:t xml:space="preserve"> regulatory control period is to be based on actual or forecast capex.</w:t>
      </w:r>
      <w:r w:rsidRPr="002D453A">
        <w:rPr>
          <w:rStyle w:val="FootnoteReference"/>
        </w:rPr>
        <w:footnoteReference w:id="21"/>
      </w:r>
    </w:p>
    <w:p w:rsidR="00FD654C" w:rsidRPr="002D453A" w:rsidRDefault="00FD654C" w:rsidP="00DE6D9B">
      <w:pPr>
        <w:numPr>
          <w:ilvl w:val="0"/>
          <w:numId w:val="25"/>
        </w:numPr>
      </w:pPr>
      <w:r w:rsidRPr="002D453A">
        <w:rPr>
          <w:rStyle w:val="AERbody"/>
        </w:rPr>
        <w:t>The opening RAB for the 20</w:t>
      </w:r>
      <w:r>
        <w:rPr>
          <w:rStyle w:val="AERbody"/>
        </w:rPr>
        <w:t>20</w:t>
      </w:r>
      <w:r w:rsidRPr="002D453A">
        <w:rPr>
          <w:rStyle w:val="AERbody"/>
        </w:rPr>
        <w:t>–2</w:t>
      </w:r>
      <w:r>
        <w:rPr>
          <w:rStyle w:val="AERbody"/>
        </w:rPr>
        <w:t>5</w:t>
      </w:r>
      <w:r w:rsidRPr="002D453A">
        <w:rPr>
          <w:rStyle w:val="AERbody"/>
        </w:rPr>
        <w:t xml:space="preserve"> regulatory control period can be determined using depreciation based either on forecast or actual capex incurred during the </w:t>
      </w:r>
      <w:r>
        <w:rPr>
          <w:rStyle w:val="AERbody"/>
        </w:rPr>
        <w:t>2015–20</w:t>
      </w:r>
      <w:r w:rsidRPr="002D453A">
        <w:rPr>
          <w:rStyle w:val="AERbody"/>
        </w:rPr>
        <w:t xml:space="preserve"> period. To roll forward the RAB using depreciation based on forecast capex, we would use the forecast depreciation contained in the PTRM for the </w:t>
      </w:r>
      <w:r>
        <w:rPr>
          <w:rStyle w:val="AERbody"/>
        </w:rPr>
        <w:t>2015–20</w:t>
      </w:r>
      <w:r w:rsidRPr="002D453A">
        <w:rPr>
          <w:rStyle w:val="AERbody"/>
        </w:rPr>
        <w:t xml:space="preserve"> </w:t>
      </w:r>
      <w:r>
        <w:rPr>
          <w:rStyle w:val="AERbody"/>
        </w:rPr>
        <w:t xml:space="preserve">regulatory control </w:t>
      </w:r>
      <w:r w:rsidRPr="002D453A">
        <w:rPr>
          <w:rStyle w:val="AERbody"/>
        </w:rPr>
        <w:t xml:space="preserve">period, adjusted for actual inflation. If the approach to roll forward the RAB using depreciation based on actual capex was adopted, we would recalculate the depreciation based on actual capex incurred during the </w:t>
      </w:r>
      <w:r>
        <w:rPr>
          <w:rStyle w:val="AERbody"/>
        </w:rPr>
        <w:t>2015–20</w:t>
      </w:r>
      <w:r w:rsidRPr="002D453A">
        <w:rPr>
          <w:rStyle w:val="AERbody"/>
        </w:rPr>
        <w:t xml:space="preserve"> </w:t>
      </w:r>
      <w:r>
        <w:rPr>
          <w:rStyle w:val="AERbody"/>
        </w:rPr>
        <w:t xml:space="preserve">regulatory control </w:t>
      </w:r>
      <w:r w:rsidRPr="002D453A">
        <w:rPr>
          <w:rStyle w:val="AERbody"/>
        </w:rPr>
        <w:t xml:space="preserve">period. </w:t>
      </w:r>
    </w:p>
    <w:p w:rsidR="00FD654C" w:rsidRPr="00FD654C" w:rsidRDefault="00FD654C" w:rsidP="00FD654C">
      <w:pPr>
        <w:numPr>
          <w:ilvl w:val="0"/>
          <w:numId w:val="25"/>
        </w:numPr>
        <w:rPr>
          <w:rStyle w:val="AERbody"/>
        </w:rPr>
      </w:pPr>
      <w:r w:rsidRPr="002D453A">
        <w:rPr>
          <w:rStyle w:val="AERbody"/>
        </w:rPr>
        <w:t>Our decision on whether to use actual or forecast depreciation must be consistent with the capex incentive objective. We must have regard to:</w:t>
      </w:r>
      <w:r w:rsidRPr="002D453A">
        <w:rPr>
          <w:rStyle w:val="FootnoteReference"/>
        </w:rPr>
        <w:footnoteReference w:id="22"/>
      </w:r>
    </w:p>
    <w:p w:rsidR="00FD654C" w:rsidRPr="00FD654C" w:rsidRDefault="002D2E3E" w:rsidP="00FD654C">
      <w:pPr>
        <w:pStyle w:val="AERbulletlistfirststyle"/>
        <w:rPr>
          <w:rStyle w:val="AERbody"/>
        </w:rPr>
      </w:pPr>
      <w:r>
        <w:rPr>
          <w:rStyle w:val="AERbody"/>
        </w:rPr>
        <w:t>the</w:t>
      </w:r>
      <w:r w:rsidR="00FD654C" w:rsidRPr="00392A01">
        <w:rPr>
          <w:rStyle w:val="AERbody"/>
        </w:rPr>
        <w:t xml:space="preserve"> incentives the service provider has to undertake efficient capex</w:t>
      </w:r>
    </w:p>
    <w:p w:rsidR="00FD654C" w:rsidRPr="00FD654C" w:rsidRDefault="00FD654C" w:rsidP="00FD654C">
      <w:pPr>
        <w:pStyle w:val="AERbulletlistfirststyle"/>
        <w:rPr>
          <w:rStyle w:val="AERbody"/>
        </w:rPr>
      </w:pPr>
      <w:r w:rsidRPr="00392A01">
        <w:rPr>
          <w:rStyle w:val="AERbody"/>
        </w:rPr>
        <w:t>substitution possibilities between assets with different lives</w:t>
      </w:r>
      <w:r w:rsidR="002D2E3E">
        <w:rPr>
          <w:rStyle w:val="AERbody"/>
        </w:rPr>
        <w:t xml:space="preserve"> and the relative benefit of each</w:t>
      </w:r>
    </w:p>
    <w:p w:rsidR="00FD654C" w:rsidRPr="00FD654C" w:rsidRDefault="00FD654C" w:rsidP="00FD654C">
      <w:pPr>
        <w:pStyle w:val="AERbulletlistfirststyle"/>
        <w:rPr>
          <w:rStyle w:val="AERbody"/>
        </w:rPr>
      </w:pPr>
      <w:r w:rsidRPr="00392A01">
        <w:rPr>
          <w:rStyle w:val="AERbody"/>
        </w:rPr>
        <w:t>the extent of overspending and inefficient overspending relative to the allowed forecast</w:t>
      </w:r>
    </w:p>
    <w:p w:rsidR="008928D8" w:rsidRDefault="00FD654C" w:rsidP="00DE563D">
      <w:pPr>
        <w:pStyle w:val="AERbulletlistfirststyle"/>
        <w:rPr>
          <w:rStyle w:val="AERbody"/>
        </w:rPr>
      </w:pPr>
      <w:r w:rsidRPr="00392A01">
        <w:rPr>
          <w:rStyle w:val="AERbody"/>
        </w:rPr>
        <w:t>the capex incentive guideline</w:t>
      </w:r>
    </w:p>
    <w:p w:rsidR="00DE563D" w:rsidRDefault="00FD654C" w:rsidP="00DE563D">
      <w:pPr>
        <w:pStyle w:val="AERbulletlistfirststyle"/>
      </w:pPr>
      <w:r w:rsidRPr="00392A01">
        <w:rPr>
          <w:rStyle w:val="AERbody"/>
        </w:rPr>
        <w:t>the capital expenditure factors.</w:t>
      </w:r>
    </w:p>
    <w:p w:rsidR="00DE563D" w:rsidRPr="00B00FED" w:rsidRDefault="00DE563D" w:rsidP="00B00FED">
      <w:pPr>
        <w:pStyle w:val="Heading3"/>
      </w:pPr>
      <w:bookmarkStart w:id="23" w:name="_Toc403144139"/>
      <w:bookmarkStart w:id="24" w:name="_Toc413831066"/>
      <w:r w:rsidRPr="00B00FED">
        <w:t>Interrelationships</w:t>
      </w:r>
      <w:bookmarkEnd w:id="23"/>
      <w:bookmarkEnd w:id="24"/>
    </w:p>
    <w:p w:rsidR="00FD654C" w:rsidRPr="00E40858" w:rsidRDefault="00FD654C" w:rsidP="00FD654C">
      <w:pPr>
        <w:numPr>
          <w:ilvl w:val="0"/>
          <w:numId w:val="25"/>
        </w:numPr>
      </w:pPr>
      <w:r w:rsidRPr="00E40858">
        <w:t>The RAB is an input into the determination of the return on capital and depreciation (return of capital) building block allowances.</w:t>
      </w:r>
      <w:r w:rsidRPr="00E40858">
        <w:rPr>
          <w:rStyle w:val="FootnoteReference"/>
        </w:rPr>
        <w:footnoteReference w:id="23"/>
      </w:r>
      <w:r w:rsidRPr="00E40858">
        <w:t xml:space="preserve"> Factors that influence the RAB will therefore flow through to these building block components and the annual revenue requirement. Other things being equal, a higher RAB increases both the return on capital and depreciation allowances.</w:t>
      </w:r>
    </w:p>
    <w:p w:rsidR="00FD654C" w:rsidRPr="00E40858" w:rsidRDefault="00FD654C" w:rsidP="00FD654C">
      <w:pPr>
        <w:numPr>
          <w:ilvl w:val="0"/>
          <w:numId w:val="25"/>
        </w:numPr>
      </w:pPr>
      <w:r w:rsidRPr="00E40858">
        <w:t>The RAB is determined by various factors, including</w:t>
      </w:r>
      <w:r>
        <w:t>:</w:t>
      </w:r>
    </w:p>
    <w:p w:rsidR="00FD654C" w:rsidRPr="00FD654C" w:rsidRDefault="00FD654C" w:rsidP="00FD654C">
      <w:pPr>
        <w:pStyle w:val="AERbulletlistfirststyle"/>
      </w:pPr>
      <w:r w:rsidRPr="00E40858">
        <w:t>the opening RAB (meaning the value of existing assets at the beginning of the regulatory control period)</w:t>
      </w:r>
    </w:p>
    <w:p w:rsidR="00FD654C" w:rsidRPr="00FD654C" w:rsidRDefault="00FD654C" w:rsidP="00FD654C">
      <w:pPr>
        <w:pStyle w:val="AERbulletlistfirststyle"/>
      </w:pPr>
      <w:r w:rsidRPr="00E40858">
        <w:t>net capex</w:t>
      </w:r>
      <w:r w:rsidRPr="00FD654C">
        <w:rPr>
          <w:rStyle w:val="FootnoteReference"/>
        </w:rPr>
        <w:footnoteReference w:id="24"/>
      </w:r>
    </w:p>
    <w:p w:rsidR="00FD654C" w:rsidRPr="00FD654C" w:rsidRDefault="00FD654C" w:rsidP="00FD654C">
      <w:pPr>
        <w:pStyle w:val="AERbulletlistfirststyle"/>
      </w:pPr>
      <w:r w:rsidRPr="00E40858">
        <w:lastRenderedPageBreak/>
        <w:t>depreciation</w:t>
      </w:r>
    </w:p>
    <w:p w:rsidR="00FD654C" w:rsidRPr="00FD654C" w:rsidRDefault="00FD654C" w:rsidP="00FD654C">
      <w:pPr>
        <w:pStyle w:val="AERbulletlistfirststyle"/>
      </w:pPr>
      <w:r w:rsidRPr="00E40858">
        <w:t>indexation</w:t>
      </w:r>
      <w:r w:rsidRPr="00FD654C">
        <w:t xml:space="preserve"> adjustment – so the RAB is presented in nominal terms, consistent with the rate of return.</w:t>
      </w:r>
    </w:p>
    <w:p w:rsidR="00FD654C" w:rsidRPr="00E40858" w:rsidRDefault="00FD654C" w:rsidP="00FD654C">
      <w:pPr>
        <w:numPr>
          <w:ilvl w:val="0"/>
          <w:numId w:val="25"/>
        </w:numPr>
      </w:pPr>
      <w:r w:rsidRPr="00E40858">
        <w:t xml:space="preserve">The opening RAB depends on the value of existing assets and will depend on actual net capex, actual inflation outcomes and depreciation in the past. </w:t>
      </w:r>
    </w:p>
    <w:p w:rsidR="00FD654C" w:rsidRPr="00E40858" w:rsidRDefault="00FD654C" w:rsidP="00FD654C">
      <w:pPr>
        <w:numPr>
          <w:ilvl w:val="0"/>
          <w:numId w:val="25"/>
        </w:numPr>
      </w:pPr>
      <w:r w:rsidRPr="00E40858">
        <w:t xml:space="preserve">The RAB when projected to the end of the regulatory control period increases due to both forecast new capex and the indexation adjustment. The size of the indexation adjustment depends on expected inflation (which also affects the nominal rate of return) and the size of the RAB at the start of each year. </w:t>
      </w:r>
    </w:p>
    <w:p w:rsidR="00FD654C" w:rsidRDefault="00FD654C" w:rsidP="00FD654C">
      <w:r w:rsidRPr="00E40858">
        <w:t>Depreciation reduces the RAB. The depreciation allowance depends on the size of the opening RAB and the forecast net capex. By convention, the indexation adjustment is also offset against depreciation to prevent double counting of inflation in the RAB and rate of return, which are both presented in nominal terms. This reduces the apparent depreciation building block that feeds into the annual revenue requirement.</w:t>
      </w:r>
    </w:p>
    <w:p w:rsidR="00FD654C" w:rsidRDefault="00D904FE" w:rsidP="00FD654C">
      <w:pPr>
        <w:numPr>
          <w:ilvl w:val="0"/>
          <w:numId w:val="25"/>
        </w:numPr>
      </w:pPr>
      <w:r>
        <w:fldChar w:fldCharType="begin"/>
      </w:r>
      <w:r>
        <w:instrText xml:space="preserve"> REF _Ref411494996 \h </w:instrText>
      </w:r>
      <w:r>
        <w:fldChar w:fldCharType="separate"/>
      </w:r>
      <w:r w:rsidRPr="0048658B">
        <w:t xml:space="preserve">Figure </w:t>
      </w:r>
      <w:r>
        <w:rPr>
          <w:noProof/>
        </w:rPr>
        <w:t>2</w:t>
      </w:r>
      <w:r w:rsidRPr="0048658B">
        <w:t>.</w:t>
      </w:r>
      <w:r>
        <w:rPr>
          <w:noProof/>
        </w:rPr>
        <w:t>1</w:t>
      </w:r>
      <w:r>
        <w:fldChar w:fldCharType="end"/>
      </w:r>
      <w:r w:rsidR="00FD654C" w:rsidRPr="00E40858">
        <w:t xml:space="preserve"> shows the key drivers of the change in the RAB over the 201</w:t>
      </w:r>
      <w:r w:rsidR="00FD654C">
        <w:t>5</w:t>
      </w:r>
      <w:r w:rsidR="00FD654C" w:rsidRPr="00E40858">
        <w:t>–</w:t>
      </w:r>
      <w:r w:rsidR="00FD654C">
        <w:t>20</w:t>
      </w:r>
      <w:r w:rsidR="00FD654C" w:rsidRPr="00E40858">
        <w:t xml:space="preserve"> </w:t>
      </w:r>
      <w:r w:rsidR="00FD654C">
        <w:t xml:space="preserve">regulatory control </w:t>
      </w:r>
      <w:proofErr w:type="gramStart"/>
      <w:r w:rsidR="00FD654C" w:rsidRPr="00E40858">
        <w:t>period</w:t>
      </w:r>
      <w:proofErr w:type="gramEnd"/>
      <w:r w:rsidR="00FD654C" w:rsidRPr="00E40858">
        <w:t xml:space="preserve"> as proposed by </w:t>
      </w:r>
      <w:r w:rsidR="00FD654C">
        <w:t>Ergon Energy</w:t>
      </w:r>
      <w:r w:rsidR="00FD654C" w:rsidRPr="00E40858">
        <w:t>. Overall, the closing RAB at the end of the 201</w:t>
      </w:r>
      <w:r w:rsidR="00FD654C">
        <w:t>5</w:t>
      </w:r>
      <w:r w:rsidR="00FD654C" w:rsidRPr="00E40858">
        <w:t>–</w:t>
      </w:r>
      <w:r w:rsidR="00FD654C">
        <w:t>20</w:t>
      </w:r>
      <w:r w:rsidR="00FD654C" w:rsidRPr="00E40858">
        <w:t xml:space="preserve"> </w:t>
      </w:r>
      <w:r w:rsidR="00FD654C">
        <w:t xml:space="preserve">regulatory control </w:t>
      </w:r>
      <w:r w:rsidR="00FD654C" w:rsidRPr="00E40858">
        <w:t xml:space="preserve">period would be </w:t>
      </w:r>
      <w:r w:rsidR="00931619">
        <w:t>28</w:t>
      </w:r>
      <w:r w:rsidR="00FD654C" w:rsidRPr="00E40858">
        <w:t xml:space="preserve"> per cent higher than the opening RAB at the start of that period based on the proposal, in nominal terms. The proposed forecast net capex increases the RAB by about </w:t>
      </w:r>
      <w:r w:rsidR="00931619">
        <w:t xml:space="preserve">37 </w:t>
      </w:r>
      <w:r w:rsidR="00FD654C" w:rsidRPr="00E40858">
        <w:t xml:space="preserve">per cent, while inflation increases it by about </w:t>
      </w:r>
      <w:r w:rsidR="00931619">
        <w:t xml:space="preserve">14 </w:t>
      </w:r>
      <w:r w:rsidR="00FD654C" w:rsidRPr="00E40858">
        <w:t xml:space="preserve">per cent. Forecast depreciation, on the other hand, reduces the RAB by about </w:t>
      </w:r>
      <w:r w:rsidR="00DA158C">
        <w:t xml:space="preserve">23 </w:t>
      </w:r>
      <w:r w:rsidR="00FD654C">
        <w:t xml:space="preserve">per cent. </w:t>
      </w:r>
    </w:p>
    <w:p w:rsidR="00B53ED4" w:rsidRDefault="00B53ED4" w:rsidP="00B53ED4">
      <w:pPr>
        <w:pStyle w:val="ListParagraph"/>
        <w:numPr>
          <w:ilvl w:val="0"/>
          <w:numId w:val="25"/>
        </w:numPr>
      </w:pPr>
      <w:r w:rsidRPr="00B53ED4">
        <w:t>Maintaining the RAB in real terms by adding inflation is required by the NER</w:t>
      </w:r>
      <w:r w:rsidRPr="00B53ED4">
        <w:rPr>
          <w:rStyle w:val="FootnoteReference"/>
        </w:rPr>
        <w:footnoteReference w:id="25"/>
      </w:r>
      <w:r w:rsidRPr="00B53ED4">
        <w:t xml:space="preserve"> and generally helps to promote smoother prices over the life of an asset. If the RAB was unindexed for inflation, the offsetting indexation adjustment applied to depreciation would also have to be removed. On balance, this means more depreciation would be returned to the business resulting in higher prices early in an asset life and lower prices later in its life.</w:t>
      </w:r>
      <w:r w:rsidRPr="00B53ED4">
        <w:rPr>
          <w:rStyle w:val="FootnoteReference"/>
        </w:rPr>
        <w:footnoteReference w:id="26"/>
      </w:r>
      <w:r w:rsidRPr="00B53ED4">
        <w:t xml:space="preserve"> A number of submissions raised concerns with indexation of the RAB</w:t>
      </w:r>
      <w:r w:rsidRPr="00B53ED4">
        <w:rPr>
          <w:rStyle w:val="FootnoteReference"/>
        </w:rPr>
        <w:footnoteReference w:id="27"/>
      </w:r>
      <w:r w:rsidRPr="00B53ED4">
        <w:t xml:space="preserve">, but we consider that they </w:t>
      </w:r>
      <w:r w:rsidR="002B4166">
        <w:t>may</w:t>
      </w:r>
      <w:r w:rsidRPr="00B53ED4">
        <w:t xml:space="preserve"> not fully appreciate the impact it has on other building blocks such as depreciation. Even if allowed under the NER, moving to an unindexed approach would lead to a price </w:t>
      </w:r>
      <w:r w:rsidR="002B4166">
        <w:t>increase</w:t>
      </w:r>
      <w:r w:rsidRPr="00B53ED4">
        <w:t xml:space="preserve"> over the short to medium term and when new lumpy assets are added to the RAB.</w:t>
      </w:r>
      <w:r w:rsidRPr="00B53ED4">
        <w:rPr>
          <w:rStyle w:val="FootnoteReference"/>
        </w:rPr>
        <w:footnoteReference w:id="28"/>
      </w:r>
    </w:p>
    <w:p w:rsidR="008928D8" w:rsidRPr="00AD08B3" w:rsidRDefault="00FD654C" w:rsidP="00FD654C">
      <w:pPr>
        <w:rPr>
          <w:rStyle w:val="AERtexthighlight"/>
          <w:shd w:val="clear" w:color="auto" w:fill="auto"/>
        </w:rPr>
      </w:pPr>
      <w:r w:rsidRPr="00E40858">
        <w:lastRenderedPageBreak/>
        <w:t xml:space="preserve">The RAB would rise in real terms over the </w:t>
      </w:r>
      <w:r w:rsidRPr="00DB3958">
        <w:t xml:space="preserve">2015–20 regulatory control period based on </w:t>
      </w:r>
      <w:r>
        <w:t>Ergon Energy</w:t>
      </w:r>
      <w:r w:rsidRPr="00DB3958">
        <w:t>'</w:t>
      </w:r>
      <w:r>
        <w:t>s</w:t>
      </w:r>
      <w:r w:rsidRPr="00DB3958">
        <w:t xml:space="preserve"> </w:t>
      </w:r>
      <w:r w:rsidRPr="00AD08B3">
        <w:rPr>
          <w:rStyle w:val="AERbody"/>
        </w:rPr>
        <w:t xml:space="preserve">proposal. </w:t>
      </w:r>
      <w:r w:rsidR="001343DF">
        <w:rPr>
          <w:rStyle w:val="AERbody"/>
        </w:rPr>
        <w:t>T</w:t>
      </w:r>
      <w:r w:rsidRPr="00AD08B3">
        <w:rPr>
          <w:rStyle w:val="AERbody"/>
        </w:rPr>
        <w:t xml:space="preserve">he depreciation amount </w:t>
      </w:r>
      <w:r w:rsidR="001343DF">
        <w:rPr>
          <w:rStyle w:val="AERbody"/>
        </w:rPr>
        <w:t xml:space="preserve">is indicative as it </w:t>
      </w:r>
      <w:r w:rsidR="001343DF" w:rsidRPr="00AD08B3">
        <w:rPr>
          <w:rStyle w:val="AERbody"/>
        </w:rPr>
        <w:t>largely depends on the opening RAB (which in turn depends on capex in the past)</w:t>
      </w:r>
      <w:r w:rsidR="001343DF">
        <w:rPr>
          <w:rStyle w:val="AERbody"/>
        </w:rPr>
        <w:t xml:space="preserve">. However, we have reduced it because of concerns we have regarding the remaining </w:t>
      </w:r>
      <w:r w:rsidRPr="00AD08B3">
        <w:rPr>
          <w:rStyle w:val="AERbody"/>
        </w:rPr>
        <w:t>asset lives</w:t>
      </w:r>
      <w:r w:rsidR="001343DF">
        <w:rPr>
          <w:rStyle w:val="AERbody"/>
        </w:rPr>
        <w:t xml:space="preserve"> as at 1 July 2015 proposed by Ergon Energy</w:t>
      </w:r>
      <w:r w:rsidRPr="00AD08B3">
        <w:rPr>
          <w:rStyle w:val="AERbody"/>
        </w:rPr>
        <w:t>.</w:t>
      </w:r>
      <w:r w:rsidR="001343DF">
        <w:rPr>
          <w:rStyle w:val="FootnoteReference"/>
        </w:rPr>
        <w:footnoteReference w:id="29"/>
      </w:r>
      <w:r w:rsidRPr="00AD08B3">
        <w:rPr>
          <w:rStyle w:val="AERbody"/>
        </w:rPr>
        <w:t xml:space="preserve"> </w:t>
      </w:r>
      <w:r w:rsidR="001343DF">
        <w:rPr>
          <w:rStyle w:val="AERbody"/>
        </w:rPr>
        <w:t xml:space="preserve">A more significant </w:t>
      </w:r>
      <w:r w:rsidRPr="00AD08B3">
        <w:rPr>
          <w:rStyle w:val="AERbody"/>
        </w:rPr>
        <w:t>concern</w:t>
      </w:r>
      <w:r w:rsidR="001343DF">
        <w:rPr>
          <w:rStyle w:val="AERbody"/>
        </w:rPr>
        <w:t xml:space="preserve"> is</w:t>
      </w:r>
      <w:r w:rsidRPr="00AD08B3">
        <w:rPr>
          <w:rStyle w:val="AERbody"/>
        </w:rPr>
        <w:t xml:space="preserve"> with the size of the forecast net capex. </w:t>
      </w:r>
      <w:r w:rsidR="0048658B">
        <w:rPr>
          <w:rStyle w:val="AERbody"/>
        </w:rPr>
        <w:fldChar w:fldCharType="begin"/>
      </w:r>
      <w:r w:rsidR="0048658B">
        <w:rPr>
          <w:rStyle w:val="AERbody"/>
        </w:rPr>
        <w:instrText xml:space="preserve"> REF _Ref411494996 \h </w:instrText>
      </w:r>
      <w:r w:rsidR="0048658B">
        <w:rPr>
          <w:rStyle w:val="AERbody"/>
        </w:rPr>
      </w:r>
      <w:r w:rsidR="0048658B">
        <w:rPr>
          <w:rStyle w:val="AERbody"/>
        </w:rPr>
        <w:fldChar w:fldCharType="separate"/>
      </w:r>
      <w:r w:rsidR="00D904FE" w:rsidRPr="0048658B">
        <w:t xml:space="preserve">Figure </w:t>
      </w:r>
      <w:r w:rsidR="00D904FE">
        <w:rPr>
          <w:noProof/>
        </w:rPr>
        <w:t>2</w:t>
      </w:r>
      <w:r w:rsidR="00D904FE" w:rsidRPr="0048658B">
        <w:t>.</w:t>
      </w:r>
      <w:r w:rsidR="00D904FE">
        <w:rPr>
          <w:noProof/>
        </w:rPr>
        <w:t>1</w:t>
      </w:r>
      <w:r w:rsidR="0048658B">
        <w:rPr>
          <w:rStyle w:val="AERbody"/>
        </w:rPr>
        <w:fldChar w:fldCharType="end"/>
      </w:r>
      <w:r w:rsidR="0048658B">
        <w:rPr>
          <w:rStyle w:val="AERbody"/>
        </w:rPr>
        <w:t xml:space="preserve"> </w:t>
      </w:r>
      <w:r w:rsidRPr="00AD08B3">
        <w:rPr>
          <w:rStyle w:val="AERbody"/>
        </w:rPr>
        <w:t>shows forecast net capex is the largest driver of the increase in the RAB and we have considered whether it is appropriate that the forecast net capex exceeds depreciation as Ergon Energy has proposed. Refer to attachment 6 for the discussion on forecast capex.</w:t>
      </w:r>
    </w:p>
    <w:p w:rsidR="008928D8" w:rsidRPr="0048658B" w:rsidRDefault="0048658B" w:rsidP="0048658B">
      <w:pPr>
        <w:pStyle w:val="Caption"/>
        <w:rPr>
          <w:rStyle w:val="AERbody"/>
          <w:color w:val="076A92" w:themeColor="text1"/>
          <w:sz w:val="24"/>
        </w:rPr>
      </w:pPr>
      <w:bookmarkStart w:id="25" w:name="_Ref411494996"/>
      <w:r w:rsidRPr="0048658B">
        <w:t xml:space="preserve">Figure </w:t>
      </w:r>
      <w:r w:rsidR="00146416">
        <w:fldChar w:fldCharType="begin"/>
      </w:r>
      <w:r w:rsidR="00146416">
        <w:instrText xml:space="preserve"> STYLEREF 1 \s </w:instrText>
      </w:r>
      <w:r w:rsidR="00146416">
        <w:fldChar w:fldCharType="separate"/>
      </w:r>
      <w:r w:rsidR="00D904FE">
        <w:rPr>
          <w:noProof/>
        </w:rPr>
        <w:t>2</w:t>
      </w:r>
      <w:r w:rsidR="00146416">
        <w:rPr>
          <w:noProof/>
        </w:rPr>
        <w:fldChar w:fldCharType="end"/>
      </w:r>
      <w:r w:rsidRPr="0048658B">
        <w:t>.</w:t>
      </w:r>
      <w:r w:rsidR="00146416">
        <w:fldChar w:fldCharType="begin"/>
      </w:r>
      <w:r w:rsidR="00146416">
        <w:instrText xml:space="preserve"> SEQ Figure \* ARABIC \s 1 </w:instrText>
      </w:r>
      <w:r w:rsidR="00146416">
        <w:fldChar w:fldCharType="separate"/>
      </w:r>
      <w:r w:rsidR="00D904FE">
        <w:rPr>
          <w:noProof/>
        </w:rPr>
        <w:t>1</w:t>
      </w:r>
      <w:r w:rsidR="00146416">
        <w:rPr>
          <w:noProof/>
        </w:rPr>
        <w:fldChar w:fldCharType="end"/>
      </w:r>
      <w:bookmarkEnd w:id="25"/>
      <w:r w:rsidRPr="0048658B">
        <w:t xml:space="preserve"> </w:t>
      </w:r>
      <w:r w:rsidR="00D52AF8" w:rsidRPr="0048658B">
        <w:rPr>
          <w:rStyle w:val="AERbody"/>
          <w:color w:val="076A92" w:themeColor="text1"/>
          <w:sz w:val="24"/>
        </w:rPr>
        <w:t>Key drivers of changes in the RAB ($ million, nominal)</w:t>
      </w:r>
    </w:p>
    <w:p w:rsidR="00FD654C" w:rsidRDefault="00163249" w:rsidP="00FD654C">
      <w:r>
        <w:rPr>
          <w:noProof/>
          <w:lang w:eastAsia="en-AU"/>
        </w:rPr>
        <w:drawing>
          <wp:inline distT="0" distB="0" distL="0" distR="0" wp14:anchorId="0806CF34" wp14:editId="0847C5D3">
            <wp:extent cx="5431016" cy="2943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8982" cy="2942123"/>
                    </a:xfrm>
                    <a:prstGeom prst="rect">
                      <a:avLst/>
                    </a:prstGeom>
                    <a:noFill/>
                  </pic:spPr>
                </pic:pic>
              </a:graphicData>
            </a:graphic>
          </wp:inline>
        </w:drawing>
      </w:r>
    </w:p>
    <w:p w:rsidR="00FD654C" w:rsidRPr="00C45CB0" w:rsidRDefault="00FD654C" w:rsidP="00FD654C">
      <w:pPr>
        <w:pStyle w:val="AERtablesource"/>
      </w:pPr>
      <w:r w:rsidRPr="00C45CB0">
        <w:t>Source:</w:t>
      </w:r>
      <w:r w:rsidRPr="00C45CB0">
        <w:tab/>
      </w:r>
      <w:r w:rsidR="008928D8">
        <w:t>Ergon Energy's</w:t>
      </w:r>
      <w:r w:rsidR="00C343D2">
        <w:t xml:space="preserve"> </w:t>
      </w:r>
      <w:r w:rsidR="00AD08B3">
        <w:t>proposed PTRM,</w:t>
      </w:r>
      <w:r w:rsidRPr="00C45CB0">
        <w:t xml:space="preserve"> </w:t>
      </w:r>
      <w:r w:rsidR="00C343D2">
        <w:t xml:space="preserve">October </w:t>
      </w:r>
      <w:r w:rsidR="00AD08B3">
        <w:t>2014</w:t>
      </w:r>
      <w:r w:rsidRPr="00C45CB0">
        <w:t>.</w:t>
      </w:r>
    </w:p>
    <w:p w:rsidR="00DE563D" w:rsidRDefault="00FD654C" w:rsidP="00500715">
      <w:r w:rsidRPr="00E40858">
        <w:t xml:space="preserve">A ten per cent increase in the opening RAB causes revenues to increase by </w:t>
      </w:r>
      <w:r w:rsidRPr="00500715">
        <w:rPr>
          <w:rStyle w:val="AERbody"/>
        </w:rPr>
        <w:t>about</w:t>
      </w:r>
      <w:r w:rsidR="0048658B">
        <w:rPr>
          <w:rStyle w:val="AERbody"/>
        </w:rPr>
        <w:t xml:space="preserve"> 6.9</w:t>
      </w:r>
      <w:r w:rsidR="002B109B">
        <w:rPr>
          <w:rStyle w:val="AERbody"/>
        </w:rPr>
        <w:t> </w:t>
      </w:r>
      <w:r w:rsidR="0048658B">
        <w:rPr>
          <w:rStyle w:val="AERbody"/>
        </w:rPr>
        <w:t>p</w:t>
      </w:r>
      <w:r w:rsidRPr="00500715">
        <w:rPr>
          <w:rStyle w:val="AERbody"/>
        </w:rPr>
        <w:t>er cent.</w:t>
      </w:r>
      <w:r w:rsidRPr="00E40858">
        <w:t xml:space="preserve"> However, the impact on revenues of the annual change in RAB depends on the source of the RAB change, as some drivers affect more than one building block cost.</w:t>
      </w:r>
      <w:r w:rsidRPr="00E40858">
        <w:rPr>
          <w:rStyle w:val="FootnoteReference"/>
        </w:rPr>
        <w:footnoteReference w:id="30"/>
      </w:r>
    </w:p>
    <w:p w:rsidR="00DE563D" w:rsidRDefault="00DE563D" w:rsidP="00DE563D">
      <w:pPr>
        <w:pStyle w:val="Heading2"/>
      </w:pPr>
      <w:bookmarkStart w:id="26" w:name="_Toc403144140"/>
      <w:bookmarkStart w:id="27" w:name="_Toc413831067"/>
      <w:r w:rsidRPr="00B00FED">
        <w:t>Reasons for preliminary decision</w:t>
      </w:r>
      <w:bookmarkEnd w:id="26"/>
      <w:bookmarkEnd w:id="27"/>
      <w:r w:rsidRPr="00B00FED">
        <w:t xml:space="preserve"> </w:t>
      </w:r>
    </w:p>
    <w:p w:rsidR="00A148CC" w:rsidRDefault="00A148CC" w:rsidP="00A148CC">
      <w:r w:rsidRPr="00A148CC">
        <w:t xml:space="preserve">We have determined an opening RAB value for </w:t>
      </w:r>
      <w:r>
        <w:t>Ergon Energy</w:t>
      </w:r>
      <w:r w:rsidRPr="00A148CC">
        <w:t xml:space="preserve"> of $</w:t>
      </w:r>
      <w:r w:rsidR="00BB2989">
        <w:t>10</w:t>
      </w:r>
      <w:r w:rsidR="00D904FE">
        <w:t> </w:t>
      </w:r>
      <w:r w:rsidR="00BB2989">
        <w:t>102.</w:t>
      </w:r>
      <w:r w:rsidR="008A770D">
        <w:t>2</w:t>
      </w:r>
      <w:r w:rsidR="00BB2989" w:rsidRPr="00A148CC">
        <w:t xml:space="preserve"> </w:t>
      </w:r>
      <w:r w:rsidRPr="00A148CC">
        <w:t>million ($</w:t>
      </w:r>
      <w:r w:rsidR="002B109B">
        <w:t> </w:t>
      </w:r>
      <w:r w:rsidRPr="00A148CC">
        <w:t>nominal) as at 1 July 2015</w:t>
      </w:r>
      <w:r w:rsidR="009A7CE2">
        <w:t xml:space="preserve">, an increase of </w:t>
      </w:r>
      <w:r w:rsidR="009A7CE2" w:rsidRPr="00B35204">
        <w:t>$</w:t>
      </w:r>
      <w:r w:rsidR="00BB2989">
        <w:t>6</w:t>
      </w:r>
      <w:r w:rsidR="00890AA2">
        <w:t xml:space="preserve">0.7 </w:t>
      </w:r>
      <w:r w:rsidR="009A7CE2" w:rsidRPr="00B35204">
        <w:t>million ($ </w:t>
      </w:r>
      <w:r w:rsidR="002624D1">
        <w:t>nominal</w:t>
      </w:r>
      <w:r w:rsidR="009A7CE2" w:rsidRPr="00B35204">
        <w:t xml:space="preserve">) or </w:t>
      </w:r>
      <w:r w:rsidR="008A770D">
        <w:t>0.6</w:t>
      </w:r>
      <w:r w:rsidR="009A7CE2" w:rsidRPr="00B35204">
        <w:t xml:space="preserve"> per cent from the proposed value</w:t>
      </w:r>
      <w:r w:rsidRPr="00A148CC">
        <w:t>. We forecast a closing RAB value of $</w:t>
      </w:r>
      <w:r w:rsidR="00890AA2">
        <w:t>11</w:t>
      </w:r>
      <w:r w:rsidR="00D904FE">
        <w:t> </w:t>
      </w:r>
      <w:r w:rsidR="00890AA2">
        <w:t>773.3</w:t>
      </w:r>
      <w:r w:rsidR="00890AA2" w:rsidRPr="00A148CC">
        <w:t xml:space="preserve"> </w:t>
      </w:r>
      <w:r w:rsidRPr="00A148CC">
        <w:t xml:space="preserve">million by 30 </w:t>
      </w:r>
      <w:r w:rsidRPr="00A148CC">
        <w:lastRenderedPageBreak/>
        <w:t xml:space="preserve">June 2020. This represents a reduction of </w:t>
      </w:r>
      <w:r w:rsidR="0048658B">
        <w:t>$</w:t>
      </w:r>
      <w:r w:rsidR="00890AA2">
        <w:t>1093.3</w:t>
      </w:r>
      <w:r w:rsidR="00890AA2" w:rsidRPr="00A148CC">
        <w:t xml:space="preserve"> </w:t>
      </w:r>
      <w:r w:rsidRPr="00A148CC">
        <w:t xml:space="preserve">million, or </w:t>
      </w:r>
      <w:r w:rsidR="00890AA2">
        <w:t>8.5</w:t>
      </w:r>
      <w:r w:rsidRPr="00A148CC">
        <w:t xml:space="preserve"> per cent compared to the proposal. The reasons for our decision are discussed below.</w:t>
      </w:r>
    </w:p>
    <w:p w:rsidR="00A148CC" w:rsidRPr="00A148CC" w:rsidRDefault="00A148CC" w:rsidP="00A148CC">
      <w:pPr>
        <w:pStyle w:val="Heading3"/>
      </w:pPr>
      <w:bookmarkStart w:id="28" w:name="_Ref413830739"/>
      <w:bookmarkStart w:id="29" w:name="_Toc413831068"/>
      <w:r w:rsidRPr="00A148CC">
        <w:t>Opening RAB as at 1 July 2015</w:t>
      </w:r>
      <w:bookmarkEnd w:id="28"/>
      <w:bookmarkEnd w:id="29"/>
    </w:p>
    <w:p w:rsidR="00247A47" w:rsidRDefault="00A148CC" w:rsidP="00247A47">
      <w:r w:rsidRPr="00A148CC">
        <w:t>To determine the opening RAB as at 1 July 2015 we have rolled forward the RAB over the 2010–15 regulatory control period to determine a closing RAB value at 30 June 2015.</w:t>
      </w:r>
      <w:r w:rsidR="005D203C">
        <w:t xml:space="preserve"> We then adjusted this closing RAB to account for the reclassification of metering assets as </w:t>
      </w:r>
      <w:r w:rsidR="00D63CDA">
        <w:t xml:space="preserve">providing </w:t>
      </w:r>
      <w:r w:rsidR="00586AD0">
        <w:t>ACS</w:t>
      </w:r>
      <w:r w:rsidR="0048658B">
        <w:t xml:space="preserve"> and to remove</w:t>
      </w:r>
      <w:r w:rsidR="003C0769">
        <w:t xml:space="preserve"> </w:t>
      </w:r>
      <w:r w:rsidR="00586AD0">
        <w:t>other ACS</w:t>
      </w:r>
      <w:r w:rsidR="0048658B">
        <w:t xml:space="preserve"> assets</w:t>
      </w:r>
      <w:r w:rsidR="005D203C">
        <w:t>.</w:t>
      </w:r>
      <w:r w:rsidR="00927B91">
        <w:t xml:space="preserve"> </w:t>
      </w:r>
      <w:r w:rsidR="0064050F">
        <w:t xml:space="preserve">We </w:t>
      </w:r>
      <w:r w:rsidR="0064050F" w:rsidRPr="00604A5F">
        <w:t xml:space="preserve">reviewed the key inputs </w:t>
      </w:r>
      <w:r w:rsidR="00104540">
        <w:t>of</w:t>
      </w:r>
      <w:r w:rsidR="0064050F" w:rsidRPr="00604A5F">
        <w:t xml:space="preserve"> </w:t>
      </w:r>
      <w:r w:rsidR="0064050F">
        <w:t>E</w:t>
      </w:r>
      <w:r w:rsidR="002D2E3E">
        <w:t>rg</w:t>
      </w:r>
      <w:r w:rsidR="00104540">
        <w:t>o</w:t>
      </w:r>
      <w:r w:rsidR="002D2E3E">
        <w:t xml:space="preserve">n Energy's </w:t>
      </w:r>
      <w:r w:rsidR="0064050F" w:rsidRPr="00604A5F">
        <w:t>proposed RFM, such as CPI</w:t>
      </w:r>
      <w:r w:rsidR="0064050F">
        <w:t xml:space="preserve">, </w:t>
      </w:r>
      <w:r w:rsidR="0064050F" w:rsidRPr="00604A5F">
        <w:t>rate of return</w:t>
      </w:r>
      <w:r w:rsidR="003F3232">
        <w:t xml:space="preserve"> </w:t>
      </w:r>
      <w:r w:rsidR="0064050F">
        <w:t>and gross capex values</w:t>
      </w:r>
      <w:r w:rsidR="0064050F" w:rsidRPr="00604A5F">
        <w:t>. We found these were correct and they reconcile with relevant data sources such as ABS data, annual reporting RIN data and the 2010–15 decision models.</w:t>
      </w:r>
      <w:r w:rsidR="0064050F">
        <w:rPr>
          <w:rStyle w:val="FootnoteReference"/>
        </w:rPr>
        <w:footnoteReference w:id="31"/>
      </w:r>
      <w:r w:rsidR="0064050F">
        <w:t xml:space="preserve"> However, we consider t</w:t>
      </w:r>
      <w:r w:rsidR="005D203C">
        <w:t xml:space="preserve">here </w:t>
      </w:r>
      <w:r w:rsidR="0064050F">
        <w:t>should be</w:t>
      </w:r>
      <w:r w:rsidR="005D203C">
        <w:t xml:space="preserve"> adjustments made </w:t>
      </w:r>
      <w:r w:rsidR="00927B91">
        <w:t>to Ergon Energy's propos</w:t>
      </w:r>
      <w:r w:rsidR="009A7CE2">
        <w:t>ed RFM inputs</w:t>
      </w:r>
      <w:r w:rsidR="00927B91">
        <w:t xml:space="preserve"> for</w:t>
      </w:r>
      <w:r w:rsidR="005D203C">
        <w:t xml:space="preserve"> remaining asset lives, disposals, capitalised provisions</w:t>
      </w:r>
      <w:r w:rsidR="00586AD0">
        <w:t>, and an incorrect allocation of equity raising costs</w:t>
      </w:r>
      <w:r w:rsidR="005D203C">
        <w:t xml:space="preserve">. These </w:t>
      </w:r>
      <w:r w:rsidR="00247A47">
        <w:t xml:space="preserve">adjustments </w:t>
      </w:r>
      <w:r w:rsidR="005D203C">
        <w:t>are discussed below.</w:t>
      </w:r>
      <w:r w:rsidR="00247A47" w:rsidRPr="00247A47">
        <w:t xml:space="preserve"> </w:t>
      </w:r>
      <w:r w:rsidR="00247A47">
        <w:t xml:space="preserve">But first we provide some </w:t>
      </w:r>
      <w:r w:rsidR="009F0177">
        <w:t>c</w:t>
      </w:r>
      <w:r w:rsidR="00247A47">
        <w:t xml:space="preserve">omments </w:t>
      </w:r>
      <w:r w:rsidR="001D3931">
        <w:t>in response to</w:t>
      </w:r>
      <w:r w:rsidR="009F0177">
        <w:t xml:space="preserve"> general concerns over</w:t>
      </w:r>
      <w:r w:rsidR="001D3931">
        <w:t xml:space="preserve"> the size of</w:t>
      </w:r>
      <w:r w:rsidR="00247A47">
        <w:t xml:space="preserve"> the </w:t>
      </w:r>
      <w:r w:rsidR="001D3931">
        <w:t xml:space="preserve">opening </w:t>
      </w:r>
      <w:r w:rsidR="00247A47">
        <w:t>RAB.</w:t>
      </w:r>
    </w:p>
    <w:p w:rsidR="001D3931" w:rsidRDefault="001D3931" w:rsidP="00A9408C">
      <w:pPr>
        <w:pStyle w:val="HeadingBoldBlue"/>
      </w:pPr>
      <w:bookmarkStart w:id="30" w:name="_Toc413831069"/>
      <w:r>
        <w:t>Size of</w:t>
      </w:r>
      <w:r w:rsidR="009F0177">
        <w:t xml:space="preserve"> the </w:t>
      </w:r>
      <w:r>
        <w:t>RAB</w:t>
      </w:r>
      <w:bookmarkEnd w:id="30"/>
    </w:p>
    <w:p w:rsidR="001D3931" w:rsidRDefault="00247A47" w:rsidP="00A148CC">
      <w:r>
        <w:t>A number of submissions had concerns with the size of the opening RAB.</w:t>
      </w:r>
      <w:r>
        <w:rPr>
          <w:rStyle w:val="FootnoteReference"/>
        </w:rPr>
        <w:footnoteReference w:id="32"/>
      </w:r>
      <w:r>
        <w:t xml:space="preserve">  Some suggested a write down of the RAB.</w:t>
      </w:r>
      <w:r w:rsidR="004155D5">
        <w:rPr>
          <w:rStyle w:val="FootnoteReference"/>
        </w:rPr>
        <w:footnoteReference w:id="33"/>
      </w:r>
      <w:r>
        <w:t xml:space="preserve"> Others had concerns with customer contributions being included in the RAB.</w:t>
      </w:r>
      <w:r w:rsidR="004155D5">
        <w:rPr>
          <w:rStyle w:val="FootnoteReference"/>
        </w:rPr>
        <w:footnoteReference w:id="34"/>
      </w:r>
      <w:r>
        <w:t xml:space="preserve"> </w:t>
      </w:r>
    </w:p>
    <w:p w:rsidR="00953101" w:rsidRPr="00604A5F" w:rsidRDefault="00247A47" w:rsidP="00953101">
      <w:r>
        <w:t>The opening RAB reflect</w:t>
      </w:r>
      <w:r w:rsidR="00404100">
        <w:t>s</w:t>
      </w:r>
      <w:r>
        <w:t xml:space="preserve"> the capex incurred during the previous regulatory </w:t>
      </w:r>
      <w:r w:rsidR="001D3931">
        <w:t xml:space="preserve">control </w:t>
      </w:r>
      <w:r>
        <w:t>period</w:t>
      </w:r>
      <w:r w:rsidR="001D3931">
        <w:t>s</w:t>
      </w:r>
      <w:r>
        <w:t>.</w:t>
      </w:r>
      <w:r w:rsidR="00404100">
        <w:t xml:space="preserve"> In the previous two regulatory control periods there was a significant increase in capex that only began to tail off in more recent years.</w:t>
      </w:r>
      <w:r>
        <w:t xml:space="preserve"> </w:t>
      </w:r>
      <w:r w:rsidR="00A2751B">
        <w:t xml:space="preserve">As discussed in section </w:t>
      </w:r>
      <w:r w:rsidR="00A2751B">
        <w:fldChar w:fldCharType="begin"/>
      </w:r>
      <w:r w:rsidR="00A2751B">
        <w:instrText xml:space="preserve"> REF _Ref413830763 \r \h </w:instrText>
      </w:r>
      <w:r w:rsidR="00A2751B">
        <w:fldChar w:fldCharType="separate"/>
      </w:r>
      <w:r w:rsidR="00D904FE">
        <w:t>2.3</w:t>
      </w:r>
      <w:r w:rsidR="00A2751B">
        <w:fldChar w:fldCharType="end"/>
      </w:r>
      <w:r w:rsidR="00A2751B">
        <w:t xml:space="preserve"> we have </w:t>
      </w:r>
      <w:r>
        <w:t>no ability to adjust for past capex or to optimise</w:t>
      </w:r>
      <w:r w:rsidR="0064050F">
        <w:t>/</w:t>
      </w:r>
      <w:r>
        <w:t xml:space="preserve">write down the opening RAB. </w:t>
      </w:r>
      <w:r w:rsidR="00953101" w:rsidDel="00953101">
        <w:t xml:space="preserve"> </w:t>
      </w:r>
      <w:r w:rsidR="00953101" w:rsidRPr="00166EE4">
        <w:t xml:space="preserve">However, with </w:t>
      </w:r>
      <w:r w:rsidR="00E24293">
        <w:t>NER</w:t>
      </w:r>
      <w:r w:rsidR="00E24293" w:rsidRPr="00166EE4">
        <w:t xml:space="preserve"> </w:t>
      </w:r>
      <w:r w:rsidR="00953101" w:rsidRPr="00166EE4">
        <w:t xml:space="preserve">changes in 2012, we will have the ability to exclude </w:t>
      </w:r>
      <w:r w:rsidR="00953101">
        <w:t xml:space="preserve">inefficient capex </w:t>
      </w:r>
      <w:r w:rsidR="00953101" w:rsidRPr="00166EE4">
        <w:t xml:space="preserve">incurred during the 2015–20 regulatory control period </w:t>
      </w:r>
      <w:r w:rsidR="002542AE">
        <w:t xml:space="preserve">in future resets </w:t>
      </w:r>
      <w:r w:rsidR="00953101">
        <w:t xml:space="preserve">if </w:t>
      </w:r>
      <w:r w:rsidR="002D2E3E">
        <w:t xml:space="preserve">it exceeds the approved forecast and if </w:t>
      </w:r>
      <w:r w:rsidR="00953101" w:rsidRPr="00166EE4">
        <w:t xml:space="preserve">we consider </w:t>
      </w:r>
      <w:r w:rsidR="00953101">
        <w:t xml:space="preserve">it </w:t>
      </w:r>
      <w:r w:rsidR="00953101" w:rsidRPr="00166EE4">
        <w:t>does not reasonably reflect the capital expenditure criteria.</w:t>
      </w:r>
      <w:r w:rsidR="00953101">
        <w:rPr>
          <w:rStyle w:val="FootnoteReference"/>
        </w:rPr>
        <w:footnoteReference w:id="35"/>
      </w:r>
      <w:r w:rsidR="00953101" w:rsidRPr="00166EE4">
        <w:t xml:space="preserve"> </w:t>
      </w:r>
      <w:r w:rsidR="00953101">
        <w:t xml:space="preserve">The </w:t>
      </w:r>
      <w:r w:rsidR="00953101" w:rsidRPr="00BD0C68">
        <w:t xml:space="preserve">details of our assessment approach </w:t>
      </w:r>
      <w:r w:rsidR="00953101">
        <w:t xml:space="preserve">for inefficient capex are set out in </w:t>
      </w:r>
      <w:r w:rsidR="00953101" w:rsidRPr="00166EE4">
        <w:t xml:space="preserve">the </w:t>
      </w:r>
      <w:r w:rsidR="00953101" w:rsidRPr="00A05458">
        <w:t xml:space="preserve">Capital </w:t>
      </w:r>
      <w:r w:rsidR="00A05458">
        <w:t>E</w:t>
      </w:r>
      <w:r w:rsidR="00953101" w:rsidRPr="00A05458">
        <w:t xml:space="preserve">xpenditure </w:t>
      </w:r>
      <w:r w:rsidR="00A05458">
        <w:t>I</w:t>
      </w:r>
      <w:r w:rsidR="00953101" w:rsidRPr="00A05458">
        <w:t xml:space="preserve">ncentive </w:t>
      </w:r>
      <w:r w:rsidR="00A05458">
        <w:t>G</w:t>
      </w:r>
      <w:r w:rsidR="00953101" w:rsidRPr="00A05458">
        <w:t>uideline</w:t>
      </w:r>
      <w:r w:rsidR="00953101" w:rsidRPr="00166EE4">
        <w:t>.</w:t>
      </w:r>
      <w:r w:rsidR="00953101">
        <w:rPr>
          <w:rStyle w:val="FootnoteReference"/>
        </w:rPr>
        <w:footnoteReference w:id="36"/>
      </w:r>
    </w:p>
    <w:p w:rsidR="00211BEC" w:rsidRDefault="001D3931" w:rsidP="00A148CC">
      <w:r>
        <w:t xml:space="preserve">The treatment of customer contributions is also changing in Queensland </w:t>
      </w:r>
      <w:r w:rsidR="003A77F4">
        <w:t>from 1 July 2015</w:t>
      </w:r>
      <w:r>
        <w:t>. The opening RAB includes customer contributions in the past, which partl</w:t>
      </w:r>
      <w:r w:rsidR="004B5068">
        <w:t xml:space="preserve">y </w:t>
      </w:r>
      <w:r w:rsidR="004B5068">
        <w:lastRenderedPageBreak/>
        <w:t>explains the relatively high</w:t>
      </w:r>
      <w:r>
        <w:t xml:space="preserve"> RABs in Queensland.</w:t>
      </w:r>
      <w:r w:rsidR="007A709D">
        <w:rPr>
          <w:rStyle w:val="FootnoteReference"/>
        </w:rPr>
        <w:footnoteReference w:id="37"/>
      </w:r>
      <w:r>
        <w:t xml:space="preserve"> Double counting of customer contributions was prevented by including an offsetting revenue adjustment equal to the customer contribution included in the RAB.</w:t>
      </w:r>
      <w:r>
        <w:rPr>
          <w:rStyle w:val="FootnoteReference"/>
        </w:rPr>
        <w:footnoteReference w:id="38"/>
      </w:r>
      <w:r>
        <w:t xml:space="preserve"> </w:t>
      </w:r>
      <w:r w:rsidR="005952F2">
        <w:t xml:space="preserve">Given these revenue adjustments the past customer contributions therefore remain in the RAB until they are fully depreciated. </w:t>
      </w:r>
      <w:r>
        <w:t>Customer contributions in the future will no longer be added to the RAB</w:t>
      </w:r>
      <w:r w:rsidR="009A7CE2">
        <w:t>, commencing in this determination from 1 July 2015</w:t>
      </w:r>
      <w:r>
        <w:t>.</w:t>
      </w:r>
      <w:r w:rsidR="009F0177">
        <w:t xml:space="preserve"> In the PTRM the forecast customer contributions are deducted from gross capex over the 2015</w:t>
      </w:r>
      <w:r w:rsidR="0056117C">
        <w:t>–</w:t>
      </w:r>
      <w:r w:rsidR="009F0177">
        <w:t>20 regulatory control period.</w:t>
      </w:r>
    </w:p>
    <w:p w:rsidR="00D63CDA" w:rsidRDefault="00DE6E20" w:rsidP="00A148CC">
      <w:r>
        <w:t xml:space="preserve">The CCP </w:t>
      </w:r>
      <w:r w:rsidR="00FA156E">
        <w:t xml:space="preserve">submitted </w:t>
      </w:r>
      <w:r>
        <w:t>that the Q</w:t>
      </w:r>
      <w:r w:rsidR="00104540">
        <w:t>ueens</w:t>
      </w:r>
      <w:r>
        <w:t>l</w:t>
      </w:r>
      <w:r w:rsidR="00104540">
        <w:t>an</w:t>
      </w:r>
      <w:r>
        <w:t>d</w:t>
      </w:r>
      <w:r w:rsidR="009F4A67">
        <w:t xml:space="preserve"> distributors benefited (i</w:t>
      </w:r>
      <w:r w:rsidR="00B27350">
        <w:t>n terms of additional return on capital</w:t>
      </w:r>
      <w:r w:rsidR="009F4A67">
        <w:t xml:space="preserve"> and </w:t>
      </w:r>
      <w:r w:rsidR="00B27350">
        <w:t>depreciation</w:t>
      </w:r>
      <w:r w:rsidR="009F4A67">
        <w:t>)</w:t>
      </w:r>
      <w:r w:rsidR="00775842" w:rsidRPr="00775842">
        <w:t xml:space="preserve"> over the </w:t>
      </w:r>
      <w:r w:rsidR="00775842">
        <w:t>201</w:t>
      </w:r>
      <w:r w:rsidR="00182B9C">
        <w:t>0</w:t>
      </w:r>
      <w:r w:rsidR="00D63CDA">
        <w:t>–</w:t>
      </w:r>
      <w:r w:rsidR="00182B9C">
        <w:t>15</w:t>
      </w:r>
      <w:r w:rsidR="00775842" w:rsidRPr="00775842">
        <w:t xml:space="preserve"> regulatory control period due to actual capex and customer contributions being less than forecast.</w:t>
      </w:r>
      <w:r w:rsidR="000B3624">
        <w:rPr>
          <w:rStyle w:val="FootnoteReference"/>
        </w:rPr>
        <w:footnoteReference w:id="39"/>
      </w:r>
      <w:r w:rsidR="00775842" w:rsidRPr="00775842">
        <w:t xml:space="preserve"> The CCP </w:t>
      </w:r>
      <w:r w:rsidR="0082665A">
        <w:t>submitt</w:t>
      </w:r>
      <w:r w:rsidR="00775842" w:rsidRPr="00775842">
        <w:t xml:space="preserve">ed </w:t>
      </w:r>
      <w:r w:rsidR="009F4A67">
        <w:t>that these benefits be</w:t>
      </w:r>
      <w:r w:rsidR="00775842" w:rsidRPr="00775842">
        <w:t xml:space="preserve"> </w:t>
      </w:r>
      <w:r w:rsidR="009F4A67">
        <w:t>re</w:t>
      </w:r>
      <w:r w:rsidR="0082665A">
        <w:t>vers</w:t>
      </w:r>
      <w:r w:rsidR="009F4A67">
        <w:t xml:space="preserve">ed </w:t>
      </w:r>
      <w:r w:rsidR="00930450">
        <w:t>by the AER. In terms of depreciation</w:t>
      </w:r>
      <w:r w:rsidR="00B27350">
        <w:t>,</w:t>
      </w:r>
      <w:r w:rsidR="00930450">
        <w:t xml:space="preserve"> </w:t>
      </w:r>
      <w:r w:rsidR="00AC5336">
        <w:t>the CC</w:t>
      </w:r>
      <w:r w:rsidR="009F4A67">
        <w:t>P</w:t>
      </w:r>
      <w:r w:rsidR="00930450">
        <w:t xml:space="preserve"> thought the AER had discretion to choose between forecast and actual </w:t>
      </w:r>
      <w:r w:rsidR="009F4A67">
        <w:t xml:space="preserve">depreciation in rolling forward the </w:t>
      </w:r>
      <w:r w:rsidR="0082665A">
        <w:t>RAB</w:t>
      </w:r>
      <w:r w:rsidR="00775842" w:rsidRPr="00775842">
        <w:t>.</w:t>
      </w:r>
      <w:r w:rsidR="009F4A67">
        <w:rPr>
          <w:rStyle w:val="FootnoteReference"/>
        </w:rPr>
        <w:footnoteReference w:id="40"/>
      </w:r>
      <w:r w:rsidR="00775842" w:rsidRPr="00775842">
        <w:t xml:space="preserve"> </w:t>
      </w:r>
      <w:r w:rsidR="009F4A67">
        <w:t>This is true, however, it cannot be done in the ex</w:t>
      </w:r>
      <w:r w:rsidR="001F0A90">
        <w:t xml:space="preserve"> </w:t>
      </w:r>
      <w:r w:rsidR="009F4A67">
        <w:t>post way the</w:t>
      </w:r>
      <w:r w:rsidR="00AC5336">
        <w:t xml:space="preserve"> CC</w:t>
      </w:r>
      <w:r w:rsidR="009F4A67">
        <w:t>P propose</w:t>
      </w:r>
      <w:r w:rsidR="00B27350">
        <w:t>d</w:t>
      </w:r>
      <w:r w:rsidR="009F4A67">
        <w:t xml:space="preserve">. In the 2010 determinations for the </w:t>
      </w:r>
      <w:r w:rsidR="001F0A90">
        <w:t xml:space="preserve">Queensland </w:t>
      </w:r>
      <w:r w:rsidR="009F4A67">
        <w:t xml:space="preserve">distributors the AER approved an actual depreciation approach to roll forward the RAB </w:t>
      </w:r>
      <w:r w:rsidR="0082665A" w:rsidRPr="0082665A">
        <w:t>when establishing the opening value at 1 July 2015</w:t>
      </w:r>
      <w:r w:rsidR="00C70998">
        <w:t>.</w:t>
      </w:r>
      <w:r w:rsidR="00F61851">
        <w:rPr>
          <w:rStyle w:val="FootnoteReference"/>
        </w:rPr>
        <w:footnoteReference w:id="41"/>
      </w:r>
      <w:r w:rsidR="00C70998">
        <w:t xml:space="preserve"> It would be inconsistent and retrospective now to change to a forecast depreciation approach </w:t>
      </w:r>
      <w:r w:rsidR="00F61851" w:rsidRPr="00F61851">
        <w:t xml:space="preserve">to roll forward the RAB for the 2010–15 regulatory control </w:t>
      </w:r>
      <w:r w:rsidR="00C70998">
        <w:t>period</w:t>
      </w:r>
      <w:r w:rsidR="00AC5336">
        <w:t xml:space="preserve"> as </w:t>
      </w:r>
      <w:r w:rsidR="00FA156E">
        <w:t xml:space="preserve">proposed </w:t>
      </w:r>
      <w:r w:rsidR="00AC5336">
        <w:t>by the CCP</w:t>
      </w:r>
      <w:r w:rsidR="00C70998">
        <w:t>.</w:t>
      </w:r>
      <w:r w:rsidR="00B27350">
        <w:rPr>
          <w:rStyle w:val="FootnoteReference"/>
        </w:rPr>
        <w:footnoteReference w:id="42"/>
      </w:r>
      <w:r w:rsidR="00C70998">
        <w:t xml:space="preserve"> </w:t>
      </w:r>
    </w:p>
    <w:p w:rsidR="00061FEA" w:rsidRDefault="00C70998" w:rsidP="00A148CC">
      <w:r>
        <w:t>The true</w:t>
      </w:r>
      <w:r w:rsidR="00D63CDA">
        <w:t>-</w:t>
      </w:r>
      <w:r>
        <w:t xml:space="preserve">up mechanism for customer contributions was also set out </w:t>
      </w:r>
      <w:r w:rsidR="00F61851" w:rsidRPr="00F61851">
        <w:t xml:space="preserve">as part of the </w:t>
      </w:r>
      <w:r w:rsidR="00B27350">
        <w:t xml:space="preserve">control mechanism in </w:t>
      </w:r>
      <w:r>
        <w:t>the 2010 determinations</w:t>
      </w:r>
      <w:r w:rsidR="00B27350">
        <w:t xml:space="preserve"> for the Q</w:t>
      </w:r>
      <w:r w:rsidR="00104540">
        <w:t>ueens</w:t>
      </w:r>
      <w:r w:rsidR="00B27350">
        <w:t>l</w:t>
      </w:r>
      <w:r w:rsidR="00104540">
        <w:t>an</w:t>
      </w:r>
      <w:r w:rsidR="00B27350">
        <w:t>d distributors</w:t>
      </w:r>
      <w:r>
        <w:t>.</w:t>
      </w:r>
      <w:r w:rsidR="00152C15">
        <w:rPr>
          <w:rStyle w:val="FootnoteReference"/>
        </w:rPr>
        <w:footnoteReference w:id="43"/>
      </w:r>
      <w:r>
        <w:t xml:space="preserve"> We consider </w:t>
      </w:r>
      <w:r w:rsidR="00F61851">
        <w:t xml:space="preserve">making </w:t>
      </w:r>
      <w:r>
        <w:t>further adjustments</w:t>
      </w:r>
      <w:r w:rsidR="00F61851">
        <w:t xml:space="preserve"> now</w:t>
      </w:r>
      <w:r>
        <w:t xml:space="preserve"> </w:t>
      </w:r>
      <w:r w:rsidR="00775842">
        <w:t xml:space="preserve">to </w:t>
      </w:r>
      <w:r>
        <w:t xml:space="preserve">also </w:t>
      </w:r>
      <w:r w:rsidR="00775842">
        <w:t xml:space="preserve">be </w:t>
      </w:r>
      <w:r w:rsidR="00775842" w:rsidRPr="00775842">
        <w:t>retrospective</w:t>
      </w:r>
      <w:r w:rsidR="00775842">
        <w:t xml:space="preserve"> </w:t>
      </w:r>
      <w:r>
        <w:t xml:space="preserve">and inconsistent with those </w:t>
      </w:r>
      <w:r w:rsidR="00B27350">
        <w:t>control mechanisms</w:t>
      </w:r>
      <w:r w:rsidR="00775842">
        <w:t xml:space="preserve">. </w:t>
      </w:r>
      <w:r w:rsidR="00B27350">
        <w:t>More generally, t</w:t>
      </w:r>
      <w:r w:rsidR="00B27350" w:rsidRPr="00B27350">
        <w:t>he incentive regime rests on the principle that the business tries to outperform the forecasts approved by the regulator. In certain cases, there may be external</w:t>
      </w:r>
      <w:r w:rsidR="00B27350">
        <w:t xml:space="preserve"> factors that influence whether the business does better/worse than forecast. We </w:t>
      </w:r>
      <w:r w:rsidR="00B27350" w:rsidRPr="00B27350">
        <w:t xml:space="preserve">do not attempt to control for these factors beyond </w:t>
      </w:r>
      <w:r w:rsidR="00B27350">
        <w:t>the requirements of any</w:t>
      </w:r>
      <w:r w:rsidR="00B27350" w:rsidRPr="00B27350">
        <w:t xml:space="preserve"> specific incentive schemes </w:t>
      </w:r>
      <w:r w:rsidR="00DC0432">
        <w:t xml:space="preserve">that </w:t>
      </w:r>
      <w:r w:rsidR="00AC5336">
        <w:t>were</w:t>
      </w:r>
      <w:r w:rsidR="00B27350" w:rsidRPr="00B27350">
        <w:t xml:space="preserve"> in operation. </w:t>
      </w:r>
      <w:r w:rsidR="00775842">
        <w:t>Accordingly, we have not applied adjustment</w:t>
      </w:r>
      <w:r w:rsidR="00DE6E20">
        <w:t>s of the sort the CCP proposed</w:t>
      </w:r>
      <w:r w:rsidR="00775842">
        <w:t xml:space="preserve"> to the RAB </w:t>
      </w:r>
      <w:r w:rsidR="00B27350">
        <w:t>for actual capex and custom</w:t>
      </w:r>
      <w:r w:rsidR="00AC5336">
        <w:t>er</w:t>
      </w:r>
      <w:r w:rsidR="00B27350">
        <w:t xml:space="preserve"> contributions being less than forecast</w:t>
      </w:r>
      <w:r w:rsidR="00AF3370">
        <w:t xml:space="preserve"> over the 2010–15 regulatory control </w:t>
      </w:r>
      <w:proofErr w:type="gramStart"/>
      <w:r w:rsidR="00AF3370">
        <w:t>period</w:t>
      </w:r>
      <w:proofErr w:type="gramEnd"/>
      <w:r w:rsidR="00775842" w:rsidRPr="00775842">
        <w:t xml:space="preserve">. </w:t>
      </w:r>
    </w:p>
    <w:p w:rsidR="00D904FE" w:rsidRDefault="00D904FE" w:rsidP="00A148CC"/>
    <w:p w:rsidR="00D904FE" w:rsidRDefault="00D904FE" w:rsidP="00A148CC"/>
    <w:p w:rsidR="00A148CC" w:rsidRPr="00A148CC" w:rsidRDefault="00A148CC" w:rsidP="00A9408C">
      <w:pPr>
        <w:pStyle w:val="HeadingBoldBlue"/>
      </w:pPr>
      <w:bookmarkStart w:id="31" w:name="_Toc413831070"/>
      <w:r w:rsidRPr="00A148CC">
        <w:lastRenderedPageBreak/>
        <w:t>Remaining asset lives</w:t>
      </w:r>
      <w:bookmarkEnd w:id="31"/>
    </w:p>
    <w:p w:rsidR="000D2763" w:rsidRPr="000D2763" w:rsidRDefault="004F780A" w:rsidP="000D2763">
      <w:r>
        <w:t>Ergon Energy</w:t>
      </w:r>
      <w:r w:rsidR="000D2763" w:rsidRPr="000D2763">
        <w:t xml:space="preserve">'s </w:t>
      </w:r>
      <w:r w:rsidR="0056117C">
        <w:t xml:space="preserve">proposed </w:t>
      </w:r>
      <w:r w:rsidR="000D2763" w:rsidRPr="000D2763">
        <w:t xml:space="preserve">RFM did not apply the remaining asset lives as at 1 July 2010 as approved by the AER </w:t>
      </w:r>
      <w:r w:rsidR="0056117C">
        <w:t>in</w:t>
      </w:r>
      <w:r w:rsidR="000D2763" w:rsidRPr="000D2763">
        <w:t xml:space="preserve"> the </w:t>
      </w:r>
      <w:r w:rsidR="0056117C">
        <w:t>2010 determination</w:t>
      </w:r>
      <w:r w:rsidR="000D2763" w:rsidRPr="000D2763">
        <w:t xml:space="preserve">. Accordingly, we </w:t>
      </w:r>
      <w:r w:rsidR="0056117C">
        <w:t xml:space="preserve">have </w:t>
      </w:r>
      <w:r w:rsidR="000D2763" w:rsidRPr="000D2763">
        <w:t>applied the AER approved remaining asset lives</w:t>
      </w:r>
      <w:r w:rsidR="0056117C">
        <w:t xml:space="preserve"> in the RFM as required for the proper function of the RAB roll forward process</w:t>
      </w:r>
      <w:r w:rsidR="000D2763" w:rsidRPr="000D2763">
        <w:t>.</w:t>
      </w:r>
    </w:p>
    <w:p w:rsidR="000D2763" w:rsidRPr="000D2763" w:rsidRDefault="000D2763" w:rsidP="000D2763">
      <w:r w:rsidRPr="000D2763">
        <w:t xml:space="preserve">The </w:t>
      </w:r>
      <w:r w:rsidR="0056117C">
        <w:t>correct</w:t>
      </w:r>
      <w:r w:rsidR="00C32B7C">
        <w:t xml:space="preserve"> </w:t>
      </w:r>
      <w:r w:rsidRPr="000D2763">
        <w:t>remaining asset lives were generally longer than those</w:t>
      </w:r>
      <w:r w:rsidR="0056117C">
        <w:t xml:space="preserve"> in</w:t>
      </w:r>
      <w:r w:rsidRPr="000D2763">
        <w:t xml:space="preserve"> </w:t>
      </w:r>
      <w:r>
        <w:t>Ergon Energy</w:t>
      </w:r>
      <w:r w:rsidR="0056117C">
        <w:t>'s</w:t>
      </w:r>
      <w:r w:rsidRPr="000D2763">
        <w:t xml:space="preserve"> proposed</w:t>
      </w:r>
      <w:r w:rsidR="0056117C">
        <w:t xml:space="preserve"> RFM</w:t>
      </w:r>
      <w:r w:rsidRPr="000D2763">
        <w:t>. This means depreciation f</w:t>
      </w:r>
      <w:r w:rsidR="0056117C">
        <w:t>o</w:t>
      </w:r>
      <w:r w:rsidRPr="000D2763">
        <w:t>r 2010</w:t>
      </w:r>
      <w:r w:rsidR="0056117C">
        <w:t>–</w:t>
      </w:r>
      <w:r w:rsidRPr="000D2763">
        <w:t xml:space="preserve">15 </w:t>
      </w:r>
      <w:r w:rsidR="00C32B7C">
        <w:t>is</w:t>
      </w:r>
      <w:r w:rsidRPr="000D2763">
        <w:t xml:space="preserve"> lower than proposed, and </w:t>
      </w:r>
      <w:r>
        <w:t>Ergon Energy</w:t>
      </w:r>
      <w:r w:rsidRPr="000D2763">
        <w:t>'s closing RAB as at 30 June 2015</w:t>
      </w:r>
      <w:r w:rsidR="00C32B7C">
        <w:t xml:space="preserve"> </w:t>
      </w:r>
      <w:r w:rsidR="0056117C">
        <w:t xml:space="preserve">is </w:t>
      </w:r>
      <w:r w:rsidR="00C32B7C">
        <w:t>consequently</w:t>
      </w:r>
      <w:r w:rsidRPr="000D2763">
        <w:t xml:space="preserve"> higher than proposed by about </w:t>
      </w:r>
      <w:r w:rsidR="00E9116B">
        <w:t xml:space="preserve">$90.5 </w:t>
      </w:r>
      <w:r w:rsidRPr="000D2763">
        <w:t>million</w:t>
      </w:r>
      <w:r w:rsidR="00C32B7C">
        <w:t>, other things being equal</w:t>
      </w:r>
      <w:r w:rsidRPr="000D2763">
        <w:t>.</w:t>
      </w:r>
    </w:p>
    <w:p w:rsidR="00A148CC" w:rsidRPr="00A148CC" w:rsidRDefault="00A148CC" w:rsidP="00A9408C">
      <w:pPr>
        <w:pStyle w:val="HeadingBoldBlue"/>
      </w:pPr>
      <w:bookmarkStart w:id="32" w:name="_Toc413831071"/>
      <w:r w:rsidRPr="00A148CC">
        <w:t>Capitalised provisions</w:t>
      </w:r>
      <w:bookmarkEnd w:id="32"/>
    </w:p>
    <w:p w:rsidR="00A148CC" w:rsidRPr="00A148CC" w:rsidRDefault="00A148CC" w:rsidP="00A148CC">
      <w:r w:rsidRPr="00A148CC">
        <w:t>The AER considers that the movement in capitalised provision</w:t>
      </w:r>
      <w:r w:rsidR="0056117C">
        <w:t>s</w:t>
      </w:r>
      <w:r w:rsidRPr="00A148CC">
        <w:t xml:space="preserve"> during the regulatory control period should be removed from capex in the </w:t>
      </w:r>
      <w:r w:rsidR="0056117C">
        <w:t>RFM</w:t>
      </w:r>
      <w:r w:rsidRPr="00A148CC">
        <w:t>. This approach means capitalised costs related to these provision</w:t>
      </w:r>
      <w:r w:rsidR="00BB6116">
        <w:t>s</w:t>
      </w:r>
      <w:r w:rsidRPr="00A148CC">
        <w:t xml:space="preserve"> </w:t>
      </w:r>
      <w:proofErr w:type="gramStart"/>
      <w:r w:rsidR="00674444">
        <w:t>are</w:t>
      </w:r>
      <w:proofErr w:type="gramEnd"/>
      <w:r w:rsidR="00674444">
        <w:t xml:space="preserve"> included in</w:t>
      </w:r>
      <w:r w:rsidRPr="00A148CC">
        <w:t xml:space="preserve"> the RAB </w:t>
      </w:r>
      <w:r w:rsidR="00674444">
        <w:t xml:space="preserve">only </w:t>
      </w:r>
      <w:r w:rsidRPr="00A148CC">
        <w:t xml:space="preserve">when they are paid out by the business. This approach </w:t>
      </w:r>
      <w:r w:rsidR="00BB6116" w:rsidRPr="00BB6116">
        <w:t xml:space="preserve">is consistent with adding capex as incurred </w:t>
      </w:r>
      <w:r w:rsidR="00BB6116">
        <w:t xml:space="preserve">and </w:t>
      </w:r>
      <w:r w:rsidRPr="00A148CC">
        <w:t xml:space="preserve">has been applied in other </w:t>
      </w:r>
      <w:r w:rsidR="00BB6116">
        <w:t xml:space="preserve">AER </w:t>
      </w:r>
      <w:r w:rsidRPr="00A148CC">
        <w:t>decisions.</w:t>
      </w:r>
      <w:r w:rsidR="002D2E3E">
        <w:rPr>
          <w:rStyle w:val="FootnoteReference"/>
        </w:rPr>
        <w:footnoteReference w:id="44"/>
      </w:r>
    </w:p>
    <w:p w:rsidR="00A148CC" w:rsidRDefault="0056117C" w:rsidP="00A148CC">
      <w:r>
        <w:t>T</w:t>
      </w:r>
      <w:r w:rsidR="00A148CC" w:rsidRPr="00A148CC">
        <w:t xml:space="preserve">his approach </w:t>
      </w:r>
      <w:r>
        <w:t xml:space="preserve">was not applied </w:t>
      </w:r>
      <w:r w:rsidR="00A148CC" w:rsidRPr="00A148CC">
        <w:t>to the period</w:t>
      </w:r>
      <w:r>
        <w:t>s</w:t>
      </w:r>
      <w:r w:rsidR="00A148CC" w:rsidRPr="00A148CC">
        <w:t xml:space="preserve"> that the Queensland Competition Authority regulated the Q</w:t>
      </w:r>
      <w:r w:rsidR="00104540">
        <w:t>ueens</w:t>
      </w:r>
      <w:r w:rsidR="00A148CC" w:rsidRPr="00A148CC">
        <w:t>l</w:t>
      </w:r>
      <w:r w:rsidR="00104540">
        <w:t>an</w:t>
      </w:r>
      <w:r w:rsidR="00A148CC" w:rsidRPr="00A148CC">
        <w:t xml:space="preserve">d </w:t>
      </w:r>
      <w:r w:rsidR="00543ACE">
        <w:t>distributors</w:t>
      </w:r>
      <w:r w:rsidR="00A148CC" w:rsidRPr="00A148CC">
        <w:t xml:space="preserve">. However, </w:t>
      </w:r>
      <w:r>
        <w:t>we</w:t>
      </w:r>
      <w:r w:rsidR="00A148CC" w:rsidRPr="00A148CC">
        <w:t xml:space="preserve"> will apply it going forward. In </w:t>
      </w:r>
      <w:r w:rsidR="00F14ECC">
        <w:t>Ergon Energy</w:t>
      </w:r>
      <w:r w:rsidR="00A148CC" w:rsidRPr="00A148CC">
        <w:t>'s case, the movement in capitalised provision</w:t>
      </w:r>
      <w:r>
        <w:t>s</w:t>
      </w:r>
      <w:r w:rsidR="00A148CC" w:rsidRPr="00A148CC">
        <w:t xml:space="preserve"> is shown in</w:t>
      </w:r>
      <w:r w:rsidR="00E9116B">
        <w:t xml:space="preserve"> </w:t>
      </w:r>
      <w:r w:rsidR="00E9116B">
        <w:fldChar w:fldCharType="begin"/>
      </w:r>
      <w:r w:rsidR="00E9116B">
        <w:instrText xml:space="preserve"> REF _Ref411494908 \h </w:instrText>
      </w:r>
      <w:r w:rsidR="00E9116B">
        <w:fldChar w:fldCharType="separate"/>
      </w:r>
      <w:r w:rsidR="00A05458">
        <w:t>t</w:t>
      </w:r>
      <w:r w:rsidR="00D904FE">
        <w:t xml:space="preserve">able </w:t>
      </w:r>
      <w:r w:rsidR="00D904FE">
        <w:rPr>
          <w:noProof/>
        </w:rPr>
        <w:t>2</w:t>
      </w:r>
      <w:r w:rsidR="00D904FE">
        <w:t>.</w:t>
      </w:r>
      <w:r w:rsidR="00D904FE">
        <w:rPr>
          <w:noProof/>
        </w:rPr>
        <w:t>5</w:t>
      </w:r>
      <w:r w:rsidR="00E9116B">
        <w:fldChar w:fldCharType="end"/>
      </w:r>
      <w:r w:rsidR="00A148CC" w:rsidRPr="00A148CC">
        <w:t>.</w:t>
      </w:r>
      <w:r w:rsidR="00BB6116">
        <w:rPr>
          <w:rStyle w:val="FootnoteReference"/>
        </w:rPr>
        <w:footnoteReference w:id="45"/>
      </w:r>
      <w:r w:rsidR="00A148CC" w:rsidRPr="00A148CC">
        <w:t xml:space="preserve"> These amounts have been used to adjust the capex entering the RFM. The total adjustment for each year is pro</w:t>
      </w:r>
      <w:r>
        <w:t>-</w:t>
      </w:r>
      <w:r w:rsidR="00A148CC" w:rsidRPr="00A148CC">
        <w:t>rated across asset c</w:t>
      </w:r>
      <w:r>
        <w:t>lasses</w:t>
      </w:r>
      <w:r w:rsidR="00A148CC" w:rsidRPr="00A148CC">
        <w:t xml:space="preserve"> based on the size of the capex in that asset class for the relevant year. Overall, </w:t>
      </w:r>
      <w:r w:rsidR="00C32B7C">
        <w:t xml:space="preserve">this adjustment reduces Ergon Energy's </w:t>
      </w:r>
      <w:r>
        <w:t xml:space="preserve">proposed </w:t>
      </w:r>
      <w:r w:rsidR="00C32B7C">
        <w:t>opening RAB by</w:t>
      </w:r>
      <w:r w:rsidR="00A148CC" w:rsidRPr="00A148CC">
        <w:t xml:space="preserve"> about </w:t>
      </w:r>
      <w:r>
        <w:t>$</w:t>
      </w:r>
      <w:r w:rsidR="00BB6116">
        <w:t>1.6</w:t>
      </w:r>
      <w:r w:rsidR="00A148CC" w:rsidRPr="00A148CC">
        <w:t xml:space="preserve"> </w:t>
      </w:r>
      <w:r w:rsidR="00C32B7C">
        <w:t>million</w:t>
      </w:r>
      <w:r>
        <w:t>, other things being equal</w:t>
      </w:r>
      <w:r w:rsidR="00A148CC" w:rsidRPr="00A148CC">
        <w:t>.</w:t>
      </w:r>
    </w:p>
    <w:p w:rsidR="00BB6116" w:rsidRPr="00BB6116" w:rsidRDefault="00E9116B" w:rsidP="00E9116B">
      <w:pPr>
        <w:pStyle w:val="Caption"/>
      </w:pPr>
      <w:bookmarkStart w:id="33" w:name="_Ref411494908"/>
      <w:r>
        <w:t xml:space="preserve">Table </w:t>
      </w:r>
      <w:r w:rsidR="00146416">
        <w:fldChar w:fldCharType="begin"/>
      </w:r>
      <w:r w:rsidR="00146416">
        <w:instrText xml:space="preserve"> STYLEREF 1 \s </w:instrText>
      </w:r>
      <w:r w:rsidR="00146416">
        <w:fldChar w:fldCharType="separate"/>
      </w:r>
      <w:r w:rsidR="00D904FE">
        <w:rPr>
          <w:noProof/>
        </w:rPr>
        <w:t>2</w:t>
      </w:r>
      <w:r w:rsidR="00146416">
        <w:rPr>
          <w:noProof/>
        </w:rPr>
        <w:fldChar w:fldCharType="end"/>
      </w:r>
      <w:r>
        <w:t>.</w:t>
      </w:r>
      <w:r w:rsidR="00146416">
        <w:fldChar w:fldCharType="begin"/>
      </w:r>
      <w:r w:rsidR="00146416">
        <w:instrText xml:space="preserve"> SEQ Table \* ARABIC \s 1 </w:instrText>
      </w:r>
      <w:r w:rsidR="00146416">
        <w:fldChar w:fldCharType="separate"/>
      </w:r>
      <w:r w:rsidR="00D904FE">
        <w:rPr>
          <w:noProof/>
        </w:rPr>
        <w:t>5</w:t>
      </w:r>
      <w:r w:rsidR="00146416">
        <w:rPr>
          <w:noProof/>
        </w:rPr>
        <w:fldChar w:fldCharType="end"/>
      </w:r>
      <w:bookmarkEnd w:id="33"/>
      <w:r>
        <w:t xml:space="preserve"> E</w:t>
      </w:r>
      <w:r w:rsidR="00BB6116">
        <w:t>rgon Energy</w:t>
      </w:r>
      <w:r w:rsidR="00BB6116" w:rsidRPr="00BB6116">
        <w:t>'s movement in capitalised provisions ($million, nominal)</w:t>
      </w:r>
    </w:p>
    <w:tbl>
      <w:tblPr>
        <w:tblStyle w:val="AERtable-numbers"/>
        <w:tblW w:w="8755" w:type="dxa"/>
        <w:tblLook w:val="04A0" w:firstRow="1" w:lastRow="0" w:firstColumn="1" w:lastColumn="0" w:noHBand="0" w:noVBand="1"/>
      </w:tblPr>
      <w:tblGrid>
        <w:gridCol w:w="3416"/>
        <w:gridCol w:w="1035"/>
        <w:gridCol w:w="1035"/>
        <w:gridCol w:w="1035"/>
        <w:gridCol w:w="1035"/>
        <w:gridCol w:w="1199"/>
      </w:tblGrid>
      <w:tr w:rsidR="00BB6116" w:rsidRPr="008C460E" w:rsidTr="008C460E">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6" w:type="dxa"/>
            <w:noWrap/>
            <w:hideMark/>
          </w:tcPr>
          <w:p w:rsidR="00BB6116" w:rsidRPr="008C460E" w:rsidRDefault="00BB6116" w:rsidP="008C460E">
            <w:r w:rsidRPr="008C460E">
              <w:t> </w:t>
            </w:r>
          </w:p>
        </w:tc>
        <w:tc>
          <w:tcPr>
            <w:tcW w:w="1035" w:type="dxa"/>
            <w:noWrap/>
            <w:vAlign w:val="top"/>
            <w:hideMark/>
          </w:tcPr>
          <w:p w:rsidR="00BB6116" w:rsidRPr="008C460E" w:rsidRDefault="00BB6116" w:rsidP="008C460E">
            <w:pPr>
              <w:cnfStyle w:val="100000000000" w:firstRow="1" w:lastRow="0" w:firstColumn="0" w:lastColumn="0" w:oddVBand="0" w:evenVBand="0" w:oddHBand="0" w:evenHBand="0" w:firstRowFirstColumn="0" w:firstRowLastColumn="0" w:lastRowFirstColumn="0" w:lastRowLastColumn="0"/>
            </w:pPr>
            <w:r w:rsidRPr="008C460E">
              <w:t>2010–11</w:t>
            </w:r>
          </w:p>
        </w:tc>
        <w:tc>
          <w:tcPr>
            <w:tcW w:w="1035" w:type="dxa"/>
            <w:noWrap/>
            <w:vAlign w:val="top"/>
            <w:hideMark/>
          </w:tcPr>
          <w:p w:rsidR="00BB6116" w:rsidRPr="008C460E" w:rsidRDefault="00BB6116" w:rsidP="008C460E">
            <w:pPr>
              <w:cnfStyle w:val="100000000000" w:firstRow="1" w:lastRow="0" w:firstColumn="0" w:lastColumn="0" w:oddVBand="0" w:evenVBand="0" w:oddHBand="0" w:evenHBand="0" w:firstRowFirstColumn="0" w:firstRowLastColumn="0" w:lastRowFirstColumn="0" w:lastRowLastColumn="0"/>
            </w:pPr>
            <w:r w:rsidRPr="008C460E">
              <w:t>2011–12</w:t>
            </w:r>
          </w:p>
        </w:tc>
        <w:tc>
          <w:tcPr>
            <w:tcW w:w="1035" w:type="dxa"/>
            <w:noWrap/>
            <w:vAlign w:val="top"/>
            <w:hideMark/>
          </w:tcPr>
          <w:p w:rsidR="00BB6116" w:rsidRPr="008C460E" w:rsidRDefault="00BB6116" w:rsidP="008C460E">
            <w:pPr>
              <w:cnfStyle w:val="100000000000" w:firstRow="1" w:lastRow="0" w:firstColumn="0" w:lastColumn="0" w:oddVBand="0" w:evenVBand="0" w:oddHBand="0" w:evenHBand="0" w:firstRowFirstColumn="0" w:firstRowLastColumn="0" w:lastRowFirstColumn="0" w:lastRowLastColumn="0"/>
            </w:pPr>
            <w:r w:rsidRPr="008C460E">
              <w:t>2012–13</w:t>
            </w:r>
          </w:p>
        </w:tc>
        <w:tc>
          <w:tcPr>
            <w:tcW w:w="1035" w:type="dxa"/>
            <w:noWrap/>
            <w:vAlign w:val="top"/>
            <w:hideMark/>
          </w:tcPr>
          <w:p w:rsidR="00BB6116" w:rsidRPr="008C460E" w:rsidRDefault="00BB6116" w:rsidP="008C460E">
            <w:pPr>
              <w:cnfStyle w:val="100000000000" w:firstRow="1" w:lastRow="0" w:firstColumn="0" w:lastColumn="0" w:oddVBand="0" w:evenVBand="0" w:oddHBand="0" w:evenHBand="0" w:firstRowFirstColumn="0" w:firstRowLastColumn="0" w:lastRowFirstColumn="0" w:lastRowLastColumn="0"/>
            </w:pPr>
            <w:r w:rsidRPr="008C460E">
              <w:t>2013–14</w:t>
            </w:r>
          </w:p>
        </w:tc>
        <w:tc>
          <w:tcPr>
            <w:tcW w:w="1199" w:type="dxa"/>
            <w:noWrap/>
            <w:vAlign w:val="top"/>
            <w:hideMark/>
          </w:tcPr>
          <w:p w:rsidR="00BB6116" w:rsidRPr="008C460E" w:rsidRDefault="00BB6116" w:rsidP="008C460E">
            <w:pPr>
              <w:cnfStyle w:val="100000000000" w:firstRow="1" w:lastRow="0" w:firstColumn="0" w:lastColumn="0" w:oddVBand="0" w:evenVBand="0" w:oddHBand="0" w:evenHBand="0" w:firstRowFirstColumn="0" w:firstRowLastColumn="0" w:lastRowFirstColumn="0" w:lastRowLastColumn="0"/>
            </w:pPr>
            <w:r w:rsidRPr="008C460E">
              <w:t>2014–15</w:t>
            </w:r>
          </w:p>
        </w:tc>
      </w:tr>
      <w:tr w:rsidR="00BB6116" w:rsidRPr="008C460E" w:rsidTr="008C460E">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BB6116" w:rsidRPr="008C460E" w:rsidRDefault="00BB6116" w:rsidP="008C460E">
            <w:r w:rsidRPr="008C460E">
              <w:t>Movement in capitalised provisions</w:t>
            </w:r>
          </w:p>
        </w:tc>
        <w:tc>
          <w:tcPr>
            <w:tcW w:w="1035" w:type="dxa"/>
            <w:noWrap/>
            <w:vAlign w:val="top"/>
          </w:tcPr>
          <w:p w:rsidR="00BB6116" w:rsidRPr="008C460E" w:rsidRDefault="00BB6116" w:rsidP="008C460E">
            <w:pPr>
              <w:cnfStyle w:val="000000000000" w:firstRow="0" w:lastRow="0" w:firstColumn="0" w:lastColumn="0" w:oddVBand="0" w:evenVBand="0" w:oddHBand="0" w:evenHBand="0" w:firstRowFirstColumn="0" w:firstRowLastColumn="0" w:lastRowFirstColumn="0" w:lastRowLastColumn="0"/>
            </w:pPr>
            <w:r w:rsidRPr="008C460E">
              <w:t xml:space="preserve">–0.1 </w:t>
            </w:r>
          </w:p>
        </w:tc>
        <w:tc>
          <w:tcPr>
            <w:tcW w:w="1035" w:type="dxa"/>
            <w:noWrap/>
            <w:vAlign w:val="top"/>
          </w:tcPr>
          <w:p w:rsidR="00BB6116" w:rsidRPr="008C460E" w:rsidRDefault="00BB6116" w:rsidP="008C460E">
            <w:pPr>
              <w:cnfStyle w:val="000000000000" w:firstRow="0" w:lastRow="0" w:firstColumn="0" w:lastColumn="0" w:oddVBand="0" w:evenVBand="0" w:oddHBand="0" w:evenHBand="0" w:firstRowFirstColumn="0" w:firstRowLastColumn="0" w:lastRowFirstColumn="0" w:lastRowLastColumn="0"/>
            </w:pPr>
            <w:r w:rsidRPr="008C460E">
              <w:t xml:space="preserve">9.5 </w:t>
            </w:r>
          </w:p>
        </w:tc>
        <w:tc>
          <w:tcPr>
            <w:tcW w:w="1035" w:type="dxa"/>
            <w:noWrap/>
            <w:vAlign w:val="top"/>
          </w:tcPr>
          <w:p w:rsidR="00BB6116" w:rsidRPr="008C460E" w:rsidRDefault="00BB6116" w:rsidP="008C460E">
            <w:pPr>
              <w:cnfStyle w:val="000000000000" w:firstRow="0" w:lastRow="0" w:firstColumn="0" w:lastColumn="0" w:oddVBand="0" w:evenVBand="0" w:oddHBand="0" w:evenHBand="0" w:firstRowFirstColumn="0" w:firstRowLastColumn="0" w:lastRowFirstColumn="0" w:lastRowLastColumn="0"/>
            </w:pPr>
            <w:r w:rsidRPr="008C460E">
              <w:t xml:space="preserve"> –8.1 </w:t>
            </w:r>
          </w:p>
        </w:tc>
        <w:tc>
          <w:tcPr>
            <w:tcW w:w="1035" w:type="dxa"/>
            <w:noWrap/>
            <w:vAlign w:val="top"/>
          </w:tcPr>
          <w:p w:rsidR="00BB6116" w:rsidRPr="008C460E" w:rsidRDefault="00BB6116" w:rsidP="008C460E">
            <w:pPr>
              <w:cnfStyle w:val="000000000000" w:firstRow="0" w:lastRow="0" w:firstColumn="0" w:lastColumn="0" w:oddVBand="0" w:evenVBand="0" w:oddHBand="0" w:evenHBand="0" w:firstRowFirstColumn="0" w:firstRowLastColumn="0" w:lastRowFirstColumn="0" w:lastRowLastColumn="0"/>
            </w:pPr>
            <w:r w:rsidRPr="008C460E">
              <w:t xml:space="preserve">0.2 </w:t>
            </w:r>
          </w:p>
        </w:tc>
        <w:tc>
          <w:tcPr>
            <w:tcW w:w="1199" w:type="dxa"/>
            <w:noWrap/>
            <w:vAlign w:val="top"/>
          </w:tcPr>
          <w:p w:rsidR="00BB6116" w:rsidRPr="008C460E" w:rsidRDefault="00BB6116" w:rsidP="008C460E">
            <w:pPr>
              <w:cnfStyle w:val="000000000000" w:firstRow="0" w:lastRow="0" w:firstColumn="0" w:lastColumn="0" w:oddVBand="0" w:evenVBand="0" w:oddHBand="0" w:evenHBand="0" w:firstRowFirstColumn="0" w:firstRowLastColumn="0" w:lastRowFirstColumn="0" w:lastRowLastColumn="0"/>
            </w:pPr>
            <w:r w:rsidRPr="008C460E">
              <w:t>0.0</w:t>
            </w:r>
          </w:p>
        </w:tc>
      </w:tr>
    </w:tbl>
    <w:p w:rsidR="00931619" w:rsidRDefault="00931619" w:rsidP="00931619">
      <w:pPr>
        <w:pStyle w:val="AERtablesource"/>
      </w:pPr>
      <w:r>
        <w:t xml:space="preserve">Source: </w:t>
      </w:r>
      <w:r w:rsidR="00E44A5E">
        <w:tab/>
      </w:r>
      <w:r>
        <w:t xml:space="preserve">Ergon Energy, </w:t>
      </w:r>
      <w:r w:rsidRPr="00196650">
        <w:rPr>
          <w:rStyle w:val="AERtextitalic"/>
        </w:rPr>
        <w:t>Reset RIN</w:t>
      </w:r>
      <w:r>
        <w:t>, Table 2.13.1.</w:t>
      </w:r>
    </w:p>
    <w:p w:rsidR="00F14ECC" w:rsidRDefault="00F14ECC" w:rsidP="00A9408C">
      <w:pPr>
        <w:pStyle w:val="HeadingBoldBlue"/>
      </w:pPr>
      <w:bookmarkStart w:id="34" w:name="_Toc413831072"/>
      <w:r>
        <w:t>Disposals</w:t>
      </w:r>
      <w:bookmarkEnd w:id="34"/>
    </w:p>
    <w:p w:rsidR="00E44A5E" w:rsidRDefault="00B123EB">
      <w:r>
        <w:t xml:space="preserve">Ergon Energy incorrectly completed a reset RIN requiring the gross proceeds from sale of assets during </w:t>
      </w:r>
      <w:r w:rsidR="005271A1">
        <w:t xml:space="preserve">the period </w:t>
      </w:r>
      <w:r w:rsidR="005D203C">
        <w:t>2009</w:t>
      </w:r>
      <w:r w:rsidR="0056117C">
        <w:t xml:space="preserve"> to </w:t>
      </w:r>
      <w:r w:rsidR="005D203C">
        <w:t>2015</w:t>
      </w:r>
      <w:r w:rsidR="003A77F4">
        <w:t>. It</w:t>
      </w:r>
      <w:r w:rsidR="005D203C">
        <w:t xml:space="preserve"> resubmitted the </w:t>
      </w:r>
      <w:r w:rsidR="0056117C">
        <w:t>amount</w:t>
      </w:r>
      <w:r w:rsidR="005D203C">
        <w:t>s in response to an information request</w:t>
      </w:r>
      <w:r w:rsidR="003A77F4">
        <w:t xml:space="preserve"> from the AER as the numbers did not reconcile with the proposed </w:t>
      </w:r>
      <w:r w:rsidR="003A77F4">
        <w:lastRenderedPageBreak/>
        <w:t>RFM</w:t>
      </w:r>
      <w:r w:rsidR="005D203C">
        <w:t>.</w:t>
      </w:r>
      <w:r w:rsidR="005D203C">
        <w:rPr>
          <w:rStyle w:val="FootnoteReference"/>
        </w:rPr>
        <w:footnoteReference w:id="46"/>
      </w:r>
      <w:r w:rsidR="00D904FE">
        <w:t xml:space="preserve"> </w:t>
      </w:r>
      <w:r w:rsidR="0056117C">
        <w:t>We</w:t>
      </w:r>
      <w:r w:rsidR="003A77F4">
        <w:t xml:space="preserve"> ha</w:t>
      </w:r>
      <w:r w:rsidR="0056117C">
        <w:t>ve</w:t>
      </w:r>
      <w:r w:rsidR="003A77F4">
        <w:t xml:space="preserve"> used these revised numbers in the RFM</w:t>
      </w:r>
      <w:r w:rsidR="00931619">
        <w:t>, which reduces the opening RAB by about $</w:t>
      </w:r>
      <w:r w:rsidR="006C20CC">
        <w:t xml:space="preserve">5.2 </w:t>
      </w:r>
      <w:r w:rsidR="00931619">
        <w:t>million</w:t>
      </w:r>
      <w:r w:rsidR="00041E13">
        <w:t xml:space="preserve"> other things being equal</w:t>
      </w:r>
      <w:r w:rsidR="00931619">
        <w:t>.</w:t>
      </w:r>
      <w:r w:rsidR="00041E13" w:rsidRPr="00041E13">
        <w:rPr>
          <w:rStyle w:val="FootnoteReference"/>
        </w:rPr>
        <w:t xml:space="preserve"> </w:t>
      </w:r>
      <w:r w:rsidR="00041E13">
        <w:rPr>
          <w:rStyle w:val="FootnoteReference"/>
        </w:rPr>
        <w:footnoteReference w:id="47"/>
      </w:r>
      <w:r w:rsidR="001A3E38">
        <w:t xml:space="preserve"> </w:t>
      </w:r>
    </w:p>
    <w:p w:rsidR="00586AD0" w:rsidRDefault="00586AD0">
      <w:pPr>
        <w:pStyle w:val="HeadingBoldBlue"/>
      </w:pPr>
      <w:bookmarkStart w:id="35" w:name="_Toc413831073"/>
      <w:r>
        <w:t xml:space="preserve">Equity </w:t>
      </w:r>
      <w:r w:rsidR="00543ACE">
        <w:t>r</w:t>
      </w:r>
      <w:r>
        <w:t xml:space="preserve">aising </w:t>
      </w:r>
      <w:r w:rsidR="00543ACE">
        <w:t>c</w:t>
      </w:r>
      <w:r>
        <w:t>osts</w:t>
      </w:r>
      <w:bookmarkEnd w:id="35"/>
    </w:p>
    <w:p w:rsidR="0063197C" w:rsidRDefault="0063197C" w:rsidP="00DB5074">
      <w:r>
        <w:t>We have amended Ergon Energy's proposed RFM for benchmark equity raising costs (ERC) input.</w:t>
      </w:r>
    </w:p>
    <w:p w:rsidR="00586AD0" w:rsidRDefault="00586AD0" w:rsidP="00DB5074">
      <w:r>
        <w:t xml:space="preserve">Ergon Energy incorrectly added the previously approved </w:t>
      </w:r>
      <w:r w:rsidR="00677CBE">
        <w:t>ERC</w:t>
      </w:r>
      <w:r>
        <w:t xml:space="preserve"> for </w:t>
      </w:r>
      <w:r w:rsidR="00677CBE">
        <w:t xml:space="preserve">the </w:t>
      </w:r>
      <w:r>
        <w:t>2010</w:t>
      </w:r>
      <w:r w:rsidR="00543ACE">
        <w:t>–</w:t>
      </w:r>
      <w:r>
        <w:t>15 regulatory control period in the RAB as at 1 July 2010. The AER in its previous determination added these costs as</w:t>
      </w:r>
      <w:r w:rsidR="0063197C">
        <w:t xml:space="preserve"> a</w:t>
      </w:r>
      <w:r>
        <w:t xml:space="preserve"> capex</w:t>
      </w:r>
      <w:r w:rsidR="0063197C">
        <w:t xml:space="preserve"> input</w:t>
      </w:r>
      <w:r>
        <w:t xml:space="preserve"> during the 2010</w:t>
      </w:r>
      <w:r w:rsidR="0063197C">
        <w:t>–</w:t>
      </w:r>
      <w:r>
        <w:t>11 year</w:t>
      </w:r>
      <w:r w:rsidR="0063197C">
        <w:t xml:space="preserve"> for amortisation purposes</w:t>
      </w:r>
      <w:r>
        <w:t xml:space="preserve">. We have accordingly adjusted </w:t>
      </w:r>
      <w:r w:rsidR="00677CBE">
        <w:t xml:space="preserve">Ergon Energy's </w:t>
      </w:r>
      <w:r w:rsidR="0063197C">
        <w:t xml:space="preserve">proposed </w:t>
      </w:r>
      <w:r w:rsidR="00677CBE">
        <w:t xml:space="preserve">RFM to be consistent with the previous determination. That is, the ERC </w:t>
      </w:r>
      <w:r w:rsidR="0063197C">
        <w:t xml:space="preserve">amount </w:t>
      </w:r>
      <w:r w:rsidR="005271A1">
        <w:t xml:space="preserve">is included in </w:t>
      </w:r>
      <w:r w:rsidR="00677CBE">
        <w:t>the RAB one year later than Ergon Energy proposed.</w:t>
      </w:r>
    </w:p>
    <w:p w:rsidR="003A77F4" w:rsidRDefault="003A77F4" w:rsidP="00A9408C">
      <w:pPr>
        <w:pStyle w:val="HeadingBoldBlue"/>
      </w:pPr>
      <w:bookmarkStart w:id="36" w:name="_Toc413831074"/>
      <w:r>
        <w:t>Hayman Island cable</w:t>
      </w:r>
      <w:bookmarkEnd w:id="36"/>
      <w:r>
        <w:t xml:space="preserve"> </w:t>
      </w:r>
    </w:p>
    <w:p w:rsidR="0063197C" w:rsidRDefault="0063197C" w:rsidP="0063197C">
      <w:r>
        <w:t>We do not accept the inclusion of the Hayman Island undersea cable in the RAB. Ergon Energy included in its proposed opening RAB assets for the Hayman Island cable as providing SCS from 1 July 2015. This cable was unregulated during the 2010–15 regulatory control period. This is a classification matter that is discussed in attachment 13.  For the reasons set out in that attachment, we have not included the $7.3 million for these assets to the opening RAB as at 1 July 2015 as Ergon Energy proposed.</w:t>
      </w:r>
    </w:p>
    <w:p w:rsidR="00A148CC" w:rsidRDefault="00A148CC" w:rsidP="00A9408C">
      <w:pPr>
        <w:pStyle w:val="HeadingBoldBlue"/>
      </w:pPr>
      <w:bookmarkStart w:id="37" w:name="_Toc413831075"/>
      <w:r>
        <w:t xml:space="preserve">Separation of </w:t>
      </w:r>
      <w:r w:rsidR="0064050F">
        <w:t>alternative control services</w:t>
      </w:r>
      <w:r w:rsidR="00586AD0">
        <w:t xml:space="preserve"> </w:t>
      </w:r>
      <w:r>
        <w:t xml:space="preserve">and </w:t>
      </w:r>
      <w:r w:rsidR="00502CA7">
        <w:t>unregulated</w:t>
      </w:r>
      <w:r>
        <w:t xml:space="preserve"> assets</w:t>
      </w:r>
      <w:bookmarkEnd w:id="37"/>
    </w:p>
    <w:p w:rsidR="00052930" w:rsidRDefault="00052930" w:rsidP="00DB5074">
      <w:r>
        <w:t xml:space="preserve">We do not accept the inclusion of shared assets in the RAB for SCS that also provide ACS. </w:t>
      </w:r>
    </w:p>
    <w:p w:rsidR="0071160E" w:rsidRDefault="003A77F4" w:rsidP="00DB5074">
      <w:r>
        <w:t>Ergon Energy</w:t>
      </w:r>
      <w:r w:rsidR="007F4086">
        <w:t>'s proposal</w:t>
      </w:r>
      <w:r>
        <w:t xml:space="preserve"> removed meters from its </w:t>
      </w:r>
      <w:r w:rsidR="007F4086">
        <w:t>opening RAB</w:t>
      </w:r>
      <w:r>
        <w:t xml:space="preserve"> as at 1 July 2015</w:t>
      </w:r>
      <w:r w:rsidR="0071160E">
        <w:t>. However, given the error in remaining asset lives noted above, there is a small change to the amount removed from the RAB for meters. We have removed 61 per</w:t>
      </w:r>
      <w:r w:rsidR="006C46D3">
        <w:t xml:space="preserve"> </w:t>
      </w:r>
      <w:r w:rsidR="0071160E">
        <w:t>cent of the metering asset class in the draft decision RFM consistent with the proportion proposed by Ergon Energy.</w:t>
      </w:r>
    </w:p>
    <w:p w:rsidR="00D820DA" w:rsidRDefault="0071160E" w:rsidP="00DB5074">
      <w:r>
        <w:t>Ergon Energy</w:t>
      </w:r>
      <w:r w:rsidR="003A77F4">
        <w:t xml:space="preserve"> did not remove other </w:t>
      </w:r>
      <w:r w:rsidR="00D820DA">
        <w:t xml:space="preserve">shared </w:t>
      </w:r>
      <w:r w:rsidR="003A77F4">
        <w:t>assets</w:t>
      </w:r>
      <w:r w:rsidR="00D820DA">
        <w:t xml:space="preserve"> providing ACS or unregulated services. </w:t>
      </w:r>
      <w:r w:rsidR="00466E63">
        <w:t>L</w:t>
      </w:r>
      <w:r w:rsidR="00D820DA">
        <w:t>ike all other ACS assets such as meters</w:t>
      </w:r>
      <w:r w:rsidR="006C46D3">
        <w:t>,</w:t>
      </w:r>
      <w:r w:rsidR="00D820DA">
        <w:t xml:space="preserve"> the proportion </w:t>
      </w:r>
      <w:r w:rsidR="00052930">
        <w:t xml:space="preserve">of assets </w:t>
      </w:r>
      <w:r w:rsidR="00D820DA">
        <w:t xml:space="preserve">used for </w:t>
      </w:r>
      <w:r w:rsidR="003C0769">
        <w:t>ACS should be separated</w:t>
      </w:r>
      <w:r w:rsidR="00052930">
        <w:t xml:space="preserve"> from the RAB for SCS</w:t>
      </w:r>
      <w:r w:rsidR="003C0769">
        <w:t xml:space="preserve">. In response to </w:t>
      </w:r>
      <w:r w:rsidR="00052930">
        <w:t>our</w:t>
      </w:r>
      <w:r w:rsidR="003C0769">
        <w:t xml:space="preserve"> question</w:t>
      </w:r>
      <w:r w:rsidR="00052930">
        <w:t>s</w:t>
      </w:r>
      <w:r w:rsidR="003C0769">
        <w:t xml:space="preserve"> Ergon Energy identified $13.9 million of </w:t>
      </w:r>
      <w:r w:rsidR="00052930">
        <w:t>assets</w:t>
      </w:r>
      <w:r w:rsidR="003C0769">
        <w:t xml:space="preserve"> as the </w:t>
      </w:r>
      <w:r w:rsidR="00052930">
        <w:t>value</w:t>
      </w:r>
      <w:r w:rsidR="003C0769">
        <w:t xml:space="preserve"> that </w:t>
      </w:r>
      <w:r w:rsidR="00052930">
        <w:t xml:space="preserve">is </w:t>
      </w:r>
      <w:r w:rsidR="003C0769">
        <w:t>used for ACS.</w:t>
      </w:r>
      <w:r w:rsidR="00586AD0">
        <w:rPr>
          <w:rStyle w:val="FootnoteReference"/>
        </w:rPr>
        <w:footnoteReference w:id="48"/>
      </w:r>
      <w:r w:rsidR="003C0769">
        <w:t xml:space="preserve"> This amount has therefore been removed from the RAB as at 1 July 2015. The proportion of </w:t>
      </w:r>
      <w:r w:rsidR="003C0769">
        <w:lastRenderedPageBreak/>
        <w:t xml:space="preserve">the </w:t>
      </w:r>
      <w:r w:rsidR="00052930">
        <w:t xml:space="preserve">proposed </w:t>
      </w:r>
      <w:r w:rsidR="003C0769">
        <w:t xml:space="preserve">revenue adjustment for shared assets that applies to these assets has also been removed </w:t>
      </w:r>
      <w:r w:rsidR="006C46D3">
        <w:t>(</w:t>
      </w:r>
      <w:r w:rsidR="003C0769">
        <w:t>see attachment 1</w:t>
      </w:r>
      <w:r w:rsidR="006C46D3">
        <w:t>)</w:t>
      </w:r>
      <w:r w:rsidR="003C0769">
        <w:t>.</w:t>
      </w:r>
    </w:p>
    <w:p w:rsidR="003C0769" w:rsidRDefault="003C0769" w:rsidP="00DB5074">
      <w:r>
        <w:t>We have not removed the proportion of shared assets used for other unregulated activities (such as retail services</w:t>
      </w:r>
      <w:r w:rsidR="005952F2">
        <w:rPr>
          <w:rStyle w:val="FootnoteReference"/>
        </w:rPr>
        <w:footnoteReference w:id="49"/>
      </w:r>
      <w:r>
        <w:t>). Instead, these remain in the RAB but a revenue adjustment consistent with the shared asset guideline has been applied</w:t>
      </w:r>
      <w:r w:rsidR="00586AD0">
        <w:t xml:space="preserve">, rather than a continuation of the Queensland Competition </w:t>
      </w:r>
      <w:r w:rsidR="006C46D3">
        <w:t xml:space="preserve">Authority’s </w:t>
      </w:r>
      <w:r w:rsidR="00586AD0">
        <w:t>previous approach</w:t>
      </w:r>
      <w:r>
        <w:t xml:space="preserve"> </w:t>
      </w:r>
      <w:r w:rsidR="006C46D3">
        <w:t>(</w:t>
      </w:r>
      <w:r>
        <w:t>see attachment 1</w:t>
      </w:r>
      <w:r w:rsidR="006C46D3">
        <w:t>)</w:t>
      </w:r>
      <w:r>
        <w:t>.</w:t>
      </w:r>
    </w:p>
    <w:p w:rsidR="00A148CC" w:rsidRPr="00A148CC" w:rsidRDefault="00A148CC" w:rsidP="00A148CC">
      <w:pPr>
        <w:pStyle w:val="Heading3"/>
      </w:pPr>
      <w:bookmarkStart w:id="38" w:name="_Toc413831076"/>
      <w:r w:rsidRPr="00A148CC">
        <w:t>Forecast closing RAB as at 30 June 2020</w:t>
      </w:r>
      <w:bookmarkEnd w:id="38"/>
    </w:p>
    <w:p w:rsidR="00A148CC" w:rsidRDefault="00A148CC" w:rsidP="00A148CC">
      <w:pPr>
        <w:rPr>
          <w:rStyle w:val="AERbody"/>
        </w:rPr>
      </w:pPr>
      <w:r w:rsidRPr="00B123EB">
        <w:rPr>
          <w:rStyle w:val="AERbody"/>
        </w:rPr>
        <w:t>We forecast a closing RAB value of $</w:t>
      </w:r>
      <w:r w:rsidR="00D904FE">
        <w:rPr>
          <w:rStyle w:val="AERbody"/>
        </w:rPr>
        <w:t>11 773.7</w:t>
      </w:r>
      <w:r w:rsidRPr="00B123EB">
        <w:rPr>
          <w:rStyle w:val="AERbody"/>
        </w:rPr>
        <w:t xml:space="preserve"> million </w:t>
      </w:r>
      <w:r w:rsidR="00D904FE">
        <w:rPr>
          <w:rStyle w:val="AERbody"/>
        </w:rPr>
        <w:t xml:space="preserve">($ nominal) </w:t>
      </w:r>
      <w:r w:rsidRPr="00B123EB">
        <w:rPr>
          <w:rStyle w:val="AERbody"/>
        </w:rPr>
        <w:t xml:space="preserve">by 30 June 2020 for </w:t>
      </w:r>
      <w:r w:rsidR="00B123EB" w:rsidRPr="00B123EB">
        <w:rPr>
          <w:rStyle w:val="AERbody"/>
        </w:rPr>
        <w:t>Ergon Energy</w:t>
      </w:r>
      <w:r w:rsidRPr="00B123EB">
        <w:rPr>
          <w:rStyle w:val="AERbody"/>
        </w:rPr>
        <w:t xml:space="preserve">. This represents a reduction of </w:t>
      </w:r>
      <w:r w:rsidR="00D904FE">
        <w:rPr>
          <w:rStyle w:val="AERbody"/>
        </w:rPr>
        <w:t>1093.3</w:t>
      </w:r>
      <w:r w:rsidRPr="00B123EB">
        <w:rPr>
          <w:rStyle w:val="AERbody"/>
        </w:rPr>
        <w:t xml:space="preserve"> million, or </w:t>
      </w:r>
      <w:r w:rsidR="00D904FE">
        <w:rPr>
          <w:rStyle w:val="AERbody"/>
        </w:rPr>
        <w:t>8.5</w:t>
      </w:r>
      <w:r w:rsidRPr="00B123EB">
        <w:rPr>
          <w:rStyle w:val="AERbody"/>
        </w:rPr>
        <w:t xml:space="preserve"> per cent to </w:t>
      </w:r>
      <w:r w:rsidR="00B123EB" w:rsidRPr="00B123EB">
        <w:rPr>
          <w:rStyle w:val="AERbody"/>
        </w:rPr>
        <w:t>Ergon Energy's</w:t>
      </w:r>
      <w:r w:rsidRPr="00B123EB">
        <w:rPr>
          <w:rStyle w:val="AERbody"/>
        </w:rPr>
        <w:t xml:space="preserve"> proposal. This reduction reflects our preliminary decision on the required inputs for determining the forecast RAB in the PTRM. To determine the forecast RAB value, we amended the following PTRM inputs:</w:t>
      </w:r>
    </w:p>
    <w:p w:rsidR="003B49C0" w:rsidRPr="00B123EB" w:rsidRDefault="003B49C0" w:rsidP="003B49C0">
      <w:pPr>
        <w:pStyle w:val="AERbulletlistfirststyle"/>
        <w:rPr>
          <w:rStyle w:val="AERbody"/>
        </w:rPr>
      </w:pPr>
      <w:r>
        <w:rPr>
          <w:rStyle w:val="AERbody"/>
        </w:rPr>
        <w:t>We adjusted the opening RAB at 1 July 2015</w:t>
      </w:r>
      <w:r w:rsidR="007F4086">
        <w:rPr>
          <w:rStyle w:val="AERbody"/>
        </w:rPr>
        <w:t>,</w:t>
      </w:r>
      <w:r>
        <w:rPr>
          <w:rStyle w:val="AERbody"/>
        </w:rPr>
        <w:t xml:space="preserve"> as d</w:t>
      </w:r>
      <w:r w:rsidR="00A2751B">
        <w:rPr>
          <w:rStyle w:val="AERbody"/>
        </w:rPr>
        <w:t>iscussed in s</w:t>
      </w:r>
      <w:r>
        <w:rPr>
          <w:rStyle w:val="AERbody"/>
        </w:rPr>
        <w:t>e</w:t>
      </w:r>
      <w:r w:rsidR="00A2751B">
        <w:rPr>
          <w:rStyle w:val="AERbody"/>
        </w:rPr>
        <w:t xml:space="preserve">ction </w:t>
      </w:r>
      <w:r w:rsidR="00A2751B">
        <w:rPr>
          <w:rStyle w:val="AERbody"/>
        </w:rPr>
        <w:fldChar w:fldCharType="begin"/>
      </w:r>
      <w:r w:rsidR="00A2751B">
        <w:rPr>
          <w:rStyle w:val="AERbody"/>
        </w:rPr>
        <w:instrText xml:space="preserve"> REF _Ref413830739 \r \h </w:instrText>
      </w:r>
      <w:r w:rsidR="00A2751B">
        <w:rPr>
          <w:rStyle w:val="AERbody"/>
        </w:rPr>
      </w:r>
      <w:r w:rsidR="00A2751B">
        <w:rPr>
          <w:rStyle w:val="AERbody"/>
        </w:rPr>
        <w:fldChar w:fldCharType="separate"/>
      </w:r>
      <w:r w:rsidR="00D904FE">
        <w:rPr>
          <w:rStyle w:val="AERbody"/>
        </w:rPr>
        <w:t>2.4.1</w:t>
      </w:r>
      <w:r w:rsidR="00A2751B">
        <w:rPr>
          <w:rStyle w:val="AERbody"/>
        </w:rPr>
        <w:fldChar w:fldCharType="end"/>
      </w:r>
      <w:r>
        <w:rPr>
          <w:rStyle w:val="AERbody"/>
        </w:rPr>
        <w:t>.</w:t>
      </w:r>
    </w:p>
    <w:p w:rsidR="00A148CC" w:rsidRPr="00B123EB" w:rsidRDefault="00A148CC" w:rsidP="00A148CC">
      <w:pPr>
        <w:pStyle w:val="AERbulletlistfirststyle"/>
        <w:rPr>
          <w:rStyle w:val="AERbody"/>
        </w:rPr>
      </w:pPr>
      <w:r w:rsidRPr="00B123EB">
        <w:rPr>
          <w:rStyle w:val="AERbody"/>
        </w:rPr>
        <w:t xml:space="preserve">We reduced </w:t>
      </w:r>
      <w:r w:rsidR="00B123EB">
        <w:rPr>
          <w:rStyle w:val="AERbody"/>
        </w:rPr>
        <w:t>the</w:t>
      </w:r>
      <w:r w:rsidRPr="00B123EB">
        <w:rPr>
          <w:rStyle w:val="AERbody"/>
        </w:rPr>
        <w:t xml:space="preserve"> </w:t>
      </w:r>
      <w:r w:rsidR="007F4086">
        <w:rPr>
          <w:rStyle w:val="AERbody"/>
        </w:rPr>
        <w:t xml:space="preserve">proposed </w:t>
      </w:r>
      <w:r w:rsidRPr="00B123EB">
        <w:rPr>
          <w:rStyle w:val="AERbody"/>
        </w:rPr>
        <w:t>forecast capex</w:t>
      </w:r>
      <w:r w:rsidR="00B123EB">
        <w:rPr>
          <w:rStyle w:val="AERbody"/>
        </w:rPr>
        <w:t xml:space="preserve"> </w:t>
      </w:r>
      <w:r w:rsidRPr="00B123EB">
        <w:rPr>
          <w:rStyle w:val="AERbody"/>
        </w:rPr>
        <w:t xml:space="preserve">for the 2015–20 </w:t>
      </w:r>
      <w:r w:rsidR="00B123EB">
        <w:rPr>
          <w:rStyle w:val="AERbody"/>
        </w:rPr>
        <w:t xml:space="preserve">regulatory control </w:t>
      </w:r>
      <w:proofErr w:type="gramStart"/>
      <w:r w:rsidRPr="00B123EB">
        <w:rPr>
          <w:rStyle w:val="AERbody"/>
        </w:rPr>
        <w:t>period</w:t>
      </w:r>
      <w:proofErr w:type="gramEnd"/>
      <w:r w:rsidRPr="00B123EB">
        <w:rPr>
          <w:rStyle w:val="AERbody"/>
        </w:rPr>
        <w:t xml:space="preserve"> by $</w:t>
      </w:r>
      <w:r w:rsidR="00D904FE">
        <w:rPr>
          <w:rStyle w:val="AERbody"/>
        </w:rPr>
        <w:t>228.3</w:t>
      </w:r>
      <w:r w:rsidRPr="00B123EB">
        <w:rPr>
          <w:rStyle w:val="AERbody"/>
        </w:rPr>
        <w:t xml:space="preserve"> million or </w:t>
      </w:r>
      <w:r w:rsidR="00D904FE">
        <w:rPr>
          <w:rStyle w:val="AERbody"/>
        </w:rPr>
        <w:t>29.1</w:t>
      </w:r>
      <w:r w:rsidRPr="00B123EB">
        <w:rPr>
          <w:rStyle w:val="AERbody"/>
        </w:rPr>
        <w:t xml:space="preserve"> per cent (attachment 6).</w:t>
      </w:r>
    </w:p>
    <w:p w:rsidR="00CB0279" w:rsidRPr="00B123EB" w:rsidRDefault="00A148CC" w:rsidP="00290C63">
      <w:pPr>
        <w:pStyle w:val="AERbulletlistfirststyle"/>
        <w:rPr>
          <w:rStyle w:val="AERbody"/>
        </w:rPr>
      </w:pPr>
      <w:r w:rsidRPr="00B123EB">
        <w:rPr>
          <w:rStyle w:val="AERbody"/>
        </w:rPr>
        <w:t xml:space="preserve">We reduced </w:t>
      </w:r>
      <w:r w:rsidR="00B123EB">
        <w:rPr>
          <w:rStyle w:val="AERbody"/>
        </w:rPr>
        <w:t>the</w:t>
      </w:r>
      <w:r w:rsidR="007F4086">
        <w:rPr>
          <w:rStyle w:val="AERbody"/>
        </w:rPr>
        <w:t xml:space="preserve"> proposed</w:t>
      </w:r>
      <w:r w:rsidRPr="00B123EB">
        <w:rPr>
          <w:rStyle w:val="AERbody"/>
        </w:rPr>
        <w:t xml:space="preserve"> forecast regulatory depreciation by $</w:t>
      </w:r>
      <w:r w:rsidR="00D904FE">
        <w:rPr>
          <w:rStyle w:val="AERbody"/>
        </w:rPr>
        <w:t>249.3</w:t>
      </w:r>
      <w:r w:rsidRPr="00B123EB">
        <w:rPr>
          <w:rStyle w:val="AERbody"/>
        </w:rPr>
        <w:t xml:space="preserve"> million or </w:t>
      </w:r>
      <w:r w:rsidR="00D904FE">
        <w:rPr>
          <w:rStyle w:val="AERbody"/>
        </w:rPr>
        <w:t>27.6</w:t>
      </w:r>
      <w:r w:rsidRPr="00B123EB">
        <w:rPr>
          <w:rStyle w:val="AERbody"/>
        </w:rPr>
        <w:t xml:space="preserve"> per cent (attachment 5).</w:t>
      </w:r>
    </w:p>
    <w:p w:rsidR="006B131F" w:rsidRPr="000D005A" w:rsidRDefault="006B131F" w:rsidP="006B131F">
      <w:pPr>
        <w:pStyle w:val="Heading3"/>
      </w:pPr>
      <w:bookmarkStart w:id="39" w:name="_Toc404276964"/>
      <w:bookmarkStart w:id="40" w:name="_Toc413830947"/>
      <w:bookmarkStart w:id="41" w:name="_Toc413831077"/>
      <w:r w:rsidRPr="000D005A">
        <w:t>Application of depreciation approach in RAB roll forward for next reset</w:t>
      </w:r>
      <w:bookmarkEnd w:id="39"/>
      <w:bookmarkEnd w:id="40"/>
      <w:bookmarkEnd w:id="41"/>
    </w:p>
    <w:p w:rsidR="00E77475" w:rsidRDefault="00E77475" w:rsidP="00F51C77">
      <w:r>
        <w:t xml:space="preserve">Ergon Energy did not propose </w:t>
      </w:r>
      <w:r w:rsidRPr="00E77475">
        <w:t>a</w:t>
      </w:r>
      <w:r>
        <w:t xml:space="preserve"> depreciation approach to roll forward the RAB for the </w:t>
      </w:r>
      <w:r w:rsidR="007F4086">
        <w:t xml:space="preserve">commencement of its </w:t>
      </w:r>
      <w:r>
        <w:t>20</w:t>
      </w:r>
      <w:r w:rsidR="007F4086">
        <w:t>20–25</w:t>
      </w:r>
      <w:r>
        <w:t xml:space="preserve"> regulatory control period. </w:t>
      </w:r>
    </w:p>
    <w:p w:rsidR="00F51C77" w:rsidRPr="00F51C77" w:rsidRDefault="00E77475" w:rsidP="00A9408C">
      <w:pPr>
        <w:numPr>
          <w:ilvl w:val="0"/>
          <w:numId w:val="25"/>
        </w:numPr>
      </w:pPr>
      <w:r>
        <w:t xml:space="preserve">We consider that </w:t>
      </w:r>
      <w:r w:rsidR="007F4086">
        <w:t xml:space="preserve">the </w:t>
      </w:r>
      <w:r>
        <w:t xml:space="preserve">depreciation approach based on forecast capex (updated for actual inflation) should be used. This approach was signalled in the </w:t>
      </w:r>
      <w:r w:rsidRPr="00E77475">
        <w:t>AER's framework and approach</w:t>
      </w:r>
      <w:r>
        <w:t>.</w:t>
      </w:r>
      <w:r w:rsidR="00763336">
        <w:rPr>
          <w:rStyle w:val="FootnoteReference"/>
        </w:rPr>
        <w:footnoteReference w:id="50"/>
      </w:r>
      <w:r w:rsidRPr="00E77475">
        <w:t xml:space="preserve"> </w:t>
      </w:r>
      <w:r w:rsidR="003571B7">
        <w:t xml:space="preserve">As discussed in attachment 10, </w:t>
      </w:r>
      <w:r w:rsidR="003571B7" w:rsidRPr="00E77475">
        <w:t xml:space="preserve">Ergon Energy is not currently subject to a capital expenditure sharing scheme but we will apply the CESS to Ergon Energy over the 2015–20 regulatory control period. </w:t>
      </w:r>
      <w:r w:rsidRPr="00E77475">
        <w:t xml:space="preserve">We consider this </w:t>
      </w:r>
      <w:r w:rsidR="003571B7">
        <w:t>scheme</w:t>
      </w:r>
      <w:r w:rsidRPr="00E77475">
        <w:t xml:space="preserve"> will provide sufficient incentives for Ergon Energy to achieve capex efficiency gains over th</w:t>
      </w:r>
      <w:r w:rsidR="006E198E">
        <w:t>at</w:t>
      </w:r>
      <w:r w:rsidRPr="00E77475">
        <w:t xml:space="preserve"> period. </w:t>
      </w:r>
      <w:r w:rsidR="006E198E" w:rsidRPr="00604A5F">
        <w:t xml:space="preserve">We </w:t>
      </w:r>
      <w:r w:rsidR="006E198E">
        <w:t>are satisfied that</w:t>
      </w:r>
      <w:r w:rsidR="006E198E" w:rsidRPr="00604A5F">
        <w:t xml:space="preserve"> the use of a forecast depreciation approach in combination with the application of the CESS and our other ex post capex measures are sufficient to achieve the capex incentive objective.</w:t>
      </w:r>
      <w:r w:rsidR="006E198E" w:rsidRPr="00604A5F">
        <w:rPr>
          <w:rStyle w:val="FootnoteReference"/>
        </w:rPr>
        <w:t xml:space="preserve"> </w:t>
      </w:r>
      <w:r w:rsidR="006E198E" w:rsidRPr="00604A5F">
        <w:rPr>
          <w:rStyle w:val="FootnoteReference"/>
        </w:rPr>
        <w:footnoteReference w:id="51"/>
      </w:r>
    </w:p>
    <w:sectPr w:rsidR="00F51C77" w:rsidRPr="00F51C77"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4FE" w:rsidRPr="00290C63" w:rsidRDefault="00D904FE" w:rsidP="00290C63">
      <w:r>
        <w:separator/>
      </w:r>
    </w:p>
    <w:p w:rsidR="00D904FE" w:rsidRDefault="00D904FE"/>
  </w:endnote>
  <w:endnote w:type="continuationSeparator" w:id="0">
    <w:p w:rsidR="00D904FE" w:rsidRPr="00290C63" w:rsidRDefault="00D904FE" w:rsidP="00290C63">
      <w:r>
        <w:continuationSeparator/>
      </w:r>
    </w:p>
    <w:p w:rsidR="00D904FE" w:rsidRDefault="00D90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FE" w:rsidRPr="00290C63" w:rsidRDefault="00D904F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904FE" w:rsidRDefault="00D904FE"/>
  <w:p w:rsidR="00D904FE" w:rsidRDefault="00D904FE"/>
  <w:p w:rsidR="00D904FE" w:rsidRDefault="00D904FE"/>
  <w:p w:rsidR="00D904FE" w:rsidRDefault="00D904FE"/>
  <w:p w:rsidR="00D904FE" w:rsidRDefault="00D904FE"/>
  <w:p w:rsidR="00D904FE" w:rsidRDefault="00D904FE"/>
  <w:p w:rsidR="00D904FE" w:rsidRDefault="00D904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904FE" w:rsidRDefault="00D904FE">
        <w:pPr>
          <w:pStyle w:val="Footer"/>
        </w:pPr>
        <w:r>
          <w:t>2-</w:t>
        </w:r>
        <w:r>
          <w:fldChar w:fldCharType="begin"/>
        </w:r>
        <w:r>
          <w:instrText xml:space="preserve"> PAGE   \* MERGEFORMAT </w:instrText>
        </w:r>
        <w:r>
          <w:fldChar w:fldCharType="separate"/>
        </w:r>
        <w:r w:rsidR="00146416">
          <w:rPr>
            <w:noProof/>
          </w:rPr>
          <w:t>16</w:t>
        </w:r>
        <w:r>
          <w:rPr>
            <w:noProof/>
          </w:rPr>
          <w:fldChar w:fldCharType="end"/>
        </w:r>
        <w:r>
          <w:rPr>
            <w:noProof/>
          </w:rPr>
          <w:t xml:space="preserve">      </w:t>
        </w:r>
        <w:r>
          <w:t xml:space="preserve">           </w:t>
        </w:r>
        <w:r>
          <w:rPr>
            <w:noProof/>
          </w:rPr>
          <w:t xml:space="preserve">  </w:t>
        </w:r>
        <w:r>
          <w:t xml:space="preserve">                   </w:t>
        </w:r>
        <w:r>
          <w:rPr>
            <w:noProof/>
          </w:rPr>
          <w:t xml:space="preserve">Attachment </w:t>
        </w:r>
        <w:r>
          <w:t>2</w:t>
        </w:r>
        <w:r>
          <w:rPr>
            <w:noProof/>
          </w:rPr>
          <w:t xml:space="preserve"> </w:t>
        </w:r>
        <w:r>
          <w:rPr>
            <w:rFonts w:cs="Gautami"/>
            <w:noProof/>
          </w:rPr>
          <w:t xml:space="preserve">– </w:t>
        </w:r>
        <w:r>
          <w:t>Regulatory asset base</w:t>
        </w:r>
        <w:r>
          <w:rPr>
            <w:rFonts w:cs="Gautami"/>
            <w:noProof/>
          </w:rPr>
          <w:t xml:space="preserve"> | </w:t>
        </w:r>
        <w:r>
          <w:t>Ergon Energy</w:t>
        </w:r>
        <w:r>
          <w:rPr>
            <w:rFonts w:cs="Gautami"/>
            <w:noProof/>
          </w:rPr>
          <w:t xml:space="preserve"> determination 2015–20</w:t>
        </w:r>
      </w:p>
    </w:sdtContent>
  </w:sdt>
  <w:p w:rsidR="00D904FE" w:rsidRDefault="00D904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FE" w:rsidRPr="00290C63" w:rsidRDefault="00D904F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904FE" w:rsidRDefault="00D904FE">
    <w:pPr>
      <w:pStyle w:val="Footer"/>
    </w:pPr>
  </w:p>
  <w:p w:rsidR="00D904FE" w:rsidRDefault="00D904FE"/>
  <w:p w:rsidR="00D904FE" w:rsidRDefault="00D904FE"/>
  <w:p w:rsidR="00D904FE" w:rsidRDefault="00D904FE"/>
  <w:p w:rsidR="00D904FE" w:rsidRDefault="00D904FE"/>
  <w:p w:rsidR="00D904FE" w:rsidRDefault="00D904FE"/>
  <w:p w:rsidR="00D904FE" w:rsidRDefault="00D904FE"/>
  <w:p w:rsidR="00D904FE" w:rsidRDefault="00D904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4FE" w:rsidRPr="00290C63" w:rsidRDefault="00D904FE" w:rsidP="00290C63">
      <w:r>
        <w:separator/>
      </w:r>
    </w:p>
    <w:p w:rsidR="00D904FE" w:rsidRDefault="00D904FE"/>
  </w:footnote>
  <w:footnote w:type="continuationSeparator" w:id="0">
    <w:p w:rsidR="00D904FE" w:rsidRPr="00290C63" w:rsidRDefault="00D904FE" w:rsidP="00290C63">
      <w:r>
        <w:continuationSeparator/>
      </w:r>
    </w:p>
    <w:p w:rsidR="00D904FE" w:rsidRDefault="00D904FE"/>
  </w:footnote>
  <w:footnote w:id="1">
    <w:p w:rsidR="00D904FE" w:rsidRDefault="00D904FE" w:rsidP="000D3764">
      <w:pPr>
        <w:pStyle w:val="FootnoteText"/>
      </w:pPr>
      <w:r>
        <w:rPr>
          <w:rStyle w:val="FootnoteReference"/>
        </w:rPr>
        <w:footnoteRef/>
      </w:r>
      <w:r>
        <w:t xml:space="preserve"> </w:t>
      </w:r>
      <w:r>
        <w:tab/>
      </w:r>
      <w:r w:rsidRPr="003540A6">
        <w:t xml:space="preserve">NER, </w:t>
      </w:r>
      <w:r>
        <w:t>cl</w:t>
      </w:r>
      <w:r w:rsidRPr="003540A6">
        <w:t xml:space="preserve"> 6.12.1(6).</w:t>
      </w:r>
    </w:p>
  </w:footnote>
  <w:footnote w:id="2">
    <w:p w:rsidR="00D904FE" w:rsidRDefault="00D904FE" w:rsidP="000D3764">
      <w:pPr>
        <w:pStyle w:val="FootnoteText"/>
      </w:pPr>
      <w:r>
        <w:rPr>
          <w:rStyle w:val="FootnoteReference"/>
        </w:rPr>
        <w:footnoteRef/>
      </w:r>
      <w:r>
        <w:t xml:space="preserve"> </w:t>
      </w:r>
      <w:r>
        <w:tab/>
      </w:r>
      <w:r w:rsidRPr="003B49C0">
        <w:t xml:space="preserve">Ergon Energy, </w:t>
      </w:r>
      <w:r w:rsidRPr="003B49C0">
        <w:rPr>
          <w:rStyle w:val="AERtextitalic"/>
        </w:rPr>
        <w:t xml:space="preserve">Regulatory proposal 03.01.01, </w:t>
      </w:r>
      <w:r w:rsidRPr="003B49C0">
        <w:t>October 2014, p.</w:t>
      </w:r>
      <w:r>
        <w:t xml:space="preserve"> </w:t>
      </w:r>
      <w:r w:rsidRPr="003B49C0">
        <w:t>8.</w:t>
      </w:r>
    </w:p>
  </w:footnote>
  <w:footnote w:id="3">
    <w:p w:rsidR="00D904FE" w:rsidRDefault="00D904FE">
      <w:pPr>
        <w:pStyle w:val="FootnoteText"/>
      </w:pPr>
      <w:r>
        <w:rPr>
          <w:rStyle w:val="FootnoteReference"/>
        </w:rPr>
        <w:footnoteRef/>
      </w:r>
      <w:r>
        <w:t xml:space="preserve"> </w:t>
      </w:r>
      <w:r>
        <w:tab/>
        <w:t xml:space="preserve">Consequential impacts of such changes also occur. For example, the adjustments at the end of the period for the difference between forecast and actual capex for 2009–10 was impacted by the error in the timing of equity raising costs. </w:t>
      </w:r>
    </w:p>
  </w:footnote>
  <w:footnote w:id="4">
    <w:p w:rsidR="00D904FE" w:rsidRDefault="00D904FE" w:rsidP="000D3764">
      <w:pPr>
        <w:pStyle w:val="FootnoteText"/>
      </w:pPr>
      <w:r>
        <w:rPr>
          <w:rStyle w:val="FootnoteReference"/>
        </w:rPr>
        <w:footnoteRef/>
      </w:r>
      <w:r>
        <w:t xml:space="preserve"> </w:t>
      </w:r>
      <w:r>
        <w:tab/>
        <w:t>The end of period adjustment will be positive (negative) if actual capex is higher (lower) than the estimate approved at the 2010–15 determination.</w:t>
      </w:r>
    </w:p>
  </w:footnote>
  <w:footnote w:id="5">
    <w:p w:rsidR="00D904FE" w:rsidRDefault="00D904FE" w:rsidP="00206E39">
      <w:pPr>
        <w:pStyle w:val="FootnoteText"/>
      </w:pPr>
      <w:r>
        <w:rPr>
          <w:rStyle w:val="FootnoteReference"/>
        </w:rPr>
        <w:footnoteRef/>
      </w:r>
      <w:r>
        <w:t xml:space="preserve"> </w:t>
      </w:r>
      <w:r>
        <w:tab/>
        <w:t>NER, cl 6.12.1(18).</w:t>
      </w:r>
    </w:p>
  </w:footnote>
  <w:footnote w:id="6">
    <w:p w:rsidR="00D904FE" w:rsidRDefault="00D904FE" w:rsidP="00FD654C">
      <w:pPr>
        <w:pStyle w:val="FootnoteText"/>
      </w:pPr>
      <w:r>
        <w:rPr>
          <w:rStyle w:val="FootnoteReference"/>
        </w:rPr>
        <w:footnoteRef/>
      </w:r>
      <w:r>
        <w:t xml:space="preserve"> </w:t>
      </w:r>
      <w:r>
        <w:tab/>
        <w:t xml:space="preserve">Ergon Energy, </w:t>
      </w:r>
      <w:r w:rsidRPr="00FC0432">
        <w:rPr>
          <w:rStyle w:val="AERtextitalic"/>
        </w:rPr>
        <w:t>Regulatory proposal</w:t>
      </w:r>
      <w:r>
        <w:t>, October 2014, p. 20, Table 3.</w:t>
      </w:r>
    </w:p>
  </w:footnote>
  <w:footnote w:id="7">
    <w:p w:rsidR="00D904FE" w:rsidRDefault="00D904FE" w:rsidP="00FD654C">
      <w:pPr>
        <w:pStyle w:val="FootnoteText"/>
      </w:pPr>
      <w:r>
        <w:rPr>
          <w:rStyle w:val="FootnoteReference"/>
        </w:rPr>
        <w:footnoteRef/>
      </w:r>
      <w:r>
        <w:t xml:space="preserve"> </w:t>
      </w:r>
      <w:r>
        <w:tab/>
        <w:t>NER, cl</w:t>
      </w:r>
      <w:r w:rsidRPr="0075167F">
        <w:t xml:space="preserve"> S6.2.1.</w:t>
      </w:r>
    </w:p>
  </w:footnote>
  <w:footnote w:id="8">
    <w:p w:rsidR="00D904FE" w:rsidRDefault="00D904FE" w:rsidP="00FD654C">
      <w:pPr>
        <w:pStyle w:val="FootnoteText"/>
      </w:pPr>
      <w:r>
        <w:rPr>
          <w:rStyle w:val="FootnoteReference"/>
        </w:rPr>
        <w:footnoteRef/>
      </w:r>
      <w:r>
        <w:t xml:space="preserve"> </w:t>
      </w:r>
      <w:r>
        <w:tab/>
      </w:r>
      <w:r w:rsidRPr="0075167F">
        <w:t>NER, cl 6.5.1.</w:t>
      </w:r>
    </w:p>
  </w:footnote>
  <w:footnote w:id="9">
    <w:p w:rsidR="00D904FE" w:rsidRDefault="00D904FE">
      <w:pPr>
        <w:pStyle w:val="FootnoteText"/>
      </w:pPr>
      <w:r>
        <w:rPr>
          <w:rStyle w:val="FootnoteReference"/>
        </w:rPr>
        <w:footnoteRef/>
      </w:r>
      <w:r>
        <w:t xml:space="preserve"> </w:t>
      </w:r>
      <w:r>
        <w:tab/>
        <w:t>NER, cl S6.1.3(7).</w:t>
      </w:r>
    </w:p>
  </w:footnote>
  <w:footnote w:id="10">
    <w:p w:rsidR="00D904FE" w:rsidRDefault="00D904FE" w:rsidP="00FD654C">
      <w:pPr>
        <w:pStyle w:val="FootnoteText"/>
      </w:pPr>
      <w:r>
        <w:rPr>
          <w:rStyle w:val="FootnoteReference"/>
        </w:rPr>
        <w:footnoteRef/>
      </w:r>
      <w:r>
        <w:t xml:space="preserve"> </w:t>
      </w:r>
      <w:r>
        <w:tab/>
      </w:r>
      <w:r w:rsidRPr="0075167F">
        <w:t>NER, cl 6.5.1(e)(3).</w:t>
      </w:r>
    </w:p>
  </w:footnote>
  <w:footnote w:id="11">
    <w:p w:rsidR="00D904FE" w:rsidRDefault="00D904FE">
      <w:pPr>
        <w:pStyle w:val="FootnoteText"/>
      </w:pPr>
      <w:r>
        <w:rPr>
          <w:rStyle w:val="FootnoteReference"/>
        </w:rPr>
        <w:footnoteRef/>
      </w:r>
      <w:r>
        <w:t xml:space="preserve"> </w:t>
      </w:r>
      <w:r>
        <w:tab/>
        <w:t xml:space="preserve">Capital contributions are not usually included in the RAB. This is a unique situation in Queensland, allowed under transitional rules for the 2010-15 regulatory control </w:t>
      </w:r>
      <w:proofErr w:type="gramStart"/>
      <w:r>
        <w:t>period</w:t>
      </w:r>
      <w:proofErr w:type="gramEnd"/>
      <w:r>
        <w:t>. At this stage the AER does not intend to include capital contributions in the RAB in subsequent regulatory control periods.</w:t>
      </w:r>
    </w:p>
  </w:footnote>
  <w:footnote w:id="12">
    <w:p w:rsidR="00D904FE" w:rsidRDefault="00D904FE" w:rsidP="00FD654C">
      <w:pPr>
        <w:pStyle w:val="FootnoteText"/>
      </w:pPr>
      <w:r>
        <w:rPr>
          <w:rStyle w:val="FootnoteReference"/>
        </w:rPr>
        <w:footnoteRef/>
      </w:r>
      <w:r>
        <w:t xml:space="preserve"> </w:t>
      </w:r>
      <w:r>
        <w:tab/>
      </w:r>
      <w:r w:rsidRPr="0075167F">
        <w:t>NER, cl S6.2.1(e)(4).</w:t>
      </w:r>
    </w:p>
  </w:footnote>
  <w:footnote w:id="13">
    <w:p w:rsidR="00D904FE" w:rsidRDefault="00D904FE" w:rsidP="00FD654C">
      <w:pPr>
        <w:pStyle w:val="FootnoteText"/>
      </w:pPr>
      <w:r>
        <w:rPr>
          <w:rStyle w:val="FootnoteReference"/>
        </w:rPr>
        <w:footnoteRef/>
      </w:r>
      <w:r>
        <w:t xml:space="preserve"> </w:t>
      </w:r>
      <w:r>
        <w:tab/>
        <w:t>NER, cl S6.2.2A.</w:t>
      </w:r>
    </w:p>
  </w:footnote>
  <w:footnote w:id="14">
    <w:p w:rsidR="00D904FE" w:rsidRDefault="00D904FE" w:rsidP="00953101">
      <w:pPr>
        <w:pStyle w:val="FootnoteText"/>
      </w:pPr>
      <w:r>
        <w:rPr>
          <w:rStyle w:val="FootnoteReference"/>
        </w:rPr>
        <w:footnoteRef/>
      </w:r>
      <w:r>
        <w:t xml:space="preserve"> </w:t>
      </w:r>
      <w:r>
        <w:tab/>
        <w:t xml:space="preserve">AER, </w:t>
      </w:r>
      <w:r w:rsidRPr="00454898">
        <w:rPr>
          <w:rStyle w:val="AERtextitalic"/>
        </w:rPr>
        <w:t xml:space="preserve">Capital </w:t>
      </w:r>
      <w:r>
        <w:rPr>
          <w:rStyle w:val="AERtextitalic"/>
        </w:rPr>
        <w:t>e</w:t>
      </w:r>
      <w:r w:rsidRPr="00454898">
        <w:rPr>
          <w:rStyle w:val="AERtextitalic"/>
        </w:rPr>
        <w:t xml:space="preserve">xpenditure </w:t>
      </w:r>
      <w:r>
        <w:rPr>
          <w:rStyle w:val="AERtextitalic"/>
        </w:rPr>
        <w:t>i</w:t>
      </w:r>
      <w:r w:rsidRPr="00454898">
        <w:rPr>
          <w:rStyle w:val="AERtextitalic"/>
        </w:rPr>
        <w:t xml:space="preserve">ncentive </w:t>
      </w:r>
      <w:r>
        <w:rPr>
          <w:rStyle w:val="AERtextitalic"/>
        </w:rPr>
        <w:t>g</w:t>
      </w:r>
      <w:r w:rsidRPr="00454898">
        <w:rPr>
          <w:rStyle w:val="AERtextitalic"/>
        </w:rPr>
        <w:t>uideline</w:t>
      </w:r>
      <w:r>
        <w:t>, November 2013, pp. 12–20.</w:t>
      </w:r>
      <w:r w:rsidRPr="00953101">
        <w:t xml:space="preserve"> </w:t>
      </w:r>
    </w:p>
    <w:p w:rsidR="00D904FE" w:rsidRDefault="00D904FE" w:rsidP="00953101">
      <w:pPr>
        <w:pStyle w:val="FootnoteText"/>
      </w:pPr>
      <w:r>
        <w:tab/>
        <w:t xml:space="preserve">Under the NER, cl S6.2.2A(b), the exclusion of </w:t>
      </w:r>
      <w:r w:rsidRPr="00166EE4">
        <w:t>inefficient</w:t>
      </w:r>
      <w:r>
        <w:t xml:space="preserve"> capex could only come from three areas including overspend in capex , margin paid to third party and capitalisation of opex as defined in cl S6.2.2A (c), (d) and (e) of the NER.</w:t>
      </w:r>
    </w:p>
  </w:footnote>
  <w:footnote w:id="15">
    <w:p w:rsidR="00D904FE" w:rsidRDefault="00D904FE" w:rsidP="00FD654C">
      <w:pPr>
        <w:pStyle w:val="FootnoteText"/>
      </w:pPr>
      <w:r>
        <w:rPr>
          <w:rStyle w:val="FootnoteReference"/>
        </w:rPr>
        <w:footnoteRef/>
      </w:r>
      <w:r>
        <w:t xml:space="preserve"> </w:t>
      </w:r>
      <w:r>
        <w:tab/>
        <w:t>NER, cls 11.60.5 and 11.62.</w:t>
      </w:r>
    </w:p>
  </w:footnote>
  <w:footnote w:id="16">
    <w:p w:rsidR="00D904FE" w:rsidRDefault="00D904FE" w:rsidP="00FD654C">
      <w:pPr>
        <w:pStyle w:val="FootnoteText"/>
      </w:pPr>
      <w:r>
        <w:rPr>
          <w:rStyle w:val="FootnoteReference"/>
        </w:rPr>
        <w:footnoteRef/>
      </w:r>
      <w:r>
        <w:t xml:space="preserve"> </w:t>
      </w:r>
      <w:r>
        <w:tab/>
      </w:r>
      <w:r w:rsidRPr="00850BFE">
        <w:t>NER, cl S6.2.1(e)(5).</w:t>
      </w:r>
    </w:p>
  </w:footnote>
  <w:footnote w:id="17">
    <w:p w:rsidR="00D904FE" w:rsidRDefault="00D904FE" w:rsidP="00FD654C">
      <w:pPr>
        <w:pStyle w:val="FootnoteText"/>
      </w:pPr>
      <w:r>
        <w:rPr>
          <w:rStyle w:val="FootnoteReference"/>
        </w:rPr>
        <w:footnoteRef/>
      </w:r>
      <w:r>
        <w:t xml:space="preserve"> </w:t>
      </w:r>
      <w:r>
        <w:tab/>
        <w:t>NER, cl 6.12.1(18).</w:t>
      </w:r>
    </w:p>
  </w:footnote>
  <w:footnote w:id="18">
    <w:p w:rsidR="00D904FE" w:rsidRDefault="00D904FE" w:rsidP="00FD654C">
      <w:pPr>
        <w:pStyle w:val="FootnoteText"/>
      </w:pPr>
      <w:r>
        <w:rPr>
          <w:rStyle w:val="FootnoteReference"/>
        </w:rPr>
        <w:footnoteRef/>
      </w:r>
      <w:r>
        <w:t xml:space="preserve"> </w:t>
      </w:r>
      <w:r>
        <w:tab/>
      </w:r>
      <w:r w:rsidRPr="006B735D">
        <w:t>The use of actual depreciation is consistent with the depreciation approach established in the 20</w:t>
      </w:r>
      <w:r>
        <w:t>10</w:t>
      </w:r>
      <w:r w:rsidRPr="006B735D">
        <w:t xml:space="preserve"> </w:t>
      </w:r>
      <w:r>
        <w:t xml:space="preserve">distribution </w:t>
      </w:r>
      <w:r w:rsidRPr="006B735D">
        <w:t xml:space="preserve">determination for </w:t>
      </w:r>
      <w:r>
        <w:t>Ergon Energy</w:t>
      </w:r>
      <w:r w:rsidRPr="006B735D">
        <w:t>.</w:t>
      </w:r>
    </w:p>
  </w:footnote>
  <w:footnote w:id="19">
    <w:p w:rsidR="00D904FE" w:rsidRPr="00454898" w:rsidRDefault="00D904FE">
      <w:pPr>
        <w:pStyle w:val="FootnoteText"/>
        <w:rPr>
          <w:rStyle w:val="AERtexthighlight"/>
        </w:rPr>
      </w:pPr>
      <w:r>
        <w:rPr>
          <w:rStyle w:val="FootnoteReference"/>
        </w:rPr>
        <w:footnoteRef/>
      </w:r>
      <w:r>
        <w:t xml:space="preserve"> </w:t>
      </w:r>
      <w:r>
        <w:tab/>
        <w:t>Refer to section 2.4.3 for the reasons.</w:t>
      </w:r>
    </w:p>
  </w:footnote>
  <w:footnote w:id="20">
    <w:p w:rsidR="00D904FE" w:rsidRDefault="00D904FE" w:rsidP="00FD654C">
      <w:pPr>
        <w:pStyle w:val="FootnoteText"/>
      </w:pPr>
      <w:r>
        <w:rPr>
          <w:rStyle w:val="FootnoteReference"/>
        </w:rPr>
        <w:footnoteRef/>
      </w:r>
      <w:r>
        <w:t xml:space="preserve"> </w:t>
      </w:r>
      <w:r>
        <w:tab/>
        <w:t>NER, cl</w:t>
      </w:r>
      <w:r w:rsidRPr="00850BFE">
        <w:t xml:space="preserve"> S6.2.1(e)(6).</w:t>
      </w:r>
    </w:p>
  </w:footnote>
  <w:footnote w:id="21">
    <w:p w:rsidR="00D904FE" w:rsidRDefault="00D904FE" w:rsidP="00FD654C">
      <w:pPr>
        <w:pStyle w:val="FootnoteText"/>
      </w:pPr>
      <w:r>
        <w:rPr>
          <w:rStyle w:val="FootnoteReference"/>
        </w:rPr>
        <w:footnoteRef/>
      </w:r>
      <w:r>
        <w:t xml:space="preserve"> </w:t>
      </w:r>
      <w:r>
        <w:tab/>
        <w:t>NER, cl S6.2.2B.</w:t>
      </w:r>
    </w:p>
  </w:footnote>
  <w:footnote w:id="22">
    <w:p w:rsidR="00D904FE" w:rsidRDefault="00D904FE" w:rsidP="00FD654C">
      <w:pPr>
        <w:pStyle w:val="FootnoteText"/>
      </w:pPr>
      <w:r>
        <w:rPr>
          <w:rStyle w:val="FootnoteReference"/>
        </w:rPr>
        <w:footnoteRef/>
      </w:r>
      <w:r>
        <w:t xml:space="preserve"> </w:t>
      </w:r>
      <w:r>
        <w:tab/>
        <w:t>NER, cl S6.2.2B(c).</w:t>
      </w:r>
    </w:p>
  </w:footnote>
  <w:footnote w:id="23">
    <w:p w:rsidR="00D904FE" w:rsidRDefault="00D904FE" w:rsidP="00FD654C">
      <w:pPr>
        <w:pStyle w:val="FootnoteText"/>
      </w:pPr>
      <w:r>
        <w:rPr>
          <w:rStyle w:val="FootnoteReference"/>
        </w:rPr>
        <w:footnoteRef/>
      </w:r>
      <w:r>
        <w:t xml:space="preserve"> </w:t>
      </w:r>
      <w:r>
        <w:tab/>
        <w:t>The size of the RAB also impacts the benchmark debt raising cost allowance. However, this amount is usually relatively small and therefore not a significant determinant of revenues overall.</w:t>
      </w:r>
    </w:p>
  </w:footnote>
  <w:footnote w:id="24">
    <w:p w:rsidR="00D904FE" w:rsidRDefault="00D904FE" w:rsidP="00FD654C">
      <w:pPr>
        <w:pStyle w:val="FootnoteText"/>
      </w:pPr>
      <w:r>
        <w:rPr>
          <w:rStyle w:val="FootnoteReference"/>
        </w:rPr>
        <w:footnoteRef/>
      </w:r>
      <w:r>
        <w:t xml:space="preserve"> </w:t>
      </w:r>
      <w:r>
        <w:tab/>
        <w:t xml:space="preserve">Net capex is gross capex less disposals and capital contributions. The rate of return or WACC also influences the size of the capex. This is because the capex is not depreciated in the year it is first incurred, but added to the RAB at the end of the year. Instead, the capex amount is escalated by half a WACC to arrive at an end of year value. It then begins depreciating the following year. </w:t>
      </w:r>
    </w:p>
  </w:footnote>
  <w:footnote w:id="25">
    <w:p w:rsidR="00D904FE" w:rsidRDefault="00D904FE" w:rsidP="00B53ED4">
      <w:pPr>
        <w:pStyle w:val="FootnoteText"/>
      </w:pPr>
      <w:r>
        <w:rPr>
          <w:rStyle w:val="FootnoteReference"/>
        </w:rPr>
        <w:footnoteRef/>
      </w:r>
      <w:r>
        <w:t xml:space="preserve"> </w:t>
      </w:r>
      <w:r>
        <w:tab/>
      </w:r>
      <w:r w:rsidRPr="006D3275">
        <w:t>NER, cl. 6.5.1(e)(3)</w:t>
      </w:r>
      <w:r>
        <w:t>.</w:t>
      </w:r>
    </w:p>
  </w:footnote>
  <w:footnote w:id="26">
    <w:p w:rsidR="00D904FE" w:rsidRDefault="00D904FE" w:rsidP="00B53ED4">
      <w:pPr>
        <w:pStyle w:val="FootnoteText"/>
      </w:pPr>
      <w:r>
        <w:rPr>
          <w:rStyle w:val="FootnoteReference"/>
        </w:rPr>
        <w:footnoteRef/>
      </w:r>
      <w:r>
        <w:t xml:space="preserve"> </w:t>
      </w:r>
      <w:r>
        <w:tab/>
        <w:t>Such an impact would also be reflected if we were to switch methods midway through an asset's life.</w:t>
      </w:r>
    </w:p>
  </w:footnote>
  <w:footnote w:id="27">
    <w:p w:rsidR="00D904FE" w:rsidRDefault="00D904FE" w:rsidP="00B53ED4">
      <w:pPr>
        <w:pStyle w:val="FootnoteText"/>
      </w:pPr>
      <w:r>
        <w:rPr>
          <w:rStyle w:val="FootnoteReference"/>
        </w:rPr>
        <w:footnoteRef/>
      </w:r>
      <w:r>
        <w:t xml:space="preserve"> </w:t>
      </w:r>
      <w:r>
        <w:tab/>
      </w:r>
      <w:r w:rsidRPr="006D3275">
        <w:t xml:space="preserve">Central Highlands Cotton Growers and Irrigators Association &amp; Darling Downs Cotton Growers, </w:t>
      </w:r>
      <w:r w:rsidRPr="006D3275">
        <w:rPr>
          <w:rStyle w:val="AERtextitalic"/>
        </w:rPr>
        <w:t>Submission to Ergon Energy's regulatory proposal</w:t>
      </w:r>
      <w:r w:rsidRPr="006D3275">
        <w:t xml:space="preserve">, </w:t>
      </w:r>
      <w:r w:rsidRPr="004155D5">
        <w:t xml:space="preserve">January 2015, </w:t>
      </w:r>
      <w:r w:rsidRPr="006D3275">
        <w:t>p.</w:t>
      </w:r>
      <w:r>
        <w:t xml:space="preserve"> </w:t>
      </w:r>
      <w:r w:rsidRPr="006D3275">
        <w:t xml:space="preserve">1. EUAA, </w:t>
      </w:r>
      <w:r w:rsidRPr="006D3275">
        <w:rPr>
          <w:rStyle w:val="AERtextitalic"/>
        </w:rPr>
        <w:t>Submission to Ergon Energy's regulatory proposal</w:t>
      </w:r>
      <w:r w:rsidRPr="006D3275">
        <w:t xml:space="preserve">, </w:t>
      </w:r>
      <w:r w:rsidRPr="004155D5">
        <w:t xml:space="preserve">January 2015, </w:t>
      </w:r>
      <w:r w:rsidRPr="006D3275">
        <w:t>p.</w:t>
      </w:r>
      <w:r>
        <w:t xml:space="preserve"> </w:t>
      </w:r>
      <w:r w:rsidRPr="006D3275">
        <w:t>31.</w:t>
      </w:r>
    </w:p>
  </w:footnote>
  <w:footnote w:id="28">
    <w:p w:rsidR="00D904FE" w:rsidRDefault="00D904FE" w:rsidP="00B53ED4">
      <w:pPr>
        <w:pStyle w:val="FootnoteText"/>
      </w:pPr>
      <w:r>
        <w:rPr>
          <w:rStyle w:val="FootnoteReference"/>
        </w:rPr>
        <w:footnoteRef/>
      </w:r>
      <w:r>
        <w:t xml:space="preserve"> </w:t>
      </w:r>
      <w:r>
        <w:tab/>
        <w:t xml:space="preserve">The indexation of the RAB was a matter discussed extensively in the AER's final decision on APA GasNet's access arrangement. This matter also went before the Australian Competition Tribunal, who found in favour of the AER's reasoning in that final decision. See AER, </w:t>
      </w:r>
      <w:r>
        <w:rPr>
          <w:rStyle w:val="AERtextitalic"/>
        </w:rPr>
        <w:t>Access arrangement final decision, APA GasNet Australia (Operations) Pty Ltd, 2013–17, Part 2: Attachments</w:t>
      </w:r>
      <w:r>
        <w:t xml:space="preserve">, 15 March 2013, pp. 102-116. </w:t>
      </w:r>
    </w:p>
  </w:footnote>
  <w:footnote w:id="29">
    <w:p w:rsidR="00D904FE" w:rsidRDefault="00D904FE">
      <w:pPr>
        <w:pStyle w:val="FootnoteText"/>
      </w:pPr>
      <w:r>
        <w:rPr>
          <w:rStyle w:val="FootnoteReference"/>
        </w:rPr>
        <w:footnoteRef/>
      </w:r>
      <w:r>
        <w:t xml:space="preserve"> </w:t>
      </w:r>
      <w:r>
        <w:tab/>
        <w:t>Refer to attachment 5 on regulatory depreciation for a discussion on remaining asset lives.</w:t>
      </w:r>
    </w:p>
  </w:footnote>
  <w:footnote w:id="30">
    <w:p w:rsidR="00D904FE" w:rsidRDefault="00D904FE" w:rsidP="00FD654C">
      <w:pPr>
        <w:pStyle w:val="FootnoteText"/>
      </w:pPr>
      <w:r>
        <w:rPr>
          <w:rStyle w:val="FootnoteReference"/>
        </w:rPr>
        <w:footnoteRef/>
      </w:r>
      <w:r>
        <w:t xml:space="preserve"> </w:t>
      </w:r>
      <w:r>
        <w:tab/>
      </w:r>
      <w:r w:rsidRPr="002C733C">
        <w:t xml:space="preserve">If capex causes the RAB increase, return on capital, depreciation, and debt raising costs all increase too. If a reduction in depreciation causes the RAB increase, revenue could increase or decrease. In this case, the higher return on capital is offset (perhaps more than offset) by the reduction in depreciation allowance. Inflation naturally increases the RAB in nominal terms. </w:t>
      </w:r>
    </w:p>
  </w:footnote>
  <w:footnote w:id="31">
    <w:p w:rsidR="00D904FE" w:rsidRDefault="00D904FE" w:rsidP="0064050F">
      <w:pPr>
        <w:pStyle w:val="FootnoteText"/>
      </w:pPr>
      <w:r>
        <w:rPr>
          <w:rStyle w:val="FootnoteReference"/>
        </w:rPr>
        <w:footnoteRef/>
      </w:r>
      <w:r>
        <w:t xml:space="preserve"> </w:t>
      </w:r>
      <w:r>
        <w:tab/>
      </w:r>
      <w:r w:rsidRPr="008914BF">
        <w:t xml:space="preserve">At the time of this </w:t>
      </w:r>
      <w:r>
        <w:t>preliminary</w:t>
      </w:r>
      <w:r w:rsidRPr="008914BF">
        <w:t xml:space="preserve"> decision</w:t>
      </w:r>
      <w:r>
        <w:t>,</w:t>
      </w:r>
      <w:r w:rsidRPr="008914BF">
        <w:t xml:space="preserve"> the roll forward of </w:t>
      </w:r>
      <w:r>
        <w:t>Ergon Energy's RAB</w:t>
      </w:r>
      <w:r w:rsidRPr="008914BF">
        <w:t xml:space="preserve"> includes </w:t>
      </w:r>
      <w:r>
        <w:t>estimated</w:t>
      </w:r>
      <w:r w:rsidRPr="008914BF">
        <w:t xml:space="preserve"> capex</w:t>
      </w:r>
      <w:r>
        <w:t xml:space="preserve"> values</w:t>
      </w:r>
      <w:r w:rsidRPr="008914BF">
        <w:t xml:space="preserve"> for </w:t>
      </w:r>
      <w:r>
        <w:t xml:space="preserve">2014–15. </w:t>
      </w:r>
      <w:r w:rsidRPr="00516A5D">
        <w:t>We will update the 201</w:t>
      </w:r>
      <w:r>
        <w:t>4</w:t>
      </w:r>
      <w:r w:rsidRPr="00516A5D">
        <w:t>–1</w:t>
      </w:r>
      <w:r>
        <w:t>5</w:t>
      </w:r>
      <w:r w:rsidRPr="00516A5D">
        <w:t xml:space="preserve"> estimated capex value</w:t>
      </w:r>
      <w:r>
        <w:t xml:space="preserve">s </w:t>
      </w:r>
      <w:r w:rsidRPr="00516A5D">
        <w:t xml:space="preserve">for the </w:t>
      </w:r>
      <w:r>
        <w:t>substitute</w:t>
      </w:r>
      <w:r w:rsidRPr="00516A5D">
        <w:t xml:space="preserve"> decision</w:t>
      </w:r>
      <w:r>
        <w:t>.</w:t>
      </w:r>
    </w:p>
  </w:footnote>
  <w:footnote w:id="32">
    <w:p w:rsidR="00D904FE" w:rsidRDefault="00D904FE">
      <w:pPr>
        <w:pStyle w:val="FootnoteText"/>
      </w:pPr>
      <w:r>
        <w:rPr>
          <w:rStyle w:val="FootnoteReference"/>
        </w:rPr>
        <w:footnoteRef/>
      </w:r>
      <w:r>
        <w:t xml:space="preserve"> </w:t>
      </w:r>
      <w:r>
        <w:tab/>
        <w:t>Bundaberg Regional Irrigators Group,</w:t>
      </w:r>
      <w:r w:rsidRPr="006D3275">
        <w:t xml:space="preserve"> </w:t>
      </w:r>
      <w:r w:rsidRPr="006D3275">
        <w:rPr>
          <w:rStyle w:val="AERtextitalic"/>
        </w:rPr>
        <w:t>Submission to Ergon Energy's regulatory proposal</w:t>
      </w:r>
      <w:r w:rsidRPr="006D3275">
        <w:t xml:space="preserve">, </w:t>
      </w:r>
      <w:r>
        <w:t xml:space="preserve">January 2015, p. 3. </w:t>
      </w:r>
      <w:r w:rsidRPr="00AB2475">
        <w:t xml:space="preserve">EUAA, </w:t>
      </w:r>
      <w:r w:rsidRPr="00AB2475">
        <w:rPr>
          <w:rStyle w:val="AERtextitalic"/>
        </w:rPr>
        <w:t>Submission to Ergon Energy's regulatory proposal,</w:t>
      </w:r>
      <w:r w:rsidRPr="00AB2475">
        <w:t xml:space="preserve"> January 2015, p</w:t>
      </w:r>
      <w:r>
        <w:t>p</w:t>
      </w:r>
      <w:r w:rsidRPr="00AB2475">
        <w:t>.</w:t>
      </w:r>
      <w:r>
        <w:t xml:space="preserve"> </w:t>
      </w:r>
      <w:r w:rsidRPr="00AB2475">
        <w:t>14-16</w:t>
      </w:r>
      <w:r>
        <w:t xml:space="preserve">. </w:t>
      </w:r>
      <w:r w:rsidRPr="00AB2475">
        <w:t xml:space="preserve">Alliance of Energy Users, </w:t>
      </w:r>
      <w:r w:rsidRPr="00AB2475">
        <w:rPr>
          <w:rStyle w:val="AERtextitalic"/>
        </w:rPr>
        <w:t>Submission to Ergon  Energy's regulatory proposal</w:t>
      </w:r>
      <w:r w:rsidRPr="00AB2475">
        <w:t>, January 2015, p.</w:t>
      </w:r>
      <w:r>
        <w:t xml:space="preserve"> </w:t>
      </w:r>
      <w:r w:rsidRPr="00AB2475">
        <w:t>7.</w:t>
      </w:r>
    </w:p>
  </w:footnote>
  <w:footnote w:id="33">
    <w:p w:rsidR="00D904FE" w:rsidRDefault="00D904FE">
      <w:pPr>
        <w:pStyle w:val="FootnoteText"/>
      </w:pPr>
      <w:r>
        <w:rPr>
          <w:rStyle w:val="FootnoteReference"/>
        </w:rPr>
        <w:footnoteRef/>
      </w:r>
      <w:r>
        <w:t xml:space="preserve"> </w:t>
      </w:r>
      <w:r>
        <w:tab/>
      </w:r>
      <w:r w:rsidRPr="004155D5">
        <w:t xml:space="preserve">EUAA, </w:t>
      </w:r>
      <w:r w:rsidRPr="004155D5">
        <w:rPr>
          <w:rStyle w:val="AERtextitalic"/>
        </w:rPr>
        <w:t>Submission to Ergon Energy's regulatory proposal</w:t>
      </w:r>
      <w:r>
        <w:t>, January 2015, pp. 14-16</w:t>
      </w:r>
      <w:r w:rsidRPr="004155D5">
        <w:t>.</w:t>
      </w:r>
      <w:r w:rsidRPr="00AB2475">
        <w:t xml:space="preserve"> </w:t>
      </w:r>
      <w:r>
        <w:t>Alliance of Energy Users</w:t>
      </w:r>
      <w:r w:rsidRPr="00AB2475">
        <w:t xml:space="preserve">, </w:t>
      </w:r>
      <w:r w:rsidRPr="00AB2475">
        <w:rPr>
          <w:rStyle w:val="AERtextitalic"/>
        </w:rPr>
        <w:t>Submission to Ergon  Energy's regulatory proposal,</w:t>
      </w:r>
      <w:r>
        <w:t xml:space="preserve"> January 2015, p. 7</w:t>
      </w:r>
      <w:r w:rsidRPr="00AB2475">
        <w:t>.</w:t>
      </w:r>
    </w:p>
  </w:footnote>
  <w:footnote w:id="34">
    <w:p w:rsidR="00D904FE" w:rsidRDefault="00D904FE">
      <w:pPr>
        <w:pStyle w:val="FootnoteText"/>
      </w:pPr>
      <w:r>
        <w:rPr>
          <w:rStyle w:val="FootnoteReference"/>
        </w:rPr>
        <w:footnoteRef/>
      </w:r>
      <w:r>
        <w:t xml:space="preserve"> </w:t>
      </w:r>
      <w:r>
        <w:tab/>
        <w:t xml:space="preserve">Cummings Economics, </w:t>
      </w:r>
      <w:r w:rsidRPr="004155D5">
        <w:rPr>
          <w:rStyle w:val="AERtextitalic"/>
        </w:rPr>
        <w:t>Submission to Ergon Energy's regulatory proposal</w:t>
      </w:r>
      <w:r w:rsidRPr="004155D5">
        <w:t xml:space="preserve">, </w:t>
      </w:r>
      <w:r>
        <w:t>January 2015, p. 34.</w:t>
      </w:r>
    </w:p>
  </w:footnote>
  <w:footnote w:id="35">
    <w:p w:rsidR="00D904FE" w:rsidRDefault="00D904FE" w:rsidP="00953101">
      <w:pPr>
        <w:pStyle w:val="FootnoteText"/>
      </w:pPr>
      <w:r>
        <w:rPr>
          <w:rStyle w:val="FootnoteReference"/>
        </w:rPr>
        <w:footnoteRef/>
      </w:r>
      <w:r>
        <w:t xml:space="preserve"> </w:t>
      </w:r>
      <w:r>
        <w:tab/>
        <w:t xml:space="preserve">Under the NER, cl S6.2.2A(b), the exclusion of </w:t>
      </w:r>
      <w:r w:rsidRPr="00166EE4">
        <w:t>inefficient</w:t>
      </w:r>
      <w:r>
        <w:t xml:space="preserve"> capex could only come from three areas including overspend in capex , margin paid to third party and capitalisation of opex as defined in cl S6.2.2A (c), (d) and (e) of the NER. </w:t>
      </w:r>
    </w:p>
  </w:footnote>
  <w:footnote w:id="36">
    <w:p w:rsidR="00D904FE" w:rsidRDefault="00D904FE" w:rsidP="00953101">
      <w:pPr>
        <w:pStyle w:val="FootnoteText"/>
      </w:pPr>
      <w:r>
        <w:rPr>
          <w:rStyle w:val="FootnoteReference"/>
        </w:rPr>
        <w:footnoteRef/>
      </w:r>
      <w:r>
        <w:t xml:space="preserve"> </w:t>
      </w:r>
      <w:r>
        <w:tab/>
        <w:t xml:space="preserve">AER, </w:t>
      </w:r>
      <w:r w:rsidRPr="00454898">
        <w:rPr>
          <w:rStyle w:val="AERtextitalic"/>
        </w:rPr>
        <w:t xml:space="preserve">Capital </w:t>
      </w:r>
      <w:r>
        <w:rPr>
          <w:rStyle w:val="AERtextitalic"/>
        </w:rPr>
        <w:t>e</w:t>
      </w:r>
      <w:r w:rsidRPr="00454898">
        <w:rPr>
          <w:rStyle w:val="AERtextitalic"/>
        </w:rPr>
        <w:t xml:space="preserve">xpenditure </w:t>
      </w:r>
      <w:r>
        <w:rPr>
          <w:rStyle w:val="AERtextitalic"/>
        </w:rPr>
        <w:t>i</w:t>
      </w:r>
      <w:r w:rsidRPr="00454898">
        <w:rPr>
          <w:rStyle w:val="AERtextitalic"/>
        </w:rPr>
        <w:t xml:space="preserve">ncentive </w:t>
      </w:r>
      <w:r>
        <w:rPr>
          <w:rStyle w:val="AERtextitalic"/>
        </w:rPr>
        <w:t>g</w:t>
      </w:r>
      <w:r w:rsidRPr="00454898">
        <w:rPr>
          <w:rStyle w:val="AERtextitalic"/>
        </w:rPr>
        <w:t>uideline</w:t>
      </w:r>
      <w:r>
        <w:t>, November 2013, pp. 12–20.</w:t>
      </w:r>
    </w:p>
  </w:footnote>
  <w:footnote w:id="37">
    <w:p w:rsidR="00D904FE" w:rsidRDefault="00D904FE">
      <w:pPr>
        <w:pStyle w:val="FootnoteText"/>
      </w:pPr>
      <w:r>
        <w:rPr>
          <w:rStyle w:val="FootnoteReference"/>
        </w:rPr>
        <w:footnoteRef/>
      </w:r>
      <w:r>
        <w:t xml:space="preserve"> </w:t>
      </w:r>
      <w:r>
        <w:tab/>
        <w:t>This approach was allowed under transitional rules for Queensland.</w:t>
      </w:r>
    </w:p>
  </w:footnote>
  <w:footnote w:id="38">
    <w:p w:rsidR="00D904FE" w:rsidRDefault="00D904FE">
      <w:pPr>
        <w:pStyle w:val="FootnoteText"/>
      </w:pPr>
      <w:r>
        <w:rPr>
          <w:rStyle w:val="FootnoteReference"/>
        </w:rPr>
        <w:footnoteRef/>
      </w:r>
      <w:r>
        <w:t xml:space="preserve"> </w:t>
      </w:r>
      <w:r>
        <w:tab/>
        <w:t xml:space="preserve">The forecast customer contributions were added to the forecast RAB and an equivalent amount removed from forecast revenues to prevent double counting. Each year during the price approval process adjustment were made to revenues for any difference between actual and forecast customer contributions. </w:t>
      </w:r>
    </w:p>
  </w:footnote>
  <w:footnote w:id="39">
    <w:p w:rsidR="00D904FE" w:rsidRDefault="00D904FE" w:rsidP="00816C89">
      <w:pPr>
        <w:pStyle w:val="FootnoteText"/>
      </w:pPr>
      <w:r>
        <w:rPr>
          <w:rStyle w:val="FootnoteReference"/>
        </w:rPr>
        <w:footnoteRef/>
      </w:r>
      <w:r>
        <w:t xml:space="preserve"> </w:t>
      </w:r>
      <w:r>
        <w:tab/>
        <w:t xml:space="preserve">CCP (Bruce Mountain), </w:t>
      </w:r>
      <w:r w:rsidRPr="00196650">
        <w:rPr>
          <w:rStyle w:val="AERtextitalic"/>
        </w:rPr>
        <w:t>Submission on Energex, Ergon and SAPN revenues controls</w:t>
      </w:r>
      <w:r>
        <w:t>, 2 February 2015, pp. 4-9.</w:t>
      </w:r>
    </w:p>
  </w:footnote>
  <w:footnote w:id="40">
    <w:p w:rsidR="00D904FE" w:rsidRDefault="00D904FE">
      <w:pPr>
        <w:pStyle w:val="FootnoteText"/>
      </w:pPr>
      <w:r>
        <w:rPr>
          <w:rStyle w:val="FootnoteReference"/>
        </w:rPr>
        <w:footnoteRef/>
      </w:r>
      <w:r>
        <w:t xml:space="preserve"> </w:t>
      </w:r>
      <w:r>
        <w:tab/>
      </w:r>
      <w:r w:rsidRPr="009F4A67">
        <w:t>CCP (</w:t>
      </w:r>
      <w:r>
        <w:t>Bruce Mountain</w:t>
      </w:r>
      <w:r w:rsidRPr="009F4A67">
        <w:t xml:space="preserve">), </w:t>
      </w:r>
      <w:r w:rsidRPr="00196650">
        <w:rPr>
          <w:rStyle w:val="AERtextitalic"/>
        </w:rPr>
        <w:t>Submission on Energex, Ergon and SAPN revenues controls</w:t>
      </w:r>
      <w:r w:rsidRPr="009F4A67">
        <w:t xml:space="preserve">, 2 February 2015, </w:t>
      </w:r>
      <w:r>
        <w:t>p. 4</w:t>
      </w:r>
      <w:r w:rsidRPr="009F4A67">
        <w:t>.</w:t>
      </w:r>
    </w:p>
  </w:footnote>
  <w:footnote w:id="41">
    <w:p w:rsidR="00D904FE" w:rsidRDefault="00D904FE">
      <w:pPr>
        <w:pStyle w:val="FootnoteText"/>
      </w:pPr>
      <w:r>
        <w:rPr>
          <w:rStyle w:val="FootnoteReference"/>
        </w:rPr>
        <w:footnoteRef/>
      </w:r>
      <w:r>
        <w:t xml:space="preserve"> </w:t>
      </w:r>
      <w:r>
        <w:tab/>
        <w:t xml:space="preserve">AER, </w:t>
      </w:r>
      <w:r w:rsidRPr="00196650">
        <w:rPr>
          <w:rStyle w:val="AERtextitalic"/>
        </w:rPr>
        <w:t xml:space="preserve">Final decision: Queensland distribution determination 2010–11 to 2014–15, </w:t>
      </w:r>
      <w:r w:rsidRPr="00F61851">
        <w:t xml:space="preserve">May 2010, </w:t>
      </w:r>
      <w:r>
        <w:t>pp. 33-34 and 37.</w:t>
      </w:r>
    </w:p>
  </w:footnote>
  <w:footnote w:id="42">
    <w:p w:rsidR="00D904FE" w:rsidRDefault="00D904FE">
      <w:pPr>
        <w:pStyle w:val="FootnoteText"/>
      </w:pPr>
      <w:r>
        <w:rPr>
          <w:rStyle w:val="FootnoteReference"/>
        </w:rPr>
        <w:footnoteRef/>
      </w:r>
      <w:r>
        <w:t xml:space="preserve"> </w:t>
      </w:r>
      <w:r>
        <w:tab/>
        <w:t>The depreciation approach for the 2015–20 regulatory control period is discussed in section 2.4.3 of this attachment.</w:t>
      </w:r>
    </w:p>
  </w:footnote>
  <w:footnote w:id="43">
    <w:p w:rsidR="00D904FE" w:rsidRDefault="00D904FE" w:rsidP="0082665A">
      <w:pPr>
        <w:pStyle w:val="FootnoteText"/>
      </w:pPr>
      <w:r>
        <w:rPr>
          <w:rStyle w:val="FootnoteReference"/>
        </w:rPr>
        <w:footnoteRef/>
      </w:r>
      <w:r>
        <w:t xml:space="preserve"> </w:t>
      </w:r>
      <w:r>
        <w:tab/>
        <w:t xml:space="preserve">The adjustment was referred to as the C factor in the control equation. See, </w:t>
      </w:r>
      <w:r w:rsidRPr="00196650">
        <w:rPr>
          <w:rStyle w:val="AERtextitalic"/>
        </w:rPr>
        <w:t>AER, Final decision: Queensland distribution determination 2010–11 to 2014–15</w:t>
      </w:r>
      <w:r>
        <w:t xml:space="preserve">, </w:t>
      </w:r>
      <w:r w:rsidRPr="00152C15">
        <w:t>May 2010</w:t>
      </w:r>
      <w:r>
        <w:t xml:space="preserve">, p.  27  </w:t>
      </w:r>
    </w:p>
  </w:footnote>
  <w:footnote w:id="44">
    <w:p w:rsidR="00D904FE" w:rsidRDefault="00D904FE" w:rsidP="00971907">
      <w:pPr>
        <w:pStyle w:val="FootnoteText"/>
      </w:pPr>
      <w:r>
        <w:rPr>
          <w:rStyle w:val="FootnoteReference"/>
        </w:rPr>
        <w:footnoteRef/>
      </w:r>
      <w:r>
        <w:t xml:space="preserve"> </w:t>
      </w:r>
      <w:r>
        <w:tab/>
        <w:t xml:space="preserve">See for example, </w:t>
      </w:r>
      <w:r w:rsidRPr="00454898">
        <w:rPr>
          <w:rStyle w:val="AERtextitalic"/>
          <w:i w:val="0"/>
        </w:rPr>
        <w:t>AER,</w:t>
      </w:r>
      <w:r w:rsidRPr="00454898">
        <w:rPr>
          <w:rStyle w:val="AERtextitalic"/>
        </w:rPr>
        <w:t xml:space="preserve"> Final decision: ElectraNet transmission determination 2013–14 to 2017–18, </w:t>
      </w:r>
      <w:r w:rsidRPr="00454898">
        <w:rPr>
          <w:rStyle w:val="AERtextitalic"/>
          <w:i w:val="0"/>
        </w:rPr>
        <w:t xml:space="preserve">April 2013, pp. </w:t>
      </w:r>
      <w:r w:rsidRPr="00454898">
        <w:rPr>
          <w:rStyle w:val="AERtextitalic"/>
        </w:rPr>
        <w:t>138–142</w:t>
      </w:r>
      <w:r>
        <w:rPr>
          <w:rStyle w:val="AERtextitalic"/>
        </w:rPr>
        <w:t>.</w:t>
      </w:r>
    </w:p>
  </w:footnote>
  <w:footnote w:id="45">
    <w:p w:rsidR="00D904FE" w:rsidRDefault="00D904FE">
      <w:pPr>
        <w:pStyle w:val="FootnoteText"/>
      </w:pPr>
      <w:r>
        <w:rPr>
          <w:rStyle w:val="FootnoteReference"/>
        </w:rPr>
        <w:footnoteRef/>
      </w:r>
      <w:r>
        <w:t xml:space="preserve"> </w:t>
      </w:r>
      <w:r>
        <w:tab/>
      </w:r>
      <w:r w:rsidRPr="00BB6116">
        <w:t>Positive amounts are net increases in capitalised provisions, while negatives mean there has been a net payout by E</w:t>
      </w:r>
      <w:r>
        <w:t>rgon Energy</w:t>
      </w:r>
      <w:r w:rsidRPr="00BB6116">
        <w:t xml:space="preserve"> in capitalised provisions.</w:t>
      </w:r>
    </w:p>
  </w:footnote>
  <w:footnote w:id="46">
    <w:p w:rsidR="00D904FE" w:rsidRDefault="00D904FE">
      <w:pPr>
        <w:pStyle w:val="FootnoteText"/>
      </w:pPr>
      <w:r>
        <w:rPr>
          <w:rStyle w:val="FootnoteReference"/>
        </w:rPr>
        <w:footnoteRef/>
      </w:r>
      <w:r>
        <w:t xml:space="preserve">  </w:t>
      </w:r>
      <w:r>
        <w:tab/>
        <w:t xml:space="preserve">Ergon Energy, </w:t>
      </w:r>
      <w:r w:rsidRPr="003A77F4">
        <w:rPr>
          <w:rStyle w:val="AERtextitalic"/>
        </w:rPr>
        <w:t xml:space="preserve">Email, </w:t>
      </w:r>
      <w:proofErr w:type="gramStart"/>
      <w:r w:rsidRPr="003A77F4">
        <w:rPr>
          <w:rStyle w:val="AERtextitalic"/>
        </w:rPr>
        <w:t>Response</w:t>
      </w:r>
      <w:proofErr w:type="gramEnd"/>
      <w:r w:rsidRPr="003A77F4">
        <w:rPr>
          <w:rStyle w:val="AERtextitalic"/>
        </w:rPr>
        <w:t xml:space="preserve"> to </w:t>
      </w:r>
      <w:r>
        <w:rPr>
          <w:rStyle w:val="AERtextitalic"/>
        </w:rPr>
        <w:t xml:space="preserve">RE: </w:t>
      </w:r>
      <w:r w:rsidRPr="003A77F4">
        <w:rPr>
          <w:rStyle w:val="AERtextitalic"/>
        </w:rPr>
        <w:t>AER Ergon 0</w:t>
      </w:r>
      <w:r>
        <w:rPr>
          <w:rStyle w:val="AERtextitalic"/>
        </w:rPr>
        <w:t>68</w:t>
      </w:r>
      <w:r w:rsidRPr="003A77F4">
        <w:rPr>
          <w:rStyle w:val="AERtextitalic"/>
        </w:rPr>
        <w:t>,</w:t>
      </w:r>
      <w:r>
        <w:t xml:space="preserve"> 20 April 2015.</w:t>
      </w:r>
    </w:p>
  </w:footnote>
  <w:footnote w:id="47">
    <w:p w:rsidR="00D904FE" w:rsidRDefault="00D904FE" w:rsidP="00041E13">
      <w:pPr>
        <w:pStyle w:val="FootnoteText"/>
      </w:pPr>
      <w:r>
        <w:rPr>
          <w:rStyle w:val="FootnoteReference"/>
        </w:rPr>
        <w:footnoteRef/>
      </w:r>
      <w:r>
        <w:t xml:space="preserve"> </w:t>
      </w:r>
      <w:r>
        <w:tab/>
        <w:t xml:space="preserve">Total disposals were $121.5 million during the 2010–15 regulatory control period. These disposals included proceeds from the sale of the </w:t>
      </w:r>
      <w:r w:rsidRPr="001A3E38">
        <w:t xml:space="preserve">Chinchilla and Columboola </w:t>
      </w:r>
      <w:r>
        <w:t xml:space="preserve">sub-transmission network to Powerlink in 2011–12.  </w:t>
      </w:r>
    </w:p>
  </w:footnote>
  <w:footnote w:id="48">
    <w:p w:rsidR="00D904FE" w:rsidRDefault="00D904FE">
      <w:pPr>
        <w:pStyle w:val="FootnoteText"/>
      </w:pPr>
      <w:r>
        <w:rPr>
          <w:rStyle w:val="FootnoteReference"/>
        </w:rPr>
        <w:footnoteRef/>
      </w:r>
      <w:r>
        <w:t xml:space="preserve"> </w:t>
      </w:r>
      <w:r>
        <w:tab/>
      </w:r>
      <w:r w:rsidRPr="00586AD0">
        <w:t>Ergon Energ</w:t>
      </w:r>
      <w:r>
        <w:t xml:space="preserve">y, </w:t>
      </w:r>
      <w:r w:rsidRPr="00196650">
        <w:rPr>
          <w:rStyle w:val="AERtextitalic"/>
        </w:rPr>
        <w:t>Email response to AER Ergon 060</w:t>
      </w:r>
      <w:r>
        <w:t>, 23</w:t>
      </w:r>
      <w:r w:rsidRPr="00586AD0">
        <w:t xml:space="preserve"> February 2015.</w:t>
      </w:r>
    </w:p>
  </w:footnote>
  <w:footnote w:id="49">
    <w:p w:rsidR="00D904FE" w:rsidRDefault="00D904FE">
      <w:pPr>
        <w:pStyle w:val="FootnoteText"/>
      </w:pPr>
      <w:r>
        <w:rPr>
          <w:rStyle w:val="FootnoteReference"/>
        </w:rPr>
        <w:footnoteRef/>
      </w:r>
      <w:r>
        <w:t xml:space="preserve"> </w:t>
      </w:r>
      <w:r>
        <w:tab/>
        <w:t>Ergon Energy provides retail electricity services in Queensland. Some assets, such as vehicles or computer systems, may be shared between the regulated and unregulated activities, although the proportion of use of shared assets by retail activities is typically less than three per cent.</w:t>
      </w:r>
    </w:p>
  </w:footnote>
  <w:footnote w:id="50">
    <w:p w:rsidR="00D904FE" w:rsidRDefault="00D904FE">
      <w:pPr>
        <w:pStyle w:val="FootnoteText"/>
      </w:pPr>
      <w:r>
        <w:rPr>
          <w:rStyle w:val="FootnoteReference"/>
        </w:rPr>
        <w:footnoteRef/>
      </w:r>
      <w:r>
        <w:t xml:space="preserve"> </w:t>
      </w:r>
      <w:r>
        <w:tab/>
        <w:t xml:space="preserve">AER, </w:t>
      </w:r>
      <w:r>
        <w:rPr>
          <w:rStyle w:val="AERtextitalic"/>
        </w:rPr>
        <w:t>Final f</w:t>
      </w:r>
      <w:r w:rsidRPr="003948FF">
        <w:rPr>
          <w:rStyle w:val="AERtextitalic"/>
        </w:rPr>
        <w:t>ramework and approach paper</w:t>
      </w:r>
      <w:r>
        <w:rPr>
          <w:rStyle w:val="AERtextitalic"/>
        </w:rPr>
        <w:t xml:space="preserve"> for Energex and Ergon Energy</w:t>
      </w:r>
      <w:r>
        <w:t xml:space="preserve">, April 2014, pp. 89–92. </w:t>
      </w:r>
    </w:p>
  </w:footnote>
  <w:footnote w:id="51">
    <w:p w:rsidR="00D904FE" w:rsidRDefault="00D904FE" w:rsidP="006E198E">
      <w:pPr>
        <w:pStyle w:val="FootnoteText"/>
      </w:pPr>
      <w:r>
        <w:rPr>
          <w:rStyle w:val="FootnoteReference"/>
        </w:rPr>
        <w:footnoteRef/>
      </w:r>
      <w:r>
        <w:t xml:space="preserve"> </w:t>
      </w:r>
      <w:r>
        <w:tab/>
        <w:t xml:space="preserve">Our ex post capex measures are set out in the capex incentives guideline, AER, </w:t>
      </w:r>
      <w:r w:rsidRPr="00CA0D0A">
        <w:rPr>
          <w:rStyle w:val="AERtextitalic"/>
        </w:rPr>
        <w:t>Capital expenditure incentive guideline for electricity network service providers</w:t>
      </w:r>
      <w:r>
        <w:t xml:space="preserve">, November 2013, pp. 13–19, 20–21. The guideline also sets out how all our capex incentive measures </w:t>
      </w:r>
      <w:r w:rsidRPr="008269B2">
        <w:t>are consistent with the capex incentive objective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2A213CC"/>
    <w:multiLevelType w:val="multilevel"/>
    <w:tmpl w:val="950A1C52"/>
    <w:numStyleLink w:val="AERHeadings"/>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71F2F3EC"/>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4"/>
  </w:num>
  <w:num w:numId="38">
    <w:abstractNumId w:val="19"/>
  </w:num>
  <w:num w:numId="39">
    <w:abstractNumId w:val="22"/>
  </w:num>
  <w:num w:numId="4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44\AER15 201  NEW - Ergon - prelim decision - Attach 18 - Connection policy.DOCX"/>
  </w:docVars>
  <w:rsids>
    <w:rsidRoot w:val="00961A4A"/>
    <w:rsid w:val="000104BD"/>
    <w:rsid w:val="00021202"/>
    <w:rsid w:val="0002517F"/>
    <w:rsid w:val="000305BD"/>
    <w:rsid w:val="0003578C"/>
    <w:rsid w:val="00040788"/>
    <w:rsid w:val="00041E13"/>
    <w:rsid w:val="00052280"/>
    <w:rsid w:val="00052930"/>
    <w:rsid w:val="00061531"/>
    <w:rsid w:val="00061FEA"/>
    <w:rsid w:val="00063247"/>
    <w:rsid w:val="00070F9F"/>
    <w:rsid w:val="0007137B"/>
    <w:rsid w:val="00085663"/>
    <w:rsid w:val="00085EBF"/>
    <w:rsid w:val="00090F90"/>
    <w:rsid w:val="000A0B55"/>
    <w:rsid w:val="000A3020"/>
    <w:rsid w:val="000A6C7B"/>
    <w:rsid w:val="000B3624"/>
    <w:rsid w:val="000C6048"/>
    <w:rsid w:val="000D122C"/>
    <w:rsid w:val="000D2763"/>
    <w:rsid w:val="000D3764"/>
    <w:rsid w:val="000E1819"/>
    <w:rsid w:val="000E4821"/>
    <w:rsid w:val="000E6C72"/>
    <w:rsid w:val="00104540"/>
    <w:rsid w:val="00116EB2"/>
    <w:rsid w:val="001201F1"/>
    <w:rsid w:val="00124609"/>
    <w:rsid w:val="0012484C"/>
    <w:rsid w:val="00126A4C"/>
    <w:rsid w:val="001343DF"/>
    <w:rsid w:val="0014573B"/>
    <w:rsid w:val="00146416"/>
    <w:rsid w:val="00152C15"/>
    <w:rsid w:val="00154C51"/>
    <w:rsid w:val="001573E4"/>
    <w:rsid w:val="00160756"/>
    <w:rsid w:val="00163249"/>
    <w:rsid w:val="0017232E"/>
    <w:rsid w:val="00174102"/>
    <w:rsid w:val="00175F68"/>
    <w:rsid w:val="00180157"/>
    <w:rsid w:val="00182B9C"/>
    <w:rsid w:val="00184DF0"/>
    <w:rsid w:val="00185CB9"/>
    <w:rsid w:val="0018608E"/>
    <w:rsid w:val="00186F77"/>
    <w:rsid w:val="001926A4"/>
    <w:rsid w:val="00192AD5"/>
    <w:rsid w:val="00196650"/>
    <w:rsid w:val="001A3E38"/>
    <w:rsid w:val="001B1A5E"/>
    <w:rsid w:val="001B45A0"/>
    <w:rsid w:val="001D055E"/>
    <w:rsid w:val="001D3931"/>
    <w:rsid w:val="001E69D8"/>
    <w:rsid w:val="001F0A90"/>
    <w:rsid w:val="001F492E"/>
    <w:rsid w:val="001F6DA3"/>
    <w:rsid w:val="002010BC"/>
    <w:rsid w:val="00202E03"/>
    <w:rsid w:val="0020492C"/>
    <w:rsid w:val="00206E39"/>
    <w:rsid w:val="00211BEC"/>
    <w:rsid w:val="00220221"/>
    <w:rsid w:val="00224524"/>
    <w:rsid w:val="00224DB9"/>
    <w:rsid w:val="00233775"/>
    <w:rsid w:val="00247A47"/>
    <w:rsid w:val="00251745"/>
    <w:rsid w:val="002542AE"/>
    <w:rsid w:val="002624D1"/>
    <w:rsid w:val="00263AC0"/>
    <w:rsid w:val="00264264"/>
    <w:rsid w:val="0026772D"/>
    <w:rsid w:val="00273DE7"/>
    <w:rsid w:val="00286874"/>
    <w:rsid w:val="00290C63"/>
    <w:rsid w:val="00296B65"/>
    <w:rsid w:val="002A7DEF"/>
    <w:rsid w:val="002B109B"/>
    <w:rsid w:val="002B4166"/>
    <w:rsid w:val="002D2E3E"/>
    <w:rsid w:val="002E7B22"/>
    <w:rsid w:val="002F7986"/>
    <w:rsid w:val="00301B40"/>
    <w:rsid w:val="003029EE"/>
    <w:rsid w:val="00305CC8"/>
    <w:rsid w:val="00307F6D"/>
    <w:rsid w:val="00310A65"/>
    <w:rsid w:val="003177A2"/>
    <w:rsid w:val="003214CF"/>
    <w:rsid w:val="003271B5"/>
    <w:rsid w:val="00327A1E"/>
    <w:rsid w:val="00331264"/>
    <w:rsid w:val="00334C8D"/>
    <w:rsid w:val="00343A18"/>
    <w:rsid w:val="003518B3"/>
    <w:rsid w:val="003571B7"/>
    <w:rsid w:val="003846F1"/>
    <w:rsid w:val="003A77F4"/>
    <w:rsid w:val="003B484F"/>
    <w:rsid w:val="003B49C0"/>
    <w:rsid w:val="003C0769"/>
    <w:rsid w:val="003F174D"/>
    <w:rsid w:val="003F3232"/>
    <w:rsid w:val="00400D93"/>
    <w:rsid w:val="00402E4E"/>
    <w:rsid w:val="00404100"/>
    <w:rsid w:val="00412F68"/>
    <w:rsid w:val="004155D5"/>
    <w:rsid w:val="00416FB6"/>
    <w:rsid w:val="00421092"/>
    <w:rsid w:val="0044675A"/>
    <w:rsid w:val="00454898"/>
    <w:rsid w:val="0045777E"/>
    <w:rsid w:val="00457B36"/>
    <w:rsid w:val="0046582E"/>
    <w:rsid w:val="00466E63"/>
    <w:rsid w:val="00480B4B"/>
    <w:rsid w:val="00485DC4"/>
    <w:rsid w:val="0048658B"/>
    <w:rsid w:val="00491298"/>
    <w:rsid w:val="004A432D"/>
    <w:rsid w:val="004A43D1"/>
    <w:rsid w:val="004A6575"/>
    <w:rsid w:val="004B4412"/>
    <w:rsid w:val="004B5068"/>
    <w:rsid w:val="004C348C"/>
    <w:rsid w:val="004D55BA"/>
    <w:rsid w:val="004E22EC"/>
    <w:rsid w:val="004E48FD"/>
    <w:rsid w:val="004F0189"/>
    <w:rsid w:val="004F780A"/>
    <w:rsid w:val="00500715"/>
    <w:rsid w:val="00502CA7"/>
    <w:rsid w:val="00520CED"/>
    <w:rsid w:val="005271A1"/>
    <w:rsid w:val="00530128"/>
    <w:rsid w:val="00532467"/>
    <w:rsid w:val="00543ACE"/>
    <w:rsid w:val="0056117C"/>
    <w:rsid w:val="00564A4D"/>
    <w:rsid w:val="00567BA5"/>
    <w:rsid w:val="00571B35"/>
    <w:rsid w:val="00571D57"/>
    <w:rsid w:val="00577A09"/>
    <w:rsid w:val="005829C2"/>
    <w:rsid w:val="00584D8F"/>
    <w:rsid w:val="00586AD0"/>
    <w:rsid w:val="005952F2"/>
    <w:rsid w:val="005A404D"/>
    <w:rsid w:val="005B1E3C"/>
    <w:rsid w:val="005C26CC"/>
    <w:rsid w:val="005C2F08"/>
    <w:rsid w:val="005D203C"/>
    <w:rsid w:val="005D7BA2"/>
    <w:rsid w:val="005E36C2"/>
    <w:rsid w:val="005F5A28"/>
    <w:rsid w:val="00604627"/>
    <w:rsid w:val="00615C6B"/>
    <w:rsid w:val="00621DCE"/>
    <w:rsid w:val="0063197C"/>
    <w:rsid w:val="00632D6D"/>
    <w:rsid w:val="0064050F"/>
    <w:rsid w:val="00642ACC"/>
    <w:rsid w:val="00642C3E"/>
    <w:rsid w:val="00650427"/>
    <w:rsid w:val="0066104A"/>
    <w:rsid w:val="00663DAD"/>
    <w:rsid w:val="00674444"/>
    <w:rsid w:val="00675E20"/>
    <w:rsid w:val="00676679"/>
    <w:rsid w:val="00677CBE"/>
    <w:rsid w:val="00683184"/>
    <w:rsid w:val="00683C89"/>
    <w:rsid w:val="006B131F"/>
    <w:rsid w:val="006B2395"/>
    <w:rsid w:val="006B4CF9"/>
    <w:rsid w:val="006B7AC8"/>
    <w:rsid w:val="006C20CC"/>
    <w:rsid w:val="006C46D3"/>
    <w:rsid w:val="006D3275"/>
    <w:rsid w:val="006D550F"/>
    <w:rsid w:val="006D568F"/>
    <w:rsid w:val="006D676F"/>
    <w:rsid w:val="006E198E"/>
    <w:rsid w:val="006E1CA3"/>
    <w:rsid w:val="006F572D"/>
    <w:rsid w:val="00701CAB"/>
    <w:rsid w:val="00707563"/>
    <w:rsid w:val="00711092"/>
    <w:rsid w:val="0071160E"/>
    <w:rsid w:val="007225BF"/>
    <w:rsid w:val="0072348C"/>
    <w:rsid w:val="00724A37"/>
    <w:rsid w:val="007303C3"/>
    <w:rsid w:val="00731AC9"/>
    <w:rsid w:val="00741C62"/>
    <w:rsid w:val="007429BE"/>
    <w:rsid w:val="00743223"/>
    <w:rsid w:val="00746E01"/>
    <w:rsid w:val="00757BDF"/>
    <w:rsid w:val="00763336"/>
    <w:rsid w:val="00763E5D"/>
    <w:rsid w:val="00767740"/>
    <w:rsid w:val="00775842"/>
    <w:rsid w:val="00777EE6"/>
    <w:rsid w:val="00782EEA"/>
    <w:rsid w:val="007A6108"/>
    <w:rsid w:val="007A709D"/>
    <w:rsid w:val="007B2C72"/>
    <w:rsid w:val="007C1C53"/>
    <w:rsid w:val="007C74BB"/>
    <w:rsid w:val="007E4904"/>
    <w:rsid w:val="007E4CB5"/>
    <w:rsid w:val="007F066B"/>
    <w:rsid w:val="007F4086"/>
    <w:rsid w:val="0080029D"/>
    <w:rsid w:val="008033C4"/>
    <w:rsid w:val="00806C88"/>
    <w:rsid w:val="0081034E"/>
    <w:rsid w:val="00816C89"/>
    <w:rsid w:val="008222E2"/>
    <w:rsid w:val="00824AE2"/>
    <w:rsid w:val="0082665A"/>
    <w:rsid w:val="008344F6"/>
    <w:rsid w:val="0083510F"/>
    <w:rsid w:val="00851209"/>
    <w:rsid w:val="00877D7D"/>
    <w:rsid w:val="008837AC"/>
    <w:rsid w:val="00890AA2"/>
    <w:rsid w:val="008928D8"/>
    <w:rsid w:val="008A587D"/>
    <w:rsid w:val="008A770D"/>
    <w:rsid w:val="008B35CD"/>
    <w:rsid w:val="008B5FCC"/>
    <w:rsid w:val="008C460E"/>
    <w:rsid w:val="008C4A30"/>
    <w:rsid w:val="008C5486"/>
    <w:rsid w:val="008D1661"/>
    <w:rsid w:val="008E7031"/>
    <w:rsid w:val="008E77DE"/>
    <w:rsid w:val="008F07A3"/>
    <w:rsid w:val="00900E1B"/>
    <w:rsid w:val="009233EE"/>
    <w:rsid w:val="00927B91"/>
    <w:rsid w:val="00930450"/>
    <w:rsid w:val="00931619"/>
    <w:rsid w:val="009460AA"/>
    <w:rsid w:val="00947C53"/>
    <w:rsid w:val="00951978"/>
    <w:rsid w:val="00953101"/>
    <w:rsid w:val="00961A4A"/>
    <w:rsid w:val="00965BB2"/>
    <w:rsid w:val="009661DE"/>
    <w:rsid w:val="00971907"/>
    <w:rsid w:val="00983C25"/>
    <w:rsid w:val="009856B7"/>
    <w:rsid w:val="00985C86"/>
    <w:rsid w:val="009A5FC3"/>
    <w:rsid w:val="009A7CE2"/>
    <w:rsid w:val="009B74B0"/>
    <w:rsid w:val="009D6B46"/>
    <w:rsid w:val="009F0177"/>
    <w:rsid w:val="009F4940"/>
    <w:rsid w:val="009F4A67"/>
    <w:rsid w:val="009F5BA1"/>
    <w:rsid w:val="00A02A88"/>
    <w:rsid w:val="00A05458"/>
    <w:rsid w:val="00A0562E"/>
    <w:rsid w:val="00A0726D"/>
    <w:rsid w:val="00A128B5"/>
    <w:rsid w:val="00A148CC"/>
    <w:rsid w:val="00A2751B"/>
    <w:rsid w:val="00A31BEB"/>
    <w:rsid w:val="00A32FBB"/>
    <w:rsid w:val="00A42655"/>
    <w:rsid w:val="00A428EE"/>
    <w:rsid w:val="00A4478A"/>
    <w:rsid w:val="00A44852"/>
    <w:rsid w:val="00A452A3"/>
    <w:rsid w:val="00A56AAC"/>
    <w:rsid w:val="00A57D04"/>
    <w:rsid w:val="00A60A26"/>
    <w:rsid w:val="00A61598"/>
    <w:rsid w:val="00A7753D"/>
    <w:rsid w:val="00A84A99"/>
    <w:rsid w:val="00A84F46"/>
    <w:rsid w:val="00A871F4"/>
    <w:rsid w:val="00A9408C"/>
    <w:rsid w:val="00AA7DE6"/>
    <w:rsid w:val="00AB2475"/>
    <w:rsid w:val="00AC1B2C"/>
    <w:rsid w:val="00AC3264"/>
    <w:rsid w:val="00AC5336"/>
    <w:rsid w:val="00AD08B3"/>
    <w:rsid w:val="00AD7B39"/>
    <w:rsid w:val="00AE1BF1"/>
    <w:rsid w:val="00AF0DD2"/>
    <w:rsid w:val="00AF3370"/>
    <w:rsid w:val="00B00FED"/>
    <w:rsid w:val="00B057AD"/>
    <w:rsid w:val="00B123EB"/>
    <w:rsid w:val="00B13048"/>
    <w:rsid w:val="00B1716D"/>
    <w:rsid w:val="00B17A1D"/>
    <w:rsid w:val="00B207A0"/>
    <w:rsid w:val="00B27350"/>
    <w:rsid w:val="00B514DD"/>
    <w:rsid w:val="00B52AF0"/>
    <w:rsid w:val="00B53ED4"/>
    <w:rsid w:val="00B561BD"/>
    <w:rsid w:val="00B56E03"/>
    <w:rsid w:val="00B8080B"/>
    <w:rsid w:val="00B87BA5"/>
    <w:rsid w:val="00B87C39"/>
    <w:rsid w:val="00BA4665"/>
    <w:rsid w:val="00BB2989"/>
    <w:rsid w:val="00BB2FB2"/>
    <w:rsid w:val="00BB3304"/>
    <w:rsid w:val="00BB6116"/>
    <w:rsid w:val="00BD3446"/>
    <w:rsid w:val="00BE1F1B"/>
    <w:rsid w:val="00BE47B5"/>
    <w:rsid w:val="00BF7288"/>
    <w:rsid w:val="00C02047"/>
    <w:rsid w:val="00C25FA6"/>
    <w:rsid w:val="00C32B7C"/>
    <w:rsid w:val="00C343D2"/>
    <w:rsid w:val="00C538A9"/>
    <w:rsid w:val="00C53B5A"/>
    <w:rsid w:val="00C54F5A"/>
    <w:rsid w:val="00C569B4"/>
    <w:rsid w:val="00C67A92"/>
    <w:rsid w:val="00C70998"/>
    <w:rsid w:val="00C86679"/>
    <w:rsid w:val="00CA489E"/>
    <w:rsid w:val="00CB0279"/>
    <w:rsid w:val="00CB666B"/>
    <w:rsid w:val="00CC7F1D"/>
    <w:rsid w:val="00D006AE"/>
    <w:rsid w:val="00D01CF0"/>
    <w:rsid w:val="00D0442A"/>
    <w:rsid w:val="00D05745"/>
    <w:rsid w:val="00D52AF8"/>
    <w:rsid w:val="00D61388"/>
    <w:rsid w:val="00D61A54"/>
    <w:rsid w:val="00D63CDA"/>
    <w:rsid w:val="00D63DBE"/>
    <w:rsid w:val="00D640B3"/>
    <w:rsid w:val="00D64DEA"/>
    <w:rsid w:val="00D7168E"/>
    <w:rsid w:val="00D71E57"/>
    <w:rsid w:val="00D80893"/>
    <w:rsid w:val="00D820DA"/>
    <w:rsid w:val="00D84854"/>
    <w:rsid w:val="00D904FE"/>
    <w:rsid w:val="00D92CF1"/>
    <w:rsid w:val="00D92D38"/>
    <w:rsid w:val="00D950F5"/>
    <w:rsid w:val="00DA158C"/>
    <w:rsid w:val="00DA4752"/>
    <w:rsid w:val="00DA61F3"/>
    <w:rsid w:val="00DB0F93"/>
    <w:rsid w:val="00DB1A67"/>
    <w:rsid w:val="00DB5074"/>
    <w:rsid w:val="00DC0432"/>
    <w:rsid w:val="00DC63AB"/>
    <w:rsid w:val="00DC7981"/>
    <w:rsid w:val="00DD3A7A"/>
    <w:rsid w:val="00DD3DE3"/>
    <w:rsid w:val="00DE1093"/>
    <w:rsid w:val="00DE4EFA"/>
    <w:rsid w:val="00DE5520"/>
    <w:rsid w:val="00DE563D"/>
    <w:rsid w:val="00DE6D9B"/>
    <w:rsid w:val="00DE6E20"/>
    <w:rsid w:val="00E04818"/>
    <w:rsid w:val="00E06442"/>
    <w:rsid w:val="00E23993"/>
    <w:rsid w:val="00E24293"/>
    <w:rsid w:val="00E25B8C"/>
    <w:rsid w:val="00E44A5E"/>
    <w:rsid w:val="00E518E4"/>
    <w:rsid w:val="00E57429"/>
    <w:rsid w:val="00E65C85"/>
    <w:rsid w:val="00E66199"/>
    <w:rsid w:val="00E755EC"/>
    <w:rsid w:val="00E7624D"/>
    <w:rsid w:val="00E77475"/>
    <w:rsid w:val="00E833BC"/>
    <w:rsid w:val="00E86F25"/>
    <w:rsid w:val="00E9116B"/>
    <w:rsid w:val="00E92F5E"/>
    <w:rsid w:val="00EA3D42"/>
    <w:rsid w:val="00EA6B1B"/>
    <w:rsid w:val="00ED7323"/>
    <w:rsid w:val="00EE28F3"/>
    <w:rsid w:val="00EE7726"/>
    <w:rsid w:val="00EF5110"/>
    <w:rsid w:val="00F10411"/>
    <w:rsid w:val="00F10B24"/>
    <w:rsid w:val="00F14ECC"/>
    <w:rsid w:val="00F15882"/>
    <w:rsid w:val="00F171E0"/>
    <w:rsid w:val="00F20BD3"/>
    <w:rsid w:val="00F373A5"/>
    <w:rsid w:val="00F47559"/>
    <w:rsid w:val="00F51C77"/>
    <w:rsid w:val="00F5551D"/>
    <w:rsid w:val="00F61851"/>
    <w:rsid w:val="00F62B93"/>
    <w:rsid w:val="00F64C7B"/>
    <w:rsid w:val="00F676DD"/>
    <w:rsid w:val="00F75A26"/>
    <w:rsid w:val="00F76706"/>
    <w:rsid w:val="00F83FAD"/>
    <w:rsid w:val="00F952A0"/>
    <w:rsid w:val="00FA156E"/>
    <w:rsid w:val="00FA3C7F"/>
    <w:rsid w:val="00FB74E2"/>
    <w:rsid w:val="00FC10C4"/>
    <w:rsid w:val="00FD3A80"/>
    <w:rsid w:val="00FD5614"/>
    <w:rsid w:val="00FD654C"/>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EE7726"/>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EE7726"/>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2222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15198194">
      <w:bodyDiv w:val="1"/>
      <w:marLeft w:val="0"/>
      <w:marRight w:val="0"/>
      <w:marTop w:val="0"/>
      <w:marBottom w:val="0"/>
      <w:divBdr>
        <w:top w:val="none" w:sz="0" w:space="0" w:color="auto"/>
        <w:left w:val="none" w:sz="0" w:space="0" w:color="auto"/>
        <w:bottom w:val="none" w:sz="0" w:space="0" w:color="auto"/>
        <w:right w:val="none" w:sz="0" w:space="0" w:color="auto"/>
      </w:divBdr>
    </w:div>
    <w:div w:id="20111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F83BA87D</Template>
  <TotalTime>0</TotalTime>
  <Pages>19</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2015-04-27T05:06:00Z</dcterms:created>
  <dcterms:modified xsi:type="dcterms:W3CDTF">2015-04-27T05:06:00Z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8355483</vt:lpwstr>
  </property>
  <property fmtid="{D5CDD505-2E9C-101B-9397-08002B2CF9AE}" pid="3" name="_MarkAsFinal">
    <vt:bool>true</vt:bool>
  </property>
</Properties>
</file>