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6CB4C52" wp14:editId="603BB2A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2E2E86" w:rsidP="008F07A3">
          <w:pPr>
            <w:pStyle w:val="ReportSubtitle"/>
          </w:pPr>
          <w:r>
            <w:t>Attachment 5</w:t>
          </w:r>
          <w:r w:rsidR="00DA4752">
            <w:t xml:space="preserve"> </w:t>
          </w:r>
          <w:r w:rsidR="00DA4752">
            <w:rPr>
              <w:rFonts w:cs="Arial"/>
            </w:rPr>
            <w:t>−</w:t>
          </w:r>
          <w:r w:rsidR="00DA4752">
            <w:t xml:space="preserve"> </w:t>
          </w:r>
          <w:r>
            <w:t>Regulatory depreciation</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E24943">
      <w:pPr>
        <w:spacing w:line="240" w:lineRule="auto"/>
      </w:pPr>
      <w:bookmarkStart w:id="0" w:name="_Toc404354899"/>
      <w:bookmarkStart w:id="1" w:name="_Toc404353070"/>
      <w:bookmarkStart w:id="2" w:name="_Toc404684201"/>
      <w:bookmarkStart w:id="3" w:name="_Toc404700923"/>
      <w:r>
        <w:t>AER reference:</w:t>
      </w:r>
      <w:r>
        <w:tab/>
        <w:t>50835</w:t>
      </w:r>
      <w:r w:rsidR="001201F1">
        <w:br w:type="page"/>
      </w:r>
    </w:p>
    <w:p w:rsidR="008F07A3" w:rsidRDefault="00DA61F3" w:rsidP="008F07A3">
      <w:pPr>
        <w:pStyle w:val="UnnumberedHeading"/>
        <w:numPr>
          <w:ilvl w:val="0"/>
          <w:numId w:val="24"/>
        </w:numPr>
      </w:pPr>
      <w:bookmarkStart w:id="4" w:name="_Toc414377242"/>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243EDD">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E57340" w:rsidRPr="00E57340" w:rsidRDefault="008F07A3" w:rsidP="00E57340">
      <w:pPr>
        <w:numPr>
          <w:ilvl w:val="0"/>
          <w:numId w:val="25"/>
        </w:numPr>
      </w:pPr>
      <w:r>
        <w:t xml:space="preserve">Attachment 18 – Connection </w:t>
      </w:r>
      <w:r w:rsidR="00E57340" w:rsidRPr="00E57340">
        <w:t>policy</w:t>
      </w:r>
    </w:p>
    <w:p w:rsidR="008F07A3" w:rsidRPr="008B6C33" w:rsidRDefault="008F07A3" w:rsidP="008F07A3">
      <w:pPr>
        <w:numPr>
          <w:ilvl w:val="0"/>
          <w:numId w:val="25"/>
        </w:numPr>
      </w:pP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437724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E06160"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4377242" w:history="1">
            <w:r w:rsidR="00E06160" w:rsidRPr="00852A03">
              <w:rPr>
                <w:rStyle w:val="Hyperlink"/>
              </w:rPr>
              <w:t>Note</w:t>
            </w:r>
            <w:r w:rsidR="00E06160">
              <w:rPr>
                <w:webHidden/>
              </w:rPr>
              <w:tab/>
            </w:r>
            <w:r w:rsidR="00243EDD">
              <w:rPr>
                <w:webHidden/>
              </w:rPr>
              <w:t>5-</w:t>
            </w:r>
            <w:r w:rsidR="00E06160">
              <w:rPr>
                <w:webHidden/>
              </w:rPr>
              <w:fldChar w:fldCharType="begin"/>
            </w:r>
            <w:r w:rsidR="00E06160">
              <w:rPr>
                <w:webHidden/>
              </w:rPr>
              <w:instrText xml:space="preserve"> PAGEREF _Toc414377242 \h </w:instrText>
            </w:r>
            <w:r w:rsidR="00E06160">
              <w:rPr>
                <w:webHidden/>
              </w:rPr>
            </w:r>
            <w:r w:rsidR="00E06160">
              <w:rPr>
                <w:webHidden/>
              </w:rPr>
              <w:fldChar w:fldCharType="separate"/>
            </w:r>
            <w:r w:rsidR="00793EAF">
              <w:rPr>
                <w:webHidden/>
              </w:rPr>
              <w:t>2</w:t>
            </w:r>
            <w:r w:rsidR="00E06160">
              <w:rPr>
                <w:webHidden/>
              </w:rPr>
              <w:fldChar w:fldCharType="end"/>
            </w:r>
          </w:hyperlink>
        </w:p>
        <w:p w:rsidR="00E06160" w:rsidRDefault="00F61928">
          <w:pPr>
            <w:pStyle w:val="TOC1"/>
            <w:rPr>
              <w:rFonts w:asciiTheme="minorHAnsi" w:eastAsiaTheme="minorEastAsia" w:hAnsiTheme="minorHAnsi"/>
              <w:b w:val="0"/>
              <w:color w:val="auto"/>
              <w:sz w:val="22"/>
              <w:lang w:val="en-AU" w:eastAsia="en-AU"/>
            </w:rPr>
          </w:pPr>
          <w:hyperlink w:anchor="_Toc414377243" w:history="1">
            <w:r w:rsidR="00E06160" w:rsidRPr="00852A03">
              <w:rPr>
                <w:rStyle w:val="Hyperlink"/>
              </w:rPr>
              <w:t>Contents</w:t>
            </w:r>
            <w:r w:rsidR="00E06160">
              <w:rPr>
                <w:webHidden/>
              </w:rPr>
              <w:tab/>
            </w:r>
            <w:r w:rsidR="00243EDD">
              <w:rPr>
                <w:webHidden/>
              </w:rPr>
              <w:t>5-</w:t>
            </w:r>
            <w:r w:rsidR="00E06160">
              <w:rPr>
                <w:webHidden/>
              </w:rPr>
              <w:fldChar w:fldCharType="begin"/>
            </w:r>
            <w:r w:rsidR="00E06160">
              <w:rPr>
                <w:webHidden/>
              </w:rPr>
              <w:instrText xml:space="preserve"> PAGEREF _Toc414377243 \h </w:instrText>
            </w:r>
            <w:r w:rsidR="00E06160">
              <w:rPr>
                <w:webHidden/>
              </w:rPr>
            </w:r>
            <w:r w:rsidR="00E06160">
              <w:rPr>
                <w:webHidden/>
              </w:rPr>
              <w:fldChar w:fldCharType="separate"/>
            </w:r>
            <w:r w:rsidR="00793EAF">
              <w:rPr>
                <w:webHidden/>
              </w:rPr>
              <w:t>3</w:t>
            </w:r>
            <w:r w:rsidR="00E06160">
              <w:rPr>
                <w:webHidden/>
              </w:rPr>
              <w:fldChar w:fldCharType="end"/>
            </w:r>
          </w:hyperlink>
        </w:p>
        <w:p w:rsidR="00E06160" w:rsidRDefault="00F61928">
          <w:pPr>
            <w:pStyle w:val="TOC1"/>
            <w:rPr>
              <w:rFonts w:asciiTheme="minorHAnsi" w:eastAsiaTheme="minorEastAsia" w:hAnsiTheme="minorHAnsi"/>
              <w:b w:val="0"/>
              <w:color w:val="auto"/>
              <w:sz w:val="22"/>
              <w:lang w:val="en-AU" w:eastAsia="en-AU"/>
            </w:rPr>
          </w:pPr>
          <w:hyperlink w:anchor="_Toc414377244" w:history="1">
            <w:r w:rsidR="00E06160" w:rsidRPr="00852A03">
              <w:rPr>
                <w:rStyle w:val="Hyperlink"/>
              </w:rPr>
              <w:t>Shortened forms</w:t>
            </w:r>
            <w:r w:rsidR="00E06160">
              <w:rPr>
                <w:webHidden/>
              </w:rPr>
              <w:tab/>
            </w:r>
            <w:r w:rsidR="00243EDD">
              <w:rPr>
                <w:webHidden/>
              </w:rPr>
              <w:t>5-</w:t>
            </w:r>
            <w:r w:rsidR="00E06160">
              <w:rPr>
                <w:webHidden/>
              </w:rPr>
              <w:fldChar w:fldCharType="begin"/>
            </w:r>
            <w:r w:rsidR="00E06160">
              <w:rPr>
                <w:webHidden/>
              </w:rPr>
              <w:instrText xml:space="preserve"> PAGEREF _Toc414377244 \h </w:instrText>
            </w:r>
            <w:r w:rsidR="00E06160">
              <w:rPr>
                <w:webHidden/>
              </w:rPr>
            </w:r>
            <w:r w:rsidR="00E06160">
              <w:rPr>
                <w:webHidden/>
              </w:rPr>
              <w:fldChar w:fldCharType="separate"/>
            </w:r>
            <w:r w:rsidR="00793EAF">
              <w:rPr>
                <w:webHidden/>
              </w:rPr>
              <w:t>4</w:t>
            </w:r>
            <w:r w:rsidR="00E06160">
              <w:rPr>
                <w:webHidden/>
              </w:rPr>
              <w:fldChar w:fldCharType="end"/>
            </w:r>
          </w:hyperlink>
        </w:p>
        <w:p w:rsidR="00E06160" w:rsidRDefault="00F61928">
          <w:pPr>
            <w:pStyle w:val="TOC1"/>
            <w:rPr>
              <w:rFonts w:asciiTheme="minorHAnsi" w:eastAsiaTheme="minorEastAsia" w:hAnsiTheme="minorHAnsi"/>
              <w:b w:val="0"/>
              <w:color w:val="auto"/>
              <w:sz w:val="22"/>
              <w:lang w:val="en-AU" w:eastAsia="en-AU"/>
            </w:rPr>
          </w:pPr>
          <w:hyperlink w:anchor="_Toc414377245" w:history="1">
            <w:r w:rsidR="00E06160" w:rsidRPr="00852A03">
              <w:rPr>
                <w:rStyle w:val="Hyperlink"/>
              </w:rPr>
              <w:t>5</w:t>
            </w:r>
            <w:r w:rsidR="00E06160">
              <w:rPr>
                <w:rFonts w:asciiTheme="minorHAnsi" w:eastAsiaTheme="minorEastAsia" w:hAnsiTheme="minorHAnsi"/>
                <w:b w:val="0"/>
                <w:color w:val="auto"/>
                <w:sz w:val="22"/>
                <w:lang w:val="en-AU" w:eastAsia="en-AU"/>
              </w:rPr>
              <w:tab/>
            </w:r>
            <w:r w:rsidR="00E06160" w:rsidRPr="00852A03">
              <w:rPr>
                <w:rStyle w:val="Hyperlink"/>
              </w:rPr>
              <w:t>Regulatory depreciation</w:t>
            </w:r>
            <w:r w:rsidR="00E06160">
              <w:rPr>
                <w:webHidden/>
              </w:rPr>
              <w:tab/>
            </w:r>
            <w:r w:rsidR="00243EDD">
              <w:rPr>
                <w:webHidden/>
              </w:rPr>
              <w:t>5-</w:t>
            </w:r>
            <w:r w:rsidR="00E06160">
              <w:rPr>
                <w:webHidden/>
              </w:rPr>
              <w:fldChar w:fldCharType="begin"/>
            </w:r>
            <w:r w:rsidR="00E06160">
              <w:rPr>
                <w:webHidden/>
              </w:rPr>
              <w:instrText xml:space="preserve"> PAGEREF _Toc414377245 \h </w:instrText>
            </w:r>
            <w:r w:rsidR="00E06160">
              <w:rPr>
                <w:webHidden/>
              </w:rPr>
            </w:r>
            <w:r w:rsidR="00E06160">
              <w:rPr>
                <w:webHidden/>
              </w:rPr>
              <w:fldChar w:fldCharType="separate"/>
            </w:r>
            <w:r w:rsidR="00793EAF">
              <w:rPr>
                <w:webHidden/>
              </w:rPr>
              <w:t>6</w:t>
            </w:r>
            <w:r w:rsidR="00E06160">
              <w:rPr>
                <w:webHidden/>
              </w:rPr>
              <w:fldChar w:fldCharType="end"/>
            </w:r>
          </w:hyperlink>
        </w:p>
        <w:p w:rsidR="00E06160" w:rsidRDefault="00F61928">
          <w:pPr>
            <w:pStyle w:val="TOC2"/>
            <w:rPr>
              <w:rFonts w:asciiTheme="minorHAnsi" w:eastAsiaTheme="minorEastAsia" w:hAnsiTheme="minorHAnsi"/>
              <w:b w:val="0"/>
              <w:color w:val="auto"/>
              <w:sz w:val="22"/>
              <w:lang w:eastAsia="en-AU"/>
            </w:rPr>
          </w:pPr>
          <w:hyperlink w:anchor="_Toc414377246" w:history="1">
            <w:r w:rsidR="00E06160" w:rsidRPr="00852A03">
              <w:rPr>
                <w:rStyle w:val="Hyperlink"/>
              </w:rPr>
              <w:t>5.1</w:t>
            </w:r>
            <w:r w:rsidR="00E06160">
              <w:rPr>
                <w:rFonts w:asciiTheme="minorHAnsi" w:eastAsiaTheme="minorEastAsia" w:hAnsiTheme="minorHAnsi"/>
                <w:b w:val="0"/>
                <w:color w:val="auto"/>
                <w:sz w:val="22"/>
                <w:lang w:eastAsia="en-AU"/>
              </w:rPr>
              <w:tab/>
            </w:r>
            <w:r w:rsidR="00E06160" w:rsidRPr="00852A03">
              <w:rPr>
                <w:rStyle w:val="Hyperlink"/>
              </w:rPr>
              <w:t>Preliminary decision</w:t>
            </w:r>
            <w:r w:rsidR="00E06160">
              <w:rPr>
                <w:webHidden/>
              </w:rPr>
              <w:tab/>
            </w:r>
            <w:r w:rsidR="00243EDD">
              <w:rPr>
                <w:webHidden/>
              </w:rPr>
              <w:t>5-</w:t>
            </w:r>
            <w:r w:rsidR="00E06160">
              <w:rPr>
                <w:webHidden/>
              </w:rPr>
              <w:fldChar w:fldCharType="begin"/>
            </w:r>
            <w:r w:rsidR="00E06160">
              <w:rPr>
                <w:webHidden/>
              </w:rPr>
              <w:instrText xml:space="preserve"> PAGEREF _Toc414377246 \h </w:instrText>
            </w:r>
            <w:r w:rsidR="00E06160">
              <w:rPr>
                <w:webHidden/>
              </w:rPr>
            </w:r>
            <w:r w:rsidR="00E06160">
              <w:rPr>
                <w:webHidden/>
              </w:rPr>
              <w:fldChar w:fldCharType="separate"/>
            </w:r>
            <w:r w:rsidR="00793EAF">
              <w:rPr>
                <w:webHidden/>
              </w:rPr>
              <w:t>6</w:t>
            </w:r>
            <w:r w:rsidR="00E06160">
              <w:rPr>
                <w:webHidden/>
              </w:rPr>
              <w:fldChar w:fldCharType="end"/>
            </w:r>
          </w:hyperlink>
        </w:p>
        <w:p w:rsidR="00E06160" w:rsidRDefault="00F61928">
          <w:pPr>
            <w:pStyle w:val="TOC2"/>
            <w:rPr>
              <w:rFonts w:asciiTheme="minorHAnsi" w:eastAsiaTheme="minorEastAsia" w:hAnsiTheme="minorHAnsi"/>
              <w:b w:val="0"/>
              <w:color w:val="auto"/>
              <w:sz w:val="22"/>
              <w:lang w:eastAsia="en-AU"/>
            </w:rPr>
          </w:pPr>
          <w:hyperlink w:anchor="_Toc414377247" w:history="1">
            <w:r w:rsidR="00E06160" w:rsidRPr="00852A03">
              <w:rPr>
                <w:rStyle w:val="Hyperlink"/>
              </w:rPr>
              <w:t>5.2</w:t>
            </w:r>
            <w:r w:rsidR="00E06160">
              <w:rPr>
                <w:rFonts w:asciiTheme="minorHAnsi" w:eastAsiaTheme="minorEastAsia" w:hAnsiTheme="minorHAnsi"/>
                <w:b w:val="0"/>
                <w:color w:val="auto"/>
                <w:sz w:val="22"/>
                <w:lang w:eastAsia="en-AU"/>
              </w:rPr>
              <w:tab/>
            </w:r>
            <w:r w:rsidR="00E06160" w:rsidRPr="00852A03">
              <w:rPr>
                <w:rStyle w:val="Hyperlink"/>
              </w:rPr>
              <w:t>Ergon Energy's proposal</w:t>
            </w:r>
            <w:r w:rsidR="00E06160">
              <w:rPr>
                <w:webHidden/>
              </w:rPr>
              <w:tab/>
            </w:r>
            <w:r w:rsidR="00243EDD">
              <w:rPr>
                <w:webHidden/>
              </w:rPr>
              <w:t>5-</w:t>
            </w:r>
            <w:r w:rsidR="00E06160">
              <w:rPr>
                <w:webHidden/>
              </w:rPr>
              <w:fldChar w:fldCharType="begin"/>
            </w:r>
            <w:r w:rsidR="00E06160">
              <w:rPr>
                <w:webHidden/>
              </w:rPr>
              <w:instrText xml:space="preserve"> PAGEREF _Toc414377247 \h </w:instrText>
            </w:r>
            <w:r w:rsidR="00E06160">
              <w:rPr>
                <w:webHidden/>
              </w:rPr>
            </w:r>
            <w:r w:rsidR="00E06160">
              <w:rPr>
                <w:webHidden/>
              </w:rPr>
              <w:fldChar w:fldCharType="separate"/>
            </w:r>
            <w:r w:rsidR="00793EAF">
              <w:rPr>
                <w:webHidden/>
              </w:rPr>
              <w:t>7</w:t>
            </w:r>
            <w:r w:rsidR="00E06160">
              <w:rPr>
                <w:webHidden/>
              </w:rPr>
              <w:fldChar w:fldCharType="end"/>
            </w:r>
          </w:hyperlink>
        </w:p>
        <w:p w:rsidR="00E06160" w:rsidRDefault="00F61928">
          <w:pPr>
            <w:pStyle w:val="TOC2"/>
            <w:rPr>
              <w:rFonts w:asciiTheme="minorHAnsi" w:eastAsiaTheme="minorEastAsia" w:hAnsiTheme="minorHAnsi"/>
              <w:b w:val="0"/>
              <w:color w:val="auto"/>
              <w:sz w:val="22"/>
              <w:lang w:eastAsia="en-AU"/>
            </w:rPr>
          </w:pPr>
          <w:hyperlink w:anchor="_Toc414377248" w:history="1">
            <w:r w:rsidR="00E06160" w:rsidRPr="00852A03">
              <w:rPr>
                <w:rStyle w:val="Hyperlink"/>
              </w:rPr>
              <w:t>5.3</w:t>
            </w:r>
            <w:r w:rsidR="00E06160">
              <w:rPr>
                <w:rFonts w:asciiTheme="minorHAnsi" w:eastAsiaTheme="minorEastAsia" w:hAnsiTheme="minorHAnsi"/>
                <w:b w:val="0"/>
                <w:color w:val="auto"/>
                <w:sz w:val="22"/>
                <w:lang w:eastAsia="en-AU"/>
              </w:rPr>
              <w:tab/>
            </w:r>
            <w:r w:rsidR="00E06160" w:rsidRPr="00852A03">
              <w:rPr>
                <w:rStyle w:val="Hyperlink"/>
              </w:rPr>
              <w:t>AER’s assessment approach</w:t>
            </w:r>
            <w:r w:rsidR="00E06160">
              <w:rPr>
                <w:webHidden/>
              </w:rPr>
              <w:tab/>
            </w:r>
            <w:r w:rsidR="00243EDD">
              <w:rPr>
                <w:webHidden/>
              </w:rPr>
              <w:t>5-</w:t>
            </w:r>
            <w:r w:rsidR="00E06160">
              <w:rPr>
                <w:webHidden/>
              </w:rPr>
              <w:fldChar w:fldCharType="begin"/>
            </w:r>
            <w:r w:rsidR="00E06160">
              <w:rPr>
                <w:webHidden/>
              </w:rPr>
              <w:instrText xml:space="preserve"> PAGEREF _Toc414377248 \h </w:instrText>
            </w:r>
            <w:r w:rsidR="00E06160">
              <w:rPr>
                <w:webHidden/>
              </w:rPr>
            </w:r>
            <w:r w:rsidR="00E06160">
              <w:rPr>
                <w:webHidden/>
              </w:rPr>
              <w:fldChar w:fldCharType="separate"/>
            </w:r>
            <w:r w:rsidR="00793EAF">
              <w:rPr>
                <w:webHidden/>
              </w:rPr>
              <w:t>8</w:t>
            </w:r>
            <w:r w:rsidR="00E06160">
              <w:rPr>
                <w:webHidden/>
              </w:rPr>
              <w:fldChar w:fldCharType="end"/>
            </w:r>
          </w:hyperlink>
        </w:p>
        <w:p w:rsidR="00E06160" w:rsidRDefault="00F61928">
          <w:pPr>
            <w:pStyle w:val="TOC3"/>
            <w:rPr>
              <w:rFonts w:asciiTheme="minorHAnsi" w:eastAsiaTheme="minorEastAsia" w:hAnsiTheme="minorHAnsi"/>
              <w:lang w:eastAsia="en-AU"/>
            </w:rPr>
          </w:pPr>
          <w:hyperlink w:anchor="_Toc414377249" w:history="1">
            <w:r w:rsidR="00E06160" w:rsidRPr="00852A03">
              <w:rPr>
                <w:rStyle w:val="Hyperlink"/>
              </w:rPr>
              <w:t>5.3.1</w:t>
            </w:r>
            <w:r w:rsidR="00E06160">
              <w:rPr>
                <w:rFonts w:asciiTheme="minorHAnsi" w:eastAsiaTheme="minorEastAsia" w:hAnsiTheme="minorHAnsi"/>
                <w:lang w:eastAsia="en-AU"/>
              </w:rPr>
              <w:tab/>
            </w:r>
            <w:r w:rsidR="00E06160" w:rsidRPr="00852A03">
              <w:rPr>
                <w:rStyle w:val="Hyperlink"/>
              </w:rPr>
              <w:t>Interrelationships</w:t>
            </w:r>
            <w:r w:rsidR="00E06160">
              <w:rPr>
                <w:webHidden/>
              </w:rPr>
              <w:tab/>
            </w:r>
            <w:r w:rsidR="00243EDD">
              <w:rPr>
                <w:webHidden/>
              </w:rPr>
              <w:t>5-</w:t>
            </w:r>
            <w:r w:rsidR="00E06160">
              <w:rPr>
                <w:webHidden/>
              </w:rPr>
              <w:fldChar w:fldCharType="begin"/>
            </w:r>
            <w:r w:rsidR="00E06160">
              <w:rPr>
                <w:webHidden/>
              </w:rPr>
              <w:instrText xml:space="preserve"> PAGEREF _Toc414377249 \h </w:instrText>
            </w:r>
            <w:r w:rsidR="00E06160">
              <w:rPr>
                <w:webHidden/>
              </w:rPr>
            </w:r>
            <w:r w:rsidR="00E06160">
              <w:rPr>
                <w:webHidden/>
              </w:rPr>
              <w:fldChar w:fldCharType="separate"/>
            </w:r>
            <w:r w:rsidR="00793EAF">
              <w:rPr>
                <w:webHidden/>
              </w:rPr>
              <w:t>9</w:t>
            </w:r>
            <w:r w:rsidR="00E06160">
              <w:rPr>
                <w:webHidden/>
              </w:rPr>
              <w:fldChar w:fldCharType="end"/>
            </w:r>
          </w:hyperlink>
        </w:p>
        <w:p w:rsidR="00E06160" w:rsidRDefault="00F61928">
          <w:pPr>
            <w:pStyle w:val="TOC2"/>
            <w:rPr>
              <w:rFonts w:asciiTheme="minorHAnsi" w:eastAsiaTheme="minorEastAsia" w:hAnsiTheme="minorHAnsi"/>
              <w:b w:val="0"/>
              <w:color w:val="auto"/>
              <w:sz w:val="22"/>
              <w:lang w:eastAsia="en-AU"/>
            </w:rPr>
          </w:pPr>
          <w:hyperlink w:anchor="_Toc414377250" w:history="1">
            <w:r w:rsidR="00E06160" w:rsidRPr="00852A03">
              <w:rPr>
                <w:rStyle w:val="Hyperlink"/>
              </w:rPr>
              <w:t>5.4</w:t>
            </w:r>
            <w:r w:rsidR="00E06160">
              <w:rPr>
                <w:rFonts w:asciiTheme="minorHAnsi" w:eastAsiaTheme="minorEastAsia" w:hAnsiTheme="minorHAnsi"/>
                <w:b w:val="0"/>
                <w:color w:val="auto"/>
                <w:sz w:val="22"/>
                <w:lang w:eastAsia="en-AU"/>
              </w:rPr>
              <w:tab/>
            </w:r>
            <w:r w:rsidR="00E06160" w:rsidRPr="00852A03">
              <w:rPr>
                <w:rStyle w:val="Hyperlink"/>
              </w:rPr>
              <w:t>Reasons for preliminary decision</w:t>
            </w:r>
            <w:r w:rsidR="00E06160">
              <w:rPr>
                <w:webHidden/>
              </w:rPr>
              <w:tab/>
            </w:r>
            <w:r w:rsidR="00243EDD">
              <w:rPr>
                <w:webHidden/>
              </w:rPr>
              <w:t>5-</w:t>
            </w:r>
            <w:r w:rsidR="00E06160">
              <w:rPr>
                <w:webHidden/>
              </w:rPr>
              <w:fldChar w:fldCharType="begin"/>
            </w:r>
            <w:r w:rsidR="00E06160">
              <w:rPr>
                <w:webHidden/>
              </w:rPr>
              <w:instrText xml:space="preserve"> PAGEREF _Toc414377250 \h </w:instrText>
            </w:r>
            <w:r w:rsidR="00E06160">
              <w:rPr>
                <w:webHidden/>
              </w:rPr>
            </w:r>
            <w:r w:rsidR="00E06160">
              <w:rPr>
                <w:webHidden/>
              </w:rPr>
              <w:fldChar w:fldCharType="separate"/>
            </w:r>
            <w:r w:rsidR="00793EAF">
              <w:rPr>
                <w:webHidden/>
              </w:rPr>
              <w:t>10</w:t>
            </w:r>
            <w:r w:rsidR="00E06160">
              <w:rPr>
                <w:webHidden/>
              </w:rPr>
              <w:fldChar w:fldCharType="end"/>
            </w:r>
          </w:hyperlink>
        </w:p>
        <w:p w:rsidR="00E06160" w:rsidRDefault="00F61928">
          <w:pPr>
            <w:pStyle w:val="TOC3"/>
            <w:rPr>
              <w:rFonts w:asciiTheme="minorHAnsi" w:eastAsiaTheme="minorEastAsia" w:hAnsiTheme="minorHAnsi"/>
              <w:lang w:eastAsia="en-AU"/>
            </w:rPr>
          </w:pPr>
          <w:hyperlink w:anchor="_Toc414377251" w:history="1">
            <w:r w:rsidR="00E06160" w:rsidRPr="00852A03">
              <w:rPr>
                <w:rStyle w:val="Hyperlink"/>
              </w:rPr>
              <w:t>5.4.1</w:t>
            </w:r>
            <w:r w:rsidR="00E06160">
              <w:rPr>
                <w:rFonts w:asciiTheme="minorHAnsi" w:eastAsiaTheme="minorEastAsia" w:hAnsiTheme="minorHAnsi"/>
                <w:lang w:eastAsia="en-AU"/>
              </w:rPr>
              <w:tab/>
            </w:r>
            <w:r w:rsidR="00E06160" w:rsidRPr="00852A03">
              <w:rPr>
                <w:rStyle w:val="Hyperlink"/>
              </w:rPr>
              <w:t>Standard asset lives</w:t>
            </w:r>
            <w:r w:rsidR="00E06160">
              <w:rPr>
                <w:webHidden/>
              </w:rPr>
              <w:tab/>
            </w:r>
            <w:r w:rsidR="00243EDD">
              <w:rPr>
                <w:webHidden/>
              </w:rPr>
              <w:t>5-</w:t>
            </w:r>
            <w:r w:rsidR="00E06160">
              <w:rPr>
                <w:webHidden/>
              </w:rPr>
              <w:fldChar w:fldCharType="begin"/>
            </w:r>
            <w:r w:rsidR="00E06160">
              <w:rPr>
                <w:webHidden/>
              </w:rPr>
              <w:instrText xml:space="preserve"> PAGEREF _Toc414377251 \h </w:instrText>
            </w:r>
            <w:r w:rsidR="00E06160">
              <w:rPr>
                <w:webHidden/>
              </w:rPr>
            </w:r>
            <w:r w:rsidR="00E06160">
              <w:rPr>
                <w:webHidden/>
              </w:rPr>
              <w:fldChar w:fldCharType="separate"/>
            </w:r>
            <w:r w:rsidR="00793EAF">
              <w:rPr>
                <w:webHidden/>
              </w:rPr>
              <w:t>11</w:t>
            </w:r>
            <w:r w:rsidR="00E06160">
              <w:rPr>
                <w:webHidden/>
              </w:rPr>
              <w:fldChar w:fldCharType="end"/>
            </w:r>
          </w:hyperlink>
        </w:p>
        <w:p w:rsidR="00E06160" w:rsidRDefault="00F61928">
          <w:pPr>
            <w:pStyle w:val="TOC3"/>
            <w:rPr>
              <w:rFonts w:asciiTheme="minorHAnsi" w:eastAsiaTheme="minorEastAsia" w:hAnsiTheme="minorHAnsi"/>
              <w:lang w:eastAsia="en-AU"/>
            </w:rPr>
          </w:pPr>
          <w:hyperlink w:anchor="_Toc414377252" w:history="1">
            <w:r w:rsidR="00E06160" w:rsidRPr="00852A03">
              <w:rPr>
                <w:rStyle w:val="Hyperlink"/>
              </w:rPr>
              <w:t>5.4.2</w:t>
            </w:r>
            <w:r w:rsidR="00E06160">
              <w:rPr>
                <w:rFonts w:asciiTheme="minorHAnsi" w:eastAsiaTheme="minorEastAsia" w:hAnsiTheme="minorHAnsi"/>
                <w:lang w:eastAsia="en-AU"/>
              </w:rPr>
              <w:tab/>
            </w:r>
            <w:r w:rsidR="00E06160" w:rsidRPr="00852A03">
              <w:rPr>
                <w:rStyle w:val="Hyperlink"/>
              </w:rPr>
              <w:t>Remaining asset lives</w:t>
            </w:r>
            <w:r w:rsidR="00E06160">
              <w:rPr>
                <w:webHidden/>
              </w:rPr>
              <w:tab/>
            </w:r>
            <w:r w:rsidR="00243EDD">
              <w:rPr>
                <w:webHidden/>
              </w:rPr>
              <w:t>5-</w:t>
            </w:r>
            <w:r w:rsidR="00E06160">
              <w:rPr>
                <w:webHidden/>
              </w:rPr>
              <w:fldChar w:fldCharType="begin"/>
            </w:r>
            <w:r w:rsidR="00E06160">
              <w:rPr>
                <w:webHidden/>
              </w:rPr>
              <w:instrText xml:space="preserve"> PAGEREF _Toc414377252 \h </w:instrText>
            </w:r>
            <w:r w:rsidR="00E06160">
              <w:rPr>
                <w:webHidden/>
              </w:rPr>
            </w:r>
            <w:r w:rsidR="00E06160">
              <w:rPr>
                <w:webHidden/>
              </w:rPr>
              <w:fldChar w:fldCharType="separate"/>
            </w:r>
            <w:r w:rsidR="00793EAF">
              <w:rPr>
                <w:webHidden/>
              </w:rPr>
              <w:t>11</w:t>
            </w:r>
            <w:r w:rsidR="00E06160">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4377244"/>
      <w:r>
        <w:lastRenderedPageBreak/>
        <w:t>Shortened forms</w:t>
      </w:r>
      <w:bookmarkEnd w:id="7"/>
      <w:bookmarkEnd w:id="8"/>
    </w:p>
    <w:tbl>
      <w:tblPr>
        <w:tblStyle w:val="AERtable-numbers"/>
        <w:tblW w:w="0" w:type="auto"/>
        <w:tblLook w:val="04A0" w:firstRow="1" w:lastRow="0" w:firstColumn="1" w:lastColumn="0" w:noHBand="0" w:noVBand="1"/>
      </w:tblPr>
      <w:tblGrid>
        <w:gridCol w:w="4341"/>
        <w:gridCol w:w="4352"/>
      </w:tblGrid>
      <w:tr w:rsidR="00DE563D" w:rsidTr="00C872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augex</w:t>
            </w:r>
            <w:proofErr w:type="spellEnd"/>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7F7FA7" w:rsidP="007F7FA7">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DE563D" w:rsidP="007F7FA7">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expenditure forecast assessment </w:t>
            </w:r>
            <w:r w:rsidR="007F7FA7">
              <w:t>G</w:t>
            </w:r>
            <w:r>
              <w:t>uideline for electricity distribution</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7F7FA7">
              <w:t xml:space="preserve">and </w:t>
            </w:r>
            <w:r>
              <w:t>pricing principles</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E42CB0">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E42CB0">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C87242">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r w:rsidR="004E0C30" w:rsidTr="00C872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4E0C30" w:rsidRDefault="004E0C30" w:rsidP="00DE563D">
            <w:pPr>
              <w:pStyle w:val="AERtabletextleft"/>
            </w:pPr>
            <w:r>
              <w:t>WARL</w:t>
            </w:r>
          </w:p>
        </w:tc>
        <w:tc>
          <w:tcPr>
            <w:tcW w:w="4352" w:type="dxa"/>
          </w:tcPr>
          <w:p w:rsidR="004E0C30" w:rsidRDefault="004E0C30" w:rsidP="00E42CB0">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remaining life</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E57340" w:rsidRDefault="002E2E86" w:rsidP="00E57340">
      <w:pPr>
        <w:pStyle w:val="Heading1"/>
      </w:pPr>
      <w:bookmarkStart w:id="9" w:name="_Toc414377245"/>
      <w:r w:rsidRPr="00E57340">
        <w:lastRenderedPageBreak/>
        <w:t>Regulatory depreciation</w:t>
      </w:r>
      <w:bookmarkEnd w:id="9"/>
    </w:p>
    <w:p w:rsidR="00E15A7C" w:rsidRPr="009C3A35" w:rsidRDefault="00E15A7C" w:rsidP="00E15A7C">
      <w:r w:rsidRPr="009C3A35">
        <w:t xml:space="preserve">Depreciation is the allowance provided so capital investors recover their investment over the economic life of the asset (return of capital). We are required to decide on whether to approve the depreciation schedules submitted by </w:t>
      </w:r>
      <w:r w:rsidR="00E24943">
        <w:t>Ergon Energy</w:t>
      </w:r>
      <w:r>
        <w:t>.</w:t>
      </w:r>
      <w:r w:rsidRPr="00F433A3">
        <w:rPr>
          <w:rStyle w:val="FootnoteReference"/>
        </w:rPr>
        <w:footnoteReference w:id="1"/>
      </w:r>
      <w:r w:rsidRPr="009C3A35">
        <w:t xml:space="preserve"> In doing so, we make determinations on the indexation of </w:t>
      </w:r>
      <w:bookmarkStart w:id="10" w:name="_GoBack"/>
      <w:bookmarkEnd w:id="10"/>
      <w:r w:rsidRPr="009C3A35">
        <w:t xml:space="preserve">the regulatory asset base (RAB) and depreciation building blocks for </w:t>
      </w:r>
      <w:r w:rsidR="00465CBD">
        <w:t>Ergon Energy</w:t>
      </w:r>
      <w:r>
        <w:t>'s</w:t>
      </w:r>
      <w:r w:rsidRPr="009C3A35">
        <w:t xml:space="preserve"> 2015–20 regulatory control period.</w:t>
      </w:r>
      <w:r w:rsidRPr="00F433A3">
        <w:rPr>
          <w:rStyle w:val="FootnoteReference"/>
        </w:rPr>
        <w:footnoteReference w:id="2"/>
      </w:r>
      <w:r w:rsidRPr="009C3A35">
        <w:t xml:space="preserve"> The regulatory depreciation allowance is the net total of the straight-line depreciation (negative) and the indexation </w:t>
      </w:r>
      <w:r w:rsidR="00B103EC">
        <w:t xml:space="preserve">(positive) </w:t>
      </w:r>
      <w:r w:rsidRPr="009C3A35">
        <w:t xml:space="preserve">of the RAB. </w:t>
      </w:r>
    </w:p>
    <w:p w:rsidR="00DE563D" w:rsidRDefault="00E15A7C" w:rsidP="00DE563D">
      <w:r w:rsidRPr="009C3A35">
        <w:t xml:space="preserve">This attachment sets out our preliminary decision on </w:t>
      </w:r>
      <w:r w:rsidR="00465CBD">
        <w:t>Ergon Energy</w:t>
      </w:r>
      <w:r>
        <w:t>'s</w:t>
      </w:r>
      <w:r w:rsidRPr="009C3A35">
        <w:t xml:space="preserve"> regulatory depreciation allowance. It also presents our preliminary decision on the proposed depreciation schedules, including an assessment of the proposed standard</w:t>
      </w:r>
      <w:r w:rsidR="00E24943">
        <w:t xml:space="preserve"> asset lives</w:t>
      </w:r>
      <w:r w:rsidRPr="009C3A35">
        <w:t xml:space="preserve"> and remaining asset lives to be used for forecasting the depreciation allowance.</w:t>
      </w:r>
    </w:p>
    <w:p w:rsidR="00DE563D" w:rsidRPr="00E57340" w:rsidRDefault="00DE563D" w:rsidP="00E57340">
      <w:pPr>
        <w:pStyle w:val="Heading2"/>
      </w:pPr>
      <w:bookmarkStart w:id="11" w:name="_Toc403144136"/>
      <w:bookmarkStart w:id="12" w:name="_Toc414377246"/>
      <w:r w:rsidRPr="00E57340">
        <w:t>Preliminary decision</w:t>
      </w:r>
      <w:bookmarkEnd w:id="11"/>
      <w:bookmarkEnd w:id="12"/>
    </w:p>
    <w:p w:rsidR="00DE563D" w:rsidRDefault="00E15A7C" w:rsidP="00DE563D">
      <w:r w:rsidRPr="00F433A3">
        <w:t xml:space="preserve">We do not accept </w:t>
      </w:r>
      <w:r w:rsidR="00465CBD">
        <w:t>Ergon Energy</w:t>
      </w:r>
      <w:r>
        <w:t>'s</w:t>
      </w:r>
      <w:r w:rsidRPr="00F433A3">
        <w:t xml:space="preserve"> proposed regulatory depreciation allowance of $</w:t>
      </w:r>
      <w:r>
        <w:t>903.9 </w:t>
      </w:r>
      <w:r w:rsidRPr="00F433A3">
        <w:t>million ($ nominal) for the 2015–20 regulatory control period.</w:t>
      </w:r>
      <w:r w:rsidRPr="00F433A3">
        <w:rPr>
          <w:rStyle w:val="FootnoteReference"/>
        </w:rPr>
        <w:footnoteReference w:id="3"/>
      </w:r>
      <w:r w:rsidRPr="00F433A3">
        <w:t xml:space="preserve"> Instead, we determine a regulatory depreciation allowance of $</w:t>
      </w:r>
      <w:r w:rsidR="003735BC">
        <w:t>654.6 </w:t>
      </w:r>
      <w:r w:rsidRPr="00F433A3">
        <w:t xml:space="preserve">million ($ nominal) for </w:t>
      </w:r>
      <w:r w:rsidR="00465CBD">
        <w:t>Ergon Energy</w:t>
      </w:r>
      <w:r w:rsidRPr="00F433A3">
        <w:t xml:space="preserve">. This </w:t>
      </w:r>
      <w:r w:rsidR="00B103EC">
        <w:t xml:space="preserve">amount </w:t>
      </w:r>
      <w:r w:rsidRPr="00F433A3">
        <w:t>represents a decrease of $</w:t>
      </w:r>
      <w:r w:rsidR="003735BC">
        <w:t>249.3</w:t>
      </w:r>
      <w:r w:rsidRPr="00F433A3">
        <w:t xml:space="preserve"> million (or </w:t>
      </w:r>
      <w:r w:rsidR="003735BC">
        <w:t>27.6</w:t>
      </w:r>
      <w:r w:rsidRPr="00F433A3">
        <w:t xml:space="preserve"> per cent) </w:t>
      </w:r>
      <w:r w:rsidR="00B103EC">
        <w:t xml:space="preserve">on the </w:t>
      </w:r>
      <w:r w:rsidRPr="00F433A3">
        <w:t>proposed</w:t>
      </w:r>
      <w:r w:rsidR="00B103EC">
        <w:t xml:space="preserve"> amount</w:t>
      </w:r>
      <w:r w:rsidRPr="00F433A3">
        <w:t>. In coming to this decision</w:t>
      </w:r>
      <w:r>
        <w:t>:</w:t>
      </w:r>
    </w:p>
    <w:p w:rsidR="00DE563D" w:rsidRDefault="0005192A" w:rsidP="00E15A7C">
      <w:pPr>
        <w:pStyle w:val="AERbulletlistfirststyle"/>
      </w:pPr>
      <w:r>
        <w:t>We</w:t>
      </w:r>
      <w:r w:rsidR="00B103EC">
        <w:t xml:space="preserve"> a</w:t>
      </w:r>
      <w:r w:rsidR="00E15A7C" w:rsidRPr="00F433A3">
        <w:t xml:space="preserve">ccept </w:t>
      </w:r>
      <w:r w:rsidR="00465CBD">
        <w:t>Ergon Energy</w:t>
      </w:r>
      <w:r w:rsidR="00E15A7C">
        <w:t>'s</w:t>
      </w:r>
      <w:r w:rsidR="00E15A7C" w:rsidRPr="00F433A3">
        <w:t xml:space="preserve"> proposed asset classes, </w:t>
      </w:r>
      <w:r w:rsidR="00B103EC">
        <w:t xml:space="preserve">its </w:t>
      </w:r>
      <w:r w:rsidR="00E15A7C" w:rsidRPr="00F433A3">
        <w:t xml:space="preserve">straight-line depreciation method, and the standard asset lives used to calculate the regulatory depreciation allowance. We consider </w:t>
      </w:r>
      <w:r w:rsidR="00465CBD">
        <w:t>Ergon Energy</w:t>
      </w:r>
      <w:r w:rsidR="00E15A7C">
        <w:t xml:space="preserve">'s </w:t>
      </w:r>
      <w:r w:rsidR="00E15A7C" w:rsidRPr="00F433A3">
        <w:t>proposed asset classes and standard asset lives are consistent with those approved at the 2010</w:t>
      </w:r>
      <w:r w:rsidR="00870BC8">
        <w:t>–</w:t>
      </w:r>
      <w:r w:rsidR="00E15A7C" w:rsidRPr="00F433A3">
        <w:t>15 distribution determination</w:t>
      </w:r>
      <w:r w:rsidR="00B103EC">
        <w:t>,</w:t>
      </w:r>
      <w:r w:rsidR="00E15A7C" w:rsidRPr="00F433A3">
        <w:t xml:space="preserve"> and reflect the nature and economic lives of the assets.</w:t>
      </w:r>
      <w:r w:rsidR="00E15A7C" w:rsidRPr="00F433A3">
        <w:rPr>
          <w:rStyle w:val="FootnoteReference"/>
        </w:rPr>
        <w:footnoteReference w:id="4"/>
      </w:r>
    </w:p>
    <w:p w:rsidR="00E15A7C" w:rsidRDefault="0005192A" w:rsidP="00E15A7C">
      <w:pPr>
        <w:pStyle w:val="AERbulletlistfirststyle"/>
      </w:pPr>
      <w:r>
        <w:t>We</w:t>
      </w:r>
      <w:r w:rsidR="00B103EC">
        <w:t xml:space="preserve"> d</w:t>
      </w:r>
      <w:r w:rsidR="00527512">
        <w:t>o not a</w:t>
      </w:r>
      <w:r w:rsidR="007A67E5">
        <w:t>ccept</w:t>
      </w:r>
      <w:r w:rsidR="00D63F54">
        <w:t xml:space="preserve"> </w:t>
      </w:r>
      <w:r w:rsidR="00465CBD">
        <w:t>Ergon Energy</w:t>
      </w:r>
      <w:r w:rsidR="00E15A7C" w:rsidRPr="00F01ABB">
        <w:t xml:space="preserve">'s proposed average </w:t>
      </w:r>
      <w:r w:rsidR="00E15A7C">
        <w:t xml:space="preserve">depreciation </w:t>
      </w:r>
      <w:r w:rsidR="00E06160">
        <w:t>approach</w:t>
      </w:r>
      <w:r w:rsidR="00E15A7C" w:rsidRPr="00F01ABB">
        <w:t xml:space="preserve"> to calculate the remaining asset</w:t>
      </w:r>
      <w:r w:rsidR="00E15A7C">
        <w:t xml:space="preserve"> </w:t>
      </w:r>
      <w:r w:rsidR="00E15A7C" w:rsidRPr="00F01ABB">
        <w:t>lives at 1 July 201</w:t>
      </w:r>
      <w:r w:rsidR="00E15A7C">
        <w:t>5</w:t>
      </w:r>
      <w:r w:rsidR="00E15A7C" w:rsidRPr="00F01ABB">
        <w:t xml:space="preserve">. </w:t>
      </w:r>
      <w:r w:rsidR="00527512">
        <w:t>W</w:t>
      </w:r>
      <w:r w:rsidR="00E15A7C" w:rsidRPr="00F01ABB">
        <w:t xml:space="preserve">e </w:t>
      </w:r>
      <w:r w:rsidR="00527512">
        <w:t xml:space="preserve">instead </w:t>
      </w:r>
      <w:r w:rsidR="00E06160">
        <w:t xml:space="preserve">substitute remaining asset lives calculated </w:t>
      </w:r>
      <w:r w:rsidR="00527512">
        <w:t>us</w:t>
      </w:r>
      <w:r w:rsidR="00E06160">
        <w:t>ing a</w:t>
      </w:r>
      <w:r w:rsidR="00527512">
        <w:t xml:space="preserve"> weighted average approach. </w:t>
      </w:r>
    </w:p>
    <w:p w:rsidR="00E15A7C" w:rsidRDefault="0005192A" w:rsidP="00E15A7C">
      <w:pPr>
        <w:pStyle w:val="AERbulletlistfirststyle"/>
      </w:pPr>
      <w:r>
        <w:t>W</w:t>
      </w:r>
      <w:r w:rsidR="00B103EC">
        <w:t>e m</w:t>
      </w:r>
      <w:r w:rsidR="00E15A7C" w:rsidRPr="00F01ABB">
        <w:t xml:space="preserve">ade determinations on other components of </w:t>
      </w:r>
      <w:r w:rsidR="00465CBD">
        <w:t>Ergon Energy</w:t>
      </w:r>
      <w:r w:rsidR="00E15A7C">
        <w:t xml:space="preserve">'s </w:t>
      </w:r>
      <w:r w:rsidR="00E15A7C" w:rsidRPr="00F01ABB">
        <w:t xml:space="preserve">proposal </w:t>
      </w:r>
      <w:r w:rsidR="00B103EC">
        <w:t xml:space="preserve">that </w:t>
      </w:r>
      <w:r w:rsidR="00E15A7C" w:rsidRPr="00F01ABB">
        <w:t>also affect the forecast regulatory depreciation allowance—for example, the forecast capex (attachment 6) and the opening RAB value (attachment</w:t>
      </w:r>
      <w:r w:rsidR="00870BC8">
        <w:t> </w:t>
      </w:r>
      <w:r w:rsidR="00E15A7C" w:rsidRPr="00F01ABB">
        <w:t>2).</w:t>
      </w:r>
      <w:r w:rsidR="00E15A7C" w:rsidRPr="00E24943">
        <w:rPr>
          <w:rStyle w:val="AERbody"/>
          <w:vertAlign w:val="superscript"/>
        </w:rPr>
        <w:footnoteReference w:id="5"/>
      </w:r>
    </w:p>
    <w:p w:rsidR="004B31E6" w:rsidRDefault="004B31E6" w:rsidP="004B31E6">
      <w:pPr>
        <w:pStyle w:val="AERbulletlistfirststyle"/>
        <w:numPr>
          <w:ilvl w:val="0"/>
          <w:numId w:val="0"/>
        </w:numPr>
      </w:pPr>
      <w:r>
        <w:fldChar w:fldCharType="begin"/>
      </w:r>
      <w:r>
        <w:instrText xml:space="preserve"> REF _Ref410737033 \h </w:instrText>
      </w:r>
      <w:r>
        <w:fldChar w:fldCharType="separate"/>
      </w:r>
      <w:r w:rsidR="00C87242">
        <w:t xml:space="preserve">Table </w:t>
      </w:r>
      <w:r w:rsidR="00C87242">
        <w:rPr>
          <w:noProof/>
        </w:rPr>
        <w:t>5</w:t>
      </w:r>
      <w:r w:rsidR="00C87242">
        <w:t>.</w:t>
      </w:r>
      <w:r w:rsidR="00C87242">
        <w:rPr>
          <w:noProof/>
        </w:rPr>
        <w:t>1</w:t>
      </w:r>
      <w:r>
        <w:fldChar w:fldCharType="end"/>
      </w:r>
      <w:r>
        <w:t xml:space="preserve"> </w:t>
      </w:r>
      <w:r w:rsidRPr="004B31E6">
        <w:t xml:space="preserve">sets out our preliminary decision on the annual regulatory depreciation allowance for </w:t>
      </w:r>
      <w:r w:rsidR="00465CBD">
        <w:t>Ergon Energy</w:t>
      </w:r>
      <w:r w:rsidRPr="004B31E6">
        <w:t xml:space="preserve">'s 2015–20 regulatory control </w:t>
      </w:r>
      <w:proofErr w:type="gramStart"/>
      <w:r w:rsidRPr="004B31E6">
        <w:t>period</w:t>
      </w:r>
      <w:proofErr w:type="gramEnd"/>
      <w:r w:rsidRPr="004B31E6">
        <w:t>.</w:t>
      </w:r>
    </w:p>
    <w:p w:rsidR="004B31E6" w:rsidRDefault="004B31E6" w:rsidP="004B31E6">
      <w:pPr>
        <w:pStyle w:val="Caption"/>
      </w:pPr>
      <w:bookmarkStart w:id="13" w:name="_Ref410737033"/>
      <w:r>
        <w:lastRenderedPageBreak/>
        <w:t xml:space="preserve">Table </w:t>
      </w:r>
      <w:fldSimple w:instr=" STYLEREF 1 \s ">
        <w:r w:rsidR="00C87242">
          <w:rPr>
            <w:noProof/>
          </w:rPr>
          <w:t>5</w:t>
        </w:r>
      </w:fldSimple>
      <w:r w:rsidR="00E33176">
        <w:t>.</w:t>
      </w:r>
      <w:fldSimple w:instr=" SEQ Table \* ARABIC \s 1 ">
        <w:r w:rsidR="00C87242">
          <w:rPr>
            <w:noProof/>
          </w:rPr>
          <w:t>1</w:t>
        </w:r>
      </w:fldSimple>
      <w:bookmarkEnd w:id="13"/>
      <w:r>
        <w:tab/>
      </w:r>
      <w:r w:rsidRPr="004B31E6">
        <w:t xml:space="preserve">AER's preliminary decision on </w:t>
      </w:r>
      <w:r w:rsidR="00465CBD">
        <w:t>Ergon Energy</w:t>
      </w:r>
      <w:r w:rsidRPr="004B31E6">
        <w:t>'s depreciation allowance for the 2015–20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4B31E6" w:rsidRPr="00204479" w:rsidTr="001C6635">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B31E6" w:rsidRPr="004B31E6" w:rsidRDefault="004B31E6" w:rsidP="004B31E6">
            <w:r w:rsidRPr="00204479">
              <w:t> </w:t>
            </w:r>
          </w:p>
        </w:tc>
        <w:tc>
          <w:tcPr>
            <w:tcW w:w="897"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204479">
              <w:t>2015–16</w:t>
            </w:r>
          </w:p>
        </w:tc>
        <w:tc>
          <w:tcPr>
            <w:tcW w:w="898"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204479">
              <w:t>2016–17</w:t>
            </w:r>
          </w:p>
        </w:tc>
        <w:tc>
          <w:tcPr>
            <w:tcW w:w="898"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204479">
              <w:t>2017–18</w:t>
            </w:r>
          </w:p>
        </w:tc>
        <w:tc>
          <w:tcPr>
            <w:tcW w:w="897"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204479">
              <w:t>2018–19</w:t>
            </w:r>
          </w:p>
        </w:tc>
        <w:tc>
          <w:tcPr>
            <w:tcW w:w="898"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t>201</w:t>
            </w:r>
            <w:r w:rsidRPr="004B31E6">
              <w:t>9–20</w:t>
            </w:r>
          </w:p>
        </w:tc>
        <w:tc>
          <w:tcPr>
            <w:tcW w:w="898"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204479">
              <w:t>Total</w:t>
            </w:r>
          </w:p>
        </w:tc>
      </w:tr>
      <w:tr w:rsidR="003735BC" w:rsidRPr="00204479" w:rsidTr="001C6635">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3735BC" w:rsidRPr="003735BC" w:rsidRDefault="003735BC" w:rsidP="003735BC">
            <w:r w:rsidRPr="003735BC">
              <w:t>Straight-line depreciation</w:t>
            </w:r>
          </w:p>
        </w:tc>
        <w:tc>
          <w:tcPr>
            <w:tcW w:w="897"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pPr>
            <w:r w:rsidRPr="003735BC">
              <w:t>364.3</w:t>
            </w:r>
          </w:p>
        </w:tc>
        <w:tc>
          <w:tcPr>
            <w:tcW w:w="898"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pPr>
            <w:r w:rsidRPr="003735BC">
              <w:t>390.2</w:t>
            </w:r>
          </w:p>
        </w:tc>
        <w:tc>
          <w:tcPr>
            <w:tcW w:w="898"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pPr>
            <w:r w:rsidRPr="003735BC">
              <w:t>416.6</w:t>
            </w:r>
          </w:p>
        </w:tc>
        <w:tc>
          <w:tcPr>
            <w:tcW w:w="897"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pPr>
            <w:r w:rsidRPr="003735BC">
              <w:t>434.5</w:t>
            </w:r>
          </w:p>
        </w:tc>
        <w:tc>
          <w:tcPr>
            <w:tcW w:w="898"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pPr>
            <w:r w:rsidRPr="003735BC">
              <w:t>436.4</w:t>
            </w:r>
          </w:p>
        </w:tc>
        <w:tc>
          <w:tcPr>
            <w:tcW w:w="898"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pPr>
            <w:r w:rsidRPr="003735BC">
              <w:t>2042.0</w:t>
            </w:r>
          </w:p>
        </w:tc>
      </w:tr>
      <w:tr w:rsidR="003735BC" w:rsidRPr="00204479" w:rsidTr="001C6635">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3735BC" w:rsidRPr="003735BC" w:rsidRDefault="003735BC" w:rsidP="003735BC">
            <w:r w:rsidRPr="003735BC">
              <w:rPr>
                <w:rStyle w:val="AERtextitalic"/>
              </w:rPr>
              <w:t>Less:</w:t>
            </w:r>
            <w:r w:rsidRPr="003735BC">
              <w:t xml:space="preserve"> inflation indexation on opening RAB</w:t>
            </w:r>
          </w:p>
        </w:tc>
        <w:tc>
          <w:tcPr>
            <w:tcW w:w="897" w:type="dxa"/>
            <w:noWrap/>
            <w:vAlign w:val="bottom"/>
          </w:tcPr>
          <w:p w:rsidR="003735BC" w:rsidRPr="003735BC" w:rsidRDefault="003735BC" w:rsidP="003735BC">
            <w:pPr>
              <w:cnfStyle w:val="000000010000" w:firstRow="0" w:lastRow="0" w:firstColumn="0" w:lastColumn="0" w:oddVBand="0" w:evenVBand="0" w:oddHBand="0" w:evenHBand="1" w:firstRowFirstColumn="0" w:firstRowLastColumn="0" w:lastRowFirstColumn="0" w:lastRowLastColumn="0"/>
            </w:pPr>
            <w:r w:rsidRPr="003735BC">
              <w:t>257.6</w:t>
            </w:r>
          </w:p>
        </w:tc>
        <w:tc>
          <w:tcPr>
            <w:tcW w:w="898" w:type="dxa"/>
            <w:noWrap/>
            <w:vAlign w:val="bottom"/>
          </w:tcPr>
          <w:p w:rsidR="003735BC" w:rsidRPr="003735BC" w:rsidRDefault="003735BC" w:rsidP="003735BC">
            <w:pPr>
              <w:cnfStyle w:val="000000010000" w:firstRow="0" w:lastRow="0" w:firstColumn="0" w:lastColumn="0" w:oddVBand="0" w:evenVBand="0" w:oddHBand="0" w:evenHBand="1" w:firstRowFirstColumn="0" w:firstRowLastColumn="0" w:lastRowFirstColumn="0" w:lastRowLastColumn="0"/>
            </w:pPr>
            <w:r w:rsidRPr="003735BC">
              <w:t>269.0</w:t>
            </w:r>
          </w:p>
        </w:tc>
        <w:tc>
          <w:tcPr>
            <w:tcW w:w="898" w:type="dxa"/>
            <w:noWrap/>
            <w:vAlign w:val="bottom"/>
          </w:tcPr>
          <w:p w:rsidR="003735BC" w:rsidRPr="003735BC" w:rsidRDefault="003735BC" w:rsidP="003735BC">
            <w:pPr>
              <w:cnfStyle w:val="000000010000" w:firstRow="0" w:lastRow="0" w:firstColumn="0" w:lastColumn="0" w:oddVBand="0" w:evenVBand="0" w:oddHBand="0" w:evenHBand="1" w:firstRowFirstColumn="0" w:firstRowLastColumn="0" w:lastRowFirstColumn="0" w:lastRowLastColumn="0"/>
            </w:pPr>
            <w:r w:rsidRPr="003735BC">
              <w:t>279.3</w:t>
            </w:r>
          </w:p>
        </w:tc>
        <w:tc>
          <w:tcPr>
            <w:tcW w:w="897" w:type="dxa"/>
            <w:noWrap/>
            <w:vAlign w:val="bottom"/>
          </w:tcPr>
          <w:p w:rsidR="003735BC" w:rsidRPr="003735BC" w:rsidRDefault="003735BC" w:rsidP="003735BC">
            <w:pPr>
              <w:cnfStyle w:val="000000010000" w:firstRow="0" w:lastRow="0" w:firstColumn="0" w:lastColumn="0" w:oddVBand="0" w:evenVBand="0" w:oddHBand="0" w:evenHBand="1" w:firstRowFirstColumn="0" w:firstRowLastColumn="0" w:lastRowFirstColumn="0" w:lastRowLastColumn="0"/>
            </w:pPr>
            <w:r w:rsidRPr="003735BC">
              <w:t>287.3</w:t>
            </w:r>
          </w:p>
        </w:tc>
        <w:tc>
          <w:tcPr>
            <w:tcW w:w="898" w:type="dxa"/>
            <w:noWrap/>
            <w:vAlign w:val="bottom"/>
          </w:tcPr>
          <w:p w:rsidR="003735BC" w:rsidRPr="003735BC" w:rsidRDefault="003735BC" w:rsidP="003735BC">
            <w:pPr>
              <w:cnfStyle w:val="000000010000" w:firstRow="0" w:lastRow="0" w:firstColumn="0" w:lastColumn="0" w:oddVBand="0" w:evenVBand="0" w:oddHBand="0" w:evenHBand="1" w:firstRowFirstColumn="0" w:firstRowLastColumn="0" w:lastRowFirstColumn="0" w:lastRowLastColumn="0"/>
            </w:pPr>
            <w:r w:rsidRPr="003735BC">
              <w:t>294.1</w:t>
            </w:r>
          </w:p>
        </w:tc>
        <w:tc>
          <w:tcPr>
            <w:tcW w:w="898" w:type="dxa"/>
            <w:noWrap/>
            <w:vAlign w:val="bottom"/>
          </w:tcPr>
          <w:p w:rsidR="003735BC" w:rsidRPr="003735BC" w:rsidRDefault="003735BC" w:rsidP="003735BC">
            <w:pPr>
              <w:cnfStyle w:val="000000010000" w:firstRow="0" w:lastRow="0" w:firstColumn="0" w:lastColumn="0" w:oddVBand="0" w:evenVBand="0" w:oddHBand="0" w:evenHBand="1" w:firstRowFirstColumn="0" w:firstRowLastColumn="0" w:lastRowFirstColumn="0" w:lastRowLastColumn="0"/>
            </w:pPr>
            <w:r w:rsidRPr="003735BC">
              <w:t>1387.4</w:t>
            </w:r>
          </w:p>
        </w:tc>
      </w:tr>
      <w:tr w:rsidR="003735BC" w:rsidRPr="003735BC" w:rsidTr="001C6635">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3735BC" w:rsidRPr="003735BC" w:rsidRDefault="003735BC" w:rsidP="003735BC">
            <w:pPr>
              <w:rPr>
                <w:rStyle w:val="Strong"/>
              </w:rPr>
            </w:pPr>
            <w:r w:rsidRPr="003735BC">
              <w:rPr>
                <w:rStyle w:val="Strong"/>
              </w:rPr>
              <w:t>Regulatory depreciation</w:t>
            </w:r>
          </w:p>
        </w:tc>
        <w:tc>
          <w:tcPr>
            <w:tcW w:w="897"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rPr>
                <w:rStyle w:val="Strong"/>
              </w:rPr>
            </w:pPr>
            <w:r w:rsidRPr="003735BC">
              <w:rPr>
                <w:rStyle w:val="Strong"/>
              </w:rPr>
              <w:t>106.7</w:t>
            </w:r>
          </w:p>
        </w:tc>
        <w:tc>
          <w:tcPr>
            <w:tcW w:w="898"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rPr>
                <w:rStyle w:val="Strong"/>
              </w:rPr>
            </w:pPr>
            <w:r w:rsidRPr="003735BC">
              <w:rPr>
                <w:rStyle w:val="Strong"/>
              </w:rPr>
              <w:t>121.2</w:t>
            </w:r>
          </w:p>
        </w:tc>
        <w:tc>
          <w:tcPr>
            <w:tcW w:w="898"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rPr>
                <w:rStyle w:val="Strong"/>
              </w:rPr>
            </w:pPr>
            <w:r w:rsidRPr="003735BC">
              <w:rPr>
                <w:rStyle w:val="Strong"/>
              </w:rPr>
              <w:t>137.3</w:t>
            </w:r>
          </w:p>
        </w:tc>
        <w:tc>
          <w:tcPr>
            <w:tcW w:w="897"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rPr>
                <w:rStyle w:val="Strong"/>
              </w:rPr>
            </w:pPr>
            <w:r w:rsidRPr="003735BC">
              <w:rPr>
                <w:rStyle w:val="Strong"/>
              </w:rPr>
              <w:t>147.2</w:t>
            </w:r>
          </w:p>
        </w:tc>
        <w:tc>
          <w:tcPr>
            <w:tcW w:w="898"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rPr>
                <w:rStyle w:val="Strong"/>
              </w:rPr>
            </w:pPr>
            <w:r w:rsidRPr="003735BC">
              <w:rPr>
                <w:rStyle w:val="Strong"/>
              </w:rPr>
              <w:t>142.3</w:t>
            </w:r>
          </w:p>
        </w:tc>
        <w:tc>
          <w:tcPr>
            <w:tcW w:w="898" w:type="dxa"/>
            <w:noWrap/>
            <w:vAlign w:val="bottom"/>
          </w:tcPr>
          <w:p w:rsidR="003735BC" w:rsidRPr="003735BC" w:rsidRDefault="003735BC" w:rsidP="003735BC">
            <w:pPr>
              <w:cnfStyle w:val="000000000000" w:firstRow="0" w:lastRow="0" w:firstColumn="0" w:lastColumn="0" w:oddVBand="0" w:evenVBand="0" w:oddHBand="0" w:evenHBand="0" w:firstRowFirstColumn="0" w:firstRowLastColumn="0" w:lastRowFirstColumn="0" w:lastRowLastColumn="0"/>
              <w:rPr>
                <w:rStyle w:val="Strong"/>
              </w:rPr>
            </w:pPr>
            <w:r w:rsidRPr="003735BC">
              <w:rPr>
                <w:rStyle w:val="Strong"/>
              </w:rPr>
              <w:t>654.6</w:t>
            </w:r>
          </w:p>
        </w:tc>
      </w:tr>
    </w:tbl>
    <w:p w:rsidR="004B31E6" w:rsidRDefault="004B31E6" w:rsidP="004B31E6">
      <w:pPr>
        <w:pStyle w:val="AERtablesource"/>
      </w:pPr>
      <w:r>
        <w:t>Source:</w:t>
      </w:r>
      <w:r>
        <w:tab/>
      </w:r>
      <w:r w:rsidR="00D63F54">
        <w:t>AER analysis.</w:t>
      </w:r>
    </w:p>
    <w:p w:rsidR="00DE563D" w:rsidRPr="00E57340" w:rsidRDefault="001201F1" w:rsidP="00E57340">
      <w:pPr>
        <w:pStyle w:val="Heading2"/>
      </w:pPr>
      <w:bookmarkStart w:id="14" w:name="_Toc403144137"/>
      <w:bookmarkStart w:id="15" w:name="_Toc414377247"/>
      <w:r w:rsidRPr="00E57340">
        <w:t>E</w:t>
      </w:r>
      <w:r w:rsidR="00E57429" w:rsidRPr="00E57340">
        <w:t>rgon Energy's</w:t>
      </w:r>
      <w:r w:rsidR="00DE563D" w:rsidRPr="00E57340">
        <w:t xml:space="preserve"> proposal</w:t>
      </w:r>
      <w:bookmarkEnd w:id="14"/>
      <w:bookmarkEnd w:id="15"/>
    </w:p>
    <w:p w:rsidR="004B31E6" w:rsidRDefault="004B31E6" w:rsidP="004B31E6">
      <w:r w:rsidRPr="004B31E6">
        <w:t xml:space="preserve">For the 2015–20 regulatory control period, </w:t>
      </w:r>
      <w:r w:rsidR="00465CBD">
        <w:t xml:space="preserve">Ergon Energy </w:t>
      </w:r>
      <w:r w:rsidRPr="004B31E6">
        <w:t>proposed a total forecast regulatory depreciation allowance of $</w:t>
      </w:r>
      <w:r>
        <w:t>903.9 </w:t>
      </w:r>
      <w:r w:rsidRPr="004B31E6">
        <w:t xml:space="preserve">million ($ nominal). To calculate the depreciation allowance, </w:t>
      </w:r>
      <w:r w:rsidR="00465CBD">
        <w:t xml:space="preserve">Ergon Energy </w:t>
      </w:r>
      <w:r w:rsidRPr="004B31E6">
        <w:t>proposed to use:</w:t>
      </w:r>
      <w:r w:rsidRPr="004B31E6">
        <w:rPr>
          <w:rStyle w:val="FootnoteReference"/>
        </w:rPr>
        <w:footnoteReference w:id="6"/>
      </w:r>
    </w:p>
    <w:p w:rsidR="004B31E6" w:rsidRPr="004B31E6" w:rsidRDefault="004B31E6" w:rsidP="004B31E6">
      <w:pPr>
        <w:pStyle w:val="AERbulletlistfirststyle"/>
      </w:pPr>
      <w:r w:rsidRPr="004B31E6">
        <w:t xml:space="preserve">the straight-line depreciation method employed in </w:t>
      </w:r>
      <w:r w:rsidR="00B103EC">
        <w:t xml:space="preserve">our </w:t>
      </w:r>
      <w:r w:rsidRPr="004B31E6">
        <w:t>post-tax revenue model (PTRM)</w:t>
      </w:r>
    </w:p>
    <w:p w:rsidR="004B31E6" w:rsidRPr="004B31E6" w:rsidRDefault="004B31E6" w:rsidP="004B31E6">
      <w:pPr>
        <w:pStyle w:val="AERbulletlistfirststyle"/>
      </w:pPr>
      <w:r w:rsidRPr="004B31E6">
        <w:t xml:space="preserve">the closing RAB value as at 30 June 2015 derived from </w:t>
      </w:r>
      <w:r w:rsidR="00B103EC">
        <w:t>our roll forward model (</w:t>
      </w:r>
      <w:r w:rsidRPr="004B31E6">
        <w:t>RFM</w:t>
      </w:r>
      <w:r w:rsidR="00B103EC">
        <w:t>)</w:t>
      </w:r>
      <w:r w:rsidRPr="004B31E6">
        <w:t xml:space="preserve"> adjusted for the removal of </w:t>
      </w:r>
      <w:r w:rsidR="00C608BE">
        <w:t xml:space="preserve">reclassified </w:t>
      </w:r>
      <w:r w:rsidRPr="004B31E6">
        <w:t xml:space="preserve">metering assets </w:t>
      </w:r>
    </w:p>
    <w:p w:rsidR="004B31E6" w:rsidRPr="004B31E6" w:rsidRDefault="004B31E6" w:rsidP="004B31E6">
      <w:pPr>
        <w:pStyle w:val="AERbulletlistfirststyle"/>
      </w:pPr>
      <w:r w:rsidRPr="004B31E6">
        <w:t>proposed forecast capex for the 2015–20 regulatory control period</w:t>
      </w:r>
    </w:p>
    <w:p w:rsidR="004B31E6" w:rsidRPr="004B31E6" w:rsidRDefault="004B31E6" w:rsidP="004B31E6">
      <w:pPr>
        <w:pStyle w:val="AERbulletlistfirststyle"/>
      </w:pPr>
      <w:r>
        <w:t xml:space="preserve">an </w:t>
      </w:r>
      <w:r w:rsidRPr="004B31E6">
        <w:t xml:space="preserve">average </w:t>
      </w:r>
      <w:r>
        <w:t>depreciation approach</w:t>
      </w:r>
      <w:r w:rsidR="00E146F1">
        <w:rPr>
          <w:rStyle w:val="FootnoteReference"/>
        </w:rPr>
        <w:footnoteReference w:id="7"/>
      </w:r>
      <w:r>
        <w:t xml:space="preserve"> to calculating </w:t>
      </w:r>
      <w:r w:rsidRPr="004B31E6">
        <w:t xml:space="preserve">remaining asset lives </w:t>
      </w:r>
      <w:r w:rsidR="00B103EC">
        <w:t>for existing</w:t>
      </w:r>
      <w:r w:rsidRPr="004B31E6">
        <w:t xml:space="preserve"> assets at 30 June 2015</w:t>
      </w:r>
      <w:r w:rsidR="0093457A">
        <w:rPr>
          <w:rStyle w:val="FootnoteReference"/>
        </w:rPr>
        <w:footnoteReference w:id="8"/>
      </w:r>
    </w:p>
    <w:p w:rsidR="004B31E6" w:rsidRPr="004B31E6" w:rsidRDefault="004B31E6" w:rsidP="004B31E6">
      <w:pPr>
        <w:pStyle w:val="AERbulletlistfirststyle"/>
      </w:pPr>
      <w:r w:rsidRPr="004B31E6">
        <w:t xml:space="preserve">standard asset lives for depreciating new assets associated with forecast capex for the 2015–20 regulatory control period consistent with those approved </w:t>
      </w:r>
      <w:r w:rsidR="00B103EC">
        <w:t xml:space="preserve">in </w:t>
      </w:r>
      <w:r w:rsidRPr="004B31E6">
        <w:t xml:space="preserve">the 2010–15 distribution determination. </w:t>
      </w:r>
    </w:p>
    <w:p w:rsidR="004B31E6" w:rsidRDefault="004B31E6" w:rsidP="004B31E6">
      <w:r>
        <w:fldChar w:fldCharType="begin"/>
      </w:r>
      <w:r>
        <w:instrText xml:space="preserve"> REF _Ref410737492 \h </w:instrText>
      </w:r>
      <w:r>
        <w:fldChar w:fldCharType="separate"/>
      </w:r>
      <w:r w:rsidR="00C87242">
        <w:t xml:space="preserve">Table </w:t>
      </w:r>
      <w:r w:rsidR="00C87242">
        <w:rPr>
          <w:noProof/>
        </w:rPr>
        <w:t>5</w:t>
      </w:r>
      <w:r w:rsidR="00C87242">
        <w:t>.</w:t>
      </w:r>
      <w:r w:rsidR="00C87242">
        <w:rPr>
          <w:noProof/>
        </w:rPr>
        <w:t>2</w:t>
      </w:r>
      <w:r>
        <w:fldChar w:fldCharType="end"/>
      </w:r>
      <w:r w:rsidR="0093457A">
        <w:t xml:space="preserve"> </w:t>
      </w:r>
      <w:r w:rsidRPr="004B31E6">
        <w:t xml:space="preserve">sets out </w:t>
      </w:r>
      <w:r w:rsidR="00465CBD">
        <w:t>Ergon Energy</w:t>
      </w:r>
      <w:r>
        <w:t>'s</w:t>
      </w:r>
      <w:r w:rsidRPr="004B31E6">
        <w:t xml:space="preserve"> proposed depreciation allowance for the 2015–20 regulatory control </w:t>
      </w:r>
      <w:proofErr w:type="gramStart"/>
      <w:r w:rsidRPr="004B31E6">
        <w:t>period</w:t>
      </w:r>
      <w:proofErr w:type="gramEnd"/>
      <w:r w:rsidRPr="004B31E6">
        <w:t>.</w:t>
      </w:r>
    </w:p>
    <w:p w:rsidR="007A24EF" w:rsidRDefault="007A24EF" w:rsidP="004B31E6"/>
    <w:p w:rsidR="007A24EF" w:rsidRDefault="007A24EF" w:rsidP="004B31E6"/>
    <w:p w:rsidR="007A24EF" w:rsidRPr="004B31E6" w:rsidRDefault="007A24EF" w:rsidP="004B31E6"/>
    <w:p w:rsidR="00DE563D" w:rsidRDefault="004B31E6" w:rsidP="004B31E6">
      <w:pPr>
        <w:pStyle w:val="Caption"/>
      </w:pPr>
      <w:bookmarkStart w:id="16" w:name="_Ref410737492"/>
      <w:r>
        <w:lastRenderedPageBreak/>
        <w:t xml:space="preserve">Table </w:t>
      </w:r>
      <w:fldSimple w:instr=" STYLEREF 1 \s ">
        <w:r w:rsidR="00C87242">
          <w:rPr>
            <w:noProof/>
          </w:rPr>
          <w:t>5</w:t>
        </w:r>
      </w:fldSimple>
      <w:r w:rsidR="00E33176">
        <w:t>.</w:t>
      </w:r>
      <w:fldSimple w:instr=" SEQ Table \* ARABIC \s 1 ">
        <w:r w:rsidR="00C87242">
          <w:rPr>
            <w:noProof/>
          </w:rPr>
          <w:t>2</w:t>
        </w:r>
      </w:fldSimple>
      <w:bookmarkEnd w:id="16"/>
      <w:r>
        <w:tab/>
      </w:r>
      <w:r w:rsidR="00465CBD">
        <w:t>Ergon Energy</w:t>
      </w:r>
      <w:r w:rsidR="00325D62">
        <w:t>'s</w:t>
      </w:r>
      <w:r w:rsidR="00465CBD">
        <w:t xml:space="preserve"> </w:t>
      </w:r>
      <w:r w:rsidRPr="004B31E6">
        <w:t>proposed depreciation allowance for the 2015–20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4B31E6" w:rsidRPr="00204479" w:rsidTr="001C6635">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B31E6" w:rsidRPr="004B31E6" w:rsidRDefault="004B31E6" w:rsidP="004B31E6">
            <w:r w:rsidRPr="004B31E6">
              <w:t> </w:t>
            </w:r>
          </w:p>
        </w:tc>
        <w:tc>
          <w:tcPr>
            <w:tcW w:w="897"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4B31E6">
              <w:t>2015–16</w:t>
            </w:r>
          </w:p>
        </w:tc>
        <w:tc>
          <w:tcPr>
            <w:tcW w:w="898"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4B31E6">
              <w:t>2016–17</w:t>
            </w:r>
          </w:p>
        </w:tc>
        <w:tc>
          <w:tcPr>
            <w:tcW w:w="898"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4B31E6">
              <w:t>2017–18</w:t>
            </w:r>
          </w:p>
        </w:tc>
        <w:tc>
          <w:tcPr>
            <w:tcW w:w="897"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4B31E6">
              <w:t>2018–19</w:t>
            </w:r>
          </w:p>
        </w:tc>
        <w:tc>
          <w:tcPr>
            <w:tcW w:w="898"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4B31E6">
              <w:t>2019–20</w:t>
            </w:r>
          </w:p>
        </w:tc>
        <w:tc>
          <w:tcPr>
            <w:tcW w:w="898" w:type="dxa"/>
            <w:noWrap/>
            <w:hideMark/>
          </w:tcPr>
          <w:p w:rsidR="004B31E6" w:rsidRPr="004B31E6" w:rsidRDefault="004B31E6" w:rsidP="004B31E6">
            <w:pPr>
              <w:cnfStyle w:val="100000000000" w:firstRow="1" w:lastRow="0" w:firstColumn="0" w:lastColumn="0" w:oddVBand="0" w:evenVBand="0" w:oddHBand="0" w:evenHBand="0" w:firstRowFirstColumn="0" w:firstRowLastColumn="0" w:lastRowFirstColumn="0" w:lastRowLastColumn="0"/>
            </w:pPr>
            <w:r w:rsidRPr="004B31E6">
              <w:t>Total</w:t>
            </w:r>
          </w:p>
        </w:tc>
      </w:tr>
      <w:tr w:rsidR="004B31E6" w:rsidRPr="00204479" w:rsidTr="001C6635">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B31E6" w:rsidRPr="004B31E6" w:rsidRDefault="004B31E6" w:rsidP="004B31E6">
            <w:r w:rsidRPr="004B31E6">
              <w:t>Straight-line depreciation</w:t>
            </w:r>
          </w:p>
        </w:tc>
        <w:tc>
          <w:tcPr>
            <w:tcW w:w="897" w:type="dxa"/>
            <w:noWrap/>
            <w:vAlign w:val="bottom"/>
          </w:tcPr>
          <w:p w:rsidR="004B31E6" w:rsidRPr="004B31E6" w:rsidRDefault="004B31E6" w:rsidP="004B31E6">
            <w:pPr>
              <w:cnfStyle w:val="000000000000" w:firstRow="0" w:lastRow="0" w:firstColumn="0" w:lastColumn="0" w:oddVBand="0" w:evenVBand="0" w:oddHBand="0" w:evenHBand="0" w:firstRowFirstColumn="0" w:firstRowLastColumn="0" w:lastRowFirstColumn="0" w:lastRowLastColumn="0"/>
            </w:pPr>
            <w:r w:rsidRPr="004B31E6">
              <w:t>431.6</w:t>
            </w:r>
          </w:p>
        </w:tc>
        <w:tc>
          <w:tcPr>
            <w:tcW w:w="898" w:type="dxa"/>
            <w:noWrap/>
            <w:vAlign w:val="bottom"/>
          </w:tcPr>
          <w:p w:rsidR="004B31E6" w:rsidRPr="004B31E6" w:rsidRDefault="004B31E6" w:rsidP="004B31E6">
            <w:pPr>
              <w:cnfStyle w:val="000000000000" w:firstRow="0" w:lastRow="0" w:firstColumn="0" w:lastColumn="0" w:oddVBand="0" w:evenVBand="0" w:oddHBand="0" w:evenHBand="0" w:firstRowFirstColumn="0" w:firstRowLastColumn="0" w:lastRowFirstColumn="0" w:lastRowLastColumn="0"/>
            </w:pPr>
            <w:r w:rsidRPr="004B31E6">
              <w:t>465.5</w:t>
            </w:r>
          </w:p>
        </w:tc>
        <w:tc>
          <w:tcPr>
            <w:tcW w:w="898" w:type="dxa"/>
            <w:noWrap/>
            <w:vAlign w:val="bottom"/>
          </w:tcPr>
          <w:p w:rsidR="004B31E6" w:rsidRPr="004B31E6" w:rsidRDefault="004B31E6" w:rsidP="004B31E6">
            <w:pPr>
              <w:cnfStyle w:val="000000000000" w:firstRow="0" w:lastRow="0" w:firstColumn="0" w:lastColumn="0" w:oddVBand="0" w:evenVBand="0" w:oddHBand="0" w:evenHBand="0" w:firstRowFirstColumn="0" w:firstRowLastColumn="0" w:lastRowFirstColumn="0" w:lastRowLastColumn="0"/>
            </w:pPr>
            <w:r w:rsidRPr="004B31E6">
              <w:t>496.4</w:t>
            </w:r>
          </w:p>
        </w:tc>
        <w:tc>
          <w:tcPr>
            <w:tcW w:w="897" w:type="dxa"/>
            <w:noWrap/>
            <w:vAlign w:val="bottom"/>
          </w:tcPr>
          <w:p w:rsidR="004B31E6" w:rsidRPr="004B31E6" w:rsidRDefault="004B31E6" w:rsidP="004B31E6">
            <w:pPr>
              <w:cnfStyle w:val="000000000000" w:firstRow="0" w:lastRow="0" w:firstColumn="0" w:lastColumn="0" w:oddVBand="0" w:evenVBand="0" w:oddHBand="0" w:evenHBand="0" w:firstRowFirstColumn="0" w:firstRowLastColumn="0" w:lastRowFirstColumn="0" w:lastRowLastColumn="0"/>
            </w:pPr>
            <w:r w:rsidRPr="004B31E6">
              <w:t>462.7</w:t>
            </w:r>
          </w:p>
        </w:tc>
        <w:tc>
          <w:tcPr>
            <w:tcW w:w="898" w:type="dxa"/>
            <w:noWrap/>
            <w:vAlign w:val="bottom"/>
          </w:tcPr>
          <w:p w:rsidR="004B31E6" w:rsidRPr="004B31E6" w:rsidRDefault="004B31E6" w:rsidP="004B31E6">
            <w:pPr>
              <w:cnfStyle w:val="000000000000" w:firstRow="0" w:lastRow="0" w:firstColumn="0" w:lastColumn="0" w:oddVBand="0" w:evenVBand="0" w:oddHBand="0" w:evenHBand="0" w:firstRowFirstColumn="0" w:firstRowLastColumn="0" w:lastRowFirstColumn="0" w:lastRowLastColumn="0"/>
            </w:pPr>
            <w:r w:rsidRPr="004B31E6">
              <w:t>486.7</w:t>
            </w:r>
          </w:p>
        </w:tc>
        <w:tc>
          <w:tcPr>
            <w:tcW w:w="898" w:type="dxa"/>
            <w:noWrap/>
            <w:vAlign w:val="bottom"/>
          </w:tcPr>
          <w:p w:rsidR="004B31E6" w:rsidRPr="004B31E6" w:rsidRDefault="004B31E6" w:rsidP="004B31E6">
            <w:pPr>
              <w:cnfStyle w:val="000000000000" w:firstRow="0" w:lastRow="0" w:firstColumn="0" w:lastColumn="0" w:oddVBand="0" w:evenVBand="0" w:oddHBand="0" w:evenHBand="0" w:firstRowFirstColumn="0" w:firstRowLastColumn="0" w:lastRowFirstColumn="0" w:lastRowLastColumn="0"/>
            </w:pPr>
            <w:r w:rsidRPr="004B31E6">
              <w:t>2342.8</w:t>
            </w:r>
          </w:p>
        </w:tc>
      </w:tr>
      <w:tr w:rsidR="004B31E6" w:rsidRPr="00204479" w:rsidTr="001C6635">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B31E6" w:rsidRPr="004B31E6" w:rsidRDefault="004B31E6" w:rsidP="004B31E6">
            <w:r w:rsidRPr="00F318AB">
              <w:rPr>
                <w:rStyle w:val="AERtextitalic"/>
              </w:rPr>
              <w:t>Less:</w:t>
            </w:r>
            <w:r w:rsidRPr="004B31E6">
              <w:t xml:space="preserve"> inflation indexation on opening RAB</w:t>
            </w:r>
          </w:p>
        </w:tc>
        <w:tc>
          <w:tcPr>
            <w:tcW w:w="897" w:type="dxa"/>
            <w:noWrap/>
            <w:vAlign w:val="bottom"/>
          </w:tcPr>
          <w:p w:rsidR="004B31E6" w:rsidRPr="004B31E6" w:rsidRDefault="004B31E6" w:rsidP="004B31E6">
            <w:pPr>
              <w:cnfStyle w:val="000000010000" w:firstRow="0" w:lastRow="0" w:firstColumn="0" w:lastColumn="0" w:oddVBand="0" w:evenVBand="0" w:oddHBand="0" w:evenHBand="1" w:firstRowFirstColumn="0" w:firstRowLastColumn="0" w:lastRowFirstColumn="0" w:lastRowLastColumn="0"/>
            </w:pPr>
            <w:r w:rsidRPr="004B31E6">
              <w:t>258.1</w:t>
            </w:r>
          </w:p>
        </w:tc>
        <w:tc>
          <w:tcPr>
            <w:tcW w:w="898" w:type="dxa"/>
            <w:noWrap/>
            <w:vAlign w:val="bottom"/>
          </w:tcPr>
          <w:p w:rsidR="004B31E6" w:rsidRPr="004B31E6" w:rsidRDefault="004B31E6" w:rsidP="004B31E6">
            <w:pPr>
              <w:cnfStyle w:val="000000010000" w:firstRow="0" w:lastRow="0" w:firstColumn="0" w:lastColumn="0" w:oddVBand="0" w:evenVBand="0" w:oddHBand="0" w:evenHBand="1" w:firstRowFirstColumn="0" w:firstRowLastColumn="0" w:lastRowFirstColumn="0" w:lastRowLastColumn="0"/>
            </w:pPr>
            <w:r w:rsidRPr="004B31E6">
              <w:t>273.7</w:t>
            </w:r>
          </w:p>
        </w:tc>
        <w:tc>
          <w:tcPr>
            <w:tcW w:w="898" w:type="dxa"/>
            <w:noWrap/>
            <w:vAlign w:val="bottom"/>
          </w:tcPr>
          <w:p w:rsidR="004B31E6" w:rsidRPr="004B31E6" w:rsidRDefault="004B31E6" w:rsidP="004B31E6">
            <w:pPr>
              <w:cnfStyle w:val="000000010000" w:firstRow="0" w:lastRow="0" w:firstColumn="0" w:lastColumn="0" w:oddVBand="0" w:evenVBand="0" w:oddHBand="0" w:evenHBand="1" w:firstRowFirstColumn="0" w:firstRowLastColumn="0" w:lastRowFirstColumn="0" w:lastRowLastColumn="0"/>
            </w:pPr>
            <w:r w:rsidRPr="004B31E6">
              <w:t>288.7</w:t>
            </w:r>
          </w:p>
        </w:tc>
        <w:tc>
          <w:tcPr>
            <w:tcW w:w="897" w:type="dxa"/>
            <w:noWrap/>
            <w:vAlign w:val="bottom"/>
          </w:tcPr>
          <w:p w:rsidR="004B31E6" w:rsidRPr="004B31E6" w:rsidRDefault="004B31E6" w:rsidP="004B31E6">
            <w:pPr>
              <w:cnfStyle w:val="000000010000" w:firstRow="0" w:lastRow="0" w:firstColumn="0" w:lastColumn="0" w:oddVBand="0" w:evenVBand="0" w:oddHBand="0" w:evenHBand="1" w:firstRowFirstColumn="0" w:firstRowLastColumn="0" w:lastRowFirstColumn="0" w:lastRowLastColumn="0"/>
            </w:pPr>
            <w:r w:rsidRPr="004B31E6">
              <w:t>301.9</w:t>
            </w:r>
          </w:p>
        </w:tc>
        <w:tc>
          <w:tcPr>
            <w:tcW w:w="898" w:type="dxa"/>
            <w:noWrap/>
            <w:vAlign w:val="bottom"/>
          </w:tcPr>
          <w:p w:rsidR="004B31E6" w:rsidRPr="004B31E6" w:rsidRDefault="004B31E6" w:rsidP="004B31E6">
            <w:pPr>
              <w:cnfStyle w:val="000000010000" w:firstRow="0" w:lastRow="0" w:firstColumn="0" w:lastColumn="0" w:oddVBand="0" w:evenVBand="0" w:oddHBand="0" w:evenHBand="1" w:firstRowFirstColumn="0" w:firstRowLastColumn="0" w:lastRowFirstColumn="0" w:lastRowLastColumn="0"/>
            </w:pPr>
            <w:r w:rsidRPr="004B31E6">
              <w:t>316.4</w:t>
            </w:r>
          </w:p>
        </w:tc>
        <w:tc>
          <w:tcPr>
            <w:tcW w:w="898" w:type="dxa"/>
            <w:noWrap/>
            <w:vAlign w:val="bottom"/>
          </w:tcPr>
          <w:p w:rsidR="004B31E6" w:rsidRPr="004B31E6" w:rsidRDefault="004B31E6" w:rsidP="004B31E6">
            <w:pPr>
              <w:cnfStyle w:val="000000010000" w:firstRow="0" w:lastRow="0" w:firstColumn="0" w:lastColumn="0" w:oddVBand="0" w:evenVBand="0" w:oddHBand="0" w:evenHBand="1" w:firstRowFirstColumn="0" w:firstRowLastColumn="0" w:lastRowFirstColumn="0" w:lastRowLastColumn="0"/>
            </w:pPr>
            <w:r w:rsidRPr="004B31E6">
              <w:t>1438.8</w:t>
            </w:r>
          </w:p>
        </w:tc>
      </w:tr>
      <w:tr w:rsidR="004B31E6" w:rsidRPr="00204479" w:rsidTr="001C6635">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4B31E6" w:rsidRPr="00F318AB" w:rsidRDefault="004B31E6" w:rsidP="004B31E6">
            <w:pPr>
              <w:rPr>
                <w:rStyle w:val="Strong"/>
              </w:rPr>
            </w:pPr>
            <w:r w:rsidRPr="00F318AB">
              <w:rPr>
                <w:rStyle w:val="Strong"/>
              </w:rPr>
              <w:t>Regulatory depreciation</w:t>
            </w:r>
          </w:p>
        </w:tc>
        <w:tc>
          <w:tcPr>
            <w:tcW w:w="897" w:type="dxa"/>
            <w:noWrap/>
            <w:vAlign w:val="bottom"/>
          </w:tcPr>
          <w:p w:rsidR="004B31E6" w:rsidRPr="00F318AB" w:rsidRDefault="004B31E6" w:rsidP="004B31E6">
            <w:pPr>
              <w:cnfStyle w:val="000000000000" w:firstRow="0" w:lastRow="0" w:firstColumn="0" w:lastColumn="0" w:oddVBand="0" w:evenVBand="0" w:oddHBand="0" w:evenHBand="0" w:firstRowFirstColumn="0" w:firstRowLastColumn="0" w:lastRowFirstColumn="0" w:lastRowLastColumn="0"/>
              <w:rPr>
                <w:rStyle w:val="Strong"/>
              </w:rPr>
            </w:pPr>
            <w:r w:rsidRPr="00F318AB">
              <w:rPr>
                <w:rStyle w:val="Strong"/>
              </w:rPr>
              <w:t>173.5</w:t>
            </w:r>
          </w:p>
        </w:tc>
        <w:tc>
          <w:tcPr>
            <w:tcW w:w="898" w:type="dxa"/>
            <w:noWrap/>
            <w:vAlign w:val="bottom"/>
          </w:tcPr>
          <w:p w:rsidR="004B31E6" w:rsidRPr="00F318AB" w:rsidRDefault="004B31E6" w:rsidP="004B31E6">
            <w:pPr>
              <w:cnfStyle w:val="000000000000" w:firstRow="0" w:lastRow="0" w:firstColumn="0" w:lastColumn="0" w:oddVBand="0" w:evenVBand="0" w:oddHBand="0" w:evenHBand="0" w:firstRowFirstColumn="0" w:firstRowLastColumn="0" w:lastRowFirstColumn="0" w:lastRowLastColumn="0"/>
              <w:rPr>
                <w:rStyle w:val="Strong"/>
              </w:rPr>
            </w:pPr>
            <w:r w:rsidRPr="00F318AB">
              <w:rPr>
                <w:rStyle w:val="Strong"/>
              </w:rPr>
              <w:t>191.7</w:t>
            </w:r>
          </w:p>
        </w:tc>
        <w:tc>
          <w:tcPr>
            <w:tcW w:w="898" w:type="dxa"/>
            <w:noWrap/>
            <w:vAlign w:val="bottom"/>
          </w:tcPr>
          <w:p w:rsidR="004B31E6" w:rsidRPr="00F318AB" w:rsidRDefault="004B31E6" w:rsidP="004B31E6">
            <w:pPr>
              <w:cnfStyle w:val="000000000000" w:firstRow="0" w:lastRow="0" w:firstColumn="0" w:lastColumn="0" w:oddVBand="0" w:evenVBand="0" w:oddHBand="0" w:evenHBand="0" w:firstRowFirstColumn="0" w:firstRowLastColumn="0" w:lastRowFirstColumn="0" w:lastRowLastColumn="0"/>
              <w:rPr>
                <w:rStyle w:val="Strong"/>
              </w:rPr>
            </w:pPr>
            <w:r w:rsidRPr="00F318AB">
              <w:rPr>
                <w:rStyle w:val="Strong"/>
              </w:rPr>
              <w:t>207.7</w:t>
            </w:r>
          </w:p>
        </w:tc>
        <w:tc>
          <w:tcPr>
            <w:tcW w:w="897" w:type="dxa"/>
            <w:noWrap/>
            <w:vAlign w:val="bottom"/>
          </w:tcPr>
          <w:p w:rsidR="004B31E6" w:rsidRPr="00F318AB" w:rsidRDefault="004B31E6" w:rsidP="004B31E6">
            <w:pPr>
              <w:cnfStyle w:val="000000000000" w:firstRow="0" w:lastRow="0" w:firstColumn="0" w:lastColumn="0" w:oddVBand="0" w:evenVBand="0" w:oddHBand="0" w:evenHBand="0" w:firstRowFirstColumn="0" w:firstRowLastColumn="0" w:lastRowFirstColumn="0" w:lastRowLastColumn="0"/>
              <w:rPr>
                <w:rStyle w:val="Strong"/>
              </w:rPr>
            </w:pPr>
            <w:r w:rsidRPr="00F318AB">
              <w:rPr>
                <w:rStyle w:val="Strong"/>
              </w:rPr>
              <w:t>160.8</w:t>
            </w:r>
          </w:p>
        </w:tc>
        <w:tc>
          <w:tcPr>
            <w:tcW w:w="898" w:type="dxa"/>
            <w:noWrap/>
            <w:vAlign w:val="bottom"/>
          </w:tcPr>
          <w:p w:rsidR="004B31E6" w:rsidRPr="00F318AB" w:rsidRDefault="004B31E6" w:rsidP="004B31E6">
            <w:pPr>
              <w:cnfStyle w:val="000000000000" w:firstRow="0" w:lastRow="0" w:firstColumn="0" w:lastColumn="0" w:oddVBand="0" w:evenVBand="0" w:oddHBand="0" w:evenHBand="0" w:firstRowFirstColumn="0" w:firstRowLastColumn="0" w:lastRowFirstColumn="0" w:lastRowLastColumn="0"/>
              <w:rPr>
                <w:rStyle w:val="Strong"/>
              </w:rPr>
            </w:pPr>
            <w:r w:rsidRPr="00F318AB">
              <w:rPr>
                <w:rStyle w:val="Strong"/>
              </w:rPr>
              <w:t>170.3</w:t>
            </w:r>
          </w:p>
        </w:tc>
        <w:tc>
          <w:tcPr>
            <w:tcW w:w="898" w:type="dxa"/>
            <w:noWrap/>
            <w:vAlign w:val="bottom"/>
          </w:tcPr>
          <w:p w:rsidR="004B31E6" w:rsidRPr="00F318AB" w:rsidRDefault="004B31E6" w:rsidP="004B31E6">
            <w:pPr>
              <w:cnfStyle w:val="000000000000" w:firstRow="0" w:lastRow="0" w:firstColumn="0" w:lastColumn="0" w:oddVBand="0" w:evenVBand="0" w:oddHBand="0" w:evenHBand="0" w:firstRowFirstColumn="0" w:firstRowLastColumn="0" w:lastRowFirstColumn="0" w:lastRowLastColumn="0"/>
              <w:rPr>
                <w:rStyle w:val="Strong"/>
              </w:rPr>
            </w:pPr>
            <w:r w:rsidRPr="00F318AB">
              <w:rPr>
                <w:rStyle w:val="Strong"/>
              </w:rPr>
              <w:t>903.9</w:t>
            </w:r>
          </w:p>
        </w:tc>
      </w:tr>
    </w:tbl>
    <w:p w:rsidR="00DE563D" w:rsidRDefault="009865EA" w:rsidP="009865EA">
      <w:pPr>
        <w:pStyle w:val="AERtablesource"/>
      </w:pPr>
      <w:r>
        <w:t>Source:</w:t>
      </w:r>
      <w:r>
        <w:tab/>
        <w:t xml:space="preserve">Ergon Energy, </w:t>
      </w:r>
      <w:r w:rsidRPr="00D63F54">
        <w:rPr>
          <w:rStyle w:val="AERtextitalic"/>
        </w:rPr>
        <w:t>Regulatory Proposal</w:t>
      </w:r>
      <w:r>
        <w:t xml:space="preserve">, October 2014, </w:t>
      </w:r>
      <w:r w:rsidRPr="009865EA">
        <w:t>03.01.01 – Ergon Energy’s Building Block Components</w:t>
      </w:r>
      <w:r>
        <w:t>, p. 22.</w:t>
      </w:r>
    </w:p>
    <w:p w:rsidR="00DE563D" w:rsidRPr="00E57340" w:rsidRDefault="00DE563D" w:rsidP="00E57340">
      <w:pPr>
        <w:pStyle w:val="Heading2"/>
      </w:pPr>
      <w:bookmarkStart w:id="17" w:name="_Toc403144138"/>
      <w:bookmarkStart w:id="18" w:name="_Toc414377248"/>
      <w:r w:rsidRPr="00E57340">
        <w:t>AER’s assessment approach</w:t>
      </w:r>
      <w:bookmarkEnd w:id="17"/>
      <w:bookmarkEnd w:id="18"/>
    </w:p>
    <w:p w:rsidR="0093457A" w:rsidRPr="0093457A" w:rsidRDefault="0093457A" w:rsidP="0093457A">
      <w:r w:rsidRPr="0093457A">
        <w:t>We are required to determine the regulatory depreciation allowance as a part of a service provider's annual revenue requirement.</w:t>
      </w:r>
      <w:r w:rsidRPr="0093457A">
        <w:rPr>
          <w:rStyle w:val="FootnoteReference"/>
        </w:rPr>
        <w:footnoteReference w:id="9"/>
      </w:r>
      <w:r w:rsidRPr="0093457A">
        <w:t xml:space="preserve"> </w:t>
      </w:r>
      <w:r w:rsidR="00B103EC">
        <w:t xml:space="preserve">We make that calculation in the PTRM, relying </w:t>
      </w:r>
      <w:r w:rsidRPr="0093457A">
        <w:t>on several components. The calculation of depreciation in each year is governed by the value of assets included in the RAB at the beginning of the regulatory year</w:t>
      </w:r>
      <w:r w:rsidR="00B103EC">
        <w:t>,</w:t>
      </w:r>
      <w:r w:rsidRPr="0093457A">
        <w:t xml:space="preserve"> and </w:t>
      </w:r>
      <w:r w:rsidR="00B103EC">
        <w:t xml:space="preserve">by </w:t>
      </w:r>
      <w:r w:rsidRPr="0093457A">
        <w:t>the depreciation schedules.</w:t>
      </w:r>
      <w:r w:rsidRPr="0093457A">
        <w:rPr>
          <w:rStyle w:val="FootnoteReference"/>
        </w:rPr>
        <w:footnoteReference w:id="10"/>
      </w:r>
      <w:r w:rsidRPr="0093457A">
        <w:t xml:space="preserve"> </w:t>
      </w:r>
    </w:p>
    <w:p w:rsidR="0093457A" w:rsidRPr="0093457A" w:rsidRDefault="0093457A" w:rsidP="0093457A">
      <w:pPr>
        <w:numPr>
          <w:ilvl w:val="0"/>
          <w:numId w:val="25"/>
        </w:numPr>
      </w:pPr>
      <w:r w:rsidRPr="0093457A">
        <w:t>Our standard approach to calculating depreciation is to employ the straight-line method set out in the PTRM. We consider the straight-line method satisfies the NER requirements in clause 6.5.5(b). It provides an expenditure profile that reflects the nature of the assets over their economic life.</w:t>
      </w:r>
      <w:r w:rsidRPr="0093457A">
        <w:rPr>
          <w:rStyle w:val="FootnoteReference"/>
        </w:rPr>
        <w:footnoteReference w:id="11"/>
      </w:r>
      <w:r w:rsidRPr="0093457A">
        <w:t xml:space="preserve"> Regulatory practice has been to assign a standard asset life to each category of assets that represents the economic or technical life of </w:t>
      </w:r>
      <w:r w:rsidR="00B103EC">
        <w:t xml:space="preserve">that </w:t>
      </w:r>
      <w:r w:rsidRPr="0093457A">
        <w:t>asset or asset class. We must consider whether the proposed depreciation schedules conform to the following</w:t>
      </w:r>
      <w:r w:rsidR="00BC5738">
        <w:t xml:space="preserve"> key</w:t>
      </w:r>
      <w:r w:rsidRPr="0093457A">
        <w:t xml:space="preserve"> requirements:</w:t>
      </w:r>
    </w:p>
    <w:p w:rsidR="0093457A" w:rsidRPr="0093457A" w:rsidRDefault="0093457A" w:rsidP="0093457A">
      <w:pPr>
        <w:pStyle w:val="AERbulletlistfirststyle"/>
      </w:pPr>
      <w:r w:rsidRPr="0093457A">
        <w:t>the schedules depreciate using a profile that reflects the nature of the assets or category of assets over the economic life of that asset or category of assets</w:t>
      </w:r>
      <w:r w:rsidRPr="0093457A">
        <w:rPr>
          <w:rStyle w:val="FootnoteReference"/>
        </w:rPr>
        <w:footnoteReference w:id="12"/>
      </w:r>
    </w:p>
    <w:p w:rsidR="0093457A" w:rsidRPr="0093457A" w:rsidRDefault="0093457A" w:rsidP="0093457A">
      <w:pPr>
        <w:pStyle w:val="AERbulletlistfirststyle"/>
      </w:pPr>
      <w:r w:rsidRPr="0093457A">
        <w:t xml:space="preserve">the sum of the real value of the depreciation that is attributable to any asset </w:t>
      </w:r>
      <w:r w:rsidR="006610FE">
        <w:t>or</w:t>
      </w:r>
      <w:r w:rsidR="006610FE" w:rsidRPr="0093457A">
        <w:t xml:space="preserve"> </w:t>
      </w:r>
      <w:r w:rsidRPr="0093457A">
        <w:t>category of assets must be equivalent to the value at which that asset of category of assets was first included in the RAB for the relevant distribution system.</w:t>
      </w:r>
      <w:r w:rsidRPr="0093457A">
        <w:rPr>
          <w:rStyle w:val="FootnoteReference"/>
        </w:rPr>
        <w:footnoteReference w:id="13"/>
      </w:r>
    </w:p>
    <w:p w:rsidR="0093457A" w:rsidRPr="0093457A" w:rsidRDefault="0093457A" w:rsidP="00F318AB">
      <w:pPr>
        <w:rPr>
          <w:rStyle w:val="AERbody"/>
        </w:rPr>
      </w:pPr>
      <w:r w:rsidRPr="0093457A">
        <w:rPr>
          <w:rStyle w:val="AERbody"/>
        </w:rPr>
        <w:t>If a service provider‘s building block proposal does not comply with the above requirements, then we must determine the depreciation schedules for the purpose of calculating the depreciation for each regulatory year.</w:t>
      </w:r>
      <w:r w:rsidRPr="0093457A">
        <w:rPr>
          <w:rStyle w:val="FootnoteReference"/>
        </w:rPr>
        <w:footnoteReference w:id="14"/>
      </w:r>
    </w:p>
    <w:p w:rsidR="0093457A" w:rsidRPr="0093457A" w:rsidRDefault="0093457A" w:rsidP="00F318AB">
      <w:pPr>
        <w:rPr>
          <w:rStyle w:val="AERbody"/>
        </w:rPr>
      </w:pPr>
      <w:r w:rsidRPr="0093457A">
        <w:rPr>
          <w:rStyle w:val="AERbody"/>
        </w:rPr>
        <w:lastRenderedPageBreak/>
        <w:t xml:space="preserve">The regulatory depreciation allowance is an output of the PTRM. </w:t>
      </w:r>
      <w:r w:rsidR="007344D2">
        <w:rPr>
          <w:rStyle w:val="AERbody"/>
        </w:rPr>
        <w:t xml:space="preserve">So we </w:t>
      </w:r>
      <w:r w:rsidRPr="0093457A">
        <w:rPr>
          <w:rStyle w:val="AERbody"/>
        </w:rPr>
        <w:t xml:space="preserve">assessed the service provider's proposed regulatory depreciation allowance by analysing the proposed inputs to the PTRM for calculating </w:t>
      </w:r>
      <w:r w:rsidR="007344D2">
        <w:rPr>
          <w:rStyle w:val="AERbody"/>
        </w:rPr>
        <w:t xml:space="preserve">that </w:t>
      </w:r>
      <w:r w:rsidRPr="0093457A">
        <w:rPr>
          <w:rStyle w:val="AERbody"/>
        </w:rPr>
        <w:t xml:space="preserve">allowance. </w:t>
      </w:r>
      <w:r w:rsidR="0072020B" w:rsidRPr="0093457A">
        <w:rPr>
          <w:rStyle w:val="AERbody"/>
        </w:rPr>
        <w:t>The</w:t>
      </w:r>
      <w:r w:rsidR="0072020B">
        <w:rPr>
          <w:rStyle w:val="AERbody"/>
        </w:rPr>
        <w:t xml:space="preserve"> key</w:t>
      </w:r>
      <w:r w:rsidR="0072020B" w:rsidRPr="0093457A">
        <w:rPr>
          <w:rStyle w:val="AERbody"/>
        </w:rPr>
        <w:t xml:space="preserve"> </w:t>
      </w:r>
      <w:r w:rsidRPr="0093457A">
        <w:rPr>
          <w:rStyle w:val="AERbody"/>
        </w:rPr>
        <w:t>inputs include:</w:t>
      </w:r>
    </w:p>
    <w:p w:rsidR="0093457A" w:rsidRPr="0093457A" w:rsidRDefault="0093457A" w:rsidP="0093457A">
      <w:pPr>
        <w:pStyle w:val="AERbulletlistfirststyle"/>
      </w:pPr>
      <w:r w:rsidRPr="0093457A">
        <w:t>the opening RAB at 1 July 2015</w:t>
      </w:r>
    </w:p>
    <w:p w:rsidR="0093457A" w:rsidRPr="0093457A" w:rsidRDefault="0093457A" w:rsidP="0093457A">
      <w:pPr>
        <w:pStyle w:val="AERbulletlistfirststyle"/>
      </w:pPr>
      <w:r w:rsidRPr="0093457A">
        <w:t>the forecast net capex in the 2015–20 regulatory control period</w:t>
      </w:r>
    </w:p>
    <w:p w:rsidR="0093457A" w:rsidRPr="0093457A" w:rsidRDefault="0093457A" w:rsidP="0093457A">
      <w:pPr>
        <w:pStyle w:val="AERbulletlistfirststyle"/>
      </w:pPr>
      <w:r w:rsidRPr="0093457A">
        <w:t>the forecast inflation rate for th</w:t>
      </w:r>
      <w:r w:rsidR="007344D2">
        <w:t>at</w:t>
      </w:r>
      <w:r w:rsidRPr="0093457A">
        <w:t xml:space="preserve"> period</w:t>
      </w:r>
    </w:p>
    <w:p w:rsidR="0093457A" w:rsidRPr="0093457A" w:rsidRDefault="0093457A" w:rsidP="0093457A">
      <w:pPr>
        <w:pStyle w:val="AERbulletlistfirststyle"/>
      </w:pPr>
      <w:r w:rsidRPr="0093457A">
        <w:t xml:space="preserve">the standard asset life for each asset class—used for calculating the depreciation of new assets associated with forecast net capex in the </w:t>
      </w:r>
      <w:r w:rsidR="007344D2">
        <w:t>regulatory control</w:t>
      </w:r>
      <w:r w:rsidRPr="0093457A">
        <w:t xml:space="preserve"> period</w:t>
      </w:r>
    </w:p>
    <w:p w:rsidR="0093457A" w:rsidRPr="0093457A" w:rsidRDefault="0093457A" w:rsidP="0093457A">
      <w:pPr>
        <w:pStyle w:val="AERbulletlistfirststyle"/>
      </w:pPr>
      <w:r w:rsidRPr="0093457A">
        <w:t xml:space="preserve">the remaining asset life for each asset class—used for calculating the depreciation of existing assets associated </w:t>
      </w:r>
      <w:r w:rsidR="007344D2">
        <w:t xml:space="preserve">included in </w:t>
      </w:r>
      <w:r w:rsidRPr="0093457A">
        <w:t>the opening RAB at 1 July 2015.</w:t>
      </w:r>
    </w:p>
    <w:p w:rsidR="0093457A" w:rsidRPr="0093457A" w:rsidRDefault="0093457A" w:rsidP="0093457A">
      <w:pPr>
        <w:numPr>
          <w:ilvl w:val="0"/>
          <w:numId w:val="25"/>
        </w:numPr>
      </w:pPr>
      <w:r w:rsidRPr="0093457A">
        <w:t xml:space="preserve">Our preliminary decision on a service provider's regulatory depreciation allowance reflects our determinations on the forecast capex, forecast inflation and opening RAB at 1 July 2015 (the first </w:t>
      </w:r>
      <w:r w:rsidR="007344D2">
        <w:t xml:space="preserve">building block components </w:t>
      </w:r>
      <w:r w:rsidRPr="0093457A">
        <w:t>in the above list). Our determinations on these components of the service provider's proposal are discussed in attachments 6, 3 and 2 respectively.</w:t>
      </w:r>
    </w:p>
    <w:p w:rsidR="0093457A" w:rsidRPr="0093457A" w:rsidRDefault="0093457A" w:rsidP="0093457A">
      <w:pPr>
        <w:numPr>
          <w:ilvl w:val="0"/>
          <w:numId w:val="25"/>
        </w:numPr>
      </w:pPr>
      <w:r w:rsidRPr="0093457A">
        <w:t xml:space="preserve">In this attachment, we assess </w:t>
      </w:r>
      <w:r w:rsidR="00465CBD">
        <w:t>Ergon Energy</w:t>
      </w:r>
      <w:r w:rsidRPr="0093457A">
        <w:t>'s proposed standard asset lives against:</w:t>
      </w:r>
    </w:p>
    <w:p w:rsidR="0093457A" w:rsidRPr="0093457A" w:rsidRDefault="0093457A" w:rsidP="0093457A">
      <w:pPr>
        <w:pStyle w:val="AERbulletlistfirststyle"/>
      </w:pPr>
      <w:r w:rsidRPr="0093457A">
        <w:t>the approved standard asset lives in the distribution determination for the 2010–15 regulatory control period</w:t>
      </w:r>
    </w:p>
    <w:p w:rsidR="0093457A" w:rsidRPr="0093457A" w:rsidRDefault="0093457A" w:rsidP="0093457A">
      <w:pPr>
        <w:pStyle w:val="AERbulletlistfirststyle"/>
      </w:pPr>
      <w:r w:rsidRPr="0093457A">
        <w:t>the standard asset lives of comparable asset classes approved in our recent distribution determinations for other service providers.</w:t>
      </w:r>
    </w:p>
    <w:p w:rsidR="00DE563D" w:rsidRDefault="0093457A" w:rsidP="00DE563D">
      <w:r w:rsidRPr="0093457A">
        <w:rPr>
          <w:rStyle w:val="AERbody"/>
        </w:rPr>
        <w:t xml:space="preserve">We </w:t>
      </w:r>
      <w:r w:rsidR="007344D2">
        <w:rPr>
          <w:rStyle w:val="AERbody"/>
        </w:rPr>
        <w:t>use</w:t>
      </w:r>
      <w:r w:rsidRPr="0093457A">
        <w:rPr>
          <w:rStyle w:val="AERbody"/>
        </w:rPr>
        <w:t xml:space="preserve"> our standard approach </w:t>
      </w:r>
      <w:r w:rsidR="007344D2">
        <w:rPr>
          <w:rStyle w:val="AERbody"/>
        </w:rPr>
        <w:t xml:space="preserve">to </w:t>
      </w:r>
      <w:r w:rsidRPr="0093457A">
        <w:rPr>
          <w:rStyle w:val="AERbody"/>
        </w:rPr>
        <w:t>depreciat</w:t>
      </w:r>
      <w:r w:rsidR="007344D2">
        <w:rPr>
          <w:rStyle w:val="AERbody"/>
        </w:rPr>
        <w:t>e</w:t>
      </w:r>
      <w:r w:rsidRPr="0093457A">
        <w:rPr>
          <w:rStyle w:val="AERbody"/>
        </w:rPr>
        <w:t xml:space="preserve"> a service provider's existing assets in the PTRM by using the remaining asset lives at the start of a regulatory control period. Our preferred method to establish a remaining asset life for each asset class is the weighted average method. This method rolls forward the remaining asset life for an asset class from the beginning of the 2010–15 regulatory control period. </w:t>
      </w:r>
      <w:r w:rsidR="00461BC1">
        <w:rPr>
          <w:rStyle w:val="AERbody"/>
        </w:rPr>
        <w:t>As explained in this attachment, w</w:t>
      </w:r>
      <w:r w:rsidRPr="0093457A">
        <w:rPr>
          <w:rStyle w:val="AERbody"/>
        </w:rPr>
        <w:t xml:space="preserve">e consider this method </w:t>
      </w:r>
      <w:r w:rsidR="00461BC1">
        <w:rPr>
          <w:rStyle w:val="AERbody"/>
        </w:rPr>
        <w:t>is preferable to the method proposed by Ergon Energy</w:t>
      </w:r>
      <w:r w:rsidR="00261990">
        <w:rPr>
          <w:rStyle w:val="AERbody"/>
        </w:rPr>
        <w:t>. This is</w:t>
      </w:r>
      <w:r w:rsidR="00461BC1">
        <w:rPr>
          <w:rStyle w:val="AERbody"/>
        </w:rPr>
        <w:t xml:space="preserve"> because it </w:t>
      </w:r>
      <w:r w:rsidRPr="0093457A">
        <w:rPr>
          <w:rStyle w:val="AERbody"/>
        </w:rPr>
        <w:t xml:space="preserve">better reflects the mix of assets within </w:t>
      </w:r>
      <w:r w:rsidR="007344D2">
        <w:rPr>
          <w:rStyle w:val="AERbody"/>
        </w:rPr>
        <w:t xml:space="preserve">an </w:t>
      </w:r>
      <w:r w:rsidRPr="0093457A">
        <w:rPr>
          <w:rStyle w:val="AERbody"/>
        </w:rPr>
        <w:t xml:space="preserve">asset class, when they were acquired over that period (or if they were existing assets), and the remaining value of those assets (used as a weight) at the end of the period. </w:t>
      </w:r>
      <w:r w:rsidR="007344D2">
        <w:rPr>
          <w:rStyle w:val="AERbody"/>
        </w:rPr>
        <w:t xml:space="preserve">In this attachment we also </w:t>
      </w:r>
      <w:r w:rsidRPr="0093457A">
        <w:rPr>
          <w:rStyle w:val="AERbody"/>
        </w:rPr>
        <w:t xml:space="preserve">assess the outcomes of </w:t>
      </w:r>
      <w:r w:rsidR="007344D2" w:rsidRPr="003119AB">
        <w:rPr>
          <w:rStyle w:val="AERbody"/>
        </w:rPr>
        <w:t xml:space="preserve">the average depreciation approach proposed by </w:t>
      </w:r>
      <w:r w:rsidR="007344D2">
        <w:rPr>
          <w:rStyle w:val="AERbody"/>
        </w:rPr>
        <w:t>Ergon Energy</w:t>
      </w:r>
      <w:r w:rsidR="00461BC1">
        <w:rPr>
          <w:rStyle w:val="AERbody"/>
        </w:rPr>
        <w:t xml:space="preserve"> </w:t>
      </w:r>
      <w:r w:rsidRPr="0093457A">
        <w:rPr>
          <w:rStyle w:val="AERbody"/>
        </w:rPr>
        <w:t xml:space="preserve">against the outcomes of </w:t>
      </w:r>
      <w:r w:rsidR="007344D2">
        <w:rPr>
          <w:rStyle w:val="AERbody"/>
        </w:rPr>
        <w:t xml:space="preserve">our </w:t>
      </w:r>
      <w:r w:rsidRPr="0093457A">
        <w:rPr>
          <w:rStyle w:val="AERbody"/>
        </w:rPr>
        <w:t>preferred method.</w:t>
      </w:r>
    </w:p>
    <w:p w:rsidR="00DE563D" w:rsidRPr="00E57340" w:rsidRDefault="00DE563D" w:rsidP="00E57340">
      <w:pPr>
        <w:pStyle w:val="Heading3"/>
      </w:pPr>
      <w:bookmarkStart w:id="19" w:name="_Toc403144139"/>
      <w:bookmarkStart w:id="20" w:name="_Toc414377249"/>
      <w:r w:rsidRPr="00E57340">
        <w:t>Interrelationships</w:t>
      </w:r>
      <w:bookmarkEnd w:id="19"/>
      <w:bookmarkEnd w:id="20"/>
    </w:p>
    <w:p w:rsidR="0093457A" w:rsidRPr="0093457A" w:rsidRDefault="0093457A" w:rsidP="0093457A">
      <w:pPr>
        <w:numPr>
          <w:ilvl w:val="0"/>
          <w:numId w:val="24"/>
        </w:numPr>
      </w:pPr>
      <w:r w:rsidRPr="0093457A">
        <w:t>The regulatory depreciation allowance is a building block component of the annual revenue requirement.</w:t>
      </w:r>
      <w:r w:rsidRPr="0093457A">
        <w:rPr>
          <w:rStyle w:val="FootnoteReference"/>
        </w:rPr>
        <w:footnoteReference w:id="15"/>
      </w:r>
      <w:r w:rsidRPr="0093457A">
        <w:t xml:space="preserve"> Higher (or quicker) depreciation leads to higher revenues over the regulatory control period. It also causes the RAB to reduce more quickly (assuming </w:t>
      </w:r>
      <w:r w:rsidRPr="0093457A">
        <w:lastRenderedPageBreak/>
        <w:t xml:space="preserve">no further capex). This </w:t>
      </w:r>
      <w:r w:rsidR="007344D2">
        <w:t xml:space="preserve">outcome </w:t>
      </w:r>
      <w:r w:rsidRPr="0093457A">
        <w:t xml:space="preserve">reduces the return on capital allowance, although this impact is usually secondary to the increased depreciation allowance. </w:t>
      </w:r>
    </w:p>
    <w:p w:rsidR="0093457A" w:rsidRPr="0093457A" w:rsidRDefault="0093457A" w:rsidP="0093457A">
      <w:pPr>
        <w:numPr>
          <w:ilvl w:val="0"/>
          <w:numId w:val="24"/>
        </w:numPr>
      </w:pPr>
      <w:r w:rsidRPr="0093457A">
        <w:t xml:space="preserve">Ultimately, however, a service provider can recover </w:t>
      </w:r>
      <w:r w:rsidR="007344D2">
        <w:t xml:space="preserve">only once </w:t>
      </w:r>
      <w:r w:rsidRPr="0093457A">
        <w:t xml:space="preserve">the capex </w:t>
      </w:r>
      <w:r w:rsidR="007344D2">
        <w:t xml:space="preserve">that </w:t>
      </w:r>
      <w:r w:rsidRPr="0093457A">
        <w:t>it incurred on assets. The depreciation allowance reflects how quickly the RAB is being recovered</w:t>
      </w:r>
      <w:r w:rsidR="007641E8">
        <w:t>,</w:t>
      </w:r>
      <w:r w:rsidRPr="0093457A">
        <w:t xml:space="preserve"> and </w:t>
      </w:r>
      <w:r w:rsidR="007641E8">
        <w:t xml:space="preserve">it </w:t>
      </w:r>
      <w:r w:rsidRPr="0093457A">
        <w:t xml:space="preserve">is based on the remaining and standard asset lives used in the depreciation calculation. </w:t>
      </w:r>
      <w:r w:rsidR="007641E8">
        <w:t>It also</w:t>
      </w:r>
      <w:r w:rsidRPr="0093457A">
        <w:t xml:space="preserve"> depends on the level of the opening RAB and the forecast capex. Any increase in these factors also increases the depreciation allowance. </w:t>
      </w:r>
    </w:p>
    <w:p w:rsidR="0093457A" w:rsidRPr="0093457A" w:rsidRDefault="0093457A" w:rsidP="0093457A">
      <w:pPr>
        <w:numPr>
          <w:ilvl w:val="0"/>
          <w:numId w:val="24"/>
        </w:numPr>
      </w:pPr>
      <w:r w:rsidRPr="0093457A">
        <w:t xml:space="preserve">To prevent double counting of inflation through the WACC and </w:t>
      </w:r>
      <w:r w:rsidR="007641E8">
        <w:t xml:space="preserve">the </w:t>
      </w:r>
      <w:r w:rsidRPr="0093457A">
        <w:t>RAB, the regulatory depreciation allowance also has an offsetting reduction for indexation of the RAB.</w:t>
      </w:r>
      <w:r w:rsidRPr="0093457A">
        <w:rPr>
          <w:rStyle w:val="FootnoteReference"/>
        </w:rPr>
        <w:footnoteReference w:id="16"/>
      </w:r>
      <w:r w:rsidRPr="0093457A">
        <w:t xml:space="preserve"> Factors that affect forecast inflation and/or the size of the RAB will affect the size of this indexation adjustment. </w:t>
      </w:r>
      <w:r w:rsidR="001520FC">
        <w:t>A number of submissions raised concerns with indexation of the RAB</w:t>
      </w:r>
      <w:r w:rsidR="001520FC">
        <w:rPr>
          <w:rStyle w:val="FootnoteReference"/>
        </w:rPr>
        <w:footnoteReference w:id="17"/>
      </w:r>
      <w:r w:rsidR="001520FC">
        <w:t xml:space="preserve">, but </w:t>
      </w:r>
      <w:r w:rsidR="00251B69">
        <w:t>did not acknowledge</w:t>
      </w:r>
      <w:r w:rsidR="001520FC">
        <w:t xml:space="preserve"> the impact it </w:t>
      </w:r>
      <w:r w:rsidR="00251B69">
        <w:t xml:space="preserve">also </w:t>
      </w:r>
      <w:r w:rsidR="001520FC">
        <w:t>has on the depreciation building block.</w:t>
      </w:r>
      <w:r w:rsidR="001520FC" w:rsidRPr="00A01361">
        <w:t xml:space="preserve"> Even if allowed under the NER,</w:t>
      </w:r>
      <w:r w:rsidR="001520FC">
        <w:t xml:space="preserve"> moving to an unindexed RAB would also require the removal of the offsetting reduction to the depreciation. This would lead to a price increase over the short to medium term and when new lumpy assets are added to the RAB.</w:t>
      </w:r>
      <w:r w:rsidR="001520FC">
        <w:rPr>
          <w:rStyle w:val="FootnoteReference"/>
        </w:rPr>
        <w:footnoteReference w:id="18"/>
      </w:r>
    </w:p>
    <w:p w:rsidR="00DE563D" w:rsidRDefault="0093457A" w:rsidP="00ED6707">
      <w:r w:rsidRPr="0093457A">
        <w:t xml:space="preserve">Figure </w:t>
      </w:r>
      <w:r w:rsidR="00576359">
        <w:t>2.1</w:t>
      </w:r>
      <w:r w:rsidRPr="0093457A">
        <w:t xml:space="preserve"> (in attachment 2) shows the relative size of the inflation and straight-line depreciation and their impact on the RAB. A </w:t>
      </w:r>
      <w:r w:rsidR="007641E8">
        <w:t>10</w:t>
      </w:r>
      <w:r w:rsidRPr="0093457A">
        <w:t xml:space="preserve"> per cent increase in the straight-line depreciation causes revenues to increase by </w:t>
      </w:r>
      <w:r w:rsidRPr="00ED6707">
        <w:t xml:space="preserve">about </w:t>
      </w:r>
      <w:r w:rsidR="00ED6707">
        <w:t>3.3</w:t>
      </w:r>
      <w:r w:rsidRPr="00ED6707">
        <w:t xml:space="preserve"> per</w:t>
      </w:r>
      <w:r w:rsidRPr="0093457A">
        <w:t xml:space="preserve"> cent. </w:t>
      </w:r>
    </w:p>
    <w:p w:rsidR="00DE563D" w:rsidRPr="00E57340" w:rsidRDefault="00DE563D" w:rsidP="00E57340">
      <w:pPr>
        <w:pStyle w:val="Heading2"/>
      </w:pPr>
      <w:bookmarkStart w:id="21" w:name="_Toc403144140"/>
      <w:bookmarkStart w:id="22" w:name="_Toc414377250"/>
      <w:r w:rsidRPr="00E57340">
        <w:t>Reasons for preliminary decision</w:t>
      </w:r>
      <w:bookmarkEnd w:id="21"/>
      <w:bookmarkEnd w:id="22"/>
      <w:r w:rsidRPr="00E57340">
        <w:t xml:space="preserve"> </w:t>
      </w:r>
    </w:p>
    <w:p w:rsidR="001C6635" w:rsidRDefault="0092519A" w:rsidP="00DE563D">
      <w:r w:rsidRPr="0092519A">
        <w:t xml:space="preserve">We accept </w:t>
      </w:r>
      <w:r>
        <w:t>Ergon Energy</w:t>
      </w:r>
      <w:r w:rsidRPr="0092519A">
        <w:t>'s proposed straight-line depreciation method for calculating the regulatory depreciation allowance as set out in the PTRM</w:t>
      </w:r>
      <w:r>
        <w:t xml:space="preserve"> and </w:t>
      </w:r>
      <w:r w:rsidRPr="0092519A">
        <w:t xml:space="preserve">the </w:t>
      </w:r>
      <w:r w:rsidR="004B4218" w:rsidRPr="0092519A">
        <w:t xml:space="preserve">proposed </w:t>
      </w:r>
      <w:r w:rsidRPr="0092519A">
        <w:t>standard asset lives</w:t>
      </w:r>
      <w:r>
        <w:t xml:space="preserve">. </w:t>
      </w:r>
      <w:r w:rsidR="00E06160">
        <w:t>However, w</w:t>
      </w:r>
      <w:r>
        <w:t xml:space="preserve">e </w:t>
      </w:r>
      <w:r w:rsidR="001C6635">
        <w:t xml:space="preserve">do not accept </w:t>
      </w:r>
      <w:r>
        <w:t xml:space="preserve">the proposed </w:t>
      </w:r>
      <w:r w:rsidRPr="0092519A">
        <w:t xml:space="preserve">average </w:t>
      </w:r>
      <w:r>
        <w:t xml:space="preserve">depreciation </w:t>
      </w:r>
      <w:r w:rsidRPr="0092519A">
        <w:t>method</w:t>
      </w:r>
      <w:r w:rsidR="007641E8">
        <w:t xml:space="preserve"> used</w:t>
      </w:r>
      <w:r w:rsidRPr="0092519A">
        <w:t xml:space="preserve"> to calculate the remaining asset lives at 1 July 2015. </w:t>
      </w:r>
    </w:p>
    <w:p w:rsidR="00DE563D" w:rsidRDefault="0092519A" w:rsidP="00DE563D">
      <w:r>
        <w:t>Overall</w:t>
      </w:r>
      <w:r w:rsidRPr="0092519A">
        <w:t xml:space="preserve">, we </w:t>
      </w:r>
      <w:r w:rsidR="00E06160">
        <w:t>reduced</w:t>
      </w:r>
      <w:r w:rsidRPr="0092519A">
        <w:t xml:space="preserve"> </w:t>
      </w:r>
      <w:r>
        <w:t>Ergon Energy</w:t>
      </w:r>
      <w:r w:rsidRPr="0092519A">
        <w:t>'s proposed forecast regulatory depreciation allowance by $</w:t>
      </w:r>
      <w:r w:rsidR="00ED6707">
        <w:t>249.3 </w:t>
      </w:r>
      <w:r w:rsidRPr="0092519A">
        <w:t xml:space="preserve">million (or </w:t>
      </w:r>
      <w:r w:rsidR="00ED6707">
        <w:t>27.6</w:t>
      </w:r>
      <w:r w:rsidRPr="0092519A">
        <w:t xml:space="preserve"> per cent) to $</w:t>
      </w:r>
      <w:r w:rsidR="00ED6707">
        <w:t>654.6</w:t>
      </w:r>
      <w:r w:rsidRPr="0092519A">
        <w:t xml:space="preserve"> million. </w:t>
      </w:r>
      <w:r w:rsidR="007641E8">
        <w:t xml:space="preserve">This </w:t>
      </w:r>
      <w:r w:rsidRPr="0092519A">
        <w:t xml:space="preserve">amendment </w:t>
      </w:r>
      <w:r w:rsidR="004B4218">
        <w:t>also</w:t>
      </w:r>
      <w:r w:rsidR="004B4218" w:rsidRPr="0092519A">
        <w:t xml:space="preserve"> </w:t>
      </w:r>
      <w:r w:rsidR="007641E8">
        <w:t xml:space="preserve">reflects </w:t>
      </w:r>
      <w:r w:rsidRPr="0092519A">
        <w:t xml:space="preserve">our determination on other components of </w:t>
      </w:r>
      <w:r>
        <w:t>Ergon Energy</w:t>
      </w:r>
      <w:r w:rsidRPr="0092519A">
        <w:t>'s regulatory proposal—for example, the forecast capex (attachment 6)</w:t>
      </w:r>
      <w:r w:rsidR="006150D7">
        <w:t xml:space="preserve">, </w:t>
      </w:r>
      <w:r w:rsidR="006150D7" w:rsidRPr="001121F4">
        <w:t xml:space="preserve">the forecast inflation rate </w:t>
      </w:r>
      <w:r w:rsidR="006150D7" w:rsidRPr="001121F4">
        <w:lastRenderedPageBreak/>
        <w:t>(attachment 3)</w:t>
      </w:r>
      <w:r w:rsidRPr="0092519A">
        <w:t xml:space="preserve"> and the opening RAB as at 1 July 2015 (attachment 2)—</w:t>
      </w:r>
      <w:r w:rsidR="007641E8">
        <w:t xml:space="preserve">that </w:t>
      </w:r>
      <w:r w:rsidRPr="0092519A">
        <w:t>affect the forecast regulatory depreciation allowance.</w:t>
      </w:r>
    </w:p>
    <w:p w:rsidR="0093457A" w:rsidRPr="0093457A" w:rsidRDefault="0093457A" w:rsidP="0093457A">
      <w:pPr>
        <w:pStyle w:val="Heading3"/>
      </w:pPr>
      <w:bookmarkStart w:id="23" w:name="_Toc414377251"/>
      <w:r w:rsidRPr="0093457A">
        <w:t>Standard asset lives</w:t>
      </w:r>
      <w:bookmarkEnd w:id="23"/>
    </w:p>
    <w:p w:rsidR="00E06160" w:rsidRDefault="0092519A" w:rsidP="0092519A">
      <w:r w:rsidRPr="0092519A">
        <w:t xml:space="preserve">We accept </w:t>
      </w:r>
      <w:r>
        <w:t>Ergon Energy</w:t>
      </w:r>
      <w:r w:rsidRPr="0092519A">
        <w:t xml:space="preserve">'s proposed standard asset lives for its existing asset classes. These lives are consistent with </w:t>
      </w:r>
      <w:r>
        <w:t>the</w:t>
      </w:r>
      <w:r w:rsidRPr="0092519A">
        <w:t xml:space="preserve"> approved standard asset lives for the 2010–15 regulatory control period and comparable with the standard asset lives approved in our recent determinations for other electricity distribution service providers.</w:t>
      </w:r>
      <w:r w:rsidR="002E3076">
        <w:t xml:space="preserve"> </w:t>
      </w:r>
      <w:r w:rsidR="00E06160" w:rsidRPr="00E06160">
        <w:t>We are satisfied these proposed standard asset lives reflect the nature of the assets over the economic lives of the asset classes.</w:t>
      </w:r>
      <w:r w:rsidR="00E06160" w:rsidRPr="00E06160">
        <w:rPr>
          <w:rStyle w:val="FootnoteReference"/>
        </w:rPr>
        <w:footnoteReference w:id="19"/>
      </w:r>
    </w:p>
    <w:p w:rsidR="00DE563D" w:rsidRDefault="002E3076" w:rsidP="0092519A">
      <w:r>
        <w:t xml:space="preserve">We have updated the standard asset life for </w:t>
      </w:r>
      <w:r w:rsidR="00E06160">
        <w:t xml:space="preserve">the </w:t>
      </w:r>
      <w:r>
        <w:t xml:space="preserve">'Equity raising costs' </w:t>
      </w:r>
      <w:r w:rsidR="00E06160">
        <w:t>asset class to reflect</w:t>
      </w:r>
      <w:r>
        <w:t xml:space="preserve"> changes to the opening RAB. We used the same weighted average approach to determining the standard asset life as approved for the 2010–15 regulatory control period.</w:t>
      </w:r>
    </w:p>
    <w:p w:rsidR="0093457A" w:rsidRDefault="0093457A" w:rsidP="0093457A">
      <w:pPr>
        <w:pStyle w:val="Heading3"/>
      </w:pPr>
      <w:bookmarkStart w:id="24" w:name="_Toc414377252"/>
      <w:r>
        <w:t>Remaining asset lives</w:t>
      </w:r>
      <w:bookmarkEnd w:id="24"/>
    </w:p>
    <w:p w:rsidR="007A67E5" w:rsidRDefault="007A67E5" w:rsidP="00FA1890">
      <w:pPr>
        <w:pStyle w:val="AERbulletlistfirststyle"/>
        <w:numPr>
          <w:ilvl w:val="0"/>
          <w:numId w:val="24"/>
        </w:numPr>
      </w:pPr>
      <w:r w:rsidRPr="007A67E5">
        <w:rPr>
          <w:rStyle w:val="AERbody"/>
        </w:rPr>
        <w:t xml:space="preserve">We </w:t>
      </w:r>
      <w:r w:rsidR="001C6635">
        <w:rPr>
          <w:rStyle w:val="AERbody"/>
        </w:rPr>
        <w:t xml:space="preserve">do not </w:t>
      </w:r>
      <w:r w:rsidRPr="007A67E5">
        <w:rPr>
          <w:rStyle w:val="AERbody"/>
        </w:rPr>
        <w:t>accept Ergon Energy's</w:t>
      </w:r>
      <w:r w:rsidR="00E06160">
        <w:rPr>
          <w:rStyle w:val="AERbody"/>
        </w:rPr>
        <w:t xml:space="preserve"> proposed</w:t>
      </w:r>
      <w:r w:rsidRPr="007A67E5">
        <w:rPr>
          <w:rStyle w:val="AERbody"/>
        </w:rPr>
        <w:t xml:space="preserve"> remaining asset lives </w:t>
      </w:r>
      <w:r w:rsidR="00E06160">
        <w:rPr>
          <w:rStyle w:val="AERbody"/>
        </w:rPr>
        <w:t>calculated by an average depreciation approach</w:t>
      </w:r>
      <w:r w:rsidRPr="007A67E5">
        <w:rPr>
          <w:rStyle w:val="AERbody"/>
        </w:rPr>
        <w:t xml:space="preserve">. </w:t>
      </w:r>
      <w:r w:rsidR="00685E7F">
        <w:rPr>
          <w:rStyle w:val="AERbody"/>
        </w:rPr>
        <w:t xml:space="preserve">We consider that Ergon Energy's </w:t>
      </w:r>
      <w:r w:rsidR="00685E7F" w:rsidRPr="00926B90">
        <w:t>proposed approach</w:t>
      </w:r>
      <w:r w:rsidR="00685E7F">
        <w:rPr>
          <w:rStyle w:val="AERbody"/>
        </w:rPr>
        <w:t xml:space="preserve"> underestimates the remaining asset lives</w:t>
      </w:r>
      <w:r w:rsidR="00685E7F" w:rsidRPr="00926B90">
        <w:t xml:space="preserve">. </w:t>
      </w:r>
      <w:r w:rsidR="00E33176" w:rsidRPr="00E33176">
        <w:t xml:space="preserve">We instead substitute remaining asset lives calculated </w:t>
      </w:r>
      <w:r w:rsidR="007641E8">
        <w:t xml:space="preserve">by </w:t>
      </w:r>
      <w:r w:rsidR="00E33176" w:rsidRPr="00E33176">
        <w:t>a weighted average remaining li</w:t>
      </w:r>
      <w:r w:rsidR="00001714">
        <w:t>fe</w:t>
      </w:r>
      <w:r w:rsidR="00E33176" w:rsidRPr="00E33176">
        <w:t xml:space="preserve"> approach</w:t>
      </w:r>
      <w:r w:rsidR="007641E8">
        <w:t xml:space="preserve"> as set out in </w:t>
      </w:r>
      <w:r w:rsidR="007641E8">
        <w:fldChar w:fldCharType="begin"/>
      </w:r>
      <w:r w:rsidR="007641E8">
        <w:instrText xml:space="preserve"> REF _Ref410911427 \h </w:instrText>
      </w:r>
      <w:r w:rsidR="007641E8">
        <w:fldChar w:fldCharType="separate"/>
      </w:r>
      <w:r w:rsidR="00C87242">
        <w:t xml:space="preserve">Table </w:t>
      </w:r>
      <w:r w:rsidR="00C87242">
        <w:rPr>
          <w:noProof/>
        </w:rPr>
        <w:t>5</w:t>
      </w:r>
      <w:r w:rsidR="00C87242">
        <w:t>.</w:t>
      </w:r>
      <w:r w:rsidR="00C87242">
        <w:rPr>
          <w:noProof/>
        </w:rPr>
        <w:t>4</w:t>
      </w:r>
      <w:r w:rsidR="007641E8">
        <w:fldChar w:fldCharType="end"/>
      </w:r>
      <w:r w:rsidR="00E33176" w:rsidRPr="00E33176">
        <w:t>.</w:t>
      </w:r>
      <w:r w:rsidR="001C6635">
        <w:t xml:space="preserve"> </w:t>
      </w:r>
      <w:r w:rsidR="00685E7F" w:rsidRPr="00926B90">
        <w:t xml:space="preserve">We </w:t>
      </w:r>
      <w:r w:rsidR="00685E7F">
        <w:t>are satisfied the remaining asset lives determined by our approach better meet</w:t>
      </w:r>
      <w:r w:rsidR="00685E7F" w:rsidRPr="00926B90">
        <w:t xml:space="preserve"> </w:t>
      </w:r>
      <w:r w:rsidR="00685E7F">
        <w:t>the requirement</w:t>
      </w:r>
      <w:r w:rsidR="008B0471">
        <w:t>s</w:t>
      </w:r>
      <w:r w:rsidR="00685E7F">
        <w:t xml:space="preserve"> of </w:t>
      </w:r>
      <w:r w:rsidR="00685E7F" w:rsidRPr="00926B90">
        <w:t xml:space="preserve">the </w:t>
      </w:r>
      <w:r w:rsidR="007E228B">
        <w:t>NEL</w:t>
      </w:r>
      <w:r w:rsidR="005F6640">
        <w:t xml:space="preserve"> and </w:t>
      </w:r>
      <w:r w:rsidR="00685E7F" w:rsidRPr="00926B90">
        <w:t>NER.</w:t>
      </w:r>
      <w:r w:rsidR="007E228B">
        <w:rPr>
          <w:rStyle w:val="FootnoteReference"/>
        </w:rPr>
        <w:footnoteReference w:id="20"/>
      </w:r>
    </w:p>
    <w:p w:rsidR="00E33176" w:rsidRPr="00FA1890" w:rsidRDefault="00E33176" w:rsidP="00FA1890">
      <w:pPr>
        <w:pStyle w:val="HeadingBoldItalic"/>
        <w:rPr>
          <w:rStyle w:val="Strong"/>
          <w:b/>
          <w:bCs/>
        </w:rPr>
      </w:pPr>
      <w:r w:rsidRPr="00FA1890">
        <w:rPr>
          <w:rStyle w:val="Strong"/>
          <w:b/>
          <w:bCs/>
        </w:rPr>
        <w:t>Approaches to estimating remaining asset lives</w:t>
      </w:r>
    </w:p>
    <w:p w:rsidR="00E33176" w:rsidRPr="00926B90" w:rsidRDefault="00E33176" w:rsidP="00E33176">
      <w:r w:rsidRPr="00926B90">
        <w:t xml:space="preserve">As explained in section 5.3, the remaining asset lives </w:t>
      </w:r>
      <w:r w:rsidR="007641E8">
        <w:t xml:space="preserve">are </w:t>
      </w:r>
      <w:r w:rsidRPr="00926B90">
        <w:t xml:space="preserve">a key input for estimating forecast depreciation allowance for existing assets in the opening </w:t>
      </w:r>
      <w:r w:rsidR="00001714">
        <w:t>RAB</w:t>
      </w:r>
      <w:r w:rsidRPr="00926B90">
        <w:t xml:space="preserve"> at the start of the regulatory control period. The most accurate </w:t>
      </w:r>
      <w:r w:rsidR="007641E8">
        <w:t xml:space="preserve">way of </w:t>
      </w:r>
      <w:r w:rsidRPr="00926B90">
        <w:t>estimat</w:t>
      </w:r>
      <w:r w:rsidR="007641E8">
        <w:t>ing</w:t>
      </w:r>
      <w:r w:rsidRPr="00926B90">
        <w:t xml:space="preserve"> remaining asset lives is to track every asset individually. That is, </w:t>
      </w:r>
      <w:r w:rsidR="007641E8">
        <w:t xml:space="preserve">record </w:t>
      </w:r>
      <w:r w:rsidRPr="00926B90">
        <w:t xml:space="preserve">each asset added to the RAB </w:t>
      </w:r>
      <w:r w:rsidR="007641E8">
        <w:t xml:space="preserve">and </w:t>
      </w:r>
      <w:proofErr w:type="gramStart"/>
      <w:r w:rsidR="007641E8">
        <w:t>track</w:t>
      </w:r>
      <w:proofErr w:type="gramEnd"/>
      <w:r w:rsidR="007641E8">
        <w:t xml:space="preserve"> </w:t>
      </w:r>
      <w:r w:rsidRPr="00926B90">
        <w:t>its value</w:t>
      </w:r>
      <w:r>
        <w:t xml:space="preserve"> </w:t>
      </w:r>
      <w:r w:rsidRPr="00926B90">
        <w:t xml:space="preserve">over time. </w:t>
      </w:r>
      <w:r w:rsidR="007641E8">
        <w:t>But, given the large number</w:t>
      </w:r>
      <w:r w:rsidRPr="00926B90">
        <w:t xml:space="preserve"> of assets to be added to the RAB over time, this approach places significant administrative costs on the business and </w:t>
      </w:r>
      <w:r w:rsidR="00916595">
        <w:t>to regulators charged with approving revenues</w:t>
      </w:r>
      <w:r w:rsidRPr="00926B90">
        <w:t>.</w:t>
      </w:r>
      <w:r w:rsidR="00A04AB9">
        <w:rPr>
          <w:rStyle w:val="FootnoteReference"/>
        </w:rPr>
        <w:footnoteReference w:id="21"/>
      </w:r>
      <w:r w:rsidRPr="00926B90">
        <w:t xml:space="preserve"> To reduce the admi</w:t>
      </w:r>
      <w:r w:rsidR="00001714">
        <w:t>nistrative costs</w:t>
      </w:r>
      <w:r w:rsidR="007641E8">
        <w:t xml:space="preserve"> </w:t>
      </w:r>
      <w:r w:rsidR="00001714">
        <w:t>similar asset</w:t>
      </w:r>
      <w:r w:rsidR="00FE7182">
        <w:t>s</w:t>
      </w:r>
      <w:r w:rsidR="00001714">
        <w:t xml:space="preserve"> </w:t>
      </w:r>
      <w:r w:rsidR="00FE7182">
        <w:t xml:space="preserve">are </w:t>
      </w:r>
      <w:r w:rsidR="00001714">
        <w:t>typ</w:t>
      </w:r>
      <w:r w:rsidR="00FE7182">
        <w:t>ically grouped</w:t>
      </w:r>
      <w:r w:rsidRPr="00926B90">
        <w:t xml:space="preserve"> into asset classes</w:t>
      </w:r>
      <w:r w:rsidR="007641E8">
        <w:t>. We then assign</w:t>
      </w:r>
      <w:r>
        <w:t xml:space="preserve"> each asset class a combined</w:t>
      </w:r>
      <w:r w:rsidRPr="00926B90">
        <w:t xml:space="preserve"> </w:t>
      </w:r>
      <w:r w:rsidR="00001714">
        <w:t xml:space="preserve">average </w:t>
      </w:r>
      <w:r>
        <w:t>remaining asset life</w:t>
      </w:r>
      <w:r w:rsidR="007641E8">
        <w:t>,</w:t>
      </w:r>
      <w:r>
        <w:t xml:space="preserve"> even tho</w:t>
      </w:r>
      <w:r w:rsidR="007641E8">
        <w:t>ugh</w:t>
      </w:r>
      <w:r>
        <w:t xml:space="preserve"> the indi</w:t>
      </w:r>
      <w:r w:rsidR="002748DD">
        <w:t>vi</w:t>
      </w:r>
      <w:r>
        <w:t>dual assets may have varying remaining asset lives</w:t>
      </w:r>
      <w:r w:rsidRPr="00926B90">
        <w:t xml:space="preserve">. </w:t>
      </w:r>
      <w:r w:rsidR="006B3C14">
        <w:t>The</w:t>
      </w:r>
      <w:r w:rsidR="006B3C14" w:rsidRPr="006B3C14">
        <w:t xml:space="preserve"> combined average remaining asset life for </w:t>
      </w:r>
      <w:r w:rsidR="006B3C14">
        <w:t>each</w:t>
      </w:r>
      <w:r w:rsidR="006B3C14" w:rsidRPr="006B3C14">
        <w:t xml:space="preserve"> asset class is recalculated at each reset.</w:t>
      </w:r>
    </w:p>
    <w:p w:rsidR="00E33176" w:rsidRPr="00926B90" w:rsidRDefault="00E33176" w:rsidP="00E33176">
      <w:r w:rsidRPr="00926B90">
        <w:t xml:space="preserve">Two approaches </w:t>
      </w:r>
      <w:r w:rsidR="007641E8">
        <w:t>are often proposed</w:t>
      </w:r>
      <w:r w:rsidR="00916595" w:rsidRPr="00916595">
        <w:t xml:space="preserve"> </w:t>
      </w:r>
      <w:r w:rsidR="00916595">
        <w:t>in regulatory processes</w:t>
      </w:r>
      <w:r w:rsidR="007641E8">
        <w:t xml:space="preserve"> for </w:t>
      </w:r>
      <w:r w:rsidRPr="00926B90">
        <w:t xml:space="preserve">determining the remaining asset life for an asset class: </w:t>
      </w:r>
    </w:p>
    <w:p w:rsidR="00E33176" w:rsidRPr="00926B90" w:rsidRDefault="00001714" w:rsidP="00E33176">
      <w:pPr>
        <w:pStyle w:val="ListParagraph"/>
      </w:pPr>
      <w:r>
        <w:lastRenderedPageBreak/>
        <w:t>A weighted average remaining lif</w:t>
      </w:r>
      <w:r w:rsidR="00E33176" w:rsidRPr="00926B90">
        <w:t>e (WARL) approach</w:t>
      </w:r>
      <w:r w:rsidR="007641E8">
        <w:t xml:space="preserve">. </w:t>
      </w:r>
      <w:r w:rsidR="00E33176" w:rsidRPr="00926B90">
        <w:t xml:space="preserve">This approach </w:t>
      </w:r>
      <w:r w:rsidR="00DD4EBE">
        <w:t xml:space="preserve">involves </w:t>
      </w:r>
      <w:r w:rsidR="00E33176" w:rsidRPr="00926B90">
        <w:t>roll</w:t>
      </w:r>
      <w:r w:rsidR="00772330">
        <w:t>ing</w:t>
      </w:r>
      <w:r w:rsidR="00E33176" w:rsidRPr="00926B90">
        <w:t xml:space="preserve"> forward</w:t>
      </w:r>
      <w:r w:rsidR="00E74E80">
        <w:t xml:space="preserve"> </w:t>
      </w:r>
      <w:r w:rsidR="00FE7182">
        <w:t xml:space="preserve">from </w:t>
      </w:r>
      <w:r w:rsidR="00E33176" w:rsidRPr="00926B90">
        <w:t xml:space="preserve">the approved remaining lives of existing assets at the start of the regulatory control period </w:t>
      </w:r>
      <w:r w:rsidR="00772330">
        <w:t>to the end of the regulatory control period</w:t>
      </w:r>
      <w:r w:rsidR="00027CFC">
        <w:t>. T</w:t>
      </w:r>
      <w:r w:rsidR="00772330">
        <w:t xml:space="preserve">he </w:t>
      </w:r>
      <w:r w:rsidR="00FE7182">
        <w:t>remaining asset lives</w:t>
      </w:r>
      <w:r w:rsidR="00772330">
        <w:t xml:space="preserve"> at the end of the regulatory control period for</w:t>
      </w:r>
      <w:r w:rsidR="00E74E80" w:rsidRPr="00926B90">
        <w:t xml:space="preserve"> </w:t>
      </w:r>
      <w:r w:rsidR="00E33176" w:rsidRPr="00926B90">
        <w:t xml:space="preserve">new assets acquired </w:t>
      </w:r>
      <w:r w:rsidR="00772330">
        <w:t>during the regulatory control period</w:t>
      </w:r>
      <w:r w:rsidR="00027CFC">
        <w:t xml:space="preserve"> are also determined</w:t>
      </w:r>
      <w:r w:rsidR="00E33176" w:rsidRPr="00926B90">
        <w:t>. The remaining lives of the existing assets and new assets at the end of the regulatory control period are then weighted based on their asset values</w:t>
      </w:r>
      <w:r w:rsidR="007641E8">
        <w:t>,</w:t>
      </w:r>
      <w:r w:rsidR="00E33176" w:rsidRPr="00926B90">
        <w:t xml:space="preserve"> to come up with an average remaining life for the entire class. The remaining </w:t>
      </w:r>
      <w:r>
        <w:t xml:space="preserve">asset </w:t>
      </w:r>
      <w:r w:rsidR="00E33176" w:rsidRPr="00926B90">
        <w:t>lives a</w:t>
      </w:r>
      <w:r w:rsidR="007641E8">
        <w:t>t the end of this period become</w:t>
      </w:r>
      <w:r w:rsidR="00E33176" w:rsidRPr="00926B90">
        <w:t xml:space="preserve"> the remaining </w:t>
      </w:r>
      <w:r>
        <w:t xml:space="preserve">asset </w:t>
      </w:r>
      <w:r w:rsidR="00E33176" w:rsidRPr="00926B90">
        <w:t xml:space="preserve">lives at the start of the next regulatory control period. </w:t>
      </w:r>
      <w:r w:rsidR="00881AA8">
        <w:t>We prefer this</w:t>
      </w:r>
      <w:r w:rsidR="00E33176" w:rsidRPr="00926B90">
        <w:t xml:space="preserve"> approach</w:t>
      </w:r>
      <w:r w:rsidR="00E33176">
        <w:t xml:space="preserve"> </w:t>
      </w:r>
      <w:r w:rsidR="00E74E80">
        <w:t xml:space="preserve">for reasons we discuss below. This approach </w:t>
      </w:r>
      <w:r w:rsidR="00E33176">
        <w:t xml:space="preserve">has been proposed by the majority of businesses </w:t>
      </w:r>
      <w:r w:rsidR="00881AA8">
        <w:t xml:space="preserve">that </w:t>
      </w:r>
      <w:r w:rsidR="00E33176">
        <w:t>we regulate</w:t>
      </w:r>
      <w:r w:rsidR="00656440">
        <w:t>,</w:t>
      </w:r>
      <w:r w:rsidR="009D3223">
        <w:t xml:space="preserve"> including Energex, the other distribution service provider in Queensland.</w:t>
      </w:r>
      <w:r w:rsidR="009D3223">
        <w:rPr>
          <w:rStyle w:val="FootnoteReference"/>
        </w:rPr>
        <w:footnoteReference w:id="22"/>
      </w:r>
      <w:r w:rsidR="00E33176" w:rsidRPr="00926B90">
        <w:t xml:space="preserve"> </w:t>
      </w:r>
    </w:p>
    <w:p w:rsidR="00E33176" w:rsidRPr="00926B90" w:rsidRDefault="00E33176" w:rsidP="00E33176">
      <w:pPr>
        <w:pStyle w:val="ListParagraph"/>
      </w:pPr>
      <w:r w:rsidRPr="00926B90">
        <w:t>An</w:t>
      </w:r>
      <w:r w:rsidR="00881AA8">
        <w:t xml:space="preserve"> average depreciation approach.</w:t>
      </w:r>
      <w:r w:rsidRPr="00926B90">
        <w:t xml:space="preserve"> </w:t>
      </w:r>
      <w:r w:rsidR="00001714">
        <w:t xml:space="preserve">Ergon Energy proposed this </w:t>
      </w:r>
      <w:r w:rsidRPr="00926B90">
        <w:t>approach</w:t>
      </w:r>
      <w:r w:rsidR="00001714">
        <w:t xml:space="preserve">. This approach </w:t>
      </w:r>
      <w:r w:rsidR="00E74E80">
        <w:t>involves projecting</w:t>
      </w:r>
      <w:r w:rsidR="00E74E80" w:rsidRPr="00926B90">
        <w:t xml:space="preserve"> </w:t>
      </w:r>
      <w:r w:rsidRPr="00926B90">
        <w:t xml:space="preserve">the depreciation of existing assets at the start of the previous regulatory control period and new assets acquired during that period beyond the end of </w:t>
      </w:r>
      <w:r w:rsidR="00881AA8">
        <w:t xml:space="preserve">the </w:t>
      </w:r>
      <w:r w:rsidRPr="00926B90">
        <w:t xml:space="preserve">period </w:t>
      </w:r>
      <w:r w:rsidR="002748DD">
        <w:t>for a number of years</w:t>
      </w:r>
      <w:r w:rsidR="00881AA8">
        <w:t xml:space="preserve"> (Ergon Energy</w:t>
      </w:r>
      <w:r w:rsidR="00001714">
        <w:t xml:space="preserve"> propos</w:t>
      </w:r>
      <w:r w:rsidR="00881AA8">
        <w:t>e</w:t>
      </w:r>
      <w:r w:rsidR="0005192A">
        <w:t>d</w:t>
      </w:r>
      <w:r w:rsidR="00001714">
        <w:t xml:space="preserve"> a single year depreciation estimate)</w:t>
      </w:r>
      <w:r w:rsidR="002748DD">
        <w:t xml:space="preserve">. </w:t>
      </w:r>
      <w:r w:rsidR="00881AA8">
        <w:t>It then divides t</w:t>
      </w:r>
      <w:r w:rsidRPr="00926B90">
        <w:t xml:space="preserve">he value at the end of the period by the average projected depreciation to determine the remaining </w:t>
      </w:r>
      <w:r w:rsidR="00001714">
        <w:t xml:space="preserve">asset </w:t>
      </w:r>
      <w:r w:rsidRPr="00926B90">
        <w:t xml:space="preserve">life. </w:t>
      </w:r>
    </w:p>
    <w:p w:rsidR="00E33176" w:rsidRPr="00926B90" w:rsidRDefault="00E33176" w:rsidP="00E33176">
      <w:r w:rsidRPr="00926B90">
        <w:t xml:space="preserve">The remaining asset lives calculated by both </w:t>
      </w:r>
      <w:r w:rsidR="00001714">
        <w:t xml:space="preserve">the </w:t>
      </w:r>
      <w:r w:rsidRPr="00926B90">
        <w:t>WARL and average depreciation approach</w:t>
      </w:r>
      <w:r w:rsidR="00881AA8">
        <w:t>es</w:t>
      </w:r>
      <w:r w:rsidRPr="00926B90">
        <w:t xml:space="preserve"> are not perfect compared </w:t>
      </w:r>
      <w:r w:rsidR="00881AA8">
        <w:t xml:space="preserve">with </w:t>
      </w:r>
      <w:r w:rsidRPr="00926B90">
        <w:t xml:space="preserve">the approach </w:t>
      </w:r>
      <w:r w:rsidR="00881AA8">
        <w:t xml:space="preserve">of tracking </w:t>
      </w:r>
      <w:r w:rsidRPr="00926B90">
        <w:t>assets individually. Some information is lost when assets are combined into a single asset class</w:t>
      </w:r>
      <w:r w:rsidR="00881AA8">
        <w:t xml:space="preserve">, and </w:t>
      </w:r>
      <w:r w:rsidRPr="00926B90">
        <w:t xml:space="preserve">when new assets are added to that asset class. </w:t>
      </w:r>
      <w:r w:rsidR="00881AA8">
        <w:t>For this reason</w:t>
      </w:r>
      <w:r w:rsidRPr="00926B90">
        <w:t xml:space="preserve">, we focus on the materiality of </w:t>
      </w:r>
      <w:r w:rsidR="00881AA8">
        <w:t xml:space="preserve">calculation </w:t>
      </w:r>
      <w:r w:rsidRPr="00926B90">
        <w:t xml:space="preserve">distortions relative to the 'true' remaining asset lives </w:t>
      </w:r>
      <w:r w:rsidR="00881AA8">
        <w:t xml:space="preserve">(that is, remaining </w:t>
      </w:r>
      <w:r w:rsidR="0005192A">
        <w:t xml:space="preserve">asset </w:t>
      </w:r>
      <w:r w:rsidR="00881AA8">
        <w:t xml:space="preserve">lives if assets were not </w:t>
      </w:r>
      <w:r w:rsidR="00881AA8" w:rsidRPr="00926B90">
        <w:t>aggregat</w:t>
      </w:r>
      <w:r w:rsidR="00881AA8">
        <w:t>ed</w:t>
      </w:r>
      <w:r w:rsidR="00881AA8" w:rsidRPr="00926B90">
        <w:t xml:space="preserve"> </w:t>
      </w:r>
      <w:r w:rsidR="00881AA8">
        <w:t xml:space="preserve">into asset classes </w:t>
      </w:r>
      <w:r w:rsidR="00881AA8" w:rsidRPr="00DF3F5E">
        <w:t xml:space="preserve">and </w:t>
      </w:r>
      <w:r w:rsidR="0005192A">
        <w:t xml:space="preserve">they </w:t>
      </w:r>
      <w:r w:rsidR="00881AA8" w:rsidRPr="00DF3F5E">
        <w:t>were not recalculated at each reset</w:t>
      </w:r>
      <w:r w:rsidR="00881AA8">
        <w:t>)</w:t>
      </w:r>
      <w:r w:rsidRPr="00926B90">
        <w:t>.</w:t>
      </w:r>
      <w:r w:rsidR="0028684F" w:rsidRPr="0028684F">
        <w:rPr>
          <w:rStyle w:val="FootnoteReference"/>
        </w:rPr>
        <w:footnoteReference w:id="23"/>
      </w:r>
    </w:p>
    <w:p w:rsidR="00E33176" w:rsidRPr="00926B90" w:rsidRDefault="00881AA8" w:rsidP="00E33176">
      <w:pPr>
        <w:numPr>
          <w:ilvl w:val="0"/>
          <w:numId w:val="25"/>
        </w:numPr>
      </w:pPr>
      <w:r>
        <w:t>We prefer t</w:t>
      </w:r>
      <w:r w:rsidR="00E33176" w:rsidRPr="00926B90">
        <w:t xml:space="preserve">he WARL approach </w:t>
      </w:r>
      <w:r w:rsidR="00E74E80">
        <w:t xml:space="preserve">to the average depreciation approach </w:t>
      </w:r>
      <w:r w:rsidR="00E33176" w:rsidRPr="00926B90">
        <w:t xml:space="preserve">because </w:t>
      </w:r>
      <w:r w:rsidR="00E33176">
        <w:t xml:space="preserve">we consider it </w:t>
      </w:r>
      <w:r w:rsidR="00001714">
        <w:t xml:space="preserve">results in remaining asset lives that </w:t>
      </w:r>
      <w:r w:rsidR="00E74E80">
        <w:t xml:space="preserve">better </w:t>
      </w:r>
      <w:r w:rsidR="00E33176">
        <w:t xml:space="preserve">reflect the economic </w:t>
      </w:r>
      <w:r w:rsidR="00E74E80">
        <w:t xml:space="preserve">life </w:t>
      </w:r>
      <w:r w:rsidR="00E33176">
        <w:t xml:space="preserve">of the combined assets. It also </w:t>
      </w:r>
      <w:r w:rsidR="00E33176" w:rsidRPr="00926B90">
        <w:t>result</w:t>
      </w:r>
      <w:r w:rsidR="00E33176">
        <w:t>s</w:t>
      </w:r>
      <w:r w:rsidR="00E33176" w:rsidRPr="00926B90">
        <w:t xml:space="preserve"> </w:t>
      </w:r>
      <w:r w:rsidR="00E33176">
        <w:t xml:space="preserve">in </w:t>
      </w:r>
      <w:r w:rsidR="00E33176" w:rsidRPr="00926B90">
        <w:t xml:space="preserve">depreciation schedules for the asset classes </w:t>
      </w:r>
      <w:r>
        <w:t xml:space="preserve">that </w:t>
      </w:r>
      <w:r w:rsidR="002800D3">
        <w:t xml:space="preserve">better </w:t>
      </w:r>
      <w:r w:rsidR="00E33176" w:rsidRPr="00926B90">
        <w:t>reflect the nature of the assets over their economic lives.</w:t>
      </w:r>
      <w:r w:rsidR="00F915FA">
        <w:rPr>
          <w:rStyle w:val="FootnoteReference"/>
        </w:rPr>
        <w:footnoteReference w:id="24"/>
      </w:r>
      <w:r w:rsidR="00F915FA">
        <w:t xml:space="preserve"> </w:t>
      </w:r>
      <w:r w:rsidR="00FE7182">
        <w:t>Th</w:t>
      </w:r>
      <w:r w:rsidR="00232452">
        <w:t xml:space="preserve">ese conclusions </w:t>
      </w:r>
      <w:r w:rsidR="00FE7182">
        <w:t xml:space="preserve">reflect our assessment </w:t>
      </w:r>
      <w:r w:rsidR="0028684F">
        <w:t xml:space="preserve">and analysis discussed </w:t>
      </w:r>
      <w:r w:rsidR="00FE7182">
        <w:t xml:space="preserve">below. </w:t>
      </w:r>
      <w:r>
        <w:t>Further</w:t>
      </w:r>
      <w:r w:rsidR="00656440">
        <w:t>,</w:t>
      </w:r>
      <w:r>
        <w:t xml:space="preserve"> t</w:t>
      </w:r>
      <w:r w:rsidR="00E33176" w:rsidRPr="00926B90">
        <w:t>he WARL approach forms part of the RFM for transmission network businesses</w:t>
      </w:r>
      <w:r>
        <w:t>,</w:t>
      </w:r>
      <w:r w:rsidR="00E33176" w:rsidRPr="00926B90">
        <w:t xml:space="preserve"> and most of </w:t>
      </w:r>
      <w:r w:rsidR="00001714">
        <w:t xml:space="preserve">the </w:t>
      </w:r>
      <w:r w:rsidR="00E33176" w:rsidRPr="00926B90">
        <w:t>regulated network service providers</w:t>
      </w:r>
      <w:r>
        <w:t xml:space="preserve"> have adopted it</w:t>
      </w:r>
      <w:r w:rsidR="00E33176" w:rsidRPr="00926B90">
        <w:t xml:space="preserve">. </w:t>
      </w:r>
    </w:p>
    <w:p w:rsidR="00E33176" w:rsidRPr="00FA1890" w:rsidRDefault="00E33176" w:rsidP="00FA1890">
      <w:pPr>
        <w:pStyle w:val="HeadingBoldItalic"/>
      </w:pPr>
      <w:r w:rsidRPr="00FA1890">
        <w:rPr>
          <w:rStyle w:val="Strong"/>
          <w:b/>
          <w:bCs/>
        </w:rPr>
        <w:t xml:space="preserve">Assessment of </w:t>
      </w:r>
      <w:r w:rsidR="002748DD" w:rsidRPr="00FA1890">
        <w:rPr>
          <w:rStyle w:val="Strong"/>
          <w:b/>
          <w:bCs/>
        </w:rPr>
        <w:t>Ergon Energy's</w:t>
      </w:r>
      <w:r w:rsidRPr="00FA1890">
        <w:rPr>
          <w:rStyle w:val="Strong"/>
          <w:b/>
          <w:bCs/>
        </w:rPr>
        <w:t xml:space="preserve"> proposed remaining lives</w:t>
      </w:r>
    </w:p>
    <w:p w:rsidR="00E33176" w:rsidRPr="00926B90" w:rsidRDefault="00E33176" w:rsidP="00E33176">
      <w:pPr>
        <w:pStyle w:val="ListParagraph"/>
        <w:numPr>
          <w:ilvl w:val="0"/>
          <w:numId w:val="25"/>
        </w:numPr>
      </w:pPr>
      <w:r w:rsidRPr="00926B90">
        <w:t xml:space="preserve">Although the WARL is our preferred approach, we </w:t>
      </w:r>
      <w:r w:rsidR="00881AA8">
        <w:t xml:space="preserve">would </w:t>
      </w:r>
      <w:r w:rsidRPr="00926B90">
        <w:t xml:space="preserve">consider other approaches if they better meet the NER requirements. </w:t>
      </w:r>
      <w:r w:rsidR="00916595">
        <w:t xml:space="preserve">While </w:t>
      </w:r>
      <w:r w:rsidR="0092300E">
        <w:t xml:space="preserve">we have approved depreciation </w:t>
      </w:r>
      <w:r w:rsidR="0092300E">
        <w:lastRenderedPageBreak/>
        <w:t xml:space="preserve">proposals in the past that used the average depreciation approach for remaining asset lives, </w:t>
      </w:r>
      <w:r w:rsidR="00916595">
        <w:t>e</w:t>
      </w:r>
      <w:r>
        <w:t xml:space="preserve">xperience over a number of </w:t>
      </w:r>
      <w:r w:rsidR="00881AA8">
        <w:t xml:space="preserve">our </w:t>
      </w:r>
      <w:r>
        <w:t xml:space="preserve">decisions has highlighted the flaws in </w:t>
      </w:r>
      <w:r w:rsidR="00881AA8">
        <w:t xml:space="preserve">that </w:t>
      </w:r>
      <w:r>
        <w:t xml:space="preserve">approach. </w:t>
      </w:r>
      <w:r w:rsidR="00881AA8">
        <w:t xml:space="preserve">We illustrate </w:t>
      </w:r>
      <w:r w:rsidR="0005192A">
        <w:t xml:space="preserve">below </w:t>
      </w:r>
      <w:r w:rsidR="00881AA8">
        <w:t>t</w:t>
      </w:r>
      <w:r>
        <w:t xml:space="preserve">hese flaws </w:t>
      </w:r>
      <w:r w:rsidR="00881AA8">
        <w:t xml:space="preserve">with </w:t>
      </w:r>
      <w:r>
        <w:t xml:space="preserve">examples from </w:t>
      </w:r>
      <w:r w:rsidR="002748DD">
        <w:t xml:space="preserve">Ergon Energy's </w:t>
      </w:r>
      <w:r>
        <w:t xml:space="preserve">asset classes. </w:t>
      </w:r>
    </w:p>
    <w:p w:rsidR="00E33176" w:rsidRPr="00926B90" w:rsidRDefault="00E33176" w:rsidP="00D93A0E">
      <w:pPr>
        <w:pStyle w:val="ListParagraph"/>
        <w:numPr>
          <w:ilvl w:val="0"/>
          <w:numId w:val="25"/>
        </w:numPr>
      </w:pPr>
      <w:r w:rsidRPr="00926B90">
        <w:t xml:space="preserve">We </w:t>
      </w:r>
      <w:r>
        <w:t xml:space="preserve">consider </w:t>
      </w:r>
      <w:r w:rsidRPr="00926B90">
        <w:t>the averag</w:t>
      </w:r>
      <w:r w:rsidR="00001714">
        <w:t>e</w:t>
      </w:r>
      <w:r w:rsidRPr="00926B90">
        <w:t xml:space="preserve"> depreciation approach </w:t>
      </w:r>
      <w:r w:rsidR="002800D3">
        <w:t>consistently</w:t>
      </w:r>
      <w:r w:rsidR="002800D3" w:rsidRPr="00926B90">
        <w:t xml:space="preserve"> </w:t>
      </w:r>
      <w:r w:rsidRPr="00926B90">
        <w:t>underestimates the remaining asset lives</w:t>
      </w:r>
      <w:r>
        <w:t xml:space="preserve"> of </w:t>
      </w:r>
      <w:r w:rsidR="00881AA8">
        <w:t xml:space="preserve">an </w:t>
      </w:r>
      <w:r>
        <w:t>asset class as a whole</w:t>
      </w:r>
      <w:r w:rsidRPr="00926B90">
        <w:t>. The shorter rem</w:t>
      </w:r>
      <w:r w:rsidR="00881AA8">
        <w:t>aining asset lives misrepresent</w:t>
      </w:r>
      <w:r w:rsidRPr="00926B90">
        <w:t xml:space="preserve"> the age of the assets and the resul</w:t>
      </w:r>
      <w:r w:rsidR="007E4087">
        <w:t>ting depreciation schedules do</w:t>
      </w:r>
      <w:r w:rsidRPr="00926B90">
        <w:t xml:space="preserve"> not reflect the nature of the asset</w:t>
      </w:r>
      <w:r w:rsidR="007E4087">
        <w:t>s</w:t>
      </w:r>
      <w:r w:rsidRPr="00926B90">
        <w:t xml:space="preserve"> over </w:t>
      </w:r>
      <w:r w:rsidR="007E4087">
        <w:t>their economic lives</w:t>
      </w:r>
      <w:r w:rsidRPr="00926B90">
        <w:t xml:space="preserve">. </w:t>
      </w:r>
      <w:r w:rsidR="00D316CF">
        <w:t>S</w:t>
      </w:r>
      <w:r w:rsidR="00A64266">
        <w:t xml:space="preserve">horter remaining asset lives means that the asset value is </w:t>
      </w:r>
      <w:r w:rsidR="00A64266" w:rsidRPr="00A64266">
        <w:t>recover</w:t>
      </w:r>
      <w:r w:rsidR="00A64266">
        <w:t>ed</w:t>
      </w:r>
      <w:r w:rsidR="00A64266" w:rsidRPr="00A64266">
        <w:t xml:space="preserve"> </w:t>
      </w:r>
      <w:r w:rsidR="00A64266">
        <w:t>over a shorter time frame.</w:t>
      </w:r>
      <w:r w:rsidR="00D93A0E">
        <w:rPr>
          <w:rStyle w:val="FootnoteReference"/>
        </w:rPr>
        <w:footnoteReference w:id="25"/>
      </w:r>
      <w:r w:rsidR="00A64266">
        <w:t xml:space="preserve"> This</w:t>
      </w:r>
      <w:r w:rsidR="00D316CF">
        <w:t xml:space="preserve"> in turn</w:t>
      </w:r>
      <w:r w:rsidR="00A64266">
        <w:t xml:space="preserve"> increases the revenue allowance for depreciation over the short term.</w:t>
      </w:r>
      <w:r w:rsidR="00D316CF" w:rsidRPr="00D316CF">
        <w:t xml:space="preserve"> </w:t>
      </w:r>
      <w:r w:rsidR="00C04050">
        <w:t>The r</w:t>
      </w:r>
      <w:r w:rsidR="00D316CF" w:rsidRPr="00D316CF">
        <w:t xml:space="preserve">emaining </w:t>
      </w:r>
      <w:r w:rsidR="00C04050">
        <w:t xml:space="preserve">asset </w:t>
      </w:r>
      <w:r w:rsidR="00D316CF" w:rsidRPr="00D316CF">
        <w:t xml:space="preserve">lives do not impact on the </w:t>
      </w:r>
      <w:r w:rsidR="00A0726F">
        <w:t xml:space="preserve">total </w:t>
      </w:r>
      <w:r w:rsidR="00D316CF" w:rsidRPr="00D316CF">
        <w:t xml:space="preserve">value </w:t>
      </w:r>
      <w:r w:rsidR="00A0726F">
        <w:t xml:space="preserve">(in net present value terms) </w:t>
      </w:r>
      <w:r w:rsidR="00D316CF" w:rsidRPr="00D316CF">
        <w:t xml:space="preserve">recovered from </w:t>
      </w:r>
      <w:r w:rsidR="00C04050">
        <w:t xml:space="preserve">an </w:t>
      </w:r>
      <w:r w:rsidR="00D316CF" w:rsidRPr="00D316CF">
        <w:t>asset</w:t>
      </w:r>
      <w:r w:rsidR="00C04050">
        <w:t xml:space="preserve"> over its life</w:t>
      </w:r>
      <w:r w:rsidR="00A0726F">
        <w:t>.</w:t>
      </w:r>
      <w:r w:rsidR="00C04050" w:rsidRPr="00E33176">
        <w:rPr>
          <w:rStyle w:val="FootnoteReference"/>
        </w:rPr>
        <w:footnoteReference w:id="26"/>
      </w:r>
    </w:p>
    <w:p w:rsidR="00E33176" w:rsidRPr="00926B90" w:rsidRDefault="00E33176" w:rsidP="00E33176">
      <w:pPr>
        <w:pStyle w:val="ListParagraph"/>
        <w:numPr>
          <w:ilvl w:val="0"/>
          <w:numId w:val="25"/>
        </w:numPr>
      </w:pPr>
      <w:r>
        <w:t>The average depreciation approach does not recognise accurately when asse</w:t>
      </w:r>
      <w:r w:rsidR="002748DD">
        <w:t>t</w:t>
      </w:r>
      <w:r>
        <w:t xml:space="preserve">s are to expire. </w:t>
      </w:r>
      <w:r w:rsidR="00881AA8">
        <w:t>It often determines t</w:t>
      </w:r>
      <w:r>
        <w:t xml:space="preserve">he average depreciation over such a short period that </w:t>
      </w:r>
      <w:r w:rsidR="00916595">
        <w:t xml:space="preserve">does not </w:t>
      </w:r>
      <w:r w:rsidR="00E35FAF">
        <w:t xml:space="preserve">pick up </w:t>
      </w:r>
      <w:r>
        <w:t>information on when an existing asset will expire.</w:t>
      </w:r>
      <w:r>
        <w:rPr>
          <w:rStyle w:val="FootnoteReference"/>
        </w:rPr>
        <w:footnoteReference w:id="27"/>
      </w:r>
      <w:r>
        <w:t xml:space="preserve"> </w:t>
      </w:r>
      <w:r w:rsidR="00FB446B">
        <w:t>This means</w:t>
      </w:r>
      <w:r w:rsidR="00E35FAF">
        <w:t xml:space="preserve"> </w:t>
      </w:r>
      <w:r>
        <w:t>the older assets are effectively more heavily weighted in the asset class</w:t>
      </w:r>
      <w:r w:rsidR="00E35FAF">
        <w:t>,</w:t>
      </w:r>
      <w:r>
        <w:t xml:space="preserve"> </w:t>
      </w:r>
      <w:r w:rsidR="00F915FA">
        <w:t xml:space="preserve">resulting in a </w:t>
      </w:r>
      <w:r>
        <w:t>shorter combined remaining asset li</w:t>
      </w:r>
      <w:r w:rsidR="00F915FA">
        <w:t>fe</w:t>
      </w:r>
      <w:r>
        <w:t xml:space="preserve">. </w:t>
      </w:r>
      <w:r w:rsidR="00E35FAF">
        <w:t>Further, t</w:t>
      </w:r>
      <w:r>
        <w:t xml:space="preserve">he weighting under the average depreciation approach depends on </w:t>
      </w:r>
      <w:r w:rsidR="00E35FAF">
        <w:t xml:space="preserve">an </w:t>
      </w:r>
      <w:r>
        <w:t xml:space="preserve">arbitrary period </w:t>
      </w:r>
      <w:r w:rsidR="00E35FAF">
        <w:t xml:space="preserve">of </w:t>
      </w:r>
      <w:r>
        <w:t>assessment</w:t>
      </w:r>
      <w:r w:rsidR="003A05C2">
        <w:t xml:space="preserve"> </w:t>
      </w:r>
      <w:r w:rsidR="00232452">
        <w:t>(d</w:t>
      </w:r>
      <w:r w:rsidR="003A05C2">
        <w:t>iscussed in the context of the examples below)</w:t>
      </w:r>
      <w:r>
        <w:t xml:space="preserve">. </w:t>
      </w:r>
      <w:r w:rsidR="00880B49">
        <w:t xml:space="preserve">This is particularly relevant for Ergon Energy's proposed approach, as it uses a single year forecast for depreciation rather than an average over a number of years. </w:t>
      </w:r>
      <w:r>
        <w:t xml:space="preserve">In contrast, </w:t>
      </w:r>
      <w:r w:rsidR="007E4087">
        <w:t>under the WARL approach,</w:t>
      </w:r>
      <w:r>
        <w:t xml:space="preserve"> </w:t>
      </w:r>
      <w:r w:rsidR="00E35FAF">
        <w:t>asset weighting</w:t>
      </w:r>
      <w:r>
        <w:t xml:space="preserve"> depend</w:t>
      </w:r>
      <w:r w:rsidR="00E35FAF">
        <w:t>s</w:t>
      </w:r>
      <w:r>
        <w:t xml:space="preserve"> on the values of those assets at </w:t>
      </w:r>
      <w:r w:rsidR="007E4087">
        <w:t xml:space="preserve">the </w:t>
      </w:r>
      <w:r>
        <w:t>end</w:t>
      </w:r>
      <w:r w:rsidR="007E4087">
        <w:t xml:space="preserve"> of </w:t>
      </w:r>
      <w:r w:rsidR="00E35FAF">
        <w:t xml:space="preserve">the regulatory control </w:t>
      </w:r>
      <w:r w:rsidR="007E4087">
        <w:t>period</w:t>
      </w:r>
      <w:r>
        <w:t xml:space="preserve">. </w:t>
      </w:r>
    </w:p>
    <w:p w:rsidR="00E33176" w:rsidRDefault="00E35FAF" w:rsidP="00E33176">
      <w:pPr>
        <w:pStyle w:val="ListParagraph"/>
        <w:numPr>
          <w:ilvl w:val="0"/>
          <w:numId w:val="25"/>
        </w:numPr>
      </w:pPr>
      <w:r>
        <w:t>Under the average depreciation approach, t</w:t>
      </w:r>
      <w:r w:rsidR="00E33176" w:rsidRPr="00926B90">
        <w:t>he extent of the underestimation of rem</w:t>
      </w:r>
      <w:r w:rsidR="007E4087">
        <w:t xml:space="preserve">aining lives </w:t>
      </w:r>
      <w:r w:rsidR="00E33176" w:rsidRPr="00926B90">
        <w:t>depends on a combination of factors</w:t>
      </w:r>
      <w:r>
        <w:t>. These factors include</w:t>
      </w:r>
      <w:r w:rsidR="00A67472">
        <w:t>:</w:t>
      </w:r>
      <w:r w:rsidR="00E33176" w:rsidRPr="00926B90">
        <w:t xml:space="preserve"> the length of the </w:t>
      </w:r>
      <w:r w:rsidR="007E4087">
        <w:t xml:space="preserve">assessment </w:t>
      </w:r>
      <w:r w:rsidR="00E33176" w:rsidRPr="00926B90">
        <w:t xml:space="preserve">period relative to </w:t>
      </w:r>
      <w:r w:rsidR="00880B49">
        <w:t xml:space="preserve">the standard life of </w:t>
      </w:r>
      <w:r>
        <w:t xml:space="preserve">an </w:t>
      </w:r>
      <w:r w:rsidR="00880B49">
        <w:t>asset,</w:t>
      </w:r>
      <w:r w:rsidR="00E33176" w:rsidRPr="00926B90">
        <w:t xml:space="preserve"> the size </w:t>
      </w:r>
      <w:r>
        <w:t xml:space="preserve">of the asset, </w:t>
      </w:r>
      <w:r w:rsidR="00E33176" w:rsidRPr="00926B90">
        <w:t xml:space="preserve">and </w:t>
      </w:r>
      <w:r>
        <w:t xml:space="preserve">the </w:t>
      </w:r>
      <w:r w:rsidR="00E33176" w:rsidRPr="00926B90">
        <w:t xml:space="preserve">timing of when </w:t>
      </w:r>
      <w:r>
        <w:t xml:space="preserve">a </w:t>
      </w:r>
      <w:r w:rsidR="00E33176" w:rsidRPr="00926B90">
        <w:t>new as</w:t>
      </w:r>
      <w:r>
        <w:t>set</w:t>
      </w:r>
      <w:r w:rsidR="00E33176" w:rsidRPr="00926B90">
        <w:t xml:space="preserve"> has been added. </w:t>
      </w:r>
      <w:r w:rsidR="00E33176">
        <w:t xml:space="preserve">In some cases, or over a short </w:t>
      </w:r>
      <w:r>
        <w:t xml:space="preserve">assessment </w:t>
      </w:r>
      <w:r w:rsidR="00E33176">
        <w:t xml:space="preserve">period, the flaws of the average depreciation </w:t>
      </w:r>
      <w:r w:rsidR="007E4087">
        <w:t xml:space="preserve">approach </w:t>
      </w:r>
      <w:r w:rsidR="00E33176">
        <w:t>may not appear significant.</w:t>
      </w:r>
      <w:r w:rsidR="00E33176" w:rsidRPr="00926B90">
        <w:t xml:space="preserve"> </w:t>
      </w:r>
    </w:p>
    <w:p w:rsidR="009B3F79" w:rsidRDefault="00E35FAF" w:rsidP="00E33176">
      <w:pPr>
        <w:pStyle w:val="ListParagraph"/>
        <w:numPr>
          <w:ilvl w:val="0"/>
          <w:numId w:val="25"/>
        </w:numPr>
      </w:pPr>
      <w:r>
        <w:t>D</w:t>
      </w:r>
      <w:r w:rsidR="00E33176" w:rsidRPr="00926B90">
        <w:t>espite our general concern</w:t>
      </w:r>
      <w:r w:rsidR="00E33176">
        <w:t xml:space="preserve"> with th</w:t>
      </w:r>
      <w:r w:rsidR="007E4087">
        <w:t>is</w:t>
      </w:r>
      <w:r w:rsidR="00E33176">
        <w:t xml:space="preserve"> approach</w:t>
      </w:r>
      <w:r w:rsidR="00E33176" w:rsidRPr="00926B90">
        <w:t xml:space="preserve">, </w:t>
      </w:r>
      <w:r w:rsidR="0092300E">
        <w:t xml:space="preserve">as noted, </w:t>
      </w:r>
      <w:r w:rsidR="00E33176" w:rsidRPr="00926B90">
        <w:t xml:space="preserve">we </w:t>
      </w:r>
      <w:r>
        <w:t xml:space="preserve">have previously </w:t>
      </w:r>
      <w:r w:rsidR="00E33176">
        <w:t xml:space="preserve">accepted </w:t>
      </w:r>
      <w:r w:rsidR="00E33176" w:rsidRPr="00926B90">
        <w:t>the remaining asset lives calculated using the average depreciation approach</w:t>
      </w:r>
      <w:r w:rsidR="007E4087">
        <w:t xml:space="preserve">. </w:t>
      </w:r>
      <w:r w:rsidR="00C53EB5">
        <w:t>In certain circumstances, w</w:t>
      </w:r>
      <w:r w:rsidR="00E33176">
        <w:t>e accepted</w:t>
      </w:r>
      <w:r>
        <w:t xml:space="preserve"> for example,</w:t>
      </w:r>
      <w:r w:rsidR="00E33176" w:rsidRPr="00926B90">
        <w:t xml:space="preserve"> </w:t>
      </w:r>
      <w:r w:rsidR="007E4087">
        <w:t>ActewAGL</w:t>
      </w:r>
      <w:r>
        <w:t>'s</w:t>
      </w:r>
      <w:r w:rsidR="007E4087">
        <w:t xml:space="preserve"> and Jemena Gas Networks' </w:t>
      </w:r>
      <w:r w:rsidR="00E33176" w:rsidRPr="00926B90">
        <w:t xml:space="preserve">remaining asset lives calculated </w:t>
      </w:r>
      <w:r>
        <w:t xml:space="preserve">from </w:t>
      </w:r>
      <w:r w:rsidR="007E4087">
        <w:t xml:space="preserve">their proposed </w:t>
      </w:r>
      <w:r w:rsidR="00E33176" w:rsidRPr="00926B90">
        <w:t>averag</w:t>
      </w:r>
      <w:r w:rsidR="007E4087">
        <w:t>e</w:t>
      </w:r>
      <w:r w:rsidR="00E33176" w:rsidRPr="00926B90">
        <w:t xml:space="preserve"> </w:t>
      </w:r>
      <w:r w:rsidR="00E33176" w:rsidRPr="00926B90">
        <w:lastRenderedPageBreak/>
        <w:t>depreciation approach</w:t>
      </w:r>
      <w:r>
        <w:t xml:space="preserve">, </w:t>
      </w:r>
      <w:r w:rsidR="001C26CB">
        <w:t xml:space="preserve">in part </w:t>
      </w:r>
      <w:r>
        <w:t>because</w:t>
      </w:r>
      <w:r w:rsidR="00E33176" w:rsidRPr="00926B90">
        <w:t xml:space="preserve"> the revenue difference </w:t>
      </w:r>
      <w:r>
        <w:t>was</w:t>
      </w:r>
      <w:r w:rsidR="00E33176" w:rsidRPr="00926B90">
        <w:t xml:space="preserve"> relatively minor.</w:t>
      </w:r>
      <w:r w:rsidR="00E33176" w:rsidRPr="00926B90">
        <w:rPr>
          <w:rStyle w:val="FootnoteReference"/>
        </w:rPr>
        <w:footnoteReference w:id="28"/>
      </w:r>
      <w:r w:rsidR="00E33176" w:rsidRPr="00926B90">
        <w:t xml:space="preserve"> </w:t>
      </w:r>
      <w:r w:rsidR="009B3F79">
        <w:t xml:space="preserve">However, our </w:t>
      </w:r>
      <w:r w:rsidR="005C14B4">
        <w:t xml:space="preserve">further </w:t>
      </w:r>
      <w:r w:rsidR="009B3F79">
        <w:t>assessment of the average depreciation approach in this determination for Ergon Energy (and our concurrent determination for SA Power Networks) has illustrated additional problems with this approach</w:t>
      </w:r>
      <w:r w:rsidR="005C14B4">
        <w:t>.</w:t>
      </w:r>
      <w:r w:rsidR="009B3F79">
        <w:t xml:space="preserve"> </w:t>
      </w:r>
      <w:r w:rsidR="005C14B4">
        <w:t xml:space="preserve">This further assessment has </w:t>
      </w:r>
      <w:r w:rsidR="009B3F79">
        <w:t xml:space="preserve">led us to reject </w:t>
      </w:r>
      <w:r w:rsidR="00293BEF">
        <w:t>Ergon Energy</w:t>
      </w:r>
      <w:r w:rsidR="008B0471">
        <w:t>'</w:t>
      </w:r>
      <w:r w:rsidR="003B0545">
        <w:t>s</w:t>
      </w:r>
      <w:r w:rsidR="00293BEF">
        <w:t xml:space="preserve"> and SA Power Networks' </w:t>
      </w:r>
      <w:r w:rsidR="005C14B4">
        <w:t xml:space="preserve">proposed approaches </w:t>
      </w:r>
      <w:r w:rsidR="009B3F79">
        <w:t>in the</w:t>
      </w:r>
      <w:r w:rsidR="00293BEF">
        <w:t>se</w:t>
      </w:r>
      <w:r w:rsidR="009B3F79">
        <w:t xml:space="preserve"> determinations.</w:t>
      </w:r>
    </w:p>
    <w:p w:rsidR="00E33176" w:rsidRDefault="009D3223" w:rsidP="00E33176">
      <w:pPr>
        <w:pStyle w:val="ListParagraph"/>
        <w:numPr>
          <w:ilvl w:val="0"/>
          <w:numId w:val="25"/>
        </w:numPr>
      </w:pPr>
      <w:r>
        <w:t xml:space="preserve">In our assessment of SA Power Networks' </w:t>
      </w:r>
      <w:r w:rsidR="00DC7800">
        <w:t xml:space="preserve">proposed </w:t>
      </w:r>
      <w:r>
        <w:t xml:space="preserve">average depreciation approach we </w:t>
      </w:r>
      <w:r w:rsidRPr="00926B90">
        <w:t xml:space="preserve">found the revenue difference </w:t>
      </w:r>
      <w:r>
        <w:t>to be</w:t>
      </w:r>
      <w:r w:rsidRPr="00926B90">
        <w:t xml:space="preserve"> substantial</w:t>
      </w:r>
      <w:r w:rsidR="002E69BE">
        <w:t>.</w:t>
      </w:r>
      <w:r w:rsidR="00DC7800">
        <w:rPr>
          <w:rStyle w:val="FootnoteReference"/>
        </w:rPr>
        <w:footnoteReference w:id="29"/>
      </w:r>
      <w:r w:rsidR="002E69BE">
        <w:t xml:space="preserve"> W</w:t>
      </w:r>
      <w:r w:rsidR="002E69BE" w:rsidRPr="00926B90">
        <w:t xml:space="preserve">e also found </w:t>
      </w:r>
      <w:r w:rsidR="002E69BE">
        <w:t xml:space="preserve">significant </w:t>
      </w:r>
      <w:r w:rsidR="002E69BE" w:rsidRPr="00926B90">
        <w:t xml:space="preserve">divergence in </w:t>
      </w:r>
      <w:r w:rsidR="002E69BE">
        <w:t xml:space="preserve">the </w:t>
      </w:r>
      <w:r w:rsidR="002E69BE" w:rsidRPr="00926B90">
        <w:t xml:space="preserve">remaining </w:t>
      </w:r>
      <w:r w:rsidR="002E69BE">
        <w:t xml:space="preserve">asset </w:t>
      </w:r>
      <w:r w:rsidR="002E69BE" w:rsidRPr="00926B90">
        <w:t>lives between the two approaches</w:t>
      </w:r>
      <w:r w:rsidR="002E69BE">
        <w:t xml:space="preserve"> leading us to reject the </w:t>
      </w:r>
      <w:r w:rsidR="00DC7800">
        <w:t xml:space="preserve">proposed </w:t>
      </w:r>
      <w:r w:rsidR="002E69BE">
        <w:t>approach.</w:t>
      </w:r>
      <w:r w:rsidR="002E69BE">
        <w:rPr>
          <w:rStyle w:val="FootnoteReference"/>
        </w:rPr>
        <w:footnoteReference w:id="30"/>
      </w:r>
      <w:r w:rsidR="00E33176" w:rsidRPr="00926B90">
        <w:t xml:space="preserve"> </w:t>
      </w:r>
    </w:p>
    <w:p w:rsidR="00E33176" w:rsidRDefault="00432558" w:rsidP="00F318AB">
      <w:pPr>
        <w:pStyle w:val="ListParagraph"/>
        <w:numPr>
          <w:ilvl w:val="0"/>
          <w:numId w:val="25"/>
        </w:numPr>
        <w:rPr>
          <w:rStyle w:val="AERbody"/>
        </w:rPr>
      </w:pPr>
      <w:r>
        <w:t xml:space="preserve">For </w:t>
      </w:r>
      <w:r w:rsidR="007E4087">
        <w:t>Ergon Energy's</w:t>
      </w:r>
      <w:r>
        <w:t xml:space="preserve"> preliminary decision w</w:t>
      </w:r>
      <w:r w:rsidR="004C1DB6">
        <w:t xml:space="preserve">e undertook </w:t>
      </w:r>
      <w:r w:rsidR="002E69BE">
        <w:t>similar</w:t>
      </w:r>
      <w:r w:rsidR="004C1DB6">
        <w:t xml:space="preserve"> </w:t>
      </w:r>
      <w:r w:rsidR="00E33176" w:rsidRPr="00926B90">
        <w:t xml:space="preserve">assessment </w:t>
      </w:r>
      <w:r w:rsidR="004C1DB6">
        <w:t xml:space="preserve">of the approach </w:t>
      </w:r>
      <w:r>
        <w:t>proposed by</w:t>
      </w:r>
      <w:r w:rsidR="00E33176" w:rsidRPr="00926B90">
        <w:t xml:space="preserve"> </w:t>
      </w:r>
      <w:r w:rsidR="004C1DB6">
        <w:t>Ergon Energy</w:t>
      </w:r>
      <w:r>
        <w:t xml:space="preserve">. We </w:t>
      </w:r>
      <w:r w:rsidR="00E33176" w:rsidRPr="00E33176">
        <w:rPr>
          <w:rStyle w:val="AERbody"/>
        </w:rPr>
        <w:t xml:space="preserve">found that at the asset class level </w:t>
      </w:r>
      <w:r>
        <w:rPr>
          <w:rStyle w:val="AERbody"/>
        </w:rPr>
        <w:t xml:space="preserve">Ergon Energy's approach </w:t>
      </w:r>
      <w:r w:rsidR="00DE3CD5">
        <w:rPr>
          <w:rStyle w:val="AERbody"/>
        </w:rPr>
        <w:t xml:space="preserve">consistently </w:t>
      </w:r>
      <w:r>
        <w:rPr>
          <w:rStyle w:val="AERbody"/>
        </w:rPr>
        <w:t xml:space="preserve">underestimates the remaining asset lives and the difference </w:t>
      </w:r>
      <w:r w:rsidR="004C1DB6">
        <w:rPr>
          <w:rStyle w:val="AERbody"/>
        </w:rPr>
        <w:t xml:space="preserve">can be </w:t>
      </w:r>
      <w:r w:rsidR="00E33176" w:rsidRPr="00E33176">
        <w:rPr>
          <w:rStyle w:val="AERbody"/>
        </w:rPr>
        <w:t>significant</w:t>
      </w:r>
      <w:r w:rsidR="007E4087">
        <w:rPr>
          <w:rStyle w:val="AERbody"/>
        </w:rPr>
        <w:t xml:space="preserve"> for certain asset classes</w:t>
      </w:r>
      <w:r w:rsidR="004C1DB6">
        <w:rPr>
          <w:rStyle w:val="AERbody"/>
        </w:rPr>
        <w:t xml:space="preserve">. </w:t>
      </w:r>
      <w:r w:rsidR="00E33176">
        <w:rPr>
          <w:rStyle w:val="AERbody"/>
        </w:rPr>
        <w:fldChar w:fldCharType="begin"/>
      </w:r>
      <w:r w:rsidR="00E33176">
        <w:rPr>
          <w:rStyle w:val="AERbody"/>
        </w:rPr>
        <w:instrText xml:space="preserve"> REF _Ref413846365 \h </w:instrText>
      </w:r>
      <w:r w:rsidR="00E33176">
        <w:rPr>
          <w:rStyle w:val="AERbody"/>
        </w:rPr>
      </w:r>
      <w:r w:rsidR="00E33176">
        <w:rPr>
          <w:rStyle w:val="AERbody"/>
        </w:rPr>
        <w:fldChar w:fldCharType="separate"/>
      </w:r>
      <w:r w:rsidR="00C87242" w:rsidRPr="00B7508B">
        <w:t xml:space="preserve">Table </w:t>
      </w:r>
      <w:r w:rsidR="00C87242">
        <w:rPr>
          <w:noProof/>
        </w:rPr>
        <w:t>5</w:t>
      </w:r>
      <w:r w:rsidR="00C87242" w:rsidRPr="00B7508B">
        <w:t>.</w:t>
      </w:r>
      <w:r w:rsidR="00C87242">
        <w:rPr>
          <w:noProof/>
        </w:rPr>
        <w:t>3</w:t>
      </w:r>
      <w:r w:rsidR="00E33176">
        <w:rPr>
          <w:rStyle w:val="AERbody"/>
        </w:rPr>
        <w:fldChar w:fldCharType="end"/>
      </w:r>
      <w:r w:rsidR="004C1DB6">
        <w:rPr>
          <w:rStyle w:val="AERbody"/>
        </w:rPr>
        <w:t xml:space="preserve"> shows the difference in remaining asset life outcomes between the two approaches</w:t>
      </w:r>
      <w:r w:rsidR="00E33176">
        <w:rPr>
          <w:rStyle w:val="AERbody"/>
        </w:rPr>
        <w:t>.</w:t>
      </w:r>
    </w:p>
    <w:p w:rsidR="00793EAF" w:rsidRPr="00E33176" w:rsidRDefault="00793EAF" w:rsidP="00793EAF">
      <w:pPr>
        <w:pStyle w:val="ListParagraph"/>
        <w:numPr>
          <w:ilvl w:val="0"/>
          <w:numId w:val="25"/>
        </w:numPr>
      </w:pPr>
      <w:bookmarkStart w:id="25" w:name="_Ref413846365"/>
      <w:r>
        <w:t>Given</w:t>
      </w:r>
      <w:r w:rsidRPr="00E33176">
        <w:t xml:space="preserve"> the large differences, we extended our analysis from a single regulatory control period to a longer timeframe</w:t>
      </w:r>
      <w:r>
        <w:t>,</w:t>
      </w:r>
      <w:r w:rsidRPr="00E33176">
        <w:t xml:space="preserve"> to better understand </w:t>
      </w:r>
      <w:r>
        <w:t xml:space="preserve">how </w:t>
      </w:r>
      <w:r w:rsidRPr="00E33176">
        <w:t>the two approaches</w:t>
      </w:r>
      <w:r>
        <w:t xml:space="preserve"> differ</w:t>
      </w:r>
      <w:r w:rsidRPr="00E33176">
        <w:t>. Base</w:t>
      </w:r>
      <w:r>
        <w:t>d</w:t>
      </w:r>
      <w:r w:rsidRPr="00E33176">
        <w:t xml:space="preserve"> on that analysis, we have further concerns with the long term implications of adopting an average depreciation approach</w:t>
      </w:r>
      <w:r>
        <w:t>. That approach ratchets</w:t>
      </w:r>
      <w:r w:rsidRPr="00E33176">
        <w:t xml:space="preserve"> down </w:t>
      </w:r>
      <w:r>
        <w:t xml:space="preserve">the resulting </w:t>
      </w:r>
      <w:r w:rsidRPr="00E33176">
        <w:t xml:space="preserve">remaining asset lives at the end of each regulatory control period. Compared </w:t>
      </w:r>
      <w:r>
        <w:t xml:space="preserve">with </w:t>
      </w:r>
      <w:r w:rsidRPr="00E33176">
        <w:t>the WARL approach</w:t>
      </w:r>
      <w:r>
        <w:t>, it consistently</w:t>
      </w:r>
      <w:r w:rsidRPr="00E33176">
        <w:t xml:space="preserve"> underestimates the remaining asset lives and </w:t>
      </w:r>
      <w:r>
        <w:t>thus</w:t>
      </w:r>
      <w:r w:rsidRPr="00E33176">
        <w:t xml:space="preserve"> increases the </w:t>
      </w:r>
      <w:r>
        <w:t xml:space="preserve">annual </w:t>
      </w:r>
      <w:r w:rsidRPr="00E33176">
        <w:t>depreciation allowance</w:t>
      </w:r>
      <w:r>
        <w:t xml:space="preserve"> by returning the asset value quicker</w:t>
      </w:r>
      <w:r w:rsidRPr="00E33176">
        <w:t>.</w:t>
      </w:r>
      <w:r w:rsidRPr="00E33176">
        <w:rPr>
          <w:rStyle w:val="FootnoteReference"/>
        </w:rPr>
        <w:footnoteReference w:id="31"/>
      </w:r>
      <w:r w:rsidRPr="00E33176">
        <w:t xml:space="preserve"> The impact </w:t>
      </w:r>
      <w:r>
        <w:t>may or may not be</w:t>
      </w:r>
      <w:r w:rsidRPr="00E33176">
        <w:t xml:space="preserve"> noticeable over the regulatory control period under assessment, </w:t>
      </w:r>
      <w:r>
        <w:t xml:space="preserve">and </w:t>
      </w:r>
      <w:r w:rsidRPr="00E33176">
        <w:t xml:space="preserve">the long term impact may </w:t>
      </w:r>
      <w:r>
        <w:t xml:space="preserve">go </w:t>
      </w:r>
      <w:r w:rsidRPr="00E33176">
        <w:t xml:space="preserve">unnoticed </w:t>
      </w:r>
      <w:r>
        <w:t>if only the regulatory control period is considered</w:t>
      </w:r>
      <w:r w:rsidRPr="00E33176">
        <w:t xml:space="preserve">. </w:t>
      </w:r>
      <w:r>
        <w:t xml:space="preserve">We consider it is important to take a long term view of the approach to assess whether it </w:t>
      </w:r>
      <w:r w:rsidRPr="00C26E1E">
        <w:t>contribute</w:t>
      </w:r>
      <w:r>
        <w:t>s to the achievement of the NEO.</w:t>
      </w:r>
      <w:r>
        <w:rPr>
          <w:rStyle w:val="FootnoteReference"/>
        </w:rPr>
        <w:footnoteReference w:id="32"/>
      </w:r>
      <w:r>
        <w:t xml:space="preserve"> This requires us to consider whether the approach </w:t>
      </w:r>
      <w:r w:rsidRPr="005F637C">
        <w:t>promot</w:t>
      </w:r>
      <w:r>
        <w:t xml:space="preserve">es </w:t>
      </w:r>
      <w:r w:rsidRPr="005F637C">
        <w:t>efficient investment in, and efficient operation and use of, electricity services for the long term interests of consumers</w:t>
      </w:r>
      <w:r>
        <w:t xml:space="preserve">. An approach that underestimates the remaining life of assets results in </w:t>
      </w:r>
      <w:r w:rsidRPr="00541A86">
        <w:t xml:space="preserve">customers paying for assets too quickly (such that the asset is fully depreciated before </w:t>
      </w:r>
      <w:r w:rsidRPr="00541A86">
        <w:lastRenderedPageBreak/>
        <w:t>the end of its useful life</w:t>
      </w:r>
      <w:r>
        <w:t xml:space="preserve">). This </w:t>
      </w:r>
      <w:r w:rsidRPr="00541A86">
        <w:t xml:space="preserve">may encourage inefficient </w:t>
      </w:r>
      <w:r>
        <w:t xml:space="preserve">use and </w:t>
      </w:r>
      <w:r w:rsidRPr="00541A86">
        <w:t>early replacement</w:t>
      </w:r>
      <w:r>
        <w:t xml:space="preserve"> of assets inconsistent with the NEL.</w:t>
      </w:r>
      <w:r>
        <w:rPr>
          <w:rStyle w:val="FootnoteReference"/>
        </w:rPr>
        <w:footnoteReference w:id="33"/>
      </w:r>
    </w:p>
    <w:p w:rsidR="00E33176" w:rsidRPr="00B7508B" w:rsidRDefault="00E33176" w:rsidP="00B7508B">
      <w:pPr>
        <w:pStyle w:val="Tabletitle"/>
        <w:rPr>
          <w:rStyle w:val="AERbody"/>
          <w:color w:val="076A92" w:themeColor="text1"/>
          <w:sz w:val="24"/>
        </w:rPr>
      </w:pPr>
      <w:proofErr w:type="gramStart"/>
      <w:r w:rsidRPr="00B7508B">
        <w:t xml:space="preserve">Table </w:t>
      </w:r>
      <w:fldSimple w:instr=" STYLEREF 1 \s ">
        <w:r w:rsidR="00C87242">
          <w:rPr>
            <w:noProof/>
          </w:rPr>
          <w:t>5</w:t>
        </w:r>
      </w:fldSimple>
      <w:r w:rsidRPr="00B7508B">
        <w:t>.</w:t>
      </w:r>
      <w:proofErr w:type="gramEnd"/>
      <w:fldSimple w:instr=" SEQ Table \* ARABIC \s 1 ">
        <w:r w:rsidR="00C87242">
          <w:rPr>
            <w:noProof/>
          </w:rPr>
          <w:t>3</w:t>
        </w:r>
      </w:fldSimple>
      <w:bookmarkEnd w:id="25"/>
      <w:r w:rsidRPr="00B7508B">
        <w:tab/>
      </w:r>
      <w:r w:rsidRPr="00B7508B">
        <w:rPr>
          <w:rStyle w:val="AERbody"/>
          <w:color w:val="076A92" w:themeColor="text1"/>
          <w:sz w:val="24"/>
        </w:rPr>
        <w:t xml:space="preserve">Difference in remaining asset lives at 1 July 2015 </w:t>
      </w:r>
      <w:r w:rsidR="007E4087" w:rsidRPr="00B7508B">
        <w:rPr>
          <w:rStyle w:val="AERbody"/>
          <w:color w:val="076A92" w:themeColor="text1"/>
          <w:sz w:val="24"/>
        </w:rPr>
        <w:t>for key asset classes</w:t>
      </w:r>
      <w:r w:rsidR="00E35FAF" w:rsidRPr="00B7508B">
        <w:rPr>
          <w:rStyle w:val="AERbody"/>
          <w:color w:val="076A92" w:themeColor="text1"/>
          <w:sz w:val="24"/>
        </w:rPr>
        <w:t>—</w:t>
      </w:r>
      <w:r w:rsidRPr="00B7508B">
        <w:rPr>
          <w:rStyle w:val="AERbody"/>
          <w:color w:val="076A92" w:themeColor="text1"/>
          <w:sz w:val="24"/>
        </w:rPr>
        <w:t xml:space="preserve">WARL </w:t>
      </w:r>
      <w:r w:rsidR="00E35FAF" w:rsidRPr="00B7508B">
        <w:rPr>
          <w:rStyle w:val="AERbody"/>
          <w:color w:val="076A92" w:themeColor="text1"/>
          <w:sz w:val="24"/>
        </w:rPr>
        <w:t xml:space="preserve">versus </w:t>
      </w:r>
      <w:r w:rsidR="00B7508B" w:rsidRPr="00B7508B">
        <w:rPr>
          <w:rStyle w:val="AERbody"/>
          <w:color w:val="076A92" w:themeColor="text1"/>
          <w:sz w:val="24"/>
        </w:rPr>
        <w:t>average depreciation</w:t>
      </w:r>
    </w:p>
    <w:tbl>
      <w:tblPr>
        <w:tblStyle w:val="AERtable-numbers"/>
        <w:tblW w:w="8755" w:type="dxa"/>
        <w:tblLayout w:type="fixed"/>
        <w:tblLook w:val="04A0" w:firstRow="1" w:lastRow="0" w:firstColumn="1" w:lastColumn="0" w:noHBand="0" w:noVBand="1"/>
      </w:tblPr>
      <w:tblGrid>
        <w:gridCol w:w="2911"/>
        <w:gridCol w:w="1867"/>
        <w:gridCol w:w="1867"/>
        <w:gridCol w:w="2110"/>
      </w:tblGrid>
      <w:tr w:rsidR="00E33176" w:rsidRPr="00140295" w:rsidTr="007A24EF">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hideMark/>
          </w:tcPr>
          <w:p w:rsidR="00E33176" w:rsidRPr="00E33176" w:rsidRDefault="00E33176" w:rsidP="00E33176">
            <w:r w:rsidRPr="00140295">
              <w:t>Asset class</w:t>
            </w:r>
          </w:p>
        </w:tc>
        <w:tc>
          <w:tcPr>
            <w:tcW w:w="1867" w:type="dxa"/>
            <w:noWrap/>
          </w:tcPr>
          <w:p w:rsidR="00E33176" w:rsidRPr="00E33176" w:rsidRDefault="00E33176" w:rsidP="00B7508B">
            <w:pPr>
              <w:cnfStyle w:val="100000000000" w:firstRow="1" w:lastRow="0" w:firstColumn="0" w:lastColumn="0" w:oddVBand="0" w:evenVBand="0" w:oddHBand="0" w:evenHBand="0" w:firstRowFirstColumn="0" w:firstRowLastColumn="0" w:lastRowFirstColumn="0" w:lastRowLastColumn="0"/>
            </w:pPr>
            <w:r w:rsidRPr="00926B90">
              <w:t xml:space="preserve">Remaining asset lives </w:t>
            </w:r>
            <w:r w:rsidR="00B7508B">
              <w:t xml:space="preserve">under </w:t>
            </w:r>
            <w:r w:rsidRPr="00E33176">
              <w:t>WARL approach</w:t>
            </w:r>
            <w:r w:rsidR="00B7508B">
              <w:t xml:space="preserve"> (</w:t>
            </w:r>
            <w:r w:rsidRPr="00E33176">
              <w:t>year)</w:t>
            </w:r>
          </w:p>
        </w:tc>
        <w:tc>
          <w:tcPr>
            <w:tcW w:w="1867" w:type="dxa"/>
            <w:noWrap/>
            <w:hideMark/>
          </w:tcPr>
          <w:p w:rsidR="00E33176" w:rsidRPr="00E33176" w:rsidRDefault="00B7508B" w:rsidP="00B7508B">
            <w:pPr>
              <w:cnfStyle w:val="100000000000" w:firstRow="1" w:lastRow="0" w:firstColumn="0" w:lastColumn="0" w:oddVBand="0" w:evenVBand="0" w:oddHBand="0" w:evenHBand="0" w:firstRowFirstColumn="0" w:firstRowLastColumn="0" w:lastRowFirstColumn="0" w:lastRowLastColumn="0"/>
            </w:pPr>
            <w:r>
              <w:t>Remaining asset lives under a</w:t>
            </w:r>
            <w:r w:rsidR="00E33176" w:rsidRPr="00926B90">
              <w:t>verage depreciation approach</w:t>
            </w:r>
            <w:r>
              <w:t xml:space="preserve"> (</w:t>
            </w:r>
            <w:r w:rsidR="00E33176" w:rsidRPr="00926B90">
              <w:t>year)</w:t>
            </w:r>
          </w:p>
        </w:tc>
        <w:tc>
          <w:tcPr>
            <w:tcW w:w="2110" w:type="dxa"/>
          </w:tcPr>
          <w:p w:rsidR="00E33176" w:rsidRPr="00E33176" w:rsidRDefault="00E33176" w:rsidP="007E4087">
            <w:pPr>
              <w:cnfStyle w:val="100000000000" w:firstRow="1" w:lastRow="0" w:firstColumn="0" w:lastColumn="0" w:oddVBand="0" w:evenVBand="0" w:oddHBand="0" w:evenHBand="0" w:firstRowFirstColumn="0" w:firstRowLastColumn="0" w:lastRowFirstColumn="0" w:lastRowLastColumn="0"/>
            </w:pPr>
            <w:r w:rsidRPr="00926B90">
              <w:t xml:space="preserve">Difference in remaining asset lives between average depreciation </w:t>
            </w:r>
            <w:r w:rsidR="007E4087">
              <w:t xml:space="preserve">and WARL </w:t>
            </w:r>
            <w:r w:rsidRPr="00926B90">
              <w:t>approach</w:t>
            </w:r>
            <w:r w:rsidR="007E4087">
              <w:t>es</w:t>
            </w:r>
            <w:r w:rsidRPr="00926B90">
              <w:t xml:space="preserve"> (per cent)</w:t>
            </w:r>
          </w:p>
        </w:tc>
      </w:tr>
      <w:tr w:rsidR="00ED6707" w:rsidRPr="00140295" w:rsidTr="007A24EF">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Overhead sub-transmission lines</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33.3</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31.1</w:t>
            </w:r>
          </w:p>
        </w:tc>
        <w:tc>
          <w:tcPr>
            <w:tcW w:w="2110" w:type="dxa"/>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t>–</w:t>
            </w:r>
            <w:r w:rsidRPr="00ED6707">
              <w:t>6.5%</w:t>
            </w:r>
          </w:p>
        </w:tc>
      </w:tr>
      <w:tr w:rsidR="00ED6707" w:rsidRPr="00140295" w:rsidTr="007A24E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Underground sub-transmission cables</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25.0</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21.0</w:t>
            </w:r>
          </w:p>
        </w:tc>
        <w:tc>
          <w:tcPr>
            <w:tcW w:w="2110" w:type="dxa"/>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t>–</w:t>
            </w:r>
            <w:r w:rsidRPr="00ED6707">
              <w:t>16.0%</w:t>
            </w:r>
          </w:p>
        </w:tc>
      </w:tr>
      <w:tr w:rsidR="00ED6707" w:rsidRPr="00140295" w:rsidTr="007A24EF">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Overhead distribution lines</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36.2</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33.5</w:t>
            </w:r>
          </w:p>
        </w:tc>
        <w:tc>
          <w:tcPr>
            <w:tcW w:w="2110" w:type="dxa"/>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t>–</w:t>
            </w:r>
            <w:r w:rsidRPr="00ED6707">
              <w:t>7.6%</w:t>
            </w:r>
          </w:p>
        </w:tc>
      </w:tr>
      <w:tr w:rsidR="00ED6707" w:rsidRPr="00140295" w:rsidTr="007A24E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 xml:space="preserve">Distribution equipment  </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23.5</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19.0</w:t>
            </w:r>
          </w:p>
        </w:tc>
        <w:tc>
          <w:tcPr>
            <w:tcW w:w="2110" w:type="dxa"/>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t>–</w:t>
            </w:r>
            <w:r w:rsidRPr="00ED6707">
              <w:t>19.5%</w:t>
            </w:r>
          </w:p>
        </w:tc>
      </w:tr>
      <w:tr w:rsidR="00ED6707" w:rsidRPr="00140295" w:rsidTr="007A24EF">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Substation bays</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32.8</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30.5</w:t>
            </w:r>
          </w:p>
        </w:tc>
        <w:tc>
          <w:tcPr>
            <w:tcW w:w="2110" w:type="dxa"/>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t>–</w:t>
            </w:r>
            <w:r w:rsidRPr="00ED6707">
              <w:t>6.9%</w:t>
            </w:r>
          </w:p>
        </w:tc>
      </w:tr>
      <w:tr w:rsidR="00ED6707" w:rsidRPr="00140295" w:rsidTr="007A24E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Substation establishment</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32.7</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28.7</w:t>
            </w:r>
          </w:p>
        </w:tc>
        <w:tc>
          <w:tcPr>
            <w:tcW w:w="2110" w:type="dxa"/>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t>–</w:t>
            </w:r>
            <w:r w:rsidRPr="00ED6707">
              <w:t>12.3%</w:t>
            </w:r>
          </w:p>
        </w:tc>
      </w:tr>
      <w:tr w:rsidR="00ED6707" w:rsidRPr="00140295" w:rsidTr="007A24EF">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Zone transformers</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33.4</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28.2</w:t>
            </w:r>
          </w:p>
        </w:tc>
        <w:tc>
          <w:tcPr>
            <w:tcW w:w="2110" w:type="dxa"/>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t>–</w:t>
            </w:r>
            <w:r w:rsidRPr="00ED6707">
              <w:t>15.5%</w:t>
            </w:r>
          </w:p>
        </w:tc>
      </w:tr>
      <w:tr w:rsidR="00ED6707" w:rsidRPr="00140295" w:rsidTr="007A24E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Distribution transformers</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27.1</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21.7</w:t>
            </w:r>
          </w:p>
        </w:tc>
        <w:tc>
          <w:tcPr>
            <w:tcW w:w="2110" w:type="dxa"/>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t>–</w:t>
            </w:r>
            <w:r w:rsidRPr="00ED6707">
              <w:t>19.6%</w:t>
            </w:r>
          </w:p>
        </w:tc>
      </w:tr>
      <w:tr w:rsidR="00ED6707" w:rsidRPr="00140295" w:rsidTr="007A24EF">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 xml:space="preserve">Communications – pilot wires </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24.9</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21.2</w:t>
            </w:r>
          </w:p>
        </w:tc>
        <w:tc>
          <w:tcPr>
            <w:tcW w:w="2110" w:type="dxa"/>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t>–</w:t>
            </w:r>
            <w:r w:rsidRPr="00ED6707">
              <w:t>14.9%</w:t>
            </w:r>
          </w:p>
        </w:tc>
      </w:tr>
      <w:tr w:rsidR="00ED6707" w:rsidRPr="00140295" w:rsidTr="007A24E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Generation assets</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27.6</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8.8</w:t>
            </w:r>
          </w:p>
        </w:tc>
        <w:tc>
          <w:tcPr>
            <w:tcW w:w="2110" w:type="dxa"/>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t>–</w:t>
            </w:r>
            <w:r w:rsidRPr="00ED6707">
              <w:t>67.9%</w:t>
            </w:r>
          </w:p>
        </w:tc>
      </w:tr>
      <w:tr w:rsidR="00ED6707" w:rsidRPr="00140295" w:rsidTr="007A24EF">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Control centre - SCADA</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4.7</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4.2</w:t>
            </w:r>
          </w:p>
        </w:tc>
        <w:tc>
          <w:tcPr>
            <w:tcW w:w="2110" w:type="dxa"/>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t>–</w:t>
            </w:r>
            <w:r w:rsidRPr="00ED6707">
              <w:t>10.5%</w:t>
            </w:r>
          </w:p>
        </w:tc>
      </w:tr>
      <w:tr w:rsidR="00ED6707" w:rsidRPr="00140295" w:rsidTr="007A24E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Communications</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27.1</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18.4</w:t>
            </w:r>
          </w:p>
        </w:tc>
        <w:tc>
          <w:tcPr>
            <w:tcW w:w="2110" w:type="dxa"/>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t>–</w:t>
            </w:r>
            <w:r w:rsidRPr="00ED6707">
              <w:t>32.1%</w:t>
            </w:r>
          </w:p>
        </w:tc>
      </w:tr>
      <w:tr w:rsidR="00ED6707" w:rsidRPr="00140295" w:rsidTr="007A24EF">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IT systems</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3.7</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2.8</w:t>
            </w:r>
          </w:p>
        </w:tc>
        <w:tc>
          <w:tcPr>
            <w:tcW w:w="2110" w:type="dxa"/>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t>–</w:t>
            </w:r>
            <w:r w:rsidRPr="00ED6707">
              <w:t>22.8%</w:t>
            </w:r>
          </w:p>
        </w:tc>
      </w:tr>
      <w:tr w:rsidR="00ED6707" w:rsidRPr="00140295" w:rsidTr="007A24E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Office equipment &amp; furniture</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4.6</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3.6</w:t>
            </w:r>
          </w:p>
        </w:tc>
        <w:tc>
          <w:tcPr>
            <w:tcW w:w="2110" w:type="dxa"/>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t>–</w:t>
            </w:r>
            <w:r w:rsidRPr="00ED6707">
              <w:t>21.9%</w:t>
            </w:r>
          </w:p>
        </w:tc>
      </w:tr>
      <w:tr w:rsidR="00ED6707" w:rsidRPr="00140295" w:rsidTr="007A24EF">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Motor vehicles</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6.6</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4.7</w:t>
            </w:r>
          </w:p>
        </w:tc>
        <w:tc>
          <w:tcPr>
            <w:tcW w:w="2110" w:type="dxa"/>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t>–</w:t>
            </w:r>
            <w:r w:rsidRPr="00ED6707">
              <w:t>28.7%</w:t>
            </w:r>
          </w:p>
        </w:tc>
      </w:tr>
      <w:tr w:rsidR="00ED6707" w:rsidRPr="00140295" w:rsidTr="007A24EF">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Plant &amp; equipment</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5.8</w:t>
            </w:r>
          </w:p>
        </w:tc>
        <w:tc>
          <w:tcPr>
            <w:tcW w:w="1867" w:type="dxa"/>
            <w:noWrap/>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rsidRPr="00ED6707">
              <w:t>4.2</w:t>
            </w:r>
          </w:p>
        </w:tc>
        <w:tc>
          <w:tcPr>
            <w:tcW w:w="2110" w:type="dxa"/>
            <w:vAlign w:val="bottom"/>
          </w:tcPr>
          <w:p w:rsidR="00ED6707" w:rsidRPr="00ED6707" w:rsidRDefault="00ED6707" w:rsidP="00ED6707">
            <w:pPr>
              <w:cnfStyle w:val="000000010000" w:firstRow="0" w:lastRow="0" w:firstColumn="0" w:lastColumn="0" w:oddVBand="0" w:evenVBand="0" w:oddHBand="0" w:evenHBand="1" w:firstRowFirstColumn="0" w:firstRowLastColumn="0" w:lastRowFirstColumn="0" w:lastRowLastColumn="0"/>
            </w:pPr>
            <w:r>
              <w:t>–</w:t>
            </w:r>
            <w:r w:rsidRPr="00ED6707">
              <w:t>27.5%</w:t>
            </w:r>
          </w:p>
        </w:tc>
      </w:tr>
      <w:tr w:rsidR="00ED6707" w:rsidRPr="00140295" w:rsidTr="007A24EF">
        <w:trPr>
          <w:trHeight w:val="289"/>
        </w:trPr>
        <w:tc>
          <w:tcPr>
            <w:cnfStyle w:val="001000000000" w:firstRow="0" w:lastRow="0" w:firstColumn="1" w:lastColumn="0" w:oddVBand="0" w:evenVBand="0" w:oddHBand="0" w:evenHBand="0" w:firstRowFirstColumn="0" w:firstRowLastColumn="0" w:lastRowFirstColumn="0" w:lastRowLastColumn="0"/>
            <w:tcW w:w="2911" w:type="dxa"/>
            <w:noWrap/>
            <w:vAlign w:val="bottom"/>
            <w:hideMark/>
          </w:tcPr>
          <w:p w:rsidR="00ED6707" w:rsidRPr="00ED6707" w:rsidRDefault="00ED6707" w:rsidP="00ED6707">
            <w:r w:rsidRPr="00ED6707">
              <w:t>Buildings</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27.0</w:t>
            </w:r>
          </w:p>
        </w:tc>
        <w:tc>
          <w:tcPr>
            <w:tcW w:w="1867" w:type="dxa"/>
            <w:noWrap/>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rsidRPr="00ED6707">
              <w:t>15.8</w:t>
            </w:r>
          </w:p>
        </w:tc>
        <w:tc>
          <w:tcPr>
            <w:tcW w:w="2110" w:type="dxa"/>
            <w:vAlign w:val="bottom"/>
          </w:tcPr>
          <w:p w:rsidR="00ED6707" w:rsidRPr="00ED6707" w:rsidRDefault="00ED6707" w:rsidP="00ED6707">
            <w:pPr>
              <w:cnfStyle w:val="000000000000" w:firstRow="0" w:lastRow="0" w:firstColumn="0" w:lastColumn="0" w:oddVBand="0" w:evenVBand="0" w:oddHBand="0" w:evenHBand="0" w:firstRowFirstColumn="0" w:firstRowLastColumn="0" w:lastRowFirstColumn="0" w:lastRowLastColumn="0"/>
            </w:pPr>
            <w:r>
              <w:t>–</w:t>
            </w:r>
            <w:r w:rsidRPr="00ED6707">
              <w:t>41.6%</w:t>
            </w:r>
          </w:p>
        </w:tc>
      </w:tr>
    </w:tbl>
    <w:p w:rsidR="00E33176" w:rsidRPr="00E33176" w:rsidRDefault="00E33176" w:rsidP="00E33176">
      <w:pPr>
        <w:pStyle w:val="AERtablesource"/>
      </w:pPr>
      <w:r w:rsidRPr="00E33176">
        <w:t>Source:</w:t>
      </w:r>
      <w:r w:rsidRPr="00E33176">
        <w:tab/>
        <w:t>AER analysis</w:t>
      </w:r>
      <w:r w:rsidR="007E4087">
        <w:t xml:space="preserve"> of key </w:t>
      </w:r>
      <w:r w:rsidRPr="00E33176">
        <w:t>asset classes</w:t>
      </w:r>
      <w:r>
        <w:t>.</w:t>
      </w:r>
      <w:r w:rsidRPr="00E33176">
        <w:t xml:space="preserve"> </w:t>
      </w:r>
    </w:p>
    <w:p w:rsidR="00426B30" w:rsidRDefault="00E33176" w:rsidP="00E33176">
      <w:r w:rsidRPr="00E33176">
        <w:t xml:space="preserve">To illustrate </w:t>
      </w:r>
      <w:r w:rsidR="005F637C">
        <w:t xml:space="preserve">the long-term impacts </w:t>
      </w:r>
      <w:r w:rsidR="00B7508B">
        <w:t xml:space="preserve">we </w:t>
      </w:r>
      <w:r w:rsidRPr="00E33176">
        <w:t xml:space="preserve">consider </w:t>
      </w:r>
      <w:r w:rsidR="00EB7E75">
        <w:t>the outcomes of both approaches for</w:t>
      </w:r>
      <w:r w:rsidRPr="00E33176">
        <w:t xml:space="preserve"> particular asset class</w:t>
      </w:r>
      <w:r w:rsidR="00EB7E75">
        <w:t>es</w:t>
      </w:r>
      <w:r w:rsidR="00B7508B">
        <w:t xml:space="preserve"> of Ergon Energy</w:t>
      </w:r>
      <w:r w:rsidRPr="00E33176">
        <w:t>.</w:t>
      </w:r>
      <w:r w:rsidR="007A24EF">
        <w:t xml:space="preserve"> </w:t>
      </w:r>
      <w:r w:rsidR="00471C70">
        <w:t>We have chosen two asset classes</w:t>
      </w:r>
      <w:r w:rsidR="001D7B58">
        <w:t>—</w:t>
      </w:r>
      <w:r w:rsidR="00471C70">
        <w:t>'Distribution transformers' and 'Communications'</w:t>
      </w:r>
      <w:r w:rsidR="001D7B58">
        <w:t>—that</w:t>
      </w:r>
      <w:r w:rsidR="00471C70">
        <w:t xml:space="preserve"> we consider to be representative of two typical compositions of asset values in the RAB: one with a large existing asset base and moderate capex, and one with a small existing asset base and large capex over the period.</w:t>
      </w:r>
    </w:p>
    <w:p w:rsidR="00E33176" w:rsidRPr="00E33176" w:rsidRDefault="00B7508B" w:rsidP="00E33176">
      <w:r>
        <w:lastRenderedPageBreak/>
        <w:t>T</w:t>
      </w:r>
      <w:r w:rsidR="00880B49">
        <w:t xml:space="preserve">he </w:t>
      </w:r>
      <w:r w:rsidR="00E33176" w:rsidRPr="00E33176">
        <w:t>‘</w:t>
      </w:r>
      <w:r w:rsidR="00F82F61">
        <w:t>Distribution transformers'</w:t>
      </w:r>
      <w:r w:rsidR="00E33176" w:rsidRPr="00E33176">
        <w:t xml:space="preserve"> asset class</w:t>
      </w:r>
      <w:r w:rsidR="002D59EC">
        <w:t xml:space="preserve"> has an </w:t>
      </w:r>
      <w:r w:rsidR="00E33176" w:rsidRPr="00E33176">
        <w:t xml:space="preserve">opening </w:t>
      </w:r>
      <w:r w:rsidR="002D59EC">
        <w:t>asset value</w:t>
      </w:r>
      <w:r w:rsidR="00E33176" w:rsidRPr="00E33176">
        <w:t xml:space="preserve"> at 1 July 2015 </w:t>
      </w:r>
      <w:r w:rsidR="00DC7800">
        <w:t>of</w:t>
      </w:r>
      <w:r w:rsidR="00E33176" w:rsidRPr="00E33176">
        <w:t xml:space="preserve"> $</w:t>
      </w:r>
      <w:r w:rsidR="00F82F61">
        <w:t>1034 </w:t>
      </w:r>
      <w:r w:rsidR="00E33176" w:rsidRPr="00E33176">
        <w:t xml:space="preserve">million ($2014–15). This </w:t>
      </w:r>
      <w:r>
        <w:t xml:space="preserve">value </w:t>
      </w:r>
      <w:r w:rsidR="00E33176" w:rsidRPr="00E33176">
        <w:t>includes existing asset</w:t>
      </w:r>
      <w:r w:rsidR="00880B49">
        <w:t>s</w:t>
      </w:r>
      <w:r w:rsidR="00E33176" w:rsidRPr="00E33176">
        <w:t xml:space="preserve"> at 1 July 2010 of $</w:t>
      </w:r>
      <w:r w:rsidR="00F82F61">
        <w:t>640</w:t>
      </w:r>
      <w:r w:rsidR="00880B49">
        <w:t> </w:t>
      </w:r>
      <w:r w:rsidR="00E33176" w:rsidRPr="00E33176">
        <w:t>million ($2014–15) and new asset</w:t>
      </w:r>
      <w:r w:rsidR="002D59EC">
        <w:t>s</w:t>
      </w:r>
      <w:r w:rsidR="00E33176" w:rsidRPr="00E33176">
        <w:t xml:space="preserve"> of $</w:t>
      </w:r>
      <w:r w:rsidR="00F82F61">
        <w:t>394</w:t>
      </w:r>
      <w:r w:rsidR="00880B49">
        <w:t> </w:t>
      </w:r>
      <w:r w:rsidR="00E33176" w:rsidRPr="00E33176">
        <w:t xml:space="preserve">million ($2014–15) added to the asset class over the 2010–15 regulatory control period. </w:t>
      </w:r>
      <w:r w:rsidR="002748DD">
        <w:fldChar w:fldCharType="begin"/>
      </w:r>
      <w:r w:rsidR="002748DD">
        <w:instrText xml:space="preserve"> REF _Ref413847538 \h </w:instrText>
      </w:r>
      <w:r w:rsidR="002748DD">
        <w:fldChar w:fldCharType="separate"/>
      </w:r>
      <w:r w:rsidR="00C87242">
        <w:t xml:space="preserve">Figure </w:t>
      </w:r>
      <w:r w:rsidR="00C87242">
        <w:rPr>
          <w:noProof/>
        </w:rPr>
        <w:t>5</w:t>
      </w:r>
      <w:r w:rsidR="00C87242">
        <w:t>.</w:t>
      </w:r>
      <w:r w:rsidR="00C87242">
        <w:rPr>
          <w:noProof/>
        </w:rPr>
        <w:t>1</w:t>
      </w:r>
      <w:r w:rsidR="002748DD">
        <w:fldChar w:fldCharType="end"/>
      </w:r>
      <w:r w:rsidR="00E33176">
        <w:t xml:space="preserve"> </w:t>
      </w:r>
      <w:r w:rsidR="00E33176" w:rsidRPr="00E33176">
        <w:t xml:space="preserve">shows the total </w:t>
      </w:r>
      <w:r w:rsidR="002D59EC">
        <w:t xml:space="preserve">asset </w:t>
      </w:r>
      <w:r w:rsidR="00E33176" w:rsidRPr="00E33176">
        <w:t xml:space="preserve">value estimated by </w:t>
      </w:r>
      <w:r w:rsidR="002D59EC">
        <w:t xml:space="preserve">the </w:t>
      </w:r>
      <w:r w:rsidR="00E33176" w:rsidRPr="00E33176">
        <w:t xml:space="preserve">WARL approach (blue line), </w:t>
      </w:r>
      <w:r w:rsidR="002D59EC">
        <w:t>Ergon</w:t>
      </w:r>
      <w:r w:rsidR="0016614A">
        <w:t xml:space="preserve"> Energy</w:t>
      </w:r>
      <w:r w:rsidR="002D59EC">
        <w:t xml:space="preserve">'s </w:t>
      </w:r>
      <w:r w:rsidR="00E33176" w:rsidRPr="00E33176">
        <w:t>average depreciation approach (red line)</w:t>
      </w:r>
      <w:r>
        <w:t>,</w:t>
      </w:r>
      <w:r w:rsidR="00E33176" w:rsidRPr="00E33176">
        <w:t xml:space="preserve"> and the approach </w:t>
      </w:r>
      <w:r>
        <w:t xml:space="preserve">of tracking </w:t>
      </w:r>
      <w:r w:rsidR="00E33176" w:rsidRPr="00E33176">
        <w:t>asset</w:t>
      </w:r>
      <w:r>
        <w:t>s</w:t>
      </w:r>
      <w:r w:rsidR="00E33176" w:rsidRPr="00E33176">
        <w:t xml:space="preserve"> individually based on when they were introduced to the asset class (stacked columns</w:t>
      </w:r>
      <w:r>
        <w:t>,</w:t>
      </w:r>
      <w:r w:rsidR="00E33176" w:rsidRPr="00E33176">
        <w:t xml:space="preserve"> with each bar representing a different asset that </w:t>
      </w:r>
      <w:r>
        <w:t>will expire</w:t>
      </w:r>
      <w:r w:rsidR="00E33176" w:rsidRPr="00E33176">
        <w:t xml:space="preserve"> at a different time). </w:t>
      </w:r>
      <w:r w:rsidR="002D59EC">
        <w:t>This example a</w:t>
      </w:r>
      <w:r w:rsidR="002D59EC" w:rsidRPr="00E33176">
        <w:t>ssum</w:t>
      </w:r>
      <w:r w:rsidR="002D59EC">
        <w:t>es</w:t>
      </w:r>
      <w:r w:rsidR="002D59EC" w:rsidRPr="00E33176">
        <w:t xml:space="preserve"> </w:t>
      </w:r>
      <w:r>
        <w:t xml:space="preserve">the </w:t>
      </w:r>
      <w:r w:rsidR="002D59EC">
        <w:t>asset class</w:t>
      </w:r>
      <w:r>
        <w:t xml:space="preserve"> incurs no future capex.</w:t>
      </w:r>
    </w:p>
    <w:p w:rsidR="00E33176" w:rsidRDefault="00E33176" w:rsidP="00F318AB">
      <w:pPr>
        <w:pStyle w:val="Caption"/>
      </w:pPr>
      <w:bookmarkStart w:id="26" w:name="_Ref413847538"/>
      <w:r>
        <w:t xml:space="preserve">Figure </w:t>
      </w:r>
      <w:fldSimple w:instr=" STYLEREF 1 \s ">
        <w:r w:rsidR="00C87242">
          <w:rPr>
            <w:noProof/>
          </w:rPr>
          <w:t>5</w:t>
        </w:r>
      </w:fldSimple>
      <w:r w:rsidR="00055E16">
        <w:t>.</w:t>
      </w:r>
      <w:fldSimple w:instr=" SEQ Figure \* ARABIC \s 1 ">
        <w:r w:rsidR="00C87242">
          <w:rPr>
            <w:noProof/>
          </w:rPr>
          <w:t>1</w:t>
        </w:r>
      </w:fldSimple>
      <w:bookmarkEnd w:id="26"/>
      <w:r>
        <w:tab/>
      </w:r>
      <w:r w:rsidRPr="00E33176">
        <w:t xml:space="preserve">Projection of the value of </w:t>
      </w:r>
      <w:r w:rsidR="002D59EC">
        <w:t>assets</w:t>
      </w:r>
      <w:r w:rsidRPr="00E33176">
        <w:t xml:space="preserve"> for </w:t>
      </w:r>
      <w:r w:rsidR="002D59EC">
        <w:t>'D</w:t>
      </w:r>
      <w:r w:rsidR="00F82F61">
        <w:t>istribution transformers</w:t>
      </w:r>
      <w:r w:rsidR="002D59EC">
        <w:t>' asset class</w:t>
      </w:r>
      <w:r>
        <w:t xml:space="preserve"> </w:t>
      </w:r>
      <w:r w:rsidRPr="00E33176">
        <w:t>over time</w:t>
      </w:r>
      <w:r w:rsidR="003D4332">
        <w:t xml:space="preserve"> ($million</w:t>
      </w:r>
      <w:r w:rsidR="002D59EC">
        <w:t>, 2014–15)</w:t>
      </w:r>
    </w:p>
    <w:p w:rsidR="00E33176" w:rsidRPr="00E33176" w:rsidRDefault="003D4332" w:rsidP="00880B49">
      <w:r w:rsidRPr="003D4332">
        <w:rPr>
          <w:noProof/>
          <w:lang w:eastAsia="en-AU"/>
        </w:rPr>
        <w:drawing>
          <wp:inline distT="0" distB="0" distL="0" distR="0" wp14:anchorId="74DC30BD" wp14:editId="3E46C7F5">
            <wp:extent cx="5382895" cy="3600363"/>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600363"/>
                    </a:xfrm>
                    <a:prstGeom prst="rect">
                      <a:avLst/>
                    </a:prstGeom>
                    <a:noFill/>
                    <a:ln>
                      <a:noFill/>
                    </a:ln>
                  </pic:spPr>
                </pic:pic>
              </a:graphicData>
            </a:graphic>
          </wp:inline>
        </w:drawing>
      </w:r>
    </w:p>
    <w:p w:rsidR="007E150E" w:rsidRDefault="007E150E" w:rsidP="007E150E">
      <w:pPr>
        <w:pStyle w:val="AERtablesource"/>
      </w:pPr>
      <w:r>
        <w:t xml:space="preserve">Source: </w:t>
      </w:r>
      <w:r w:rsidR="007023F0">
        <w:tab/>
      </w:r>
      <w:r>
        <w:t>AER analysis.</w:t>
      </w:r>
    </w:p>
    <w:p w:rsidR="002748DD" w:rsidRDefault="002748DD" w:rsidP="002748DD">
      <w:r w:rsidRPr="00926B90">
        <w:t>As shown in</w:t>
      </w:r>
      <w:r>
        <w:t xml:space="preserve"> </w:t>
      </w:r>
      <w:r>
        <w:fldChar w:fldCharType="begin"/>
      </w:r>
      <w:r>
        <w:instrText xml:space="preserve"> REF _Ref413847538 \h </w:instrText>
      </w:r>
      <w:r>
        <w:fldChar w:fldCharType="separate"/>
      </w:r>
      <w:r w:rsidR="00C87242">
        <w:t xml:space="preserve">Figure </w:t>
      </w:r>
      <w:r w:rsidR="00C87242">
        <w:rPr>
          <w:noProof/>
        </w:rPr>
        <w:t>5</w:t>
      </w:r>
      <w:r w:rsidR="00C87242">
        <w:t>.</w:t>
      </w:r>
      <w:r w:rsidR="00C87242">
        <w:rPr>
          <w:noProof/>
        </w:rPr>
        <w:t>1</w:t>
      </w:r>
      <w:r>
        <w:fldChar w:fldCharType="end"/>
      </w:r>
      <w:r w:rsidRPr="00926B90">
        <w:t xml:space="preserve">, </w:t>
      </w:r>
      <w:r w:rsidR="00B7508B">
        <w:t xml:space="preserve">under individual asset tracking, </w:t>
      </w:r>
      <w:r w:rsidRPr="00926B90">
        <w:t xml:space="preserve">the </w:t>
      </w:r>
      <w:r w:rsidR="002D59EC">
        <w:t>asset</w:t>
      </w:r>
      <w:r w:rsidRPr="00926B90">
        <w:t xml:space="preserve"> value calculated will fully depreciate in </w:t>
      </w:r>
      <w:r w:rsidR="00F82F61">
        <w:t>45</w:t>
      </w:r>
      <w:r w:rsidRPr="00926B90">
        <w:t xml:space="preserve"> years. </w:t>
      </w:r>
      <w:r w:rsidR="00B7508B">
        <w:t>Under the WARL approach t</w:t>
      </w:r>
      <w:r w:rsidRPr="00926B90">
        <w:t xml:space="preserve">he </w:t>
      </w:r>
      <w:r w:rsidR="002D59EC">
        <w:t>asset</w:t>
      </w:r>
      <w:r w:rsidRPr="00926B90">
        <w:t xml:space="preserve"> value starts above the value </w:t>
      </w:r>
      <w:r w:rsidR="002D59EC">
        <w:t>whe</w:t>
      </w:r>
      <w:r w:rsidR="00B7508B">
        <w:t>n</w:t>
      </w:r>
      <w:r w:rsidR="002D59EC">
        <w:t xml:space="preserve"> </w:t>
      </w:r>
      <w:r w:rsidRPr="00926B90">
        <w:t xml:space="preserve">the assets are tracked individually, but </w:t>
      </w:r>
      <w:r>
        <w:t xml:space="preserve">drops below </w:t>
      </w:r>
      <w:r w:rsidR="00B7508B">
        <w:t xml:space="preserve">it </w:t>
      </w:r>
      <w:r w:rsidRPr="00926B90">
        <w:t xml:space="preserve">in later years. </w:t>
      </w:r>
      <w:r w:rsidR="00B7508B">
        <w:t xml:space="preserve">And the </w:t>
      </w:r>
      <w:r w:rsidRPr="00926B90">
        <w:t xml:space="preserve">assets will fully depreciate in </w:t>
      </w:r>
      <w:r w:rsidR="00F82F61">
        <w:t>28</w:t>
      </w:r>
      <w:r w:rsidRPr="00926B90">
        <w:t xml:space="preserve"> years</w:t>
      </w:r>
      <w:r>
        <w:t xml:space="preserve">, even though </w:t>
      </w:r>
      <w:r w:rsidR="000B137A">
        <w:t xml:space="preserve">some </w:t>
      </w:r>
      <w:r>
        <w:t xml:space="preserve">assets </w:t>
      </w:r>
      <w:r w:rsidR="00F82F61">
        <w:t xml:space="preserve">(that is capex </w:t>
      </w:r>
      <w:r w:rsidR="00EB72D0">
        <w:t>incurred during the 2010–15 regulatory control period</w:t>
      </w:r>
      <w:r w:rsidR="00F82F61">
        <w:t>)</w:t>
      </w:r>
      <w:r>
        <w:t xml:space="preserve"> </w:t>
      </w:r>
      <w:r w:rsidR="000B137A">
        <w:t xml:space="preserve">will be in service </w:t>
      </w:r>
      <w:r>
        <w:t xml:space="preserve">for </w:t>
      </w:r>
      <w:r w:rsidR="00F82F61">
        <w:t xml:space="preserve">a </w:t>
      </w:r>
      <w:r w:rsidR="000B137A">
        <w:t xml:space="preserve">further </w:t>
      </w:r>
      <w:r w:rsidR="00F82F61">
        <w:t>number of years</w:t>
      </w:r>
      <w:r w:rsidRPr="00926B90">
        <w:t>.</w:t>
      </w:r>
      <w:r>
        <w:t xml:space="preserve"> </w:t>
      </w:r>
      <w:r w:rsidR="00F318AB" w:rsidRPr="00F318AB">
        <w:t>Combining old and new assets naturally implies the older assets will take longer to be recovered than individual asset tracking would suggest</w:t>
      </w:r>
      <w:r w:rsidR="000B137A">
        <w:t xml:space="preserve"> and </w:t>
      </w:r>
      <w:r w:rsidR="000B137A" w:rsidRPr="00F318AB">
        <w:t>the newer asset</w:t>
      </w:r>
      <w:r w:rsidR="000B137A">
        <w:t>s</w:t>
      </w:r>
      <w:r w:rsidR="000B137A" w:rsidRPr="00F318AB">
        <w:t xml:space="preserve"> will be recovered sooner</w:t>
      </w:r>
      <w:r w:rsidR="00F318AB" w:rsidRPr="00F318AB">
        <w:t>. We consider the WARL approach best deals with this issue</w:t>
      </w:r>
      <w:r w:rsidR="000B137A">
        <w:t>,</w:t>
      </w:r>
      <w:r w:rsidR="00F318AB" w:rsidRPr="00F318AB">
        <w:t xml:space="preserve"> producing a more balanc</w:t>
      </w:r>
      <w:r w:rsidR="00EB72D0">
        <w:t>ed</w:t>
      </w:r>
      <w:r w:rsidR="00F318AB" w:rsidRPr="00F318AB">
        <w:t xml:space="preserve"> outcome in the long run. </w:t>
      </w:r>
      <w:r w:rsidR="0076551E">
        <w:fldChar w:fldCharType="begin"/>
      </w:r>
      <w:r w:rsidR="0076551E">
        <w:instrText xml:space="preserve"> REF _Ref413847538 \h </w:instrText>
      </w:r>
      <w:r w:rsidR="0076551E">
        <w:fldChar w:fldCharType="separate"/>
      </w:r>
      <w:r w:rsidR="00C87242">
        <w:t xml:space="preserve">Figure </w:t>
      </w:r>
      <w:r w:rsidR="00C87242">
        <w:rPr>
          <w:noProof/>
        </w:rPr>
        <w:t>5</w:t>
      </w:r>
      <w:r w:rsidR="00C87242">
        <w:t>.</w:t>
      </w:r>
      <w:r w:rsidR="00C87242">
        <w:rPr>
          <w:noProof/>
        </w:rPr>
        <w:t>1</w:t>
      </w:r>
      <w:r w:rsidR="0076551E">
        <w:fldChar w:fldCharType="end"/>
      </w:r>
      <w:r w:rsidR="0076551E">
        <w:t xml:space="preserve"> shows </w:t>
      </w:r>
      <w:r w:rsidR="008740BB">
        <w:t xml:space="preserve">that </w:t>
      </w:r>
      <w:r w:rsidR="00F318AB" w:rsidRPr="00F318AB">
        <w:t>the period whe</w:t>
      </w:r>
      <w:r w:rsidR="000B137A">
        <w:t>n</w:t>
      </w:r>
      <w:r w:rsidR="00F318AB" w:rsidRPr="00F318AB">
        <w:t xml:space="preserve"> the </w:t>
      </w:r>
      <w:r w:rsidR="00EB72D0">
        <w:t xml:space="preserve">asset value </w:t>
      </w:r>
      <w:r w:rsidR="00F318AB" w:rsidRPr="00F318AB">
        <w:t xml:space="preserve">is higher than if assets where tracked individually </w:t>
      </w:r>
      <w:r w:rsidR="000B137A" w:rsidRPr="00F318AB">
        <w:t>(years 1-2</w:t>
      </w:r>
      <w:r w:rsidR="000B137A">
        <w:t>1</w:t>
      </w:r>
      <w:r w:rsidR="000B137A" w:rsidRPr="00F318AB">
        <w:t xml:space="preserve">) </w:t>
      </w:r>
      <w:r w:rsidR="00F318AB" w:rsidRPr="00F318AB">
        <w:t xml:space="preserve">is matched by the period </w:t>
      </w:r>
      <w:r w:rsidR="000B137A">
        <w:t>when</w:t>
      </w:r>
      <w:r w:rsidR="00F318AB" w:rsidRPr="00F318AB">
        <w:t xml:space="preserve"> the </w:t>
      </w:r>
      <w:r w:rsidR="00EB72D0">
        <w:t>asset value</w:t>
      </w:r>
      <w:r w:rsidR="00F318AB" w:rsidRPr="00F318AB">
        <w:t xml:space="preserve"> is lower than if the assets were tracked individually</w:t>
      </w:r>
      <w:r w:rsidR="000B137A">
        <w:t xml:space="preserve"> </w:t>
      </w:r>
      <w:r w:rsidR="000B137A" w:rsidRPr="00F318AB">
        <w:t>(years 2</w:t>
      </w:r>
      <w:r w:rsidR="000B137A">
        <w:t>3</w:t>
      </w:r>
      <w:r w:rsidR="000B137A" w:rsidRPr="00F318AB">
        <w:t>-</w:t>
      </w:r>
      <w:r w:rsidR="000B137A">
        <w:t>45</w:t>
      </w:r>
      <w:r w:rsidR="000B137A" w:rsidRPr="00F318AB">
        <w:t>)</w:t>
      </w:r>
      <w:r w:rsidR="00F318AB" w:rsidRPr="00F318AB">
        <w:t>.</w:t>
      </w:r>
    </w:p>
    <w:p w:rsidR="007023F0" w:rsidRDefault="00F82F61" w:rsidP="002748DD">
      <w:r w:rsidRPr="00926B90">
        <w:lastRenderedPageBreak/>
        <w:t xml:space="preserve">On the other hand, the </w:t>
      </w:r>
      <w:r w:rsidR="00EB72D0">
        <w:t>asset</w:t>
      </w:r>
      <w:r w:rsidRPr="00926B90">
        <w:t xml:space="preserve"> value calculated under the average depreciation approach </w:t>
      </w:r>
      <w:r>
        <w:t xml:space="preserve">appears to </w:t>
      </w:r>
      <w:r w:rsidR="008740BB">
        <w:t xml:space="preserve">track the value </w:t>
      </w:r>
      <w:r w:rsidRPr="00926B90">
        <w:t>if the assets are tracked individually</w:t>
      </w:r>
      <w:r>
        <w:t xml:space="preserve"> for 17 years</w:t>
      </w:r>
      <w:r w:rsidR="008740BB">
        <w:t xml:space="preserve">. It </w:t>
      </w:r>
      <w:r>
        <w:t xml:space="preserve">then </w:t>
      </w:r>
      <w:r w:rsidRPr="00926B90">
        <w:t xml:space="preserve">dips below </w:t>
      </w:r>
      <w:r w:rsidR="008740BB">
        <w:t>the individually tracked value</w:t>
      </w:r>
      <w:r w:rsidRPr="00926B90">
        <w:t xml:space="preserve"> and</w:t>
      </w:r>
      <w:r>
        <w:t xml:space="preserve"> results in all assets being</w:t>
      </w:r>
      <w:r w:rsidRPr="00926B90">
        <w:t xml:space="preserve"> fully depreciated </w:t>
      </w:r>
      <w:r w:rsidR="00EB72D0">
        <w:t xml:space="preserve">within </w:t>
      </w:r>
      <w:r>
        <w:t>22</w:t>
      </w:r>
      <w:r w:rsidRPr="00926B90">
        <w:t xml:space="preserve"> years. </w:t>
      </w:r>
      <w:r w:rsidR="000B137A">
        <w:t xml:space="preserve">The average depreciation approach </w:t>
      </w:r>
      <w:r w:rsidR="00916595">
        <w:t xml:space="preserve">does not </w:t>
      </w:r>
      <w:r w:rsidR="000B137A">
        <w:t xml:space="preserve">involve </w:t>
      </w:r>
      <w:r w:rsidR="00916595">
        <w:t xml:space="preserve">any </w:t>
      </w:r>
      <w:r w:rsidR="0076551E">
        <w:t>balancing of the kind that occurs under the WARL approach and it leads to an inappropriate outcome.</w:t>
      </w:r>
      <w:r w:rsidR="002748DD">
        <w:t xml:space="preserve"> It does not recognise th</w:t>
      </w:r>
      <w:r w:rsidR="00916595">
        <w:t>at</w:t>
      </w:r>
      <w:r w:rsidR="002748DD">
        <w:t xml:space="preserve"> existing assets (the black </w:t>
      </w:r>
      <w:r w:rsidR="00EB72D0">
        <w:t>columns</w:t>
      </w:r>
      <w:r w:rsidR="002748DD">
        <w:t xml:space="preserve">) expire after </w:t>
      </w:r>
      <w:r>
        <w:t xml:space="preserve">17.3 </w:t>
      </w:r>
      <w:r w:rsidR="002748DD">
        <w:t>years (</w:t>
      </w:r>
      <w:r w:rsidR="000B137A">
        <w:t xml:space="preserve">noted by </w:t>
      </w:r>
      <w:r w:rsidR="00EB72D0">
        <w:t xml:space="preserve">the kink in the columns </w:t>
      </w:r>
      <w:r w:rsidR="000B137A">
        <w:t>of the individually tracked assets</w:t>
      </w:r>
      <w:r w:rsidR="002748DD">
        <w:t xml:space="preserve">). </w:t>
      </w:r>
      <w:r w:rsidR="000B137A">
        <w:t xml:space="preserve">So, </w:t>
      </w:r>
      <w:r w:rsidR="002748DD">
        <w:t>it continues to depreciat</w:t>
      </w:r>
      <w:r w:rsidR="0076551E">
        <w:t>e</w:t>
      </w:r>
      <w:r w:rsidR="002748DD">
        <w:t xml:space="preserve"> this asset class as </w:t>
      </w:r>
      <w:r w:rsidR="000B137A">
        <w:t xml:space="preserve">if </w:t>
      </w:r>
      <w:r w:rsidR="00EB72D0">
        <w:t>the old assets</w:t>
      </w:r>
      <w:r w:rsidR="002748DD">
        <w:t xml:space="preserve"> still existed</w:t>
      </w:r>
      <w:r w:rsidR="000B137A">
        <w:t>,</w:t>
      </w:r>
      <w:r w:rsidR="002748DD">
        <w:t xml:space="preserve"> and </w:t>
      </w:r>
      <w:r w:rsidR="000B137A">
        <w:t xml:space="preserve">it </w:t>
      </w:r>
      <w:r w:rsidR="002748DD">
        <w:t>results in accelerated depreciation</w:t>
      </w:r>
      <w:r w:rsidR="007023F0">
        <w:t xml:space="preserve"> of all assets</w:t>
      </w:r>
      <w:r w:rsidR="002748DD">
        <w:t xml:space="preserve">. </w:t>
      </w:r>
    </w:p>
    <w:p w:rsidR="00055E16" w:rsidRDefault="00055E16" w:rsidP="002748DD">
      <w:r>
        <w:t xml:space="preserve">This is particularly </w:t>
      </w:r>
      <w:r w:rsidR="0016614A">
        <w:t>app</w:t>
      </w:r>
      <w:r w:rsidR="00EB7E75">
        <w:t>a</w:t>
      </w:r>
      <w:r w:rsidR="0016614A">
        <w:t xml:space="preserve">rent </w:t>
      </w:r>
      <w:r>
        <w:t xml:space="preserve">in the depreciation profile </w:t>
      </w:r>
      <w:r w:rsidR="000B137A">
        <w:t>for</w:t>
      </w:r>
      <w:r>
        <w:t xml:space="preserve"> Ergon Energy's 'Communications' asset class. This asset class has a very small opening </w:t>
      </w:r>
      <w:r w:rsidR="00EB72D0">
        <w:t>asset</w:t>
      </w:r>
      <w:r>
        <w:t xml:space="preserve"> value </w:t>
      </w:r>
      <w:r w:rsidRPr="00E33176">
        <w:t xml:space="preserve">at 1 July 2010 </w:t>
      </w:r>
      <w:r>
        <w:t xml:space="preserve">of </w:t>
      </w:r>
      <w:r w:rsidRPr="00E33176">
        <w:t>$</w:t>
      </w:r>
      <w:r>
        <w:t>1.9 </w:t>
      </w:r>
      <w:r w:rsidRPr="00E33176">
        <w:t xml:space="preserve">million </w:t>
      </w:r>
      <w:r>
        <w:t>(</w:t>
      </w:r>
      <w:r w:rsidRPr="00E33176">
        <w:t xml:space="preserve">$2014–15) and </w:t>
      </w:r>
      <w:r w:rsidR="00F915FA">
        <w:t xml:space="preserve">a large amount of </w:t>
      </w:r>
      <w:r w:rsidRPr="00E33176">
        <w:t>new</w:t>
      </w:r>
      <w:r>
        <w:t>er</w:t>
      </w:r>
      <w:r w:rsidRPr="00E33176">
        <w:t xml:space="preserve"> asset</w:t>
      </w:r>
      <w:r w:rsidR="007023F0">
        <w:t>s</w:t>
      </w:r>
      <w:r w:rsidR="000B137A">
        <w:t>,</w:t>
      </w:r>
      <w:r w:rsidRPr="00E33176">
        <w:t xml:space="preserve"> </w:t>
      </w:r>
      <w:r>
        <w:t>with</w:t>
      </w:r>
      <w:r w:rsidRPr="00E33176">
        <w:t xml:space="preserve"> $</w:t>
      </w:r>
      <w:r>
        <w:t>65.5 </w:t>
      </w:r>
      <w:r w:rsidRPr="00E33176">
        <w:t>million ($2014–15)</w:t>
      </w:r>
      <w:r>
        <w:t xml:space="preserve"> capex </w:t>
      </w:r>
      <w:r w:rsidR="007023F0">
        <w:t>incurred during the</w:t>
      </w:r>
      <w:r>
        <w:t xml:space="preserve"> 2010</w:t>
      </w:r>
      <w:r w:rsidR="00685E7F">
        <w:t>–</w:t>
      </w:r>
      <w:r>
        <w:t>15</w:t>
      </w:r>
      <w:r w:rsidR="007023F0">
        <w:t xml:space="preserve"> regulatory control period</w:t>
      </w:r>
      <w:r>
        <w:t xml:space="preserve">. </w:t>
      </w:r>
      <w:r>
        <w:fldChar w:fldCharType="begin"/>
      </w:r>
      <w:r>
        <w:instrText xml:space="preserve"> REF _Ref413918215 \h </w:instrText>
      </w:r>
      <w:r>
        <w:fldChar w:fldCharType="separate"/>
      </w:r>
      <w:r w:rsidR="00C87242">
        <w:t xml:space="preserve">Figure </w:t>
      </w:r>
      <w:r w:rsidR="00C87242">
        <w:rPr>
          <w:noProof/>
        </w:rPr>
        <w:t>5</w:t>
      </w:r>
      <w:r w:rsidR="00C87242">
        <w:t>.</w:t>
      </w:r>
      <w:r w:rsidR="00C87242">
        <w:rPr>
          <w:noProof/>
        </w:rPr>
        <w:t>2</w:t>
      </w:r>
      <w:r>
        <w:fldChar w:fldCharType="end"/>
      </w:r>
      <w:r>
        <w:t xml:space="preserve"> shows that the </w:t>
      </w:r>
      <w:r w:rsidR="00DB70D5">
        <w:t>average depreciation approach does not appropriately take into account that over 95 per cent of the asset value will only expire in more than 25</w:t>
      </w:r>
      <w:r w:rsidR="002C3889">
        <w:t> </w:t>
      </w:r>
      <w:r w:rsidR="00DB70D5">
        <w:t>years. Instead</w:t>
      </w:r>
      <w:r w:rsidR="000B137A">
        <w:t>,</w:t>
      </w:r>
      <w:r w:rsidR="00DB70D5">
        <w:t xml:space="preserve"> it puts </w:t>
      </w:r>
      <w:r w:rsidR="00EB72D0">
        <w:t xml:space="preserve">more </w:t>
      </w:r>
      <w:r w:rsidR="00DB70D5">
        <w:t xml:space="preserve">weight on the small proportion of the asset value that will expire in 2 years. </w:t>
      </w:r>
      <w:r w:rsidR="000B137A">
        <w:t xml:space="preserve">The result is </w:t>
      </w:r>
      <w:r w:rsidR="00DB70D5">
        <w:t xml:space="preserve">the asset value being fully depreciated </w:t>
      </w:r>
      <w:r w:rsidR="00EB72D0">
        <w:t>within</w:t>
      </w:r>
      <w:r w:rsidR="00DB70D5">
        <w:t xml:space="preserve"> 19</w:t>
      </w:r>
      <w:r w:rsidR="002C3889">
        <w:t> </w:t>
      </w:r>
      <w:r w:rsidR="00DB70D5">
        <w:t xml:space="preserve">years instead of </w:t>
      </w:r>
      <w:r w:rsidR="000B137A">
        <w:t xml:space="preserve">29 years if the assets </w:t>
      </w:r>
      <w:r w:rsidR="00DB70D5">
        <w:t>w</w:t>
      </w:r>
      <w:r w:rsidR="00EB72D0">
        <w:t>ere</w:t>
      </w:r>
      <w:r w:rsidR="00DB70D5">
        <w:t xml:space="preserve"> individually tracked. The WARL approach leads to the asset value being fully depreciated in 28 years</w:t>
      </w:r>
      <w:r w:rsidR="000B137A">
        <w:t xml:space="preserve">. We </w:t>
      </w:r>
      <w:r w:rsidR="00523706">
        <w:t xml:space="preserve">consider </w:t>
      </w:r>
      <w:r w:rsidR="000B137A">
        <w:t xml:space="preserve">this to be </w:t>
      </w:r>
      <w:r w:rsidR="00523706">
        <w:t xml:space="preserve">more reflective of </w:t>
      </w:r>
      <w:r w:rsidR="00523706" w:rsidRPr="0093457A">
        <w:t>the nature of the assets</w:t>
      </w:r>
      <w:r w:rsidR="00523706">
        <w:t xml:space="preserve"> in this asset class.</w:t>
      </w:r>
    </w:p>
    <w:p w:rsidR="00055E16" w:rsidRDefault="00055E16" w:rsidP="00055E16">
      <w:pPr>
        <w:pStyle w:val="Caption"/>
      </w:pPr>
      <w:bookmarkStart w:id="27" w:name="_Ref413918215"/>
      <w:r>
        <w:t xml:space="preserve">Figure </w:t>
      </w:r>
      <w:fldSimple w:instr=" STYLEREF 1 \s ">
        <w:r w:rsidR="00C87242">
          <w:rPr>
            <w:noProof/>
          </w:rPr>
          <w:t>5</w:t>
        </w:r>
      </w:fldSimple>
      <w:r>
        <w:t>.</w:t>
      </w:r>
      <w:fldSimple w:instr=" SEQ Figure \* ARABIC \s 1 ">
        <w:r w:rsidR="00C87242">
          <w:rPr>
            <w:noProof/>
          </w:rPr>
          <w:t>2</w:t>
        </w:r>
      </w:fldSimple>
      <w:bookmarkEnd w:id="27"/>
      <w:r>
        <w:tab/>
      </w:r>
      <w:r w:rsidRPr="00E33176">
        <w:t xml:space="preserve">Projection of the value of </w:t>
      </w:r>
      <w:r w:rsidR="002D59EC">
        <w:t xml:space="preserve">assets </w:t>
      </w:r>
      <w:r w:rsidRPr="00E33176">
        <w:t xml:space="preserve">for </w:t>
      </w:r>
      <w:r w:rsidR="002D59EC">
        <w:t>'C</w:t>
      </w:r>
      <w:r>
        <w:t>ommunications</w:t>
      </w:r>
      <w:r w:rsidR="002D59EC">
        <w:t>' asset class</w:t>
      </w:r>
      <w:r>
        <w:t xml:space="preserve"> </w:t>
      </w:r>
      <w:r w:rsidRPr="00E33176">
        <w:t>over time</w:t>
      </w:r>
      <w:r w:rsidR="003D4332">
        <w:t xml:space="preserve"> ($million</w:t>
      </w:r>
      <w:r w:rsidR="002D59EC">
        <w:t>, 2014–15)</w:t>
      </w:r>
    </w:p>
    <w:p w:rsidR="00055E16" w:rsidRDefault="003D4332" w:rsidP="002748DD">
      <w:r w:rsidRPr="003D4332">
        <w:rPr>
          <w:noProof/>
          <w:lang w:eastAsia="en-AU"/>
        </w:rPr>
        <w:drawing>
          <wp:inline distT="0" distB="0" distL="0" distR="0" wp14:anchorId="1C3F8F37" wp14:editId="4D65F8C3">
            <wp:extent cx="5382895" cy="3600363"/>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600363"/>
                    </a:xfrm>
                    <a:prstGeom prst="rect">
                      <a:avLst/>
                    </a:prstGeom>
                    <a:noFill/>
                    <a:ln>
                      <a:noFill/>
                    </a:ln>
                  </pic:spPr>
                </pic:pic>
              </a:graphicData>
            </a:graphic>
          </wp:inline>
        </w:drawing>
      </w:r>
    </w:p>
    <w:p w:rsidR="00523706" w:rsidRDefault="00523706" w:rsidP="00523706">
      <w:pPr>
        <w:pStyle w:val="AERtablesource"/>
      </w:pPr>
      <w:r>
        <w:t xml:space="preserve">Source: </w:t>
      </w:r>
      <w:r w:rsidR="007023F0">
        <w:tab/>
      </w:r>
      <w:r>
        <w:t>AER analysis.</w:t>
      </w:r>
    </w:p>
    <w:p w:rsidR="0005192A" w:rsidRDefault="002748DD" w:rsidP="002748DD">
      <w:r>
        <w:lastRenderedPageBreak/>
        <w:t xml:space="preserve">If assets are combined in this </w:t>
      </w:r>
      <w:r w:rsidR="000B137A">
        <w:t xml:space="preserve">way </w:t>
      </w:r>
      <w:r>
        <w:t>at every reset,</w:t>
      </w:r>
      <w:r w:rsidR="000B137A">
        <w:t xml:space="preserve"> then</w:t>
      </w:r>
      <w:r>
        <w:t xml:space="preserve"> information on </w:t>
      </w:r>
      <w:r w:rsidR="00D513E6">
        <w:t>asset expiry</w:t>
      </w:r>
      <w:r>
        <w:t xml:space="preserve"> is continually lost </w:t>
      </w:r>
      <w:r w:rsidR="00916595">
        <w:t xml:space="preserve">to </w:t>
      </w:r>
      <w:r>
        <w:t>a more significant degree than under the WARL approach.</w:t>
      </w:r>
      <w:r w:rsidR="00C04050">
        <w:rPr>
          <w:rStyle w:val="FootnoteReference"/>
        </w:rPr>
        <w:footnoteReference w:id="34"/>
      </w:r>
      <w:r>
        <w:t xml:space="preserve"> </w:t>
      </w:r>
      <w:r w:rsidRPr="00926B90">
        <w:t xml:space="preserve">Only if the existing assets had a </w:t>
      </w:r>
      <w:r w:rsidR="00EB72D0">
        <w:t xml:space="preserve">remaining </w:t>
      </w:r>
      <w:r w:rsidRPr="00926B90">
        <w:t xml:space="preserve">life less than </w:t>
      </w:r>
      <w:r w:rsidR="004C1DB6">
        <w:t xml:space="preserve">the depreciation </w:t>
      </w:r>
      <w:r w:rsidR="00EB72D0">
        <w:t xml:space="preserve">assessment </w:t>
      </w:r>
      <w:r w:rsidR="004C1DB6">
        <w:t xml:space="preserve">period </w:t>
      </w:r>
      <w:r w:rsidRPr="00926B90">
        <w:t xml:space="preserve">would </w:t>
      </w:r>
      <w:r w:rsidR="00F915FA">
        <w:t xml:space="preserve">the </w:t>
      </w:r>
      <w:r w:rsidRPr="00926B90">
        <w:t>average depreciation</w:t>
      </w:r>
      <w:r w:rsidR="004C1DB6">
        <w:t xml:space="preserve"> calculation</w:t>
      </w:r>
      <w:r w:rsidR="00D513E6" w:rsidRPr="00D513E6">
        <w:t xml:space="preserve"> </w:t>
      </w:r>
      <w:r w:rsidR="00D513E6">
        <w:t xml:space="preserve">pick up </w:t>
      </w:r>
      <w:r w:rsidR="00D513E6" w:rsidRPr="00926B90">
        <w:t xml:space="preserve">some information </w:t>
      </w:r>
      <w:r w:rsidR="00D513E6">
        <w:t>on expiry</w:t>
      </w:r>
      <w:r w:rsidRPr="00926B90">
        <w:t>. Alternatively</w:t>
      </w:r>
      <w:r w:rsidR="0005192A">
        <w:t>, we can exten</w:t>
      </w:r>
      <w:r w:rsidR="00F915FA">
        <w:t>d</w:t>
      </w:r>
      <w:r w:rsidRPr="00926B90">
        <w:t xml:space="preserve"> the </w:t>
      </w:r>
      <w:r w:rsidR="00EB72D0">
        <w:t>assessment</w:t>
      </w:r>
      <w:r w:rsidRPr="00926B90">
        <w:t xml:space="preserve"> period to obtain information on when </w:t>
      </w:r>
      <w:r w:rsidR="0005192A">
        <w:t xml:space="preserve">an </w:t>
      </w:r>
      <w:r w:rsidRPr="00926B90">
        <w:t xml:space="preserve">existing asset will expire. </w:t>
      </w:r>
      <w:r w:rsidR="0005192A">
        <w:t xml:space="preserve">But that extension would also change </w:t>
      </w:r>
      <w:r w:rsidRPr="00926B90">
        <w:t xml:space="preserve">the remaining </w:t>
      </w:r>
      <w:r w:rsidR="00EB72D0">
        <w:t xml:space="preserve">asset </w:t>
      </w:r>
      <w:r w:rsidRPr="00926B90">
        <w:t xml:space="preserve">life implied by the </w:t>
      </w:r>
      <w:r>
        <w:t xml:space="preserve">average depreciation </w:t>
      </w:r>
      <w:r w:rsidRPr="00926B90">
        <w:t xml:space="preserve">approach. </w:t>
      </w:r>
      <w:r w:rsidR="0005192A">
        <w:t xml:space="preserve">In other words, </w:t>
      </w:r>
      <w:r w:rsidRPr="00926B90">
        <w:t xml:space="preserve">the average depreciation approach </w:t>
      </w:r>
      <w:r w:rsidR="0005192A">
        <w:t xml:space="preserve">has an arbitrary nature </w:t>
      </w:r>
      <w:r w:rsidRPr="00926B90">
        <w:t xml:space="preserve">which can lead to a range of remaining </w:t>
      </w:r>
      <w:r>
        <w:t xml:space="preserve">asset </w:t>
      </w:r>
      <w:r w:rsidRPr="00926B90">
        <w:t>lives just by changing the assessment</w:t>
      </w:r>
      <w:r w:rsidR="0005192A">
        <w:t xml:space="preserve"> period</w:t>
      </w:r>
      <w:r w:rsidRPr="00926B90">
        <w:t>.</w:t>
      </w:r>
    </w:p>
    <w:p w:rsidR="002748DD" w:rsidRPr="00926B90" w:rsidRDefault="002748DD" w:rsidP="002748DD">
      <w:r w:rsidRPr="00926B90">
        <w:t xml:space="preserve">The approach may </w:t>
      </w:r>
      <w:r>
        <w:t xml:space="preserve">appear reasonable in certain </w:t>
      </w:r>
      <w:r w:rsidRPr="00926B90">
        <w:t xml:space="preserve">circumstances and </w:t>
      </w:r>
      <w:r>
        <w:t xml:space="preserve">for </w:t>
      </w:r>
      <w:r w:rsidRPr="00926B90">
        <w:t>particular asset class</w:t>
      </w:r>
      <w:r>
        <w:t>es (</w:t>
      </w:r>
      <w:r w:rsidR="00EB72D0">
        <w:t>t</w:t>
      </w:r>
      <w:r>
        <w:t>hat is, those with short asset lives, although most regulated assets have long expected economic lives)</w:t>
      </w:r>
      <w:r w:rsidR="00EB72D0">
        <w:t xml:space="preserve">. However, </w:t>
      </w:r>
      <w:r w:rsidRPr="00926B90">
        <w:t>as a general approach across a variety of asset classes with different standard asset live</w:t>
      </w:r>
      <w:r w:rsidR="00EB72D0">
        <w:t>s</w:t>
      </w:r>
      <w:r w:rsidRPr="00926B90">
        <w:t xml:space="preserve"> </w:t>
      </w:r>
      <w:r w:rsidR="00EB72D0">
        <w:t xml:space="preserve">we do not consider it is </w:t>
      </w:r>
      <w:r w:rsidRPr="00926B90">
        <w:t>appropriate. In contrast</w:t>
      </w:r>
      <w:r w:rsidR="0005192A">
        <w:t>,</w:t>
      </w:r>
      <w:r w:rsidRPr="00926B90">
        <w:t xml:space="preserve"> the WARL </w:t>
      </w:r>
      <w:r w:rsidR="00EB72D0">
        <w:t xml:space="preserve">approach </w:t>
      </w:r>
      <w:r w:rsidRPr="00926B90">
        <w:t xml:space="preserve">uses objective weightings </w:t>
      </w:r>
      <w:r>
        <w:t xml:space="preserve">to combine the individual asset lives </w:t>
      </w:r>
      <w:r w:rsidRPr="00926B90">
        <w:t xml:space="preserve">based on </w:t>
      </w:r>
      <w:r w:rsidR="0005192A">
        <w:t xml:space="preserve">(1) </w:t>
      </w:r>
      <w:r w:rsidRPr="00926B90">
        <w:t xml:space="preserve">the value of the assets and </w:t>
      </w:r>
      <w:r w:rsidR="0005192A">
        <w:t xml:space="preserve">(2) </w:t>
      </w:r>
      <w:r w:rsidRPr="00926B90">
        <w:t xml:space="preserve">when those are introduced to the </w:t>
      </w:r>
      <w:r w:rsidR="00EB72D0">
        <w:t>RAB</w:t>
      </w:r>
      <w:r w:rsidRPr="00926B90">
        <w:t>. Th</w:t>
      </w:r>
      <w:r>
        <w:t>ese</w:t>
      </w:r>
      <w:r w:rsidRPr="00926B90">
        <w:t xml:space="preserve"> feature</w:t>
      </w:r>
      <w:r>
        <w:t>s</w:t>
      </w:r>
      <w:r w:rsidRPr="00926B90">
        <w:t xml:space="preserve"> allow </w:t>
      </w:r>
      <w:r w:rsidR="0005192A">
        <w:t xml:space="preserve">us to apply </w:t>
      </w:r>
      <w:r w:rsidRPr="00926B90">
        <w:t xml:space="preserve">the WARL </w:t>
      </w:r>
      <w:r w:rsidR="00EB72D0">
        <w:t xml:space="preserve">approach </w:t>
      </w:r>
      <w:r w:rsidRPr="00926B90">
        <w:t>consistently to different asset classes</w:t>
      </w:r>
      <w:r>
        <w:t xml:space="preserve"> without unreasonable results</w:t>
      </w:r>
      <w:r w:rsidRPr="00926B90">
        <w:t>.</w:t>
      </w:r>
    </w:p>
    <w:p w:rsidR="002748DD" w:rsidRPr="00FA1890" w:rsidRDefault="002748DD" w:rsidP="00FA1890">
      <w:pPr>
        <w:pStyle w:val="HeadingBoldItalic"/>
        <w:rPr>
          <w:rStyle w:val="Strong"/>
          <w:b/>
          <w:bCs/>
        </w:rPr>
      </w:pPr>
      <w:r w:rsidRPr="00FA1890">
        <w:rPr>
          <w:rStyle w:val="Strong"/>
          <w:b/>
          <w:bCs/>
        </w:rPr>
        <w:t>Conclusion</w:t>
      </w:r>
    </w:p>
    <w:p w:rsidR="002748DD" w:rsidRPr="00926B90" w:rsidRDefault="002748DD" w:rsidP="002748DD">
      <w:pPr>
        <w:pStyle w:val="AERbulletlistfirststyle"/>
        <w:numPr>
          <w:ilvl w:val="0"/>
          <w:numId w:val="24"/>
        </w:numPr>
      </w:pPr>
      <w:r w:rsidRPr="00926B90">
        <w:t xml:space="preserve">Based on the above analysis, we do not accept </w:t>
      </w:r>
      <w:r w:rsidR="004C1DB6">
        <w:t>Ergon Energy's</w:t>
      </w:r>
      <w:r w:rsidRPr="00926B90">
        <w:t xml:space="preserve"> proposed remaining asset lives calculated </w:t>
      </w:r>
      <w:r w:rsidR="00EB72D0">
        <w:t xml:space="preserve">using </w:t>
      </w:r>
      <w:r w:rsidR="005F6640">
        <w:t xml:space="preserve">its </w:t>
      </w:r>
      <w:r w:rsidRPr="00926B90">
        <w:t xml:space="preserve">average depreciation approach. We instead </w:t>
      </w:r>
      <w:r w:rsidR="00EB72D0">
        <w:t xml:space="preserve">determine </w:t>
      </w:r>
      <w:r w:rsidR="00426B30">
        <w:t xml:space="preserve">that </w:t>
      </w:r>
      <w:r w:rsidRPr="00926B90">
        <w:t xml:space="preserve">remaining asset lives </w:t>
      </w:r>
      <w:r w:rsidR="00426B30">
        <w:t xml:space="preserve">will be </w:t>
      </w:r>
      <w:r w:rsidRPr="00926B90">
        <w:t xml:space="preserve">calculated </w:t>
      </w:r>
      <w:r w:rsidR="00EB72D0">
        <w:t xml:space="preserve">using a </w:t>
      </w:r>
      <w:r w:rsidRPr="00926B90">
        <w:t xml:space="preserve">WARL approach. We </w:t>
      </w:r>
      <w:r w:rsidR="00AB771B">
        <w:t xml:space="preserve">are satisfied </w:t>
      </w:r>
      <w:r w:rsidR="0005192A">
        <w:t xml:space="preserve">the remaining asset lives determined by our </w:t>
      </w:r>
      <w:r w:rsidR="00541A86">
        <w:t xml:space="preserve">WARL </w:t>
      </w:r>
      <w:r w:rsidR="0005192A">
        <w:t xml:space="preserve">approach </w:t>
      </w:r>
      <w:r w:rsidR="00AB771B">
        <w:t xml:space="preserve">better </w:t>
      </w:r>
      <w:r w:rsidR="005F6640" w:rsidRPr="00926B90">
        <w:t>reflect the nature of the assets over their economic lives</w:t>
      </w:r>
      <w:r w:rsidR="005F6640">
        <w:t>.</w:t>
      </w:r>
      <w:r w:rsidR="005F6640">
        <w:rPr>
          <w:rStyle w:val="FootnoteReference"/>
        </w:rPr>
        <w:footnoteReference w:id="35"/>
      </w:r>
      <w:r w:rsidR="005F6640">
        <w:t xml:space="preserve"> We are also satisfied that they promote more </w:t>
      </w:r>
      <w:r w:rsidR="005F6640" w:rsidRPr="005F637C">
        <w:t xml:space="preserve">efficient </w:t>
      </w:r>
      <w:r w:rsidR="005F6640">
        <w:t xml:space="preserve">long term </w:t>
      </w:r>
      <w:r w:rsidR="005F6640" w:rsidRPr="005F637C">
        <w:t xml:space="preserve">investment in, and efficient operation and use of, electricity </w:t>
      </w:r>
      <w:r w:rsidR="005F6640">
        <w:t>assets</w:t>
      </w:r>
      <w:r w:rsidR="009B486D">
        <w:t>, and therefore contribute to the achievement of the NEO to the greatest degree</w:t>
      </w:r>
      <w:r w:rsidR="005F6640">
        <w:t>.</w:t>
      </w:r>
      <w:r w:rsidR="007E228B">
        <w:rPr>
          <w:rStyle w:val="FootnoteReference"/>
        </w:rPr>
        <w:footnoteReference w:id="36"/>
      </w:r>
      <w:r w:rsidR="005F6640">
        <w:t xml:space="preserve">  </w:t>
      </w:r>
    </w:p>
    <w:p w:rsidR="00AC6B84" w:rsidRPr="007A67E5" w:rsidRDefault="007023F0" w:rsidP="00AB771B">
      <w:pPr>
        <w:numPr>
          <w:ilvl w:val="0"/>
          <w:numId w:val="25"/>
        </w:numPr>
        <w:rPr>
          <w:rStyle w:val="AERbody"/>
        </w:rPr>
      </w:pPr>
      <w:r>
        <w:t>In</w:t>
      </w:r>
      <w:r w:rsidR="002748DD" w:rsidRPr="00926B90">
        <w:t xml:space="preserve"> applying the WARL approach to calculate the remaining asset lives</w:t>
      </w:r>
      <w:r w:rsidR="00AB771B">
        <w:t xml:space="preserve"> at 1 July 2015</w:t>
      </w:r>
      <w:r w:rsidR="002748DD" w:rsidRPr="00926B90">
        <w:t xml:space="preserve">, we have also updated some input values </w:t>
      </w:r>
      <w:r w:rsidR="00AB771B">
        <w:t>affecting the remaining asset lives at 1 July 2015</w:t>
      </w:r>
      <w:r w:rsidR="002748DD" w:rsidRPr="00926B90">
        <w:t>.</w:t>
      </w:r>
      <w:r w:rsidR="00AB771B">
        <w:t xml:space="preserve"> These include the remaining asset lives at 1 July 2010 and 2010–14 net capex discussed in attachment 2. </w:t>
      </w:r>
      <w:r w:rsidR="00AB771B" w:rsidRPr="00AB771B">
        <w:t xml:space="preserve">At the time of this preliminary decision, the roll forward of </w:t>
      </w:r>
      <w:r w:rsidR="00AB771B">
        <w:t xml:space="preserve">Ergon Energy's </w:t>
      </w:r>
      <w:r w:rsidR="00AB771B" w:rsidRPr="00AB771B">
        <w:t xml:space="preserve">RAB includes estimated capex values for 2014–15. We expect to update the 2014–15 estimated capex values for the </w:t>
      </w:r>
      <w:r>
        <w:t>substitute</w:t>
      </w:r>
      <w:r w:rsidR="00AB771B" w:rsidRPr="00AB771B">
        <w:t xml:space="preserve"> decision. Th</w:t>
      </w:r>
      <w:r w:rsidR="0005192A">
        <w:t xml:space="preserve">ose </w:t>
      </w:r>
      <w:r w:rsidR="00AB771B" w:rsidRPr="00AB771B">
        <w:t xml:space="preserve">capex values are used to calculate remaining asset lives under the WARL approach. Therefore, for the </w:t>
      </w:r>
      <w:r>
        <w:t>substitute</w:t>
      </w:r>
      <w:r w:rsidR="00AB771B" w:rsidRPr="00AB771B">
        <w:t xml:space="preserve"> decision</w:t>
      </w:r>
      <w:r w:rsidR="002C3889">
        <w:t>,</w:t>
      </w:r>
      <w:r w:rsidR="00AB771B" w:rsidRPr="00AB771B">
        <w:t xml:space="preserve"> we will recalculate </w:t>
      </w:r>
      <w:r w:rsidR="00AB771B">
        <w:t xml:space="preserve">Ergon Energy's </w:t>
      </w:r>
      <w:r w:rsidR="00AB771B" w:rsidRPr="00AB771B">
        <w:t>remaining asset lives at 1 July 2015 using the method approved in this preliminary decision.</w:t>
      </w:r>
    </w:p>
    <w:p w:rsidR="005D7BA2" w:rsidRDefault="00140295" w:rsidP="00DB5074">
      <w:r>
        <w:fldChar w:fldCharType="begin"/>
      </w:r>
      <w:r>
        <w:instrText xml:space="preserve"> REF _Ref410911427 \h </w:instrText>
      </w:r>
      <w:r>
        <w:fldChar w:fldCharType="separate"/>
      </w:r>
      <w:r w:rsidR="00C87242">
        <w:t xml:space="preserve">Table </w:t>
      </w:r>
      <w:r w:rsidR="00C87242">
        <w:rPr>
          <w:noProof/>
        </w:rPr>
        <w:t>5</w:t>
      </w:r>
      <w:r w:rsidR="00C87242">
        <w:t>.</w:t>
      </w:r>
      <w:r w:rsidR="00C87242">
        <w:rPr>
          <w:noProof/>
        </w:rPr>
        <w:t>4</w:t>
      </w:r>
      <w:r>
        <w:fldChar w:fldCharType="end"/>
      </w:r>
      <w:r>
        <w:t xml:space="preserve"> </w:t>
      </w:r>
      <w:r w:rsidR="003E356F" w:rsidRPr="003E356F">
        <w:t xml:space="preserve">sets out our </w:t>
      </w:r>
      <w:r w:rsidR="007023F0">
        <w:t>preliminary</w:t>
      </w:r>
      <w:r w:rsidR="003E356F" w:rsidRPr="003E356F">
        <w:t xml:space="preserve"> decision on the remaining asset lives at 1 July 2015 for </w:t>
      </w:r>
      <w:r w:rsidR="003E356F">
        <w:t>Ergon Energy</w:t>
      </w:r>
      <w:r w:rsidR="003E356F" w:rsidRPr="003E356F">
        <w:t>.</w:t>
      </w:r>
    </w:p>
    <w:p w:rsidR="003E356F" w:rsidRDefault="00140295" w:rsidP="00140295">
      <w:pPr>
        <w:pStyle w:val="Caption"/>
      </w:pPr>
      <w:bookmarkStart w:id="28" w:name="_Ref410911427"/>
      <w:r>
        <w:lastRenderedPageBreak/>
        <w:t xml:space="preserve">Table </w:t>
      </w:r>
      <w:fldSimple w:instr=" STYLEREF 1 \s ">
        <w:r w:rsidR="00C87242">
          <w:rPr>
            <w:noProof/>
          </w:rPr>
          <w:t>5</w:t>
        </w:r>
      </w:fldSimple>
      <w:r w:rsidR="00E33176">
        <w:t>.</w:t>
      </w:r>
      <w:fldSimple w:instr=" SEQ Table \* ARABIC \s 1 ">
        <w:r w:rsidR="00C87242">
          <w:rPr>
            <w:noProof/>
          </w:rPr>
          <w:t>4</w:t>
        </w:r>
      </w:fldSimple>
      <w:bookmarkEnd w:id="28"/>
      <w:r>
        <w:tab/>
      </w:r>
      <w:r w:rsidRPr="00140295">
        <w:t xml:space="preserve">AER's preliminary decision on </w:t>
      </w:r>
      <w:r>
        <w:t>Ergon Energy's</w:t>
      </w:r>
      <w:r w:rsidRPr="00140295">
        <w:t xml:space="preserve"> standard and remaining asset lives at 1 July 2015 (years)</w:t>
      </w:r>
    </w:p>
    <w:tbl>
      <w:tblPr>
        <w:tblStyle w:val="AERtable-numbers"/>
        <w:tblW w:w="8755" w:type="dxa"/>
        <w:tblLook w:val="04A0" w:firstRow="1" w:lastRow="0" w:firstColumn="1" w:lastColumn="0" w:noHBand="0" w:noVBand="1"/>
      </w:tblPr>
      <w:tblGrid>
        <w:gridCol w:w="2911"/>
        <w:gridCol w:w="2442"/>
        <w:gridCol w:w="3402"/>
      </w:tblGrid>
      <w:tr w:rsidR="00140295" w:rsidRPr="00140295" w:rsidTr="00A8528D">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140295" w:rsidRPr="00140295" w:rsidRDefault="00140295" w:rsidP="00140295">
            <w:r w:rsidRPr="00140295">
              <w:t>Asset class</w:t>
            </w:r>
          </w:p>
        </w:tc>
        <w:tc>
          <w:tcPr>
            <w:tcW w:w="2442" w:type="dxa"/>
            <w:noWrap/>
            <w:hideMark/>
          </w:tcPr>
          <w:p w:rsidR="00140295" w:rsidRPr="00140295" w:rsidRDefault="00140295" w:rsidP="00140295">
            <w:pPr>
              <w:cnfStyle w:val="100000000000" w:firstRow="1" w:lastRow="0" w:firstColumn="0" w:lastColumn="0" w:oddVBand="0" w:evenVBand="0" w:oddHBand="0" w:evenHBand="0" w:firstRowFirstColumn="0" w:firstRowLastColumn="0" w:lastRowFirstColumn="0" w:lastRowLastColumn="0"/>
            </w:pPr>
            <w:r w:rsidRPr="00140295">
              <w:t xml:space="preserve">Standard asset life </w:t>
            </w:r>
          </w:p>
        </w:tc>
        <w:tc>
          <w:tcPr>
            <w:tcW w:w="3402" w:type="dxa"/>
            <w:noWrap/>
            <w:hideMark/>
          </w:tcPr>
          <w:p w:rsidR="00140295" w:rsidRPr="00140295" w:rsidRDefault="00140295" w:rsidP="00A04AB9">
            <w:pPr>
              <w:cnfStyle w:val="100000000000" w:firstRow="1" w:lastRow="0" w:firstColumn="0" w:lastColumn="0" w:oddVBand="0" w:evenVBand="0" w:oddHBand="0" w:evenHBand="0" w:firstRowFirstColumn="0" w:firstRowLastColumn="0" w:lastRowFirstColumn="0" w:lastRowLastColumn="0"/>
            </w:pPr>
            <w:r>
              <w:t>Remaining asset life</w:t>
            </w:r>
            <w:r w:rsidR="007023F0">
              <w:t xml:space="preserve"> </w:t>
            </w:r>
            <w:r w:rsidRPr="00140295">
              <w:t>at 1 July 201</w:t>
            </w:r>
            <w:r>
              <w:t>5</w:t>
            </w:r>
            <w:r w:rsidRPr="00140295">
              <w:t xml:space="preserve"> </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Overhead sub-transmission lines</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55.0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33.3</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Underground sub-transmission cables</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45.0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25.0</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Overhead distribution lines</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50.0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36.2</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Underground distribution cables</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60.0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47.5</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 xml:space="preserve">Distribution equipment  </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35.0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23.5</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Substation bays</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45.0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32.8</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Substation establishment</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60.0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32.7</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Distribution substation switchgear</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45.0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38.7</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Zone transformers</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50.0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33.4</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Distribution transformers</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45.0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27.1</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Low voltage services</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35.0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33.1</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Metering</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25.0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23.4</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 xml:space="preserve">Communications – pilot wires </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35.0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24.9</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Generation assets</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30.0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27.6</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Other equipment</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40.0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37.6</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Control centre - SCADA</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7.0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4.7</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tcPr>
          <w:p w:rsidR="004902BB" w:rsidRPr="004902BB" w:rsidRDefault="004902BB" w:rsidP="004902BB">
            <w:r w:rsidRPr="004902BB">
              <w:t>Land &amp; easements (system)</w:t>
            </w:r>
          </w:p>
        </w:tc>
        <w:tc>
          <w:tcPr>
            <w:tcW w:w="2442" w:type="dxa"/>
            <w:noWrap/>
            <w:vAlign w:val="bottom"/>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n/a</w:t>
            </w:r>
          </w:p>
        </w:tc>
        <w:tc>
          <w:tcPr>
            <w:tcW w:w="3402" w:type="dxa"/>
            <w:noWrap/>
            <w:vAlign w:val="bottom"/>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n/a</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Metering Type 5-6</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25.0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n/a</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Communications</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30.0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27.1</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IT systems</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5.0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3.7</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Office equipment &amp; furniture</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7.0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4.6</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Motor vehicles</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10.0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6.6</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Plant &amp; equipment</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10.0</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5.8</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Buildings</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40.0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27.0</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Land &amp; easements</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n/a</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n/a</w:t>
            </w:r>
          </w:p>
        </w:tc>
      </w:tr>
      <w:tr w:rsidR="004902BB" w:rsidRPr="00140295" w:rsidTr="00E2494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Land improvements</w:t>
            </w:r>
          </w:p>
        </w:tc>
        <w:tc>
          <w:tcPr>
            <w:tcW w:w="244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40.0</w:t>
            </w:r>
          </w:p>
        </w:tc>
        <w:tc>
          <w:tcPr>
            <w:tcW w:w="3402" w:type="dxa"/>
            <w:noWrap/>
            <w:vAlign w:val="bottom"/>
            <w:hideMark/>
          </w:tcPr>
          <w:p w:rsidR="004902BB" w:rsidRPr="004902BB" w:rsidRDefault="004902BB" w:rsidP="004902BB">
            <w:pPr>
              <w:cnfStyle w:val="000000010000" w:firstRow="0" w:lastRow="0" w:firstColumn="0" w:lastColumn="0" w:oddVBand="0" w:evenVBand="0" w:oddHBand="0" w:evenHBand="1" w:firstRowFirstColumn="0" w:firstRowLastColumn="0" w:lastRowFirstColumn="0" w:lastRowLastColumn="0"/>
            </w:pPr>
            <w:r w:rsidRPr="004902BB">
              <w:t>36.5</w:t>
            </w:r>
          </w:p>
        </w:tc>
      </w:tr>
      <w:tr w:rsidR="004902BB" w:rsidRPr="00140295" w:rsidTr="00E24943">
        <w:trPr>
          <w:trHeight w:val="289"/>
        </w:trPr>
        <w:tc>
          <w:tcPr>
            <w:cnfStyle w:val="001000000000" w:firstRow="0" w:lastRow="0" w:firstColumn="1" w:lastColumn="0" w:oddVBand="0" w:evenVBand="0" w:oddHBand="0" w:evenHBand="0" w:firstRowFirstColumn="0" w:firstRowLastColumn="0" w:lastRowFirstColumn="0" w:lastRowLastColumn="0"/>
            <w:tcW w:w="0" w:type="auto"/>
            <w:noWrap/>
            <w:hideMark/>
          </w:tcPr>
          <w:p w:rsidR="004902BB" w:rsidRPr="004902BB" w:rsidRDefault="004902BB" w:rsidP="004902BB">
            <w:r w:rsidRPr="004902BB">
              <w:t>Equity raising costs</w:t>
            </w:r>
          </w:p>
        </w:tc>
        <w:tc>
          <w:tcPr>
            <w:tcW w:w="244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47.7</w:t>
            </w:r>
          </w:p>
        </w:tc>
        <w:tc>
          <w:tcPr>
            <w:tcW w:w="3402" w:type="dxa"/>
            <w:noWrap/>
            <w:vAlign w:val="bottom"/>
            <w:hideMark/>
          </w:tcPr>
          <w:p w:rsidR="004902BB" w:rsidRPr="004902BB" w:rsidRDefault="004902BB" w:rsidP="004902BB">
            <w:pPr>
              <w:cnfStyle w:val="000000000000" w:firstRow="0" w:lastRow="0" w:firstColumn="0" w:lastColumn="0" w:oddVBand="0" w:evenVBand="0" w:oddHBand="0" w:evenHBand="0" w:firstRowFirstColumn="0" w:firstRowLastColumn="0" w:lastRowFirstColumn="0" w:lastRowLastColumn="0"/>
            </w:pPr>
            <w:r w:rsidRPr="004902BB">
              <w:t>44.0</w:t>
            </w:r>
          </w:p>
        </w:tc>
      </w:tr>
    </w:tbl>
    <w:p w:rsidR="00140295" w:rsidRDefault="008740BB" w:rsidP="008740BB">
      <w:pPr>
        <w:pStyle w:val="AERtablesource"/>
      </w:pPr>
      <w:r>
        <w:t>Source:</w:t>
      </w:r>
      <w:r>
        <w:tab/>
        <w:t>AER analysis.</w:t>
      </w:r>
    </w:p>
    <w:sectPr w:rsidR="00140295"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43" w:rsidRPr="00290C63" w:rsidRDefault="00E24943" w:rsidP="00290C63">
      <w:r>
        <w:separator/>
      </w:r>
    </w:p>
    <w:p w:rsidR="00E24943" w:rsidRDefault="00E24943"/>
  </w:endnote>
  <w:endnote w:type="continuationSeparator" w:id="0">
    <w:p w:rsidR="00E24943" w:rsidRPr="00290C63" w:rsidRDefault="00E24943" w:rsidP="00290C63">
      <w:r>
        <w:continuationSeparator/>
      </w:r>
    </w:p>
    <w:p w:rsidR="00E24943" w:rsidRDefault="00E24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943" w:rsidRPr="00290C63" w:rsidRDefault="00E2494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24943" w:rsidRDefault="00E24943"/>
  <w:p w:rsidR="00E24943" w:rsidRDefault="00E24943"/>
  <w:p w:rsidR="00E24943" w:rsidRDefault="00E24943"/>
  <w:p w:rsidR="00E24943" w:rsidRDefault="00E24943"/>
  <w:p w:rsidR="00E24943" w:rsidRDefault="00E24943"/>
  <w:p w:rsidR="00E24943" w:rsidRDefault="00E24943"/>
  <w:p w:rsidR="00E24943" w:rsidRDefault="00E249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E24943" w:rsidRDefault="00E24943">
        <w:pPr>
          <w:pStyle w:val="Footer"/>
        </w:pPr>
        <w:r>
          <w:t>5-</w:t>
        </w:r>
        <w:r>
          <w:fldChar w:fldCharType="begin"/>
        </w:r>
        <w:r>
          <w:instrText xml:space="preserve"> PAGE   \* MERGEFORMAT </w:instrText>
        </w:r>
        <w:r>
          <w:fldChar w:fldCharType="separate"/>
        </w:r>
        <w:r w:rsidR="00F61928">
          <w:rPr>
            <w:noProof/>
          </w:rPr>
          <w:t>6</w:t>
        </w:r>
        <w:r>
          <w:rPr>
            <w:noProof/>
          </w:rPr>
          <w:fldChar w:fldCharType="end"/>
        </w:r>
        <w:r>
          <w:rPr>
            <w:noProof/>
          </w:rPr>
          <w:t xml:space="preserve">      </w:t>
        </w:r>
        <w:r>
          <w:t xml:space="preserve">           </w:t>
        </w:r>
        <w:r>
          <w:rPr>
            <w:noProof/>
          </w:rPr>
          <w:t xml:space="preserve"> </w:t>
        </w:r>
        <w:r>
          <w:t xml:space="preserve">                </w:t>
        </w:r>
        <w:r>
          <w:rPr>
            <w:noProof/>
          </w:rPr>
          <w:t xml:space="preserve"> Attachment </w:t>
        </w:r>
        <w:r>
          <w:t>5</w:t>
        </w:r>
        <w:r>
          <w:rPr>
            <w:noProof/>
          </w:rPr>
          <w:t xml:space="preserve"> </w:t>
        </w:r>
        <w:r>
          <w:rPr>
            <w:rFonts w:cs="Gautami"/>
            <w:noProof/>
          </w:rPr>
          <w:t xml:space="preserve">– </w:t>
        </w:r>
        <w:r>
          <w:t>Regulatory depreciation</w:t>
        </w:r>
        <w:r>
          <w:rPr>
            <w:rFonts w:cs="Gautami"/>
            <w:noProof/>
          </w:rPr>
          <w:t xml:space="preserve"> | </w:t>
        </w:r>
        <w:r>
          <w:t>Ergon Energy</w:t>
        </w:r>
        <w:r>
          <w:rPr>
            <w:rFonts w:cs="Gautami"/>
            <w:noProof/>
          </w:rPr>
          <w:t xml:space="preserve"> determination 2015–20</w:t>
        </w:r>
      </w:p>
    </w:sdtContent>
  </w:sdt>
  <w:p w:rsidR="00E24943" w:rsidRDefault="00E249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943" w:rsidRPr="00290C63" w:rsidRDefault="00E2494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24943" w:rsidRDefault="00E24943">
    <w:pPr>
      <w:pStyle w:val="Footer"/>
    </w:pPr>
  </w:p>
  <w:p w:rsidR="00E24943" w:rsidRDefault="00E24943"/>
  <w:p w:rsidR="00E24943" w:rsidRDefault="00E24943"/>
  <w:p w:rsidR="00E24943" w:rsidRDefault="00E24943"/>
  <w:p w:rsidR="00E24943" w:rsidRDefault="00E24943"/>
  <w:p w:rsidR="00E24943" w:rsidRDefault="00E24943"/>
  <w:p w:rsidR="00E24943" w:rsidRDefault="00E24943"/>
  <w:p w:rsidR="00E24943" w:rsidRDefault="00E249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43" w:rsidRPr="00290C63" w:rsidRDefault="00E24943" w:rsidP="00290C63">
      <w:r>
        <w:separator/>
      </w:r>
    </w:p>
    <w:p w:rsidR="00E24943" w:rsidRDefault="00E24943"/>
  </w:footnote>
  <w:footnote w:type="continuationSeparator" w:id="0">
    <w:p w:rsidR="00E24943" w:rsidRPr="00290C63" w:rsidRDefault="00E24943" w:rsidP="00290C63">
      <w:r>
        <w:continuationSeparator/>
      </w:r>
    </w:p>
    <w:p w:rsidR="00E24943" w:rsidRDefault="00E24943"/>
  </w:footnote>
  <w:footnote w:id="1">
    <w:p w:rsidR="00E24943" w:rsidRDefault="00E24943" w:rsidP="00E15A7C">
      <w:pPr>
        <w:pStyle w:val="FootnoteText"/>
      </w:pPr>
      <w:r>
        <w:rPr>
          <w:rStyle w:val="FootnoteReference"/>
        </w:rPr>
        <w:footnoteRef/>
      </w:r>
      <w:r>
        <w:t xml:space="preserve"> </w:t>
      </w:r>
      <w:r>
        <w:tab/>
      </w:r>
      <w:r w:rsidRPr="00740082">
        <w:t>NER, cl 6.12.1(8).</w:t>
      </w:r>
    </w:p>
  </w:footnote>
  <w:footnote w:id="2">
    <w:p w:rsidR="00E24943" w:rsidRDefault="00E24943" w:rsidP="00E15A7C">
      <w:pPr>
        <w:pStyle w:val="FootnoteText"/>
      </w:pPr>
      <w:r>
        <w:rPr>
          <w:rStyle w:val="FootnoteReference"/>
        </w:rPr>
        <w:footnoteRef/>
      </w:r>
      <w:r>
        <w:t xml:space="preserve"> </w:t>
      </w:r>
      <w:r>
        <w:tab/>
        <w:t xml:space="preserve">NER, </w:t>
      </w:r>
      <w:proofErr w:type="spellStart"/>
      <w:r>
        <w:t>cls</w:t>
      </w:r>
      <w:proofErr w:type="spellEnd"/>
      <w:r>
        <w:t xml:space="preserve"> 6.43(a)(1) and (3).</w:t>
      </w:r>
    </w:p>
  </w:footnote>
  <w:footnote w:id="3">
    <w:p w:rsidR="00E24943" w:rsidRDefault="00E24943" w:rsidP="00E15A7C">
      <w:pPr>
        <w:pStyle w:val="FootnoteText"/>
      </w:pPr>
      <w:r>
        <w:rPr>
          <w:rStyle w:val="FootnoteReference"/>
        </w:rPr>
        <w:footnoteRef/>
      </w:r>
      <w:r>
        <w:t xml:space="preserve"> </w:t>
      </w:r>
      <w:r>
        <w:tab/>
        <w:t xml:space="preserve">Ergon Energy, </w:t>
      </w:r>
      <w:r w:rsidRPr="00465CBD">
        <w:rPr>
          <w:rStyle w:val="AERtextitalic"/>
        </w:rPr>
        <w:t>Regulatory Proposal</w:t>
      </w:r>
      <w:r>
        <w:t>, October 2014, p. 23.</w:t>
      </w:r>
    </w:p>
  </w:footnote>
  <w:footnote w:id="4">
    <w:p w:rsidR="00E24943" w:rsidRDefault="00E24943" w:rsidP="00E15A7C">
      <w:pPr>
        <w:pStyle w:val="FootnoteText"/>
      </w:pPr>
      <w:r>
        <w:rPr>
          <w:rStyle w:val="FootnoteReference"/>
        </w:rPr>
        <w:footnoteRef/>
      </w:r>
      <w:r>
        <w:t xml:space="preserve"> </w:t>
      </w:r>
      <w:r>
        <w:tab/>
        <w:t>NER, cl 6.5.5(b)(1).</w:t>
      </w:r>
    </w:p>
  </w:footnote>
  <w:footnote w:id="5">
    <w:p w:rsidR="00E24943" w:rsidRDefault="00E24943" w:rsidP="00E15A7C">
      <w:pPr>
        <w:pStyle w:val="FootnoteText"/>
      </w:pPr>
      <w:r>
        <w:rPr>
          <w:rStyle w:val="FootnoteReference"/>
        </w:rPr>
        <w:footnoteRef/>
      </w:r>
      <w:r>
        <w:t xml:space="preserve"> </w:t>
      </w:r>
      <w:r>
        <w:tab/>
        <w:t>NER, cl 6.5.5(a)(1).</w:t>
      </w:r>
    </w:p>
  </w:footnote>
  <w:footnote w:id="6">
    <w:p w:rsidR="00E24943" w:rsidRDefault="00E24943" w:rsidP="004B31E6">
      <w:pPr>
        <w:pStyle w:val="FootnoteText"/>
      </w:pPr>
      <w:r>
        <w:rPr>
          <w:rStyle w:val="FootnoteReference"/>
        </w:rPr>
        <w:footnoteRef/>
      </w:r>
      <w:r>
        <w:t xml:space="preserve"> </w:t>
      </w:r>
      <w:r>
        <w:tab/>
      </w:r>
      <w:r w:rsidRPr="009865EA">
        <w:t xml:space="preserve">Ergon Energy, </w:t>
      </w:r>
      <w:r w:rsidRPr="00D63F54">
        <w:rPr>
          <w:rStyle w:val="AERtextitalic"/>
        </w:rPr>
        <w:t>Regulatory Proposal</w:t>
      </w:r>
      <w:r w:rsidRPr="009865EA">
        <w:t>, October 2014, 03.01.01 – Ergon Energy’s Building Block Components, p</w:t>
      </w:r>
      <w:r>
        <w:t>p</w:t>
      </w:r>
      <w:r w:rsidRPr="009865EA">
        <w:t>. 22–</w:t>
      </w:r>
      <w:r>
        <w:t>27</w:t>
      </w:r>
      <w:r w:rsidRPr="009865EA">
        <w:t>.</w:t>
      </w:r>
    </w:p>
  </w:footnote>
  <w:footnote w:id="7">
    <w:p w:rsidR="00E24943" w:rsidRDefault="00E24943" w:rsidP="00E146F1">
      <w:pPr>
        <w:pStyle w:val="FootnoteText"/>
      </w:pPr>
      <w:r>
        <w:rPr>
          <w:rStyle w:val="FootnoteReference"/>
        </w:rPr>
        <w:footnoteRef/>
      </w:r>
      <w:r>
        <w:t xml:space="preserve"> </w:t>
      </w:r>
      <w:r>
        <w:tab/>
        <w:t xml:space="preserve">Ergon Energy's average </w:t>
      </w:r>
      <w:r w:rsidRPr="004351B1">
        <w:t>depreciation approach to deriv</w:t>
      </w:r>
      <w:r>
        <w:t>ing</w:t>
      </w:r>
      <w:r w:rsidRPr="004351B1">
        <w:t xml:space="preserve"> the remaining asset lives divides </w:t>
      </w:r>
      <w:r>
        <w:t xml:space="preserve">the opening RAB of each asset class at 1 July 2015 </w:t>
      </w:r>
      <w:r w:rsidRPr="004351B1">
        <w:t xml:space="preserve">by the </w:t>
      </w:r>
      <w:r>
        <w:t xml:space="preserve">forecast </w:t>
      </w:r>
      <w:r w:rsidRPr="004351B1">
        <w:t>201</w:t>
      </w:r>
      <w:r>
        <w:t>5</w:t>
      </w:r>
      <w:r w:rsidRPr="004351B1">
        <w:t>–1</w:t>
      </w:r>
      <w:r>
        <w:t>6 depreciation for that asset class (from the RFM)</w:t>
      </w:r>
      <w:r w:rsidRPr="004351B1">
        <w:t>.</w:t>
      </w:r>
    </w:p>
  </w:footnote>
  <w:footnote w:id="8">
    <w:p w:rsidR="00E24943" w:rsidRDefault="00E24943">
      <w:pPr>
        <w:pStyle w:val="FootnoteText"/>
      </w:pPr>
      <w:r>
        <w:rPr>
          <w:rStyle w:val="FootnoteReference"/>
        </w:rPr>
        <w:footnoteRef/>
      </w:r>
      <w:r>
        <w:t xml:space="preserve"> </w:t>
      </w:r>
      <w:r>
        <w:tab/>
      </w:r>
      <w:r w:rsidRPr="00D63F54">
        <w:t xml:space="preserve">Ergon Energy, </w:t>
      </w:r>
      <w:r w:rsidRPr="00D63F54">
        <w:rPr>
          <w:rStyle w:val="AERtextitalic"/>
        </w:rPr>
        <w:t>Regulatory Proposal</w:t>
      </w:r>
      <w:r w:rsidRPr="00D63F54">
        <w:t>, October 2014, 03.01.01 – Ergon Energy’s Building Block Components, pp</w:t>
      </w:r>
      <w:r>
        <w:t>. 25</w:t>
      </w:r>
      <w:r w:rsidRPr="00D63F54">
        <w:t>–</w:t>
      </w:r>
      <w:r>
        <w:t>26</w:t>
      </w:r>
      <w:r w:rsidRPr="00D63F54">
        <w:t>.</w:t>
      </w:r>
    </w:p>
  </w:footnote>
  <w:footnote w:id="9">
    <w:p w:rsidR="00E24943" w:rsidRDefault="00E24943" w:rsidP="0093457A">
      <w:pPr>
        <w:pStyle w:val="FootnoteText"/>
      </w:pPr>
      <w:r>
        <w:rPr>
          <w:rStyle w:val="FootnoteReference"/>
        </w:rPr>
        <w:footnoteRef/>
      </w:r>
      <w:r w:rsidR="00243EDD">
        <w:t xml:space="preserve"> </w:t>
      </w:r>
      <w:r w:rsidR="00243EDD">
        <w:tab/>
      </w:r>
      <w:proofErr w:type="gramStart"/>
      <w:r w:rsidR="00243EDD">
        <w:t xml:space="preserve">NER, </w:t>
      </w:r>
      <w:proofErr w:type="spellStart"/>
      <w:r w:rsidR="00243EDD">
        <w:t>cll</w:t>
      </w:r>
      <w:proofErr w:type="spellEnd"/>
      <w:r w:rsidR="00243EDD">
        <w:t>.</w:t>
      </w:r>
      <w:proofErr w:type="gramEnd"/>
      <w:r w:rsidRPr="00E646BE">
        <w:t xml:space="preserve"> 6.4.3(</w:t>
      </w:r>
      <w:proofErr w:type="gramStart"/>
      <w:r w:rsidRPr="00E646BE">
        <w:t>a</w:t>
      </w:r>
      <w:proofErr w:type="gramEnd"/>
      <w:r w:rsidRPr="00E646BE">
        <w:t>)(</w:t>
      </w:r>
      <w:r>
        <w:t>3</w:t>
      </w:r>
      <w:r w:rsidRPr="00E646BE">
        <w:t>) and (b)(3).</w:t>
      </w:r>
    </w:p>
  </w:footnote>
  <w:footnote w:id="10">
    <w:p w:rsidR="00E24943" w:rsidRDefault="00E24943" w:rsidP="0093457A">
      <w:pPr>
        <w:pStyle w:val="FootnoteText"/>
      </w:pPr>
      <w:r>
        <w:rPr>
          <w:rStyle w:val="FootnoteReference"/>
        </w:rPr>
        <w:footnoteRef/>
      </w:r>
      <w:r>
        <w:t xml:space="preserve"> </w:t>
      </w:r>
      <w:r>
        <w:tab/>
        <w:t>NER, cl</w:t>
      </w:r>
      <w:r w:rsidRPr="00E646BE">
        <w:t xml:space="preserve"> 6.5.5(a).</w:t>
      </w:r>
    </w:p>
  </w:footnote>
  <w:footnote w:id="11">
    <w:p w:rsidR="00E24943" w:rsidRDefault="00E24943" w:rsidP="0093457A">
      <w:pPr>
        <w:pStyle w:val="FootnoteText"/>
      </w:pPr>
      <w:r>
        <w:rPr>
          <w:rStyle w:val="FootnoteReference"/>
        </w:rPr>
        <w:footnoteRef/>
      </w:r>
      <w:r>
        <w:t xml:space="preserve"> </w:t>
      </w:r>
      <w:r>
        <w:tab/>
        <w:t>NER, cl</w:t>
      </w:r>
      <w:r w:rsidRPr="00E646BE">
        <w:t xml:space="preserve"> 6.5.5(b)(1).</w:t>
      </w:r>
    </w:p>
  </w:footnote>
  <w:footnote w:id="12">
    <w:p w:rsidR="00E24943" w:rsidRDefault="00E24943" w:rsidP="0093457A">
      <w:pPr>
        <w:pStyle w:val="FootnoteText"/>
      </w:pPr>
      <w:r>
        <w:rPr>
          <w:rStyle w:val="FootnoteReference"/>
        </w:rPr>
        <w:footnoteRef/>
      </w:r>
      <w:r>
        <w:t xml:space="preserve"> </w:t>
      </w:r>
      <w:r>
        <w:tab/>
        <w:t>NER, cl</w:t>
      </w:r>
      <w:r w:rsidRPr="003B281F">
        <w:t xml:space="preserve"> 6.5.5(b)(1).</w:t>
      </w:r>
    </w:p>
  </w:footnote>
  <w:footnote w:id="13">
    <w:p w:rsidR="00E24943" w:rsidRDefault="00E24943" w:rsidP="0093457A">
      <w:pPr>
        <w:pStyle w:val="FootnoteText"/>
      </w:pPr>
      <w:r>
        <w:rPr>
          <w:rStyle w:val="FootnoteReference"/>
        </w:rPr>
        <w:footnoteRef/>
      </w:r>
      <w:r>
        <w:t xml:space="preserve"> </w:t>
      </w:r>
      <w:r>
        <w:tab/>
        <w:t>NER, cl</w:t>
      </w:r>
      <w:r w:rsidRPr="003B281F">
        <w:t xml:space="preserve"> 6.5.5(b)(2).</w:t>
      </w:r>
    </w:p>
  </w:footnote>
  <w:footnote w:id="14">
    <w:p w:rsidR="00E24943" w:rsidRDefault="00E24943" w:rsidP="0093457A">
      <w:pPr>
        <w:pStyle w:val="FootnoteText"/>
      </w:pPr>
      <w:r>
        <w:rPr>
          <w:rStyle w:val="FootnoteReference"/>
        </w:rPr>
        <w:footnoteRef/>
      </w:r>
      <w:r>
        <w:t xml:space="preserve"> </w:t>
      </w:r>
      <w:r>
        <w:tab/>
        <w:t>NER, cl</w:t>
      </w:r>
      <w:r w:rsidRPr="003B281F">
        <w:t xml:space="preserve"> 6.5.5(a)(ii).</w:t>
      </w:r>
    </w:p>
  </w:footnote>
  <w:footnote w:id="15">
    <w:p w:rsidR="00E24943" w:rsidRDefault="00E24943" w:rsidP="0093457A">
      <w:pPr>
        <w:pStyle w:val="FootnoteText"/>
      </w:pPr>
      <w:r>
        <w:rPr>
          <w:rStyle w:val="FootnoteReference"/>
        </w:rPr>
        <w:footnoteRef/>
      </w:r>
      <w:r>
        <w:t xml:space="preserve"> </w:t>
      </w:r>
      <w:r>
        <w:tab/>
        <w:t>T</w:t>
      </w:r>
      <w:r w:rsidRPr="004D4F13">
        <w:t>he PTRM distin</w:t>
      </w:r>
      <w:r>
        <w:t>guishes</w:t>
      </w:r>
      <w:r w:rsidRPr="004D4F13">
        <w:t xml:space="preserve"> between straight-line depreciation and regulatory depreciation</w:t>
      </w:r>
      <w:r w:rsidR="00175785">
        <w:t>,</w:t>
      </w:r>
      <w:r w:rsidR="00175785" w:rsidRPr="004D4F13">
        <w:t xml:space="preserve"> </w:t>
      </w:r>
      <w:r w:rsidR="00175785">
        <w:t>t</w:t>
      </w:r>
      <w:r w:rsidR="00175785" w:rsidRPr="004D4F13">
        <w:t xml:space="preserve">he </w:t>
      </w:r>
      <w:r w:rsidRPr="004D4F13">
        <w:t>difference being that regulatory depreciation is the straight-line depreciation minus the indexation adjustment.</w:t>
      </w:r>
    </w:p>
  </w:footnote>
  <w:footnote w:id="16">
    <w:p w:rsidR="00E24943" w:rsidRDefault="00E24943" w:rsidP="0093457A">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In this case the indexation adjustment is greater than the straight-line depreciation.</w:t>
      </w:r>
    </w:p>
  </w:footnote>
  <w:footnote w:id="17">
    <w:p w:rsidR="00E24943" w:rsidRDefault="00E24943" w:rsidP="001520FC">
      <w:pPr>
        <w:pStyle w:val="FootnoteText"/>
      </w:pPr>
      <w:r>
        <w:rPr>
          <w:rStyle w:val="FootnoteReference"/>
        </w:rPr>
        <w:footnoteRef/>
      </w:r>
      <w:r>
        <w:t xml:space="preserve"> </w:t>
      </w:r>
      <w:r>
        <w:tab/>
      </w:r>
      <w:r w:rsidRPr="00183690">
        <w:t>Central Highlands Cotton Gro</w:t>
      </w:r>
      <w:r>
        <w:t xml:space="preserve">wers and Irrigators Association &amp; </w:t>
      </w:r>
      <w:r w:rsidRPr="00183690">
        <w:t>Darling Downs Cotton Growers</w:t>
      </w:r>
      <w:r>
        <w:t xml:space="preserve">, </w:t>
      </w:r>
      <w:r w:rsidRPr="00183690">
        <w:rPr>
          <w:rStyle w:val="AERtextitalic"/>
        </w:rPr>
        <w:t xml:space="preserve">Submission to </w:t>
      </w:r>
      <w:r>
        <w:rPr>
          <w:rStyle w:val="AERtextitalic"/>
        </w:rPr>
        <w:t>Ergon Energy</w:t>
      </w:r>
      <w:r w:rsidRPr="00183690">
        <w:rPr>
          <w:rStyle w:val="AERtextitalic"/>
        </w:rPr>
        <w:t>'s regulatory proposal</w:t>
      </w:r>
      <w:r>
        <w:t xml:space="preserve">, </w:t>
      </w:r>
      <w:r w:rsidRPr="00D97A57">
        <w:t xml:space="preserve">January 2015, </w:t>
      </w:r>
      <w:r>
        <w:t xml:space="preserve">p.1. EUAA, </w:t>
      </w:r>
      <w:r w:rsidRPr="00183690">
        <w:rPr>
          <w:rStyle w:val="AERtextitalic"/>
        </w:rPr>
        <w:t xml:space="preserve">Submission to </w:t>
      </w:r>
      <w:r>
        <w:rPr>
          <w:rStyle w:val="AERtextitalic"/>
        </w:rPr>
        <w:t>Ergon Energy</w:t>
      </w:r>
      <w:r w:rsidRPr="00183690">
        <w:rPr>
          <w:rStyle w:val="AERtextitalic"/>
        </w:rPr>
        <w:t>'s regulatory proposal</w:t>
      </w:r>
      <w:r>
        <w:t>, January 2015, p.31.</w:t>
      </w:r>
    </w:p>
  </w:footnote>
  <w:footnote w:id="18">
    <w:p w:rsidR="00E24943" w:rsidRDefault="00E24943" w:rsidP="00D1186F">
      <w:pPr>
        <w:pStyle w:val="FootnoteText"/>
      </w:pPr>
      <w:r>
        <w:rPr>
          <w:rStyle w:val="FootnoteReference"/>
        </w:rPr>
        <w:footnoteRef/>
      </w:r>
      <w:r>
        <w:t xml:space="preserve"> </w:t>
      </w:r>
      <w:r>
        <w:tab/>
        <w:t xml:space="preserve">The indexation of the RAB was a matter discussed extensively in the AER's final decision on APA </w:t>
      </w:r>
      <w:proofErr w:type="spellStart"/>
      <w:r>
        <w:t>GasNet's</w:t>
      </w:r>
      <w:proofErr w:type="spellEnd"/>
      <w:r>
        <w:t xml:space="preserve"> access arrangement. This matter also went before the Australian Competition Tribunal, who found in favour of the AER's reasoning in that final decision. See AER,</w:t>
      </w:r>
      <w:r w:rsidRPr="00DD6B4F">
        <w:t xml:space="preserve"> </w:t>
      </w:r>
      <w:r w:rsidRPr="00DD6B4F">
        <w:rPr>
          <w:rStyle w:val="AERtextitalic"/>
        </w:rPr>
        <w:t>Access arrangement final decision</w:t>
      </w:r>
      <w:r>
        <w:rPr>
          <w:rStyle w:val="AERtextitalic"/>
        </w:rPr>
        <w:t>,</w:t>
      </w:r>
      <w:r w:rsidRPr="00DD6B4F">
        <w:rPr>
          <w:rStyle w:val="AERtextitalic"/>
        </w:rPr>
        <w:t xml:space="preserve"> APA </w:t>
      </w:r>
      <w:proofErr w:type="spellStart"/>
      <w:r w:rsidRPr="00DD6B4F">
        <w:rPr>
          <w:rStyle w:val="AERtextitalic"/>
        </w:rPr>
        <w:t>GasNet</w:t>
      </w:r>
      <w:proofErr w:type="spellEnd"/>
      <w:r w:rsidRPr="00DD6B4F">
        <w:rPr>
          <w:rStyle w:val="AERtextitalic"/>
        </w:rPr>
        <w:t xml:space="preserve"> Australia (Operations) Pty Ltd</w:t>
      </w:r>
      <w:r>
        <w:rPr>
          <w:rStyle w:val="AERtextitalic"/>
        </w:rPr>
        <w:t>,</w:t>
      </w:r>
      <w:r w:rsidRPr="00DD6B4F">
        <w:rPr>
          <w:rStyle w:val="AERtextitalic"/>
        </w:rPr>
        <w:t xml:space="preserve"> 2013–17, Part 2: Attachments</w:t>
      </w:r>
      <w:r>
        <w:t xml:space="preserve">, 15 March 2013, pp.102-116; and Australian Competition Tribunal, </w:t>
      </w:r>
      <w:r w:rsidRPr="00D1186F">
        <w:rPr>
          <w:rStyle w:val="AERtextitalic"/>
        </w:rPr>
        <w:t xml:space="preserve">Application by APA </w:t>
      </w:r>
      <w:proofErr w:type="spellStart"/>
      <w:r w:rsidRPr="00D1186F">
        <w:rPr>
          <w:rStyle w:val="AERtextitalic"/>
        </w:rPr>
        <w:t>GasNet</w:t>
      </w:r>
      <w:proofErr w:type="spellEnd"/>
      <w:r w:rsidRPr="00D1186F">
        <w:rPr>
          <w:rStyle w:val="AERtextitalic"/>
        </w:rPr>
        <w:t xml:space="preserve"> Australia (Operations) Pty Limited (No 2) [2013] </w:t>
      </w:r>
      <w:proofErr w:type="spellStart"/>
      <w:r w:rsidRPr="00D1186F">
        <w:rPr>
          <w:rStyle w:val="AERtextitalic"/>
        </w:rPr>
        <w:t>ACompT</w:t>
      </w:r>
      <w:proofErr w:type="spellEnd"/>
      <w:r w:rsidRPr="00D1186F">
        <w:rPr>
          <w:rStyle w:val="AERtextitalic"/>
        </w:rPr>
        <w:t xml:space="preserve"> 8</w:t>
      </w:r>
      <w:r>
        <w:t>, September 2013, para 226.</w:t>
      </w:r>
    </w:p>
  </w:footnote>
  <w:footnote w:id="19">
    <w:p w:rsidR="00E24943" w:rsidRDefault="00E24943" w:rsidP="00E06160">
      <w:pPr>
        <w:pStyle w:val="FootnoteText"/>
      </w:pPr>
      <w:r>
        <w:rPr>
          <w:rStyle w:val="FootnoteReference"/>
        </w:rPr>
        <w:footnoteRef/>
      </w:r>
      <w:r>
        <w:t xml:space="preserve"> </w:t>
      </w:r>
      <w:r>
        <w:tab/>
        <w:t>NER, cl 6.5.5(b)(1).</w:t>
      </w:r>
    </w:p>
  </w:footnote>
  <w:footnote w:id="20">
    <w:p w:rsidR="00E24943" w:rsidRDefault="00E24943">
      <w:pPr>
        <w:pStyle w:val="FootnoteText"/>
      </w:pPr>
      <w:r>
        <w:rPr>
          <w:rStyle w:val="FootnoteReference"/>
        </w:rPr>
        <w:footnoteRef/>
      </w:r>
      <w:r>
        <w:t xml:space="preserve"> </w:t>
      </w:r>
      <w:r>
        <w:tab/>
        <w:t xml:space="preserve">NEL, s. 16; </w:t>
      </w:r>
      <w:r w:rsidRPr="00A078AD">
        <w:t xml:space="preserve"> </w:t>
      </w:r>
      <w:r>
        <w:t>NER, cl. 6.5.5</w:t>
      </w:r>
      <w:r w:rsidRPr="00926B90">
        <w:t>(b)(1)</w:t>
      </w:r>
      <w:r>
        <w:t>.</w:t>
      </w:r>
    </w:p>
  </w:footnote>
  <w:footnote w:id="21">
    <w:p w:rsidR="00E24943" w:rsidRDefault="00E24943" w:rsidP="00A04AB9">
      <w:pPr>
        <w:pStyle w:val="FootnoteText"/>
      </w:pPr>
      <w:r>
        <w:rPr>
          <w:rStyle w:val="FootnoteReference"/>
        </w:rPr>
        <w:footnoteRef/>
      </w:r>
      <w:r>
        <w:t xml:space="preserve"> </w:t>
      </w:r>
      <w:r>
        <w:tab/>
        <w:t>There are also benefits in terms of having smoother depreciation in the long run by not tracking assets individually. That is, revenues may be more volatile if lumpy assets are depreciated individually.</w:t>
      </w:r>
    </w:p>
  </w:footnote>
  <w:footnote w:id="22">
    <w:p w:rsidR="00E24943" w:rsidRDefault="00E24943" w:rsidP="009D3223">
      <w:pPr>
        <w:pStyle w:val="FootnoteText"/>
      </w:pPr>
      <w:r>
        <w:rPr>
          <w:rStyle w:val="FootnoteReference"/>
        </w:rPr>
        <w:footnoteRef/>
      </w:r>
      <w:r>
        <w:t xml:space="preserve"> </w:t>
      </w:r>
      <w:r>
        <w:tab/>
        <w:t>Energex</w:t>
      </w:r>
      <w:r w:rsidRPr="00DC4EE3">
        <w:t xml:space="preserve">, </w:t>
      </w:r>
      <w:r w:rsidRPr="00DC4EE3">
        <w:rPr>
          <w:rStyle w:val="AERtextitalic"/>
        </w:rPr>
        <w:t>Regulatory proposal</w:t>
      </w:r>
      <w:r>
        <w:t>, October</w:t>
      </w:r>
      <w:r w:rsidRPr="00DC4EE3">
        <w:t xml:space="preserve"> 201</w:t>
      </w:r>
      <w:r>
        <w:t>4</w:t>
      </w:r>
      <w:r w:rsidRPr="00DC4EE3">
        <w:t xml:space="preserve">, </w:t>
      </w:r>
      <w:r>
        <w:t xml:space="preserve">pp. 143–145.  </w:t>
      </w:r>
    </w:p>
  </w:footnote>
  <w:footnote w:id="23">
    <w:p w:rsidR="00E24943" w:rsidRDefault="00E24943" w:rsidP="0028684F">
      <w:pPr>
        <w:pStyle w:val="FootnoteText"/>
      </w:pPr>
      <w:r>
        <w:rPr>
          <w:rStyle w:val="FootnoteReference"/>
        </w:rPr>
        <w:footnoteRef/>
      </w:r>
      <w:r>
        <w:t xml:space="preserve"> </w:t>
      </w:r>
      <w:r>
        <w:tab/>
      </w:r>
      <w:r w:rsidRPr="0028684F">
        <w:t>An asset’s actual life can vary from its expected economic life. For example, an individual asset may break unexpectedly. We determine remaining asset lives on the assumption that expected economic lives will be realised on average by the assets in their asset class.  A business may undertake engineering assessments if they consider the remaining asset lives have developed a systematic bias. For example,</w:t>
      </w:r>
      <w:r>
        <w:t xml:space="preserve"> if</w:t>
      </w:r>
      <w:r w:rsidRPr="0028684F">
        <w:t xml:space="preserve"> subsequent testing of a piece of equipment reveals it will not last as long as initially expected.  </w:t>
      </w:r>
    </w:p>
  </w:footnote>
  <w:footnote w:id="24">
    <w:p w:rsidR="00E24943" w:rsidRDefault="00E24943" w:rsidP="00F915FA">
      <w:pPr>
        <w:pStyle w:val="FootnoteText"/>
      </w:pPr>
      <w:r>
        <w:rPr>
          <w:rStyle w:val="FootnoteReference"/>
        </w:rPr>
        <w:footnoteRef/>
      </w:r>
      <w:r>
        <w:t xml:space="preserve"> </w:t>
      </w:r>
      <w:r>
        <w:tab/>
        <w:t>NER, cl. 6.5.5</w:t>
      </w:r>
      <w:r w:rsidRPr="00926B90">
        <w:t>(b)(1)</w:t>
      </w:r>
      <w:r>
        <w:t>.</w:t>
      </w:r>
    </w:p>
  </w:footnote>
  <w:footnote w:id="25">
    <w:p w:rsidR="00D93A0E" w:rsidRDefault="00D93A0E" w:rsidP="00D93A0E">
      <w:pPr>
        <w:pStyle w:val="FootnoteText"/>
      </w:pPr>
      <w:r>
        <w:rPr>
          <w:rStyle w:val="FootnoteReference"/>
        </w:rPr>
        <w:footnoteRef/>
      </w:r>
      <w:r>
        <w:t xml:space="preserve"> </w:t>
      </w:r>
      <w:r>
        <w:tab/>
        <w:t xml:space="preserve">This raises intergenerational equity issues with today's customers paying a greater proportion of the asset’s cost than future generations. In </w:t>
      </w:r>
      <w:r w:rsidR="00B06A14">
        <w:t>the long run</w:t>
      </w:r>
      <w:r>
        <w:t xml:space="preserve">, future customers </w:t>
      </w:r>
      <w:r w:rsidR="00B06A14">
        <w:t>will</w:t>
      </w:r>
      <w:r>
        <w:t xml:space="preserve"> end up using assets that have been fully depreciated </w:t>
      </w:r>
      <w:r w:rsidR="00424B24" w:rsidRPr="00424B24">
        <w:t xml:space="preserve">but still providing a service </w:t>
      </w:r>
      <w:r>
        <w:t>and therefore they pay only maintenance on these assets.</w:t>
      </w:r>
    </w:p>
  </w:footnote>
  <w:footnote w:id="26">
    <w:p w:rsidR="00E24943" w:rsidRPr="00E35F07" w:rsidRDefault="00E24943" w:rsidP="00C04050">
      <w:pPr>
        <w:pStyle w:val="FootnoteText"/>
      </w:pPr>
      <w:r w:rsidRPr="00E35F07">
        <w:rPr>
          <w:rStyle w:val="FootnoteReference"/>
          <w:rFonts w:ascii="Times New Roman" w:hAnsi="Times New Roman"/>
        </w:rPr>
        <w:footnoteRef/>
      </w:r>
      <w:r w:rsidRPr="00E35F07">
        <w:t xml:space="preserve"> </w:t>
      </w:r>
      <w:r>
        <w:tab/>
      </w:r>
      <w:r w:rsidRPr="00E35F07">
        <w:t xml:space="preserve">The total depreciation </w:t>
      </w:r>
      <w:r>
        <w:t xml:space="preserve">of </w:t>
      </w:r>
      <w:r w:rsidRPr="00E35F07">
        <w:t>an asset in net present value terms is equal under the two approaches.</w:t>
      </w:r>
      <w:r>
        <w:t xml:space="preserve"> However, the asset life over which it is recovered differs. This difference affects both price profiles and the incentive for a business to replace the asset. As an example, recovering $100 </w:t>
      </w:r>
      <w:r w:rsidRPr="00F318AB">
        <w:t>million</w:t>
      </w:r>
      <w:r>
        <w:t xml:space="preserve"> capex over one year or a hundred years can be done in NPV equivalent terms. But the choice of years will lead to very different price profiles and influence when the asset is replaced.</w:t>
      </w:r>
    </w:p>
  </w:footnote>
  <w:footnote w:id="27">
    <w:p w:rsidR="00E24943" w:rsidRDefault="00E24943" w:rsidP="00E33176">
      <w:pPr>
        <w:pStyle w:val="FootnoteText"/>
      </w:pPr>
      <w:r>
        <w:rPr>
          <w:rStyle w:val="FootnoteReference"/>
        </w:rPr>
        <w:footnoteRef/>
      </w:r>
      <w:r>
        <w:t xml:space="preserve"> </w:t>
      </w:r>
      <w:r>
        <w:tab/>
      </w:r>
      <w:r w:rsidRPr="00CF2984">
        <w:t xml:space="preserve">For example, an asset may expire in six years, but the average depreciation may be calculated over five years. If </w:t>
      </w:r>
      <w:r>
        <w:t xml:space="preserve">we extend </w:t>
      </w:r>
      <w:r w:rsidRPr="00CF2984">
        <w:t xml:space="preserve">the </w:t>
      </w:r>
      <w:r>
        <w:t xml:space="preserve">assessment period </w:t>
      </w:r>
      <w:r w:rsidRPr="00CF2984">
        <w:t>to six years</w:t>
      </w:r>
      <w:r>
        <w:t>, the average depreciation</w:t>
      </w:r>
      <w:r w:rsidRPr="00CF2984">
        <w:t xml:space="preserve"> fall</w:t>
      </w:r>
      <w:r>
        <w:t>s</w:t>
      </w:r>
      <w:r w:rsidRPr="00CF2984">
        <w:t xml:space="preserve"> and the remaining asset lives increase. If we extend the </w:t>
      </w:r>
      <w:r>
        <w:t>assessment period</w:t>
      </w:r>
      <w:r w:rsidRPr="00CF2984">
        <w:t xml:space="preserve"> to seven years, the remaining asset lives increase further by the same dynamic.</w:t>
      </w:r>
    </w:p>
  </w:footnote>
  <w:footnote w:id="28">
    <w:p w:rsidR="00E24943" w:rsidRDefault="00E24943" w:rsidP="007E4087">
      <w:pPr>
        <w:pStyle w:val="FootnoteText"/>
      </w:pPr>
      <w:r>
        <w:rPr>
          <w:rStyle w:val="FootnoteReference"/>
        </w:rPr>
        <w:footnoteRef/>
      </w:r>
      <w:r>
        <w:t xml:space="preserve"> </w:t>
      </w:r>
      <w:r>
        <w:tab/>
        <w:t xml:space="preserve">AER, </w:t>
      </w:r>
      <w:r w:rsidRPr="00926B90">
        <w:rPr>
          <w:rStyle w:val="AERtextitalic"/>
        </w:rPr>
        <w:t>Draft decision Jemena Gas Networks (NSW) Ltd Access arrangement 2015–20</w:t>
      </w:r>
      <w:r>
        <w:t>, November 2014, attachment 5, pp.15–18.</w:t>
      </w:r>
    </w:p>
    <w:p w:rsidR="00E24943" w:rsidRDefault="00E24943" w:rsidP="007E4087">
      <w:pPr>
        <w:pStyle w:val="FootnoteText"/>
      </w:pPr>
      <w:r>
        <w:tab/>
      </w:r>
      <w:r w:rsidRPr="009125D8">
        <w:t xml:space="preserve">AER, </w:t>
      </w:r>
      <w:r w:rsidRPr="009125D8">
        <w:rPr>
          <w:rStyle w:val="AERtextitalic"/>
        </w:rPr>
        <w:t>Draft Decision ActewAGL distribution determination 2015–16 to 2018–19</w:t>
      </w:r>
      <w:r>
        <w:t>, November 2014, A</w:t>
      </w:r>
      <w:r w:rsidRPr="009125D8">
        <w:t>ttachment 5, pp. 11–13.</w:t>
      </w:r>
    </w:p>
  </w:footnote>
  <w:footnote w:id="29">
    <w:p w:rsidR="00E24943" w:rsidRDefault="00E24943">
      <w:pPr>
        <w:pStyle w:val="FootnoteText"/>
      </w:pPr>
      <w:r>
        <w:rPr>
          <w:rStyle w:val="FootnoteReference"/>
        </w:rPr>
        <w:footnoteRef/>
      </w:r>
      <w:r>
        <w:t xml:space="preserve"> </w:t>
      </w:r>
      <w:r>
        <w:tab/>
        <w:t>SA Power Networks has submitted its proposal for a revenue reset under the same concurrent process as the Queensland distributors.</w:t>
      </w:r>
    </w:p>
  </w:footnote>
  <w:footnote w:id="30">
    <w:p w:rsidR="00E24943" w:rsidRDefault="00E24943">
      <w:pPr>
        <w:pStyle w:val="FootnoteText"/>
      </w:pPr>
      <w:r>
        <w:rPr>
          <w:rStyle w:val="FootnoteReference"/>
        </w:rPr>
        <w:footnoteRef/>
      </w:r>
      <w:r>
        <w:t xml:space="preserve"> </w:t>
      </w:r>
      <w:r>
        <w:tab/>
        <w:t xml:space="preserve">AER, </w:t>
      </w:r>
      <w:r>
        <w:rPr>
          <w:rStyle w:val="AERtextitalic"/>
        </w:rPr>
        <w:t>Preliminary</w:t>
      </w:r>
      <w:r w:rsidRPr="00926B90">
        <w:rPr>
          <w:rStyle w:val="AERtextitalic"/>
        </w:rPr>
        <w:t xml:space="preserve"> decision </w:t>
      </w:r>
      <w:r>
        <w:rPr>
          <w:rStyle w:val="AERtextitalic"/>
        </w:rPr>
        <w:t>SA Power Networks</w:t>
      </w:r>
      <w:r w:rsidRPr="00926B90">
        <w:rPr>
          <w:rStyle w:val="AERtextitalic"/>
        </w:rPr>
        <w:t xml:space="preserve"> </w:t>
      </w:r>
      <w:r>
        <w:rPr>
          <w:rStyle w:val="AERtextitalic"/>
        </w:rPr>
        <w:t xml:space="preserve">distribution determination </w:t>
      </w:r>
      <w:r w:rsidRPr="00926B90">
        <w:rPr>
          <w:rStyle w:val="AERtextitalic"/>
        </w:rPr>
        <w:t>2015–20</w:t>
      </w:r>
      <w:r>
        <w:t>, November 2014, Attachment 5, section 5.4.2.</w:t>
      </w:r>
    </w:p>
  </w:footnote>
  <w:footnote w:id="31">
    <w:p w:rsidR="00793EAF" w:rsidRPr="00E35F07" w:rsidRDefault="00793EAF" w:rsidP="00793EAF">
      <w:pPr>
        <w:pStyle w:val="FootnoteText"/>
      </w:pPr>
      <w:r w:rsidRPr="00E35F07">
        <w:rPr>
          <w:rStyle w:val="FootnoteReference"/>
          <w:rFonts w:ascii="Times New Roman" w:hAnsi="Times New Roman"/>
        </w:rPr>
        <w:footnoteRef/>
      </w:r>
      <w:r w:rsidRPr="00E35F07">
        <w:t xml:space="preserve"> </w:t>
      </w:r>
      <w:r>
        <w:tab/>
      </w:r>
      <w:r w:rsidRPr="00E35F07">
        <w:t xml:space="preserve">It tends to weight older assets much more in the asset class because it effectively ignores when these assets leave the RAB and assumes they stay in it indefinitely. This </w:t>
      </w:r>
      <w:r>
        <w:t>weighting was also explained</w:t>
      </w:r>
      <w:r w:rsidRPr="00E35F07">
        <w:t xml:space="preserve"> in our draft decision for J</w:t>
      </w:r>
      <w:r>
        <w:t xml:space="preserve">emena </w:t>
      </w:r>
      <w:r w:rsidRPr="00E35F07">
        <w:t>G</w:t>
      </w:r>
      <w:r>
        <w:t>as Networks</w:t>
      </w:r>
      <w:r w:rsidRPr="00E35F07">
        <w:t xml:space="preserve">. See </w:t>
      </w:r>
      <w:r>
        <w:t xml:space="preserve">AER, </w:t>
      </w:r>
      <w:r>
        <w:rPr>
          <w:rStyle w:val="AERtextitalic"/>
        </w:rPr>
        <w:t xml:space="preserve">Draft decision, </w:t>
      </w:r>
      <w:r w:rsidRPr="002D59EC">
        <w:rPr>
          <w:rStyle w:val="AERtextitalic"/>
        </w:rPr>
        <w:t>Jemena Gas Networks (NSW) Ltd Access arrangement 2015–20</w:t>
      </w:r>
      <w:r w:rsidRPr="00E35F07">
        <w:t xml:space="preserve">, Attachment 5, </w:t>
      </w:r>
      <w:r>
        <w:t xml:space="preserve">November 2014, </w:t>
      </w:r>
      <w:r w:rsidRPr="00E35F07">
        <w:t>section 5.4.2</w:t>
      </w:r>
      <w:r>
        <w:t>.</w:t>
      </w:r>
    </w:p>
  </w:footnote>
  <w:footnote w:id="32">
    <w:p w:rsidR="00793EAF" w:rsidRDefault="00793EAF" w:rsidP="00793EAF">
      <w:pPr>
        <w:pStyle w:val="FootnoteText"/>
      </w:pPr>
      <w:r>
        <w:rPr>
          <w:rStyle w:val="FootnoteReference"/>
        </w:rPr>
        <w:footnoteRef/>
      </w:r>
      <w:r>
        <w:t xml:space="preserve"> </w:t>
      </w:r>
      <w:r>
        <w:tab/>
      </w:r>
      <w:r w:rsidRPr="007E228B">
        <w:t>NEL, s. 16(1)(a).</w:t>
      </w:r>
    </w:p>
  </w:footnote>
  <w:footnote w:id="33">
    <w:p w:rsidR="00793EAF" w:rsidRDefault="00793EAF" w:rsidP="00793EAF">
      <w:pPr>
        <w:pStyle w:val="FootnoteText"/>
      </w:pPr>
      <w:r>
        <w:rPr>
          <w:rStyle w:val="FootnoteReference"/>
        </w:rPr>
        <w:footnoteRef/>
      </w:r>
      <w:r>
        <w:t xml:space="preserve"> </w:t>
      </w:r>
      <w:r>
        <w:tab/>
      </w:r>
      <w:r w:rsidRPr="007E228B">
        <w:t>NEL, s. 16</w:t>
      </w:r>
      <w:r>
        <w:t>.</w:t>
      </w:r>
    </w:p>
  </w:footnote>
  <w:footnote w:id="34">
    <w:p w:rsidR="00E24943" w:rsidRDefault="00E24943">
      <w:pPr>
        <w:pStyle w:val="FootnoteText"/>
      </w:pPr>
      <w:r>
        <w:rPr>
          <w:rStyle w:val="FootnoteReference"/>
        </w:rPr>
        <w:footnoteRef/>
      </w:r>
      <w:r>
        <w:t xml:space="preserve"> </w:t>
      </w:r>
      <w:r>
        <w:tab/>
        <w:t xml:space="preserve">The assets in the six asset classes shown in the figures are combined every 5 years. Once these assets are combined, information on when particular assets expire is lost. </w:t>
      </w:r>
    </w:p>
  </w:footnote>
  <w:footnote w:id="35">
    <w:p w:rsidR="00E24943" w:rsidRDefault="00E24943" w:rsidP="005F6640">
      <w:pPr>
        <w:pStyle w:val="FootnoteText"/>
      </w:pPr>
      <w:r>
        <w:rPr>
          <w:rStyle w:val="FootnoteReference"/>
        </w:rPr>
        <w:footnoteRef/>
      </w:r>
      <w:r>
        <w:t xml:space="preserve"> </w:t>
      </w:r>
      <w:r>
        <w:tab/>
        <w:t>NER, cl. 6.5.5</w:t>
      </w:r>
      <w:r w:rsidRPr="00926B90">
        <w:t>(b)(1)</w:t>
      </w:r>
      <w:r>
        <w:t>.</w:t>
      </w:r>
    </w:p>
  </w:footnote>
  <w:footnote w:id="36">
    <w:p w:rsidR="00E24943" w:rsidRDefault="00E24943">
      <w:pPr>
        <w:pStyle w:val="FootnoteText"/>
      </w:pPr>
      <w:r>
        <w:rPr>
          <w:rStyle w:val="FootnoteReference"/>
        </w:rPr>
        <w:footnoteRef/>
      </w:r>
      <w:r>
        <w:t xml:space="preserve"> </w:t>
      </w:r>
      <w:r>
        <w:tab/>
      </w:r>
      <w:r w:rsidRPr="007E228B">
        <w:t>NEL, s. 16(</w:t>
      </w:r>
      <w:r>
        <w:t>d</w:t>
      </w:r>
      <w:r w:rsidRPr="007E228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59025A7"/>
    <w:multiLevelType w:val="hybridMultilevel"/>
    <w:tmpl w:val="44E47636"/>
    <w:lvl w:ilvl="0" w:tplc="3CBAF464">
      <w:start w:val="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3036BDD"/>
    <w:multiLevelType w:val="multilevel"/>
    <w:tmpl w:val="950A1C52"/>
    <w:numStyleLink w:val="AERHeadings"/>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21E0E854"/>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3"/>
  </w:num>
  <w:num w:numId="21">
    <w:abstractNumId w:val="13"/>
  </w:num>
  <w:num w:numId="22">
    <w:abstractNumId w:val="29"/>
  </w:num>
  <w:num w:numId="23">
    <w:abstractNumId w:val="26"/>
  </w:num>
  <w:num w:numId="24">
    <w:abstractNumId w:val="18"/>
  </w:num>
  <w:num w:numId="25">
    <w:abstractNumId w:val="27"/>
  </w:num>
  <w:num w:numId="26">
    <w:abstractNumId w:val="30"/>
  </w:num>
  <w:num w:numId="27">
    <w:abstractNumId w:val="19"/>
  </w:num>
  <w:num w:numId="28">
    <w:abstractNumId w:val="17"/>
  </w:num>
  <w:num w:numId="29">
    <w:abstractNumId w:val="15"/>
  </w:num>
  <w:num w:numId="30">
    <w:abstractNumId w:val="34"/>
  </w:num>
  <w:num w:numId="31">
    <w:abstractNumId w:val="14"/>
  </w:num>
  <w:num w:numId="32">
    <w:abstractNumId w:val="22"/>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8"/>
  </w:num>
  <w:num w:numId="38">
    <w:abstractNumId w:val="20"/>
  </w:num>
  <w:num w:numId="3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684\AER15 201  NEW - Ergon - prelim decision - Attach 18 - Connection policy.DOCX"/>
  </w:docVars>
  <w:rsids>
    <w:rsidRoot w:val="00961A4A"/>
    <w:rsid w:val="00001714"/>
    <w:rsid w:val="00021202"/>
    <w:rsid w:val="0002517F"/>
    <w:rsid w:val="00027CFC"/>
    <w:rsid w:val="0003578C"/>
    <w:rsid w:val="00046BD8"/>
    <w:rsid w:val="0005192A"/>
    <w:rsid w:val="00055197"/>
    <w:rsid w:val="00055302"/>
    <w:rsid w:val="00055E16"/>
    <w:rsid w:val="00063247"/>
    <w:rsid w:val="00070F9F"/>
    <w:rsid w:val="0007137B"/>
    <w:rsid w:val="00071E65"/>
    <w:rsid w:val="00085663"/>
    <w:rsid w:val="00085EBF"/>
    <w:rsid w:val="000A3020"/>
    <w:rsid w:val="000A6C7B"/>
    <w:rsid w:val="000B137A"/>
    <w:rsid w:val="000D122C"/>
    <w:rsid w:val="000D2875"/>
    <w:rsid w:val="000E1819"/>
    <w:rsid w:val="000E4821"/>
    <w:rsid w:val="000E6C72"/>
    <w:rsid w:val="000E7FA9"/>
    <w:rsid w:val="00116EB2"/>
    <w:rsid w:val="00120164"/>
    <w:rsid w:val="001201F1"/>
    <w:rsid w:val="00124609"/>
    <w:rsid w:val="00126A4C"/>
    <w:rsid w:val="00140295"/>
    <w:rsid w:val="0014573B"/>
    <w:rsid w:val="001520FC"/>
    <w:rsid w:val="001573E4"/>
    <w:rsid w:val="00160756"/>
    <w:rsid w:val="0016614A"/>
    <w:rsid w:val="0017232E"/>
    <w:rsid w:val="00174102"/>
    <w:rsid w:val="00175785"/>
    <w:rsid w:val="00177B56"/>
    <w:rsid w:val="00180157"/>
    <w:rsid w:val="00185CB9"/>
    <w:rsid w:val="00186F77"/>
    <w:rsid w:val="001926A4"/>
    <w:rsid w:val="00192AD5"/>
    <w:rsid w:val="001A174B"/>
    <w:rsid w:val="001B45A0"/>
    <w:rsid w:val="001B5035"/>
    <w:rsid w:val="001C26CB"/>
    <w:rsid w:val="001C6635"/>
    <w:rsid w:val="001D055E"/>
    <w:rsid w:val="001D7B58"/>
    <w:rsid w:val="001E4662"/>
    <w:rsid w:val="001F492E"/>
    <w:rsid w:val="001F6DA3"/>
    <w:rsid w:val="002010BC"/>
    <w:rsid w:val="00202E03"/>
    <w:rsid w:val="0020492C"/>
    <w:rsid w:val="00224DB9"/>
    <w:rsid w:val="00232452"/>
    <w:rsid w:val="00233775"/>
    <w:rsid w:val="00243EDD"/>
    <w:rsid w:val="00244B68"/>
    <w:rsid w:val="00251745"/>
    <w:rsid w:val="00251B69"/>
    <w:rsid w:val="00261990"/>
    <w:rsid w:val="00263AC0"/>
    <w:rsid w:val="00264264"/>
    <w:rsid w:val="0026772D"/>
    <w:rsid w:val="002748DD"/>
    <w:rsid w:val="0027711F"/>
    <w:rsid w:val="002800D3"/>
    <w:rsid w:val="0028684F"/>
    <w:rsid w:val="00286874"/>
    <w:rsid w:val="00290C63"/>
    <w:rsid w:val="00293BEF"/>
    <w:rsid w:val="00296B65"/>
    <w:rsid w:val="002A7DEF"/>
    <w:rsid w:val="002C3889"/>
    <w:rsid w:val="002D59EC"/>
    <w:rsid w:val="002E2E86"/>
    <w:rsid w:val="002E3076"/>
    <w:rsid w:val="002E69BE"/>
    <w:rsid w:val="002E7B22"/>
    <w:rsid w:val="002F7986"/>
    <w:rsid w:val="00301B40"/>
    <w:rsid w:val="003029EE"/>
    <w:rsid w:val="00305CC8"/>
    <w:rsid w:val="00307F6D"/>
    <w:rsid w:val="003177A2"/>
    <w:rsid w:val="00325D62"/>
    <w:rsid w:val="003271B5"/>
    <w:rsid w:val="00327A1E"/>
    <w:rsid w:val="00331264"/>
    <w:rsid w:val="00334C8D"/>
    <w:rsid w:val="00343A18"/>
    <w:rsid w:val="003518B3"/>
    <w:rsid w:val="00354DA6"/>
    <w:rsid w:val="003735BC"/>
    <w:rsid w:val="00374161"/>
    <w:rsid w:val="003846F1"/>
    <w:rsid w:val="003A05C2"/>
    <w:rsid w:val="003B0545"/>
    <w:rsid w:val="003B484F"/>
    <w:rsid w:val="003D4332"/>
    <w:rsid w:val="003E356F"/>
    <w:rsid w:val="003F174D"/>
    <w:rsid w:val="003F36E4"/>
    <w:rsid w:val="00405048"/>
    <w:rsid w:val="00424B24"/>
    <w:rsid w:val="00426B30"/>
    <w:rsid w:val="00432558"/>
    <w:rsid w:val="004351B1"/>
    <w:rsid w:val="0045777E"/>
    <w:rsid w:val="00461BC1"/>
    <w:rsid w:val="00462318"/>
    <w:rsid w:val="00465CBD"/>
    <w:rsid w:val="00471C70"/>
    <w:rsid w:val="00480B4B"/>
    <w:rsid w:val="00485DC4"/>
    <w:rsid w:val="004902BB"/>
    <w:rsid w:val="004A43D1"/>
    <w:rsid w:val="004B31E6"/>
    <w:rsid w:val="004B4218"/>
    <w:rsid w:val="004B4412"/>
    <w:rsid w:val="004C1DB6"/>
    <w:rsid w:val="004C348C"/>
    <w:rsid w:val="004C3B5D"/>
    <w:rsid w:val="004D55BA"/>
    <w:rsid w:val="004E0C30"/>
    <w:rsid w:val="004E22EC"/>
    <w:rsid w:val="00523706"/>
    <w:rsid w:val="00527512"/>
    <w:rsid w:val="00530128"/>
    <w:rsid w:val="00532467"/>
    <w:rsid w:val="00541A86"/>
    <w:rsid w:val="005420C5"/>
    <w:rsid w:val="00564A4D"/>
    <w:rsid w:val="00567BA5"/>
    <w:rsid w:val="00571B35"/>
    <w:rsid w:val="00571D57"/>
    <w:rsid w:val="00576359"/>
    <w:rsid w:val="00577A09"/>
    <w:rsid w:val="005829C2"/>
    <w:rsid w:val="00584D8F"/>
    <w:rsid w:val="005A404D"/>
    <w:rsid w:val="005B1E3C"/>
    <w:rsid w:val="005B5CD5"/>
    <w:rsid w:val="005C14B4"/>
    <w:rsid w:val="005C26CC"/>
    <w:rsid w:val="005D0405"/>
    <w:rsid w:val="005D7BA2"/>
    <w:rsid w:val="005E1829"/>
    <w:rsid w:val="005E36C2"/>
    <w:rsid w:val="005F4DB4"/>
    <w:rsid w:val="005F637C"/>
    <w:rsid w:val="005F6640"/>
    <w:rsid w:val="006150D7"/>
    <w:rsid w:val="00615C6B"/>
    <w:rsid w:val="00621DCE"/>
    <w:rsid w:val="00624A12"/>
    <w:rsid w:val="00632D6D"/>
    <w:rsid w:val="00642C3E"/>
    <w:rsid w:val="00656440"/>
    <w:rsid w:val="0066104A"/>
    <w:rsid w:val="006610FE"/>
    <w:rsid w:val="00663DAD"/>
    <w:rsid w:val="0067390C"/>
    <w:rsid w:val="00675E20"/>
    <w:rsid w:val="00676679"/>
    <w:rsid w:val="00683C89"/>
    <w:rsid w:val="0068405A"/>
    <w:rsid w:val="00685E7F"/>
    <w:rsid w:val="006B2395"/>
    <w:rsid w:val="006B3C14"/>
    <w:rsid w:val="006B4CF9"/>
    <w:rsid w:val="006B7AC8"/>
    <w:rsid w:val="006D550F"/>
    <w:rsid w:val="006D5789"/>
    <w:rsid w:val="006F4DC2"/>
    <w:rsid w:val="006F543D"/>
    <w:rsid w:val="00701CAB"/>
    <w:rsid w:val="007023F0"/>
    <w:rsid w:val="00707563"/>
    <w:rsid w:val="0072020B"/>
    <w:rsid w:val="0072348C"/>
    <w:rsid w:val="00724A37"/>
    <w:rsid w:val="00725D2A"/>
    <w:rsid w:val="007303C3"/>
    <w:rsid w:val="007344D2"/>
    <w:rsid w:val="00741158"/>
    <w:rsid w:val="007429BE"/>
    <w:rsid w:val="00743223"/>
    <w:rsid w:val="00746E01"/>
    <w:rsid w:val="00757BDF"/>
    <w:rsid w:val="00763E5D"/>
    <w:rsid w:val="007641E8"/>
    <w:rsid w:val="0076551E"/>
    <w:rsid w:val="00767740"/>
    <w:rsid w:val="00772330"/>
    <w:rsid w:val="00777EE6"/>
    <w:rsid w:val="00782EEA"/>
    <w:rsid w:val="00793EAF"/>
    <w:rsid w:val="007A24EF"/>
    <w:rsid w:val="007A67E5"/>
    <w:rsid w:val="007B2C72"/>
    <w:rsid w:val="007C1C53"/>
    <w:rsid w:val="007C74BB"/>
    <w:rsid w:val="007E150E"/>
    <w:rsid w:val="007E228B"/>
    <w:rsid w:val="007E4087"/>
    <w:rsid w:val="007E4904"/>
    <w:rsid w:val="007E4CB5"/>
    <w:rsid w:val="007F066B"/>
    <w:rsid w:val="007F7FA7"/>
    <w:rsid w:val="008033C4"/>
    <w:rsid w:val="00806C88"/>
    <w:rsid w:val="0081034E"/>
    <w:rsid w:val="008344F6"/>
    <w:rsid w:val="0083510F"/>
    <w:rsid w:val="00851209"/>
    <w:rsid w:val="00857438"/>
    <w:rsid w:val="00870BC8"/>
    <w:rsid w:val="008740BB"/>
    <w:rsid w:val="00880B49"/>
    <w:rsid w:val="00881AA8"/>
    <w:rsid w:val="008837AC"/>
    <w:rsid w:val="008A587D"/>
    <w:rsid w:val="008B0471"/>
    <w:rsid w:val="008B35CD"/>
    <w:rsid w:val="008B5FCC"/>
    <w:rsid w:val="008C5486"/>
    <w:rsid w:val="008D1661"/>
    <w:rsid w:val="008E5CCB"/>
    <w:rsid w:val="008E6FA0"/>
    <w:rsid w:val="008E7031"/>
    <w:rsid w:val="008E77DE"/>
    <w:rsid w:val="008F07A3"/>
    <w:rsid w:val="00900E1B"/>
    <w:rsid w:val="009125D8"/>
    <w:rsid w:val="00916595"/>
    <w:rsid w:val="0092300E"/>
    <w:rsid w:val="009233EE"/>
    <w:rsid w:val="0092519A"/>
    <w:rsid w:val="0093457A"/>
    <w:rsid w:val="00941752"/>
    <w:rsid w:val="009460AA"/>
    <w:rsid w:val="00951978"/>
    <w:rsid w:val="00961A4A"/>
    <w:rsid w:val="009661DE"/>
    <w:rsid w:val="00983C25"/>
    <w:rsid w:val="009856B7"/>
    <w:rsid w:val="00985C86"/>
    <w:rsid w:val="009865EA"/>
    <w:rsid w:val="009A0236"/>
    <w:rsid w:val="009A0E3B"/>
    <w:rsid w:val="009A2F0C"/>
    <w:rsid w:val="009A5FC3"/>
    <w:rsid w:val="009B3F79"/>
    <w:rsid w:val="009B486D"/>
    <w:rsid w:val="009B74B0"/>
    <w:rsid w:val="009D3223"/>
    <w:rsid w:val="009D54BD"/>
    <w:rsid w:val="009D6B46"/>
    <w:rsid w:val="009F4940"/>
    <w:rsid w:val="009F5BA1"/>
    <w:rsid w:val="00A02A88"/>
    <w:rsid w:val="00A04AB9"/>
    <w:rsid w:val="00A0562E"/>
    <w:rsid w:val="00A0726D"/>
    <w:rsid w:val="00A0726F"/>
    <w:rsid w:val="00A078AD"/>
    <w:rsid w:val="00A32FBB"/>
    <w:rsid w:val="00A428EE"/>
    <w:rsid w:val="00A4478A"/>
    <w:rsid w:val="00A44852"/>
    <w:rsid w:val="00A57D04"/>
    <w:rsid w:val="00A60A26"/>
    <w:rsid w:val="00A61598"/>
    <w:rsid w:val="00A64266"/>
    <w:rsid w:val="00A67472"/>
    <w:rsid w:val="00A84A99"/>
    <w:rsid w:val="00A84F46"/>
    <w:rsid w:val="00A8528D"/>
    <w:rsid w:val="00A871F4"/>
    <w:rsid w:val="00AB771B"/>
    <w:rsid w:val="00AC1B2C"/>
    <w:rsid w:val="00AC3264"/>
    <w:rsid w:val="00AC6B84"/>
    <w:rsid w:val="00AD2E80"/>
    <w:rsid w:val="00AE1BF1"/>
    <w:rsid w:val="00AE1D77"/>
    <w:rsid w:val="00AF0DD2"/>
    <w:rsid w:val="00AF6A2A"/>
    <w:rsid w:val="00B06A14"/>
    <w:rsid w:val="00B103EC"/>
    <w:rsid w:val="00B13048"/>
    <w:rsid w:val="00B1716D"/>
    <w:rsid w:val="00B17A1D"/>
    <w:rsid w:val="00B207A0"/>
    <w:rsid w:val="00B514DD"/>
    <w:rsid w:val="00B52AF0"/>
    <w:rsid w:val="00B561BD"/>
    <w:rsid w:val="00B56E03"/>
    <w:rsid w:val="00B7508B"/>
    <w:rsid w:val="00B8080B"/>
    <w:rsid w:val="00B87BA5"/>
    <w:rsid w:val="00B87C39"/>
    <w:rsid w:val="00BA4665"/>
    <w:rsid w:val="00BB2103"/>
    <w:rsid w:val="00BB2FB2"/>
    <w:rsid w:val="00BB3304"/>
    <w:rsid w:val="00BB4379"/>
    <w:rsid w:val="00BC5738"/>
    <w:rsid w:val="00BD3446"/>
    <w:rsid w:val="00BE1F1B"/>
    <w:rsid w:val="00BE47B5"/>
    <w:rsid w:val="00BF1498"/>
    <w:rsid w:val="00C04050"/>
    <w:rsid w:val="00C25FA6"/>
    <w:rsid w:val="00C26E1E"/>
    <w:rsid w:val="00C538A9"/>
    <w:rsid w:val="00C53B5A"/>
    <w:rsid w:val="00C53EB5"/>
    <w:rsid w:val="00C54F5A"/>
    <w:rsid w:val="00C569B4"/>
    <w:rsid w:val="00C608BE"/>
    <w:rsid w:val="00C67A92"/>
    <w:rsid w:val="00C86679"/>
    <w:rsid w:val="00C87242"/>
    <w:rsid w:val="00C8758F"/>
    <w:rsid w:val="00CA489E"/>
    <w:rsid w:val="00CB0279"/>
    <w:rsid w:val="00CB553B"/>
    <w:rsid w:val="00CB666B"/>
    <w:rsid w:val="00CC4050"/>
    <w:rsid w:val="00CC7F1D"/>
    <w:rsid w:val="00D006AE"/>
    <w:rsid w:val="00D01CF0"/>
    <w:rsid w:val="00D0442A"/>
    <w:rsid w:val="00D1186F"/>
    <w:rsid w:val="00D316CF"/>
    <w:rsid w:val="00D513E6"/>
    <w:rsid w:val="00D61388"/>
    <w:rsid w:val="00D61A54"/>
    <w:rsid w:val="00D63F54"/>
    <w:rsid w:val="00D64DEA"/>
    <w:rsid w:val="00D7168E"/>
    <w:rsid w:val="00D71E57"/>
    <w:rsid w:val="00D72703"/>
    <w:rsid w:val="00D80893"/>
    <w:rsid w:val="00D84854"/>
    <w:rsid w:val="00D92CF1"/>
    <w:rsid w:val="00D92D38"/>
    <w:rsid w:val="00D93A0E"/>
    <w:rsid w:val="00D950F5"/>
    <w:rsid w:val="00DA4752"/>
    <w:rsid w:val="00DA61F3"/>
    <w:rsid w:val="00DB0F93"/>
    <w:rsid w:val="00DB1A67"/>
    <w:rsid w:val="00DB5074"/>
    <w:rsid w:val="00DB70D5"/>
    <w:rsid w:val="00DC3179"/>
    <w:rsid w:val="00DC7800"/>
    <w:rsid w:val="00DC7981"/>
    <w:rsid w:val="00DD4EBE"/>
    <w:rsid w:val="00DE1093"/>
    <w:rsid w:val="00DE3CD5"/>
    <w:rsid w:val="00DE4EFA"/>
    <w:rsid w:val="00DE5520"/>
    <w:rsid w:val="00DE563D"/>
    <w:rsid w:val="00E04818"/>
    <w:rsid w:val="00E06160"/>
    <w:rsid w:val="00E06442"/>
    <w:rsid w:val="00E146F1"/>
    <w:rsid w:val="00E15A7C"/>
    <w:rsid w:val="00E23993"/>
    <w:rsid w:val="00E24943"/>
    <w:rsid w:val="00E25B8C"/>
    <w:rsid w:val="00E31F25"/>
    <w:rsid w:val="00E33176"/>
    <w:rsid w:val="00E35FAF"/>
    <w:rsid w:val="00E42CB0"/>
    <w:rsid w:val="00E57340"/>
    <w:rsid w:val="00E57429"/>
    <w:rsid w:val="00E65C85"/>
    <w:rsid w:val="00E66199"/>
    <w:rsid w:val="00E74E80"/>
    <w:rsid w:val="00E755EC"/>
    <w:rsid w:val="00E7624D"/>
    <w:rsid w:val="00EA3D42"/>
    <w:rsid w:val="00EA6B1B"/>
    <w:rsid w:val="00EB72D0"/>
    <w:rsid w:val="00EB7E75"/>
    <w:rsid w:val="00EC1696"/>
    <w:rsid w:val="00ED6707"/>
    <w:rsid w:val="00ED7323"/>
    <w:rsid w:val="00EE28F3"/>
    <w:rsid w:val="00EE738E"/>
    <w:rsid w:val="00EF5110"/>
    <w:rsid w:val="00F10411"/>
    <w:rsid w:val="00F15882"/>
    <w:rsid w:val="00F171E0"/>
    <w:rsid w:val="00F20BD3"/>
    <w:rsid w:val="00F27E02"/>
    <w:rsid w:val="00F318AB"/>
    <w:rsid w:val="00F373A5"/>
    <w:rsid w:val="00F47559"/>
    <w:rsid w:val="00F61928"/>
    <w:rsid w:val="00F64C7B"/>
    <w:rsid w:val="00F676DD"/>
    <w:rsid w:val="00F75A26"/>
    <w:rsid w:val="00F76706"/>
    <w:rsid w:val="00F77546"/>
    <w:rsid w:val="00F82F61"/>
    <w:rsid w:val="00F83FAD"/>
    <w:rsid w:val="00F915FA"/>
    <w:rsid w:val="00F952A0"/>
    <w:rsid w:val="00FA1890"/>
    <w:rsid w:val="00FA3C7F"/>
    <w:rsid w:val="00FB446B"/>
    <w:rsid w:val="00FB74E2"/>
    <w:rsid w:val="00FC10C4"/>
    <w:rsid w:val="00FD5614"/>
    <w:rsid w:val="00FE0BE1"/>
    <w:rsid w:val="00FE1DE9"/>
    <w:rsid w:val="00FE36AF"/>
    <w:rsid w:val="00FE39C2"/>
    <w:rsid w:val="00FE3C32"/>
    <w:rsid w:val="00FE64AE"/>
    <w:rsid w:val="00FE7182"/>
    <w:rsid w:val="00FF5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E2E86"/>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E2E86"/>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2"/>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00261778">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5775291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04082052">
      <w:bodyDiv w:val="1"/>
      <w:marLeft w:val="0"/>
      <w:marRight w:val="0"/>
      <w:marTop w:val="0"/>
      <w:marBottom w:val="0"/>
      <w:divBdr>
        <w:top w:val="none" w:sz="0" w:space="0" w:color="auto"/>
        <w:left w:val="none" w:sz="0" w:space="0" w:color="auto"/>
        <w:bottom w:val="none" w:sz="0" w:space="0" w:color="auto"/>
        <w:right w:val="none" w:sz="0" w:space="0" w:color="auto"/>
      </w:divBdr>
    </w:div>
    <w:div w:id="15273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BD3575CB</Template>
  <TotalTime>0</TotalTime>
  <Pages>20</Pages>
  <Words>5205</Words>
  <Characters>29673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2015-04-27T05:32:00Z</dcterms:created>
  <dcterms:modified xsi:type="dcterms:W3CDTF">2015-04-27T05:32:00Z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8355479</vt:lpwstr>
  </property>
</Properties>
</file>