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B3AF88A" wp14:editId="505DB9F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485D89" w:rsidP="008F07A3">
          <w:pPr>
            <w:pStyle w:val="ReportSubtitle"/>
          </w:pPr>
          <w:r>
            <w:t xml:space="preserve">Attachment </w:t>
          </w:r>
          <w:r w:rsidR="00DA4752">
            <w:t xml:space="preserve">8 </w:t>
          </w:r>
          <w:r w:rsidR="00DA4752">
            <w:rPr>
              <w:rFonts w:cs="Arial"/>
            </w:rPr>
            <w:t>−</w:t>
          </w:r>
          <w:r w:rsidR="00DA4752">
            <w:t xml:space="preserve"> </w:t>
          </w:r>
          <w:r>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3155777"/>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91729A">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214D55" w:rsidRPr="00214D55" w:rsidRDefault="008F07A3" w:rsidP="00214D55">
      <w:pPr>
        <w:numPr>
          <w:ilvl w:val="0"/>
          <w:numId w:val="25"/>
        </w:numPr>
      </w:pPr>
      <w:r>
        <w:t xml:space="preserve">Attachment 18 – Connection </w:t>
      </w:r>
      <w:r w:rsidR="00214D55" w:rsidRPr="00214D55">
        <w:t>policy</w:t>
      </w:r>
    </w:p>
    <w:p w:rsidR="008F07A3" w:rsidRPr="008F07A3" w:rsidRDefault="008F07A3" w:rsidP="008F07A3">
      <w:pPr>
        <w:numPr>
          <w:ilvl w:val="0"/>
          <w:numId w:val="25"/>
        </w:num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315577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0B7C98"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3155777" w:history="1">
            <w:r w:rsidR="000B7C98" w:rsidRPr="000508A7">
              <w:rPr>
                <w:rStyle w:val="Hyperlink"/>
              </w:rPr>
              <w:t>Note</w:t>
            </w:r>
            <w:r w:rsidR="000B7C98">
              <w:rPr>
                <w:webHidden/>
              </w:rPr>
              <w:tab/>
            </w:r>
            <w:r w:rsidR="0091729A">
              <w:rPr>
                <w:webHidden/>
              </w:rPr>
              <w:t>8-</w:t>
            </w:r>
            <w:r w:rsidR="000B7C98">
              <w:rPr>
                <w:webHidden/>
              </w:rPr>
              <w:fldChar w:fldCharType="begin"/>
            </w:r>
            <w:r w:rsidR="000B7C98">
              <w:rPr>
                <w:webHidden/>
              </w:rPr>
              <w:instrText xml:space="preserve"> PAGEREF _Toc413155777 \h </w:instrText>
            </w:r>
            <w:r w:rsidR="000B7C98">
              <w:rPr>
                <w:webHidden/>
              </w:rPr>
            </w:r>
            <w:r w:rsidR="000B7C98">
              <w:rPr>
                <w:webHidden/>
              </w:rPr>
              <w:fldChar w:fldCharType="separate"/>
            </w:r>
            <w:r w:rsidR="00C56CCB">
              <w:rPr>
                <w:webHidden/>
              </w:rPr>
              <w:t>2</w:t>
            </w:r>
            <w:r w:rsidR="000B7C98">
              <w:rPr>
                <w:webHidden/>
              </w:rPr>
              <w:fldChar w:fldCharType="end"/>
            </w:r>
          </w:hyperlink>
        </w:p>
        <w:p w:rsidR="000B7C98" w:rsidRDefault="008F668C">
          <w:pPr>
            <w:pStyle w:val="TOC1"/>
            <w:rPr>
              <w:rFonts w:asciiTheme="minorHAnsi" w:eastAsiaTheme="minorEastAsia" w:hAnsiTheme="minorHAnsi"/>
              <w:b w:val="0"/>
              <w:color w:val="auto"/>
              <w:sz w:val="22"/>
              <w:lang w:val="en-AU" w:eastAsia="en-AU"/>
            </w:rPr>
          </w:pPr>
          <w:hyperlink w:anchor="_Toc413155778" w:history="1">
            <w:r w:rsidR="000B7C98" w:rsidRPr="000508A7">
              <w:rPr>
                <w:rStyle w:val="Hyperlink"/>
              </w:rPr>
              <w:t>Contents</w:t>
            </w:r>
            <w:r w:rsidR="000B7C98">
              <w:rPr>
                <w:webHidden/>
              </w:rPr>
              <w:tab/>
            </w:r>
            <w:r w:rsidR="0091729A">
              <w:rPr>
                <w:webHidden/>
              </w:rPr>
              <w:t>8-</w:t>
            </w:r>
            <w:r w:rsidR="000B7C98">
              <w:rPr>
                <w:webHidden/>
              </w:rPr>
              <w:fldChar w:fldCharType="begin"/>
            </w:r>
            <w:r w:rsidR="000B7C98">
              <w:rPr>
                <w:webHidden/>
              </w:rPr>
              <w:instrText xml:space="preserve"> PAGEREF _Toc413155778 \h </w:instrText>
            </w:r>
            <w:r w:rsidR="000B7C98">
              <w:rPr>
                <w:webHidden/>
              </w:rPr>
            </w:r>
            <w:r w:rsidR="000B7C98">
              <w:rPr>
                <w:webHidden/>
              </w:rPr>
              <w:fldChar w:fldCharType="separate"/>
            </w:r>
            <w:r w:rsidR="00C56CCB">
              <w:rPr>
                <w:webHidden/>
              </w:rPr>
              <w:t>3</w:t>
            </w:r>
            <w:r w:rsidR="000B7C98">
              <w:rPr>
                <w:webHidden/>
              </w:rPr>
              <w:fldChar w:fldCharType="end"/>
            </w:r>
          </w:hyperlink>
        </w:p>
        <w:p w:rsidR="000B7C98" w:rsidRDefault="008F668C">
          <w:pPr>
            <w:pStyle w:val="TOC1"/>
            <w:rPr>
              <w:rFonts w:asciiTheme="minorHAnsi" w:eastAsiaTheme="minorEastAsia" w:hAnsiTheme="minorHAnsi"/>
              <w:b w:val="0"/>
              <w:color w:val="auto"/>
              <w:sz w:val="22"/>
              <w:lang w:val="en-AU" w:eastAsia="en-AU"/>
            </w:rPr>
          </w:pPr>
          <w:hyperlink w:anchor="_Toc413155779" w:history="1">
            <w:r w:rsidR="000B7C98" w:rsidRPr="000508A7">
              <w:rPr>
                <w:rStyle w:val="Hyperlink"/>
              </w:rPr>
              <w:t>Shortened forms</w:t>
            </w:r>
            <w:r w:rsidR="000B7C98">
              <w:rPr>
                <w:webHidden/>
              </w:rPr>
              <w:tab/>
            </w:r>
            <w:r w:rsidR="0091729A">
              <w:rPr>
                <w:webHidden/>
              </w:rPr>
              <w:t>8-</w:t>
            </w:r>
            <w:r w:rsidR="000B7C98">
              <w:rPr>
                <w:webHidden/>
              </w:rPr>
              <w:fldChar w:fldCharType="begin"/>
            </w:r>
            <w:r w:rsidR="000B7C98">
              <w:rPr>
                <w:webHidden/>
              </w:rPr>
              <w:instrText xml:space="preserve"> PAGEREF _Toc413155779 \h </w:instrText>
            </w:r>
            <w:r w:rsidR="000B7C98">
              <w:rPr>
                <w:webHidden/>
              </w:rPr>
            </w:r>
            <w:r w:rsidR="000B7C98">
              <w:rPr>
                <w:webHidden/>
              </w:rPr>
              <w:fldChar w:fldCharType="separate"/>
            </w:r>
            <w:r w:rsidR="00C56CCB">
              <w:rPr>
                <w:webHidden/>
              </w:rPr>
              <w:t>4</w:t>
            </w:r>
            <w:r w:rsidR="000B7C98">
              <w:rPr>
                <w:webHidden/>
              </w:rPr>
              <w:fldChar w:fldCharType="end"/>
            </w:r>
          </w:hyperlink>
        </w:p>
        <w:p w:rsidR="000B7C98" w:rsidRDefault="008F668C">
          <w:pPr>
            <w:pStyle w:val="TOC1"/>
            <w:rPr>
              <w:rFonts w:asciiTheme="minorHAnsi" w:eastAsiaTheme="minorEastAsia" w:hAnsiTheme="minorHAnsi"/>
              <w:b w:val="0"/>
              <w:color w:val="auto"/>
              <w:sz w:val="22"/>
              <w:lang w:val="en-AU" w:eastAsia="en-AU"/>
            </w:rPr>
          </w:pPr>
          <w:hyperlink w:anchor="_Toc413155780" w:history="1">
            <w:r w:rsidR="000B7C98" w:rsidRPr="000508A7">
              <w:rPr>
                <w:rStyle w:val="Hyperlink"/>
              </w:rPr>
              <w:t>8</w:t>
            </w:r>
            <w:r w:rsidR="000B7C98">
              <w:rPr>
                <w:rFonts w:asciiTheme="minorHAnsi" w:eastAsiaTheme="minorEastAsia" w:hAnsiTheme="minorHAnsi"/>
                <w:b w:val="0"/>
                <w:color w:val="auto"/>
                <w:sz w:val="22"/>
                <w:lang w:val="en-AU" w:eastAsia="en-AU"/>
              </w:rPr>
              <w:tab/>
            </w:r>
            <w:r w:rsidR="000B7C98" w:rsidRPr="000508A7">
              <w:rPr>
                <w:rStyle w:val="Hyperlink"/>
              </w:rPr>
              <w:t>Corporate income tax</w:t>
            </w:r>
            <w:r w:rsidR="000B7C98">
              <w:rPr>
                <w:webHidden/>
              </w:rPr>
              <w:tab/>
            </w:r>
            <w:r w:rsidR="0091729A">
              <w:rPr>
                <w:webHidden/>
              </w:rPr>
              <w:t>8-</w:t>
            </w:r>
            <w:r w:rsidR="000B7C98">
              <w:rPr>
                <w:webHidden/>
              </w:rPr>
              <w:fldChar w:fldCharType="begin"/>
            </w:r>
            <w:r w:rsidR="000B7C98">
              <w:rPr>
                <w:webHidden/>
              </w:rPr>
              <w:instrText xml:space="preserve"> PAGEREF _Toc413155780 \h </w:instrText>
            </w:r>
            <w:r w:rsidR="000B7C98">
              <w:rPr>
                <w:webHidden/>
              </w:rPr>
            </w:r>
            <w:r w:rsidR="000B7C98">
              <w:rPr>
                <w:webHidden/>
              </w:rPr>
              <w:fldChar w:fldCharType="separate"/>
            </w:r>
            <w:r w:rsidR="00C56CCB">
              <w:rPr>
                <w:webHidden/>
              </w:rPr>
              <w:t>6</w:t>
            </w:r>
            <w:r w:rsidR="000B7C98">
              <w:rPr>
                <w:webHidden/>
              </w:rPr>
              <w:fldChar w:fldCharType="end"/>
            </w:r>
          </w:hyperlink>
        </w:p>
        <w:p w:rsidR="000B7C98" w:rsidRDefault="008F668C">
          <w:pPr>
            <w:pStyle w:val="TOC2"/>
            <w:rPr>
              <w:rFonts w:asciiTheme="minorHAnsi" w:eastAsiaTheme="minorEastAsia" w:hAnsiTheme="minorHAnsi"/>
              <w:b w:val="0"/>
              <w:color w:val="auto"/>
              <w:sz w:val="22"/>
              <w:lang w:eastAsia="en-AU"/>
            </w:rPr>
          </w:pPr>
          <w:hyperlink w:anchor="_Toc413155781" w:history="1">
            <w:r w:rsidR="000B7C98" w:rsidRPr="000508A7">
              <w:rPr>
                <w:rStyle w:val="Hyperlink"/>
              </w:rPr>
              <w:t>8.1</w:t>
            </w:r>
            <w:r w:rsidR="000B7C98">
              <w:rPr>
                <w:rFonts w:asciiTheme="minorHAnsi" w:eastAsiaTheme="minorEastAsia" w:hAnsiTheme="minorHAnsi"/>
                <w:b w:val="0"/>
                <w:color w:val="auto"/>
                <w:sz w:val="22"/>
                <w:lang w:eastAsia="en-AU"/>
              </w:rPr>
              <w:tab/>
            </w:r>
            <w:r w:rsidR="000B7C98" w:rsidRPr="000508A7">
              <w:rPr>
                <w:rStyle w:val="Hyperlink"/>
              </w:rPr>
              <w:t>Preliminary decision</w:t>
            </w:r>
            <w:r w:rsidR="000B7C98">
              <w:rPr>
                <w:webHidden/>
              </w:rPr>
              <w:tab/>
            </w:r>
            <w:r w:rsidR="0091729A">
              <w:rPr>
                <w:webHidden/>
              </w:rPr>
              <w:t>8-</w:t>
            </w:r>
            <w:r w:rsidR="000B7C98">
              <w:rPr>
                <w:webHidden/>
              </w:rPr>
              <w:fldChar w:fldCharType="begin"/>
            </w:r>
            <w:r w:rsidR="000B7C98">
              <w:rPr>
                <w:webHidden/>
              </w:rPr>
              <w:instrText xml:space="preserve"> PAGEREF _Toc413155781 \h </w:instrText>
            </w:r>
            <w:r w:rsidR="000B7C98">
              <w:rPr>
                <w:webHidden/>
              </w:rPr>
            </w:r>
            <w:r w:rsidR="000B7C98">
              <w:rPr>
                <w:webHidden/>
              </w:rPr>
              <w:fldChar w:fldCharType="separate"/>
            </w:r>
            <w:r w:rsidR="00C56CCB">
              <w:rPr>
                <w:webHidden/>
              </w:rPr>
              <w:t>6</w:t>
            </w:r>
            <w:r w:rsidR="000B7C98">
              <w:rPr>
                <w:webHidden/>
              </w:rPr>
              <w:fldChar w:fldCharType="end"/>
            </w:r>
          </w:hyperlink>
        </w:p>
        <w:p w:rsidR="000B7C98" w:rsidRDefault="008F668C">
          <w:pPr>
            <w:pStyle w:val="TOC2"/>
            <w:rPr>
              <w:rFonts w:asciiTheme="minorHAnsi" w:eastAsiaTheme="minorEastAsia" w:hAnsiTheme="minorHAnsi"/>
              <w:b w:val="0"/>
              <w:color w:val="auto"/>
              <w:sz w:val="22"/>
              <w:lang w:eastAsia="en-AU"/>
            </w:rPr>
          </w:pPr>
          <w:hyperlink w:anchor="_Toc413155782" w:history="1">
            <w:r w:rsidR="000B7C98" w:rsidRPr="000508A7">
              <w:rPr>
                <w:rStyle w:val="Hyperlink"/>
              </w:rPr>
              <w:t>8.2</w:t>
            </w:r>
            <w:r w:rsidR="000B7C98">
              <w:rPr>
                <w:rFonts w:asciiTheme="minorHAnsi" w:eastAsiaTheme="minorEastAsia" w:hAnsiTheme="minorHAnsi"/>
                <w:b w:val="0"/>
                <w:color w:val="auto"/>
                <w:sz w:val="22"/>
                <w:lang w:eastAsia="en-AU"/>
              </w:rPr>
              <w:tab/>
            </w:r>
            <w:r w:rsidR="000B7C98" w:rsidRPr="000508A7">
              <w:rPr>
                <w:rStyle w:val="Hyperlink"/>
              </w:rPr>
              <w:t>Ergon Energy's proposal</w:t>
            </w:r>
            <w:r w:rsidR="000B7C98">
              <w:rPr>
                <w:webHidden/>
              </w:rPr>
              <w:tab/>
            </w:r>
            <w:r w:rsidR="0091729A">
              <w:rPr>
                <w:webHidden/>
              </w:rPr>
              <w:t>8-</w:t>
            </w:r>
            <w:r w:rsidR="000B7C98">
              <w:rPr>
                <w:webHidden/>
              </w:rPr>
              <w:fldChar w:fldCharType="begin"/>
            </w:r>
            <w:r w:rsidR="000B7C98">
              <w:rPr>
                <w:webHidden/>
              </w:rPr>
              <w:instrText xml:space="preserve"> PAGEREF _Toc413155782 \h </w:instrText>
            </w:r>
            <w:r w:rsidR="000B7C98">
              <w:rPr>
                <w:webHidden/>
              </w:rPr>
            </w:r>
            <w:r w:rsidR="000B7C98">
              <w:rPr>
                <w:webHidden/>
              </w:rPr>
              <w:fldChar w:fldCharType="separate"/>
            </w:r>
            <w:r w:rsidR="00C56CCB">
              <w:rPr>
                <w:webHidden/>
              </w:rPr>
              <w:t>7</w:t>
            </w:r>
            <w:r w:rsidR="000B7C98">
              <w:rPr>
                <w:webHidden/>
              </w:rPr>
              <w:fldChar w:fldCharType="end"/>
            </w:r>
          </w:hyperlink>
        </w:p>
        <w:p w:rsidR="000B7C98" w:rsidRDefault="008F668C">
          <w:pPr>
            <w:pStyle w:val="TOC2"/>
            <w:rPr>
              <w:rFonts w:asciiTheme="minorHAnsi" w:eastAsiaTheme="minorEastAsia" w:hAnsiTheme="minorHAnsi"/>
              <w:b w:val="0"/>
              <w:color w:val="auto"/>
              <w:sz w:val="22"/>
              <w:lang w:eastAsia="en-AU"/>
            </w:rPr>
          </w:pPr>
          <w:hyperlink w:anchor="_Toc413155783" w:history="1">
            <w:r w:rsidR="000B7C98" w:rsidRPr="000508A7">
              <w:rPr>
                <w:rStyle w:val="Hyperlink"/>
              </w:rPr>
              <w:t>8.3</w:t>
            </w:r>
            <w:r w:rsidR="000B7C98">
              <w:rPr>
                <w:rFonts w:asciiTheme="minorHAnsi" w:eastAsiaTheme="minorEastAsia" w:hAnsiTheme="minorHAnsi"/>
                <w:b w:val="0"/>
                <w:color w:val="auto"/>
                <w:sz w:val="22"/>
                <w:lang w:eastAsia="en-AU"/>
              </w:rPr>
              <w:tab/>
            </w:r>
            <w:r w:rsidR="000B7C98" w:rsidRPr="000508A7">
              <w:rPr>
                <w:rStyle w:val="Hyperlink"/>
              </w:rPr>
              <w:t>AER’s assessment approach</w:t>
            </w:r>
            <w:r w:rsidR="000B7C98">
              <w:rPr>
                <w:webHidden/>
              </w:rPr>
              <w:tab/>
            </w:r>
            <w:r w:rsidR="0091729A">
              <w:rPr>
                <w:webHidden/>
              </w:rPr>
              <w:t>8-</w:t>
            </w:r>
            <w:r w:rsidR="000B7C98">
              <w:rPr>
                <w:webHidden/>
              </w:rPr>
              <w:fldChar w:fldCharType="begin"/>
            </w:r>
            <w:r w:rsidR="000B7C98">
              <w:rPr>
                <w:webHidden/>
              </w:rPr>
              <w:instrText xml:space="preserve"> PAGEREF _Toc413155783 \h </w:instrText>
            </w:r>
            <w:r w:rsidR="000B7C98">
              <w:rPr>
                <w:webHidden/>
              </w:rPr>
            </w:r>
            <w:r w:rsidR="000B7C98">
              <w:rPr>
                <w:webHidden/>
              </w:rPr>
              <w:fldChar w:fldCharType="separate"/>
            </w:r>
            <w:r w:rsidR="00C56CCB">
              <w:rPr>
                <w:webHidden/>
              </w:rPr>
              <w:t>7</w:t>
            </w:r>
            <w:r w:rsidR="000B7C98">
              <w:rPr>
                <w:webHidden/>
              </w:rPr>
              <w:fldChar w:fldCharType="end"/>
            </w:r>
          </w:hyperlink>
        </w:p>
        <w:p w:rsidR="000B7C98" w:rsidRDefault="008F668C">
          <w:pPr>
            <w:pStyle w:val="TOC3"/>
            <w:rPr>
              <w:rFonts w:asciiTheme="minorHAnsi" w:eastAsiaTheme="minorEastAsia" w:hAnsiTheme="minorHAnsi"/>
              <w:lang w:eastAsia="en-AU"/>
            </w:rPr>
          </w:pPr>
          <w:hyperlink w:anchor="_Toc413155784" w:history="1">
            <w:r w:rsidR="000B7C98" w:rsidRPr="000508A7">
              <w:rPr>
                <w:rStyle w:val="Hyperlink"/>
              </w:rPr>
              <w:t>8.3.1</w:t>
            </w:r>
            <w:r w:rsidR="000B7C98">
              <w:rPr>
                <w:rFonts w:asciiTheme="minorHAnsi" w:eastAsiaTheme="minorEastAsia" w:hAnsiTheme="minorHAnsi"/>
                <w:lang w:eastAsia="en-AU"/>
              </w:rPr>
              <w:tab/>
            </w:r>
            <w:r w:rsidR="000B7C98" w:rsidRPr="000508A7">
              <w:rPr>
                <w:rStyle w:val="Hyperlink"/>
              </w:rPr>
              <w:t>Interrelationships</w:t>
            </w:r>
            <w:r w:rsidR="000B7C98">
              <w:rPr>
                <w:webHidden/>
              </w:rPr>
              <w:tab/>
            </w:r>
            <w:r w:rsidR="0091729A">
              <w:rPr>
                <w:webHidden/>
              </w:rPr>
              <w:t>8-</w:t>
            </w:r>
            <w:r w:rsidR="000B7C98">
              <w:rPr>
                <w:webHidden/>
              </w:rPr>
              <w:fldChar w:fldCharType="begin"/>
            </w:r>
            <w:r w:rsidR="000B7C98">
              <w:rPr>
                <w:webHidden/>
              </w:rPr>
              <w:instrText xml:space="preserve"> PAGEREF _Toc413155784 \h </w:instrText>
            </w:r>
            <w:r w:rsidR="000B7C98">
              <w:rPr>
                <w:webHidden/>
              </w:rPr>
            </w:r>
            <w:r w:rsidR="000B7C98">
              <w:rPr>
                <w:webHidden/>
              </w:rPr>
              <w:fldChar w:fldCharType="separate"/>
            </w:r>
            <w:r w:rsidR="00C56CCB">
              <w:rPr>
                <w:webHidden/>
              </w:rPr>
              <w:t>9</w:t>
            </w:r>
            <w:r w:rsidR="000B7C98">
              <w:rPr>
                <w:webHidden/>
              </w:rPr>
              <w:fldChar w:fldCharType="end"/>
            </w:r>
          </w:hyperlink>
        </w:p>
        <w:p w:rsidR="000B7C98" w:rsidRDefault="008F668C">
          <w:pPr>
            <w:pStyle w:val="TOC2"/>
            <w:rPr>
              <w:rFonts w:asciiTheme="minorHAnsi" w:eastAsiaTheme="minorEastAsia" w:hAnsiTheme="minorHAnsi"/>
              <w:b w:val="0"/>
              <w:color w:val="auto"/>
              <w:sz w:val="22"/>
              <w:lang w:eastAsia="en-AU"/>
            </w:rPr>
          </w:pPr>
          <w:hyperlink w:anchor="_Toc413155785" w:history="1">
            <w:r w:rsidR="000B7C98" w:rsidRPr="000508A7">
              <w:rPr>
                <w:rStyle w:val="Hyperlink"/>
              </w:rPr>
              <w:t>8.4</w:t>
            </w:r>
            <w:r w:rsidR="000B7C98">
              <w:rPr>
                <w:rFonts w:asciiTheme="minorHAnsi" w:eastAsiaTheme="minorEastAsia" w:hAnsiTheme="minorHAnsi"/>
                <w:b w:val="0"/>
                <w:color w:val="auto"/>
                <w:sz w:val="22"/>
                <w:lang w:eastAsia="en-AU"/>
              </w:rPr>
              <w:tab/>
            </w:r>
            <w:r w:rsidR="000B7C98" w:rsidRPr="000508A7">
              <w:rPr>
                <w:rStyle w:val="Hyperlink"/>
              </w:rPr>
              <w:t>Reasons for preliminary decision</w:t>
            </w:r>
            <w:r w:rsidR="000B7C98">
              <w:rPr>
                <w:webHidden/>
              </w:rPr>
              <w:tab/>
            </w:r>
            <w:r w:rsidR="0091729A">
              <w:rPr>
                <w:webHidden/>
              </w:rPr>
              <w:t>8-</w:t>
            </w:r>
            <w:r w:rsidR="000B7C98">
              <w:rPr>
                <w:webHidden/>
              </w:rPr>
              <w:fldChar w:fldCharType="begin"/>
            </w:r>
            <w:r w:rsidR="000B7C98">
              <w:rPr>
                <w:webHidden/>
              </w:rPr>
              <w:instrText xml:space="preserve"> PAGEREF _Toc413155785 \h </w:instrText>
            </w:r>
            <w:r w:rsidR="000B7C98">
              <w:rPr>
                <w:webHidden/>
              </w:rPr>
            </w:r>
            <w:r w:rsidR="000B7C98">
              <w:rPr>
                <w:webHidden/>
              </w:rPr>
              <w:fldChar w:fldCharType="separate"/>
            </w:r>
            <w:r w:rsidR="00C56CCB">
              <w:rPr>
                <w:webHidden/>
              </w:rPr>
              <w:t>10</w:t>
            </w:r>
            <w:r w:rsidR="000B7C98">
              <w:rPr>
                <w:webHidden/>
              </w:rPr>
              <w:fldChar w:fldCharType="end"/>
            </w:r>
          </w:hyperlink>
        </w:p>
        <w:p w:rsidR="000B7C98" w:rsidRDefault="008F668C">
          <w:pPr>
            <w:pStyle w:val="TOC3"/>
            <w:rPr>
              <w:rFonts w:asciiTheme="minorHAnsi" w:eastAsiaTheme="minorEastAsia" w:hAnsiTheme="minorHAnsi"/>
              <w:lang w:eastAsia="en-AU"/>
            </w:rPr>
          </w:pPr>
          <w:hyperlink w:anchor="_Toc413155786" w:history="1">
            <w:r w:rsidR="000B7C98" w:rsidRPr="000508A7">
              <w:rPr>
                <w:rStyle w:val="Hyperlink"/>
              </w:rPr>
              <w:t>8.4.1</w:t>
            </w:r>
            <w:r w:rsidR="000B7C98">
              <w:rPr>
                <w:rFonts w:asciiTheme="minorHAnsi" w:eastAsiaTheme="minorEastAsia" w:hAnsiTheme="minorHAnsi"/>
                <w:lang w:eastAsia="en-AU"/>
              </w:rPr>
              <w:tab/>
            </w:r>
            <w:r w:rsidR="000B7C98" w:rsidRPr="000508A7">
              <w:rPr>
                <w:rStyle w:val="Hyperlink"/>
              </w:rPr>
              <w:t>Opening tax asset base</w:t>
            </w:r>
            <w:r w:rsidR="000B7C98">
              <w:rPr>
                <w:webHidden/>
              </w:rPr>
              <w:tab/>
            </w:r>
            <w:r w:rsidR="0091729A">
              <w:rPr>
                <w:webHidden/>
              </w:rPr>
              <w:t>8-</w:t>
            </w:r>
            <w:r w:rsidR="000B7C98">
              <w:rPr>
                <w:webHidden/>
              </w:rPr>
              <w:fldChar w:fldCharType="begin"/>
            </w:r>
            <w:r w:rsidR="000B7C98">
              <w:rPr>
                <w:webHidden/>
              </w:rPr>
              <w:instrText xml:space="preserve"> PAGEREF _Toc413155786 \h </w:instrText>
            </w:r>
            <w:r w:rsidR="000B7C98">
              <w:rPr>
                <w:webHidden/>
              </w:rPr>
            </w:r>
            <w:r w:rsidR="000B7C98">
              <w:rPr>
                <w:webHidden/>
              </w:rPr>
              <w:fldChar w:fldCharType="separate"/>
            </w:r>
            <w:r w:rsidR="00C56CCB">
              <w:rPr>
                <w:webHidden/>
              </w:rPr>
              <w:t>11</w:t>
            </w:r>
            <w:r w:rsidR="000B7C98">
              <w:rPr>
                <w:webHidden/>
              </w:rPr>
              <w:fldChar w:fldCharType="end"/>
            </w:r>
          </w:hyperlink>
        </w:p>
        <w:p w:rsidR="000B7C98" w:rsidRDefault="008F668C">
          <w:pPr>
            <w:pStyle w:val="TOC3"/>
            <w:rPr>
              <w:rFonts w:asciiTheme="minorHAnsi" w:eastAsiaTheme="minorEastAsia" w:hAnsiTheme="minorHAnsi"/>
              <w:lang w:eastAsia="en-AU"/>
            </w:rPr>
          </w:pPr>
          <w:hyperlink w:anchor="_Toc413155787" w:history="1">
            <w:r w:rsidR="000B7C98" w:rsidRPr="000508A7">
              <w:rPr>
                <w:rStyle w:val="Hyperlink"/>
              </w:rPr>
              <w:t>8.4.2</w:t>
            </w:r>
            <w:r w:rsidR="000B7C98">
              <w:rPr>
                <w:rFonts w:asciiTheme="minorHAnsi" w:eastAsiaTheme="minorEastAsia" w:hAnsiTheme="minorHAnsi"/>
                <w:lang w:eastAsia="en-AU"/>
              </w:rPr>
              <w:tab/>
            </w:r>
            <w:r w:rsidR="000B7C98" w:rsidRPr="000508A7">
              <w:rPr>
                <w:rStyle w:val="Hyperlink"/>
              </w:rPr>
              <w:t>Remaining tax asset lives</w:t>
            </w:r>
            <w:r w:rsidR="000B7C98">
              <w:rPr>
                <w:webHidden/>
              </w:rPr>
              <w:tab/>
            </w:r>
            <w:r w:rsidR="0091729A">
              <w:rPr>
                <w:webHidden/>
              </w:rPr>
              <w:t>8-</w:t>
            </w:r>
            <w:r w:rsidR="000B7C98">
              <w:rPr>
                <w:webHidden/>
              </w:rPr>
              <w:fldChar w:fldCharType="begin"/>
            </w:r>
            <w:r w:rsidR="000B7C98">
              <w:rPr>
                <w:webHidden/>
              </w:rPr>
              <w:instrText xml:space="preserve"> PAGEREF _Toc413155787 \h </w:instrText>
            </w:r>
            <w:r w:rsidR="000B7C98">
              <w:rPr>
                <w:webHidden/>
              </w:rPr>
            </w:r>
            <w:r w:rsidR="000B7C98">
              <w:rPr>
                <w:webHidden/>
              </w:rPr>
              <w:fldChar w:fldCharType="separate"/>
            </w:r>
            <w:r w:rsidR="00C56CCB">
              <w:rPr>
                <w:webHidden/>
              </w:rPr>
              <w:t>12</w:t>
            </w:r>
            <w:r w:rsidR="000B7C98">
              <w:rPr>
                <w:webHidden/>
              </w:rPr>
              <w:fldChar w:fldCharType="end"/>
            </w:r>
          </w:hyperlink>
        </w:p>
        <w:p w:rsidR="000B7C98" w:rsidRDefault="008F668C">
          <w:pPr>
            <w:pStyle w:val="TOC3"/>
            <w:rPr>
              <w:rFonts w:asciiTheme="minorHAnsi" w:eastAsiaTheme="minorEastAsia" w:hAnsiTheme="minorHAnsi"/>
              <w:lang w:eastAsia="en-AU"/>
            </w:rPr>
          </w:pPr>
          <w:hyperlink w:anchor="_Toc413155788" w:history="1">
            <w:r w:rsidR="000B7C98" w:rsidRPr="000508A7">
              <w:rPr>
                <w:rStyle w:val="Hyperlink"/>
              </w:rPr>
              <w:t>8.4.3</w:t>
            </w:r>
            <w:r w:rsidR="000B7C98">
              <w:rPr>
                <w:rFonts w:asciiTheme="minorHAnsi" w:eastAsiaTheme="minorEastAsia" w:hAnsiTheme="minorHAnsi"/>
                <w:lang w:eastAsia="en-AU"/>
              </w:rPr>
              <w:tab/>
            </w:r>
            <w:r w:rsidR="000B7C98" w:rsidRPr="000508A7">
              <w:rPr>
                <w:rStyle w:val="Hyperlink"/>
              </w:rPr>
              <w:t>Standard tax asset lives</w:t>
            </w:r>
            <w:r w:rsidR="000B7C98">
              <w:rPr>
                <w:webHidden/>
              </w:rPr>
              <w:tab/>
            </w:r>
            <w:r w:rsidR="0091729A">
              <w:rPr>
                <w:webHidden/>
              </w:rPr>
              <w:t>8-</w:t>
            </w:r>
            <w:r w:rsidR="000B7C98">
              <w:rPr>
                <w:webHidden/>
              </w:rPr>
              <w:fldChar w:fldCharType="begin"/>
            </w:r>
            <w:r w:rsidR="000B7C98">
              <w:rPr>
                <w:webHidden/>
              </w:rPr>
              <w:instrText xml:space="preserve"> PAGEREF _Toc413155788 \h </w:instrText>
            </w:r>
            <w:r w:rsidR="000B7C98">
              <w:rPr>
                <w:webHidden/>
              </w:rPr>
            </w:r>
            <w:r w:rsidR="000B7C98">
              <w:rPr>
                <w:webHidden/>
              </w:rPr>
              <w:fldChar w:fldCharType="separate"/>
            </w:r>
            <w:r w:rsidR="00C56CCB">
              <w:rPr>
                <w:webHidden/>
              </w:rPr>
              <w:t>12</w:t>
            </w:r>
            <w:r w:rsidR="000B7C98">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3155779"/>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035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ASRR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augmentation expenditure</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capital expenditure</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Consumer Challenge Panel</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capital expenditure sharing scheme</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consumer price index</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debt risk premium</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DUoS</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use of system</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efficiency benefit sharing scheme</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equity risk premium</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6E6202"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91729A" w:rsidP="0091729A">
            <w:pPr>
              <w:pStyle w:val="AERtabletextleft"/>
              <w:jc w:val="left"/>
              <w:cnfStyle w:val="000000000000" w:firstRow="0" w:lastRow="0" w:firstColumn="0" w:lastColumn="0" w:oddVBand="0" w:evenVBand="0" w:oddHBand="0" w:evenHBand="0" w:firstRowFirstColumn="0" w:firstRowLastColumn="0" w:lastRowFirstColumn="0" w:lastRowLastColumn="0"/>
            </w:pPr>
            <w:r>
              <w:t>Expenditure F</w:t>
            </w:r>
            <w:r w:rsidR="00DE563D">
              <w:t xml:space="preserve">orecast </w:t>
            </w:r>
            <w:r>
              <w:t>A</w:t>
            </w:r>
            <w:r w:rsidR="00DE563D">
              <w:t xml:space="preserve">ssessment </w:t>
            </w:r>
            <w:r w:rsidR="006E6202">
              <w:t>G</w:t>
            </w:r>
            <w:r w:rsidR="00DE563D">
              <w:t>uideline for electricity distribution</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framework and approach</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market risk premium</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law</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market</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objective</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rules</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network service provider</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operating expenditure</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partial performance indicators</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PTRM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post-tax revenue model</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asset base</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Reserve Bank of Australia</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repex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replacement expenditure</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roll forward model</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information notice</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 xml:space="preserve">revenue </w:t>
            </w:r>
            <w:r w:rsidR="006E6202">
              <w:t xml:space="preserve">and </w:t>
            </w:r>
            <w:r>
              <w:t>pricing principles</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DE563D" w:rsidTr="00035867">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E563D" w:rsidTr="00035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214D55" w:rsidRDefault="00485D89" w:rsidP="00214D55">
      <w:pPr>
        <w:pStyle w:val="Heading1"/>
      </w:pPr>
      <w:bookmarkStart w:id="10" w:name="_Toc413155780"/>
      <w:r w:rsidRPr="00214D55">
        <w:lastRenderedPageBreak/>
        <w:t>Corporate income tax</w:t>
      </w:r>
      <w:bookmarkEnd w:id="10"/>
    </w:p>
    <w:p w:rsidR="009F53E2" w:rsidRPr="00521143" w:rsidRDefault="009F53E2" w:rsidP="009F53E2">
      <w:pPr>
        <w:rPr>
          <w:rStyle w:val="AERbody"/>
        </w:rPr>
      </w:pPr>
      <w:r w:rsidRPr="00521143">
        <w:rPr>
          <w:rStyle w:val="AERbody"/>
        </w:rPr>
        <w:t xml:space="preserve">We are required to make a decision on the estimated cost of corporate income tax for </w:t>
      </w:r>
      <w:r>
        <w:rPr>
          <w:rStyle w:val="AERbody"/>
        </w:rPr>
        <w:t>Ergon Energy's</w:t>
      </w:r>
      <w:r w:rsidRPr="00521143">
        <w:rPr>
          <w:rStyle w:val="AERbody"/>
        </w:rPr>
        <w:t xml:space="preserve"> 2015–20 regulatory control </w:t>
      </w:r>
      <w:proofErr w:type="gramStart"/>
      <w:r w:rsidRPr="00521143">
        <w:rPr>
          <w:rStyle w:val="AERbody"/>
        </w:rPr>
        <w:t>period</w:t>
      </w:r>
      <w:proofErr w:type="gramEnd"/>
      <w:r w:rsidRPr="00521143">
        <w:rPr>
          <w:rStyle w:val="AERbody"/>
        </w:rPr>
        <w:t>.</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Ergon Energy </w:t>
      </w:r>
      <w:r w:rsidRPr="00521143">
        <w:rPr>
          <w:rStyle w:val="AERbody"/>
        </w:rPr>
        <w:t xml:space="preserve">to recover the costs associated with the estimated corporate income tax payable during the 2015–20 regulatory control </w:t>
      </w:r>
      <w:proofErr w:type="gramStart"/>
      <w:r w:rsidRPr="00521143">
        <w:rPr>
          <w:rStyle w:val="AERbody"/>
        </w:rPr>
        <w:t>period</w:t>
      </w:r>
      <w:proofErr w:type="gramEnd"/>
      <w:r w:rsidRPr="00521143">
        <w:rPr>
          <w:rStyle w:val="AERbody"/>
        </w:rPr>
        <w:t xml:space="preserve">. </w:t>
      </w:r>
    </w:p>
    <w:p w:rsidR="00DE563D" w:rsidRDefault="009F53E2" w:rsidP="00DE563D">
      <w:r w:rsidRPr="00521143">
        <w:rPr>
          <w:rStyle w:val="AERbody"/>
        </w:rPr>
        <w:t xml:space="preserve">This attachment presents our assessment of </w:t>
      </w:r>
      <w:r>
        <w:rPr>
          <w:rStyle w:val="AERbody"/>
        </w:rPr>
        <w:t>Ergon Energy's</w:t>
      </w:r>
      <w:r w:rsidRPr="00521143">
        <w:rPr>
          <w:rStyle w:val="AERbody"/>
        </w:rPr>
        <w:t xml:space="preserve"> proposed corporate income tax allowance for the 2015–20 regulatory control </w:t>
      </w:r>
      <w:proofErr w:type="gramStart"/>
      <w:r w:rsidRPr="00521143">
        <w:rPr>
          <w:rStyle w:val="AERbody"/>
        </w:rPr>
        <w:t>period</w:t>
      </w:r>
      <w:proofErr w:type="gramEnd"/>
      <w:r w:rsidRPr="00521143">
        <w:rPr>
          <w:rStyle w:val="AERbody"/>
        </w:rPr>
        <w:t>. It also presents our assessment of its proposed opening tax asset base (TAB), and the standard and remaining tax asset lives used to estimate tax depreciation for the purpose of calculating tax expenses.</w:t>
      </w:r>
    </w:p>
    <w:p w:rsidR="00DE563D" w:rsidRPr="00214D55" w:rsidRDefault="00DE563D" w:rsidP="00214D55">
      <w:pPr>
        <w:pStyle w:val="Heading2"/>
      </w:pPr>
      <w:bookmarkStart w:id="11" w:name="_Toc403144136"/>
      <w:bookmarkStart w:id="12" w:name="_Toc413155781"/>
      <w:r w:rsidRPr="00214D55">
        <w:t>Preliminary decision</w:t>
      </w:r>
      <w:bookmarkEnd w:id="11"/>
      <w:bookmarkEnd w:id="12"/>
    </w:p>
    <w:p w:rsidR="009F53E2" w:rsidRDefault="009F53E2" w:rsidP="009F53E2">
      <w:r w:rsidRPr="00521143">
        <w:t xml:space="preserve">We do not accept </w:t>
      </w:r>
      <w:r>
        <w:t>Ergon Energy's</w:t>
      </w:r>
      <w:r w:rsidRPr="00521143">
        <w:t xml:space="preserve"> proposed cost of</w:t>
      </w:r>
      <w:r>
        <w:t xml:space="preserve"> corporate income tax allowance</w:t>
      </w:r>
      <w:r w:rsidRPr="00521143">
        <w:t xml:space="preserve"> of $</w:t>
      </w:r>
      <w:r>
        <w:t>621.4 </w:t>
      </w:r>
      <w:r w:rsidRPr="00521143">
        <w:t xml:space="preserve">million. Our </w:t>
      </w:r>
      <w:r>
        <w:t>preliminary</w:t>
      </w:r>
      <w:r w:rsidRPr="00521143">
        <w:t xml:space="preserve"> decision on the estimated cost of corporate income tax is $</w:t>
      </w:r>
      <w:r w:rsidR="006B29F1">
        <w:t>204.2</w:t>
      </w:r>
      <w:r w:rsidRPr="00521143">
        <w:t xml:space="preserve"> million over the 2015–20 regulatory control </w:t>
      </w:r>
      <w:proofErr w:type="gramStart"/>
      <w:r w:rsidRPr="00521143">
        <w:t>period</w:t>
      </w:r>
      <w:proofErr w:type="gramEnd"/>
      <w:r w:rsidRPr="00521143">
        <w:t>. This represents a reduction of $</w:t>
      </w:r>
      <w:r w:rsidR="006B29F1">
        <w:t>417.2</w:t>
      </w:r>
      <w:r w:rsidRPr="00521143">
        <w:t xml:space="preserve"> (or </w:t>
      </w:r>
      <w:r w:rsidR="006B29F1">
        <w:t>67.1 </w:t>
      </w:r>
      <w:r w:rsidRPr="00521143">
        <w:t>per cent) compared to its proposal.</w:t>
      </w:r>
    </w:p>
    <w:p w:rsidR="009F53E2" w:rsidRPr="00521143" w:rsidRDefault="009F53E2" w:rsidP="009F53E2">
      <w:r w:rsidRPr="00E123FB">
        <w:t xml:space="preserve">The reduction reflects our amendments to some of </w:t>
      </w:r>
      <w:r>
        <w:t>Ergon Energy's</w:t>
      </w:r>
      <w:r w:rsidRPr="00E123FB">
        <w:t xml:space="preserve"> proposed inputs for forecasting the cost of corporate income tax such as the opening TAB (section </w:t>
      </w:r>
      <w:r w:rsidR="00A47FE5">
        <w:fldChar w:fldCharType="begin"/>
      </w:r>
      <w:r w:rsidR="00A47FE5">
        <w:instrText xml:space="preserve"> REF _Ref414894346 \r \h </w:instrText>
      </w:r>
      <w:r w:rsidR="00A47FE5">
        <w:fldChar w:fldCharType="separate"/>
      </w:r>
      <w:r w:rsidR="006B29F1">
        <w:t>8.4.1</w:t>
      </w:r>
      <w:r w:rsidR="00A47FE5">
        <w:fldChar w:fldCharType="end"/>
      </w:r>
      <w:r w:rsidRPr="00E123FB">
        <w:t xml:space="preserve">), and the remaining tax asset lives (section </w:t>
      </w:r>
      <w:r w:rsidR="00FC7824">
        <w:fldChar w:fldCharType="begin"/>
      </w:r>
      <w:r w:rsidR="00FC7824">
        <w:instrText xml:space="preserve"> REF _Ref411497323 \r \h </w:instrText>
      </w:r>
      <w:r w:rsidR="00FC7824">
        <w:fldChar w:fldCharType="separate"/>
      </w:r>
      <w:r w:rsidR="006B29F1">
        <w:t>8.4.2</w:t>
      </w:r>
      <w:r w:rsidR="00FC7824">
        <w:fldChar w:fldCharType="end"/>
      </w:r>
      <w:r w:rsidRPr="00E123FB">
        <w:t>)</w:t>
      </w:r>
      <w:r>
        <w:t xml:space="preserve">. </w:t>
      </w:r>
      <w:r w:rsidRPr="00E123FB">
        <w:t xml:space="preserve">It also reflects our </w:t>
      </w:r>
      <w:r>
        <w:t xml:space="preserve">preliminary </w:t>
      </w:r>
      <w:r w:rsidRPr="00521143">
        <w:t>decision on the value of imputation credits—gamma—(attachment 4). Changes to building block costs affect revenues, which also impact the tax calculation. The changes affecting revenues are discussed in attachment 1.</w:t>
      </w:r>
    </w:p>
    <w:p w:rsidR="00DE563D" w:rsidRDefault="003C4FF6" w:rsidP="00DE563D">
      <w:r>
        <w:fldChar w:fldCharType="begin"/>
      </w:r>
      <w:r>
        <w:instrText xml:space="preserve"> REF _Ref411496527 \h </w:instrText>
      </w:r>
      <w:r>
        <w:fldChar w:fldCharType="separate"/>
      </w:r>
      <w:r w:rsidR="006B29F1">
        <w:t xml:space="preserve">Table </w:t>
      </w:r>
      <w:r w:rsidR="006B29F1">
        <w:rPr>
          <w:noProof/>
        </w:rPr>
        <w:t>8</w:t>
      </w:r>
      <w:r w:rsidR="006B29F1">
        <w:t>.</w:t>
      </w:r>
      <w:r w:rsidR="006B29F1">
        <w:rPr>
          <w:noProof/>
        </w:rPr>
        <w:t>1</w:t>
      </w:r>
      <w:r>
        <w:fldChar w:fldCharType="end"/>
      </w:r>
      <w:r>
        <w:t xml:space="preserve"> </w:t>
      </w:r>
      <w:r w:rsidRPr="003C4FF6">
        <w:t xml:space="preserve">sets out our preliminary decision on the estimated cost of corporate income tax allowance for </w:t>
      </w:r>
      <w:r>
        <w:t>Ergon Energy</w:t>
      </w:r>
      <w:r w:rsidRPr="003C4FF6">
        <w:t>.</w:t>
      </w:r>
    </w:p>
    <w:p w:rsidR="003C4FF6" w:rsidRDefault="003C4FF6" w:rsidP="003C4FF6">
      <w:pPr>
        <w:pStyle w:val="Caption"/>
      </w:pPr>
      <w:bookmarkStart w:id="13" w:name="_Ref411496527"/>
      <w:proofErr w:type="gramStart"/>
      <w:r>
        <w:t xml:space="preserve">Table </w:t>
      </w:r>
      <w:proofErr w:type="gramEnd"/>
      <w:r w:rsidR="0091729A">
        <w:fldChar w:fldCharType="begin"/>
      </w:r>
      <w:r w:rsidR="0091729A">
        <w:instrText xml:space="preserve"> STYLEREF 1 \s </w:instrText>
      </w:r>
      <w:r w:rsidR="0091729A">
        <w:fldChar w:fldCharType="separate"/>
      </w:r>
      <w:r w:rsidR="006B29F1">
        <w:rPr>
          <w:noProof/>
        </w:rPr>
        <w:t>8</w:t>
      </w:r>
      <w:r w:rsidR="0091729A">
        <w:rPr>
          <w:noProof/>
        </w:rPr>
        <w:fldChar w:fldCharType="end"/>
      </w:r>
      <w:proofErr w:type="gramStart"/>
      <w:r w:rsidR="00387CE9">
        <w:t>.</w:t>
      </w:r>
      <w:proofErr w:type="gramEnd"/>
      <w:r w:rsidR="00976188">
        <w:fldChar w:fldCharType="begin"/>
      </w:r>
      <w:r w:rsidR="00976188">
        <w:instrText xml:space="preserve"> SEQ Table \* ARABIC \s 1 </w:instrText>
      </w:r>
      <w:r w:rsidR="00976188">
        <w:fldChar w:fldCharType="separate"/>
      </w:r>
      <w:r w:rsidR="006B29F1">
        <w:rPr>
          <w:noProof/>
        </w:rPr>
        <w:t>1</w:t>
      </w:r>
      <w:r w:rsidR="00976188">
        <w:rPr>
          <w:noProof/>
        </w:rPr>
        <w:fldChar w:fldCharType="end"/>
      </w:r>
      <w:bookmarkEnd w:id="13"/>
      <w:r>
        <w:tab/>
      </w:r>
      <w:r w:rsidRPr="003C4FF6">
        <w:t xml:space="preserve">AER's preliminary decision on </w:t>
      </w:r>
      <w:r>
        <w:t>Ergon Energy</w:t>
      </w:r>
      <w:r w:rsidRPr="003C4FF6">
        <w:t>'s cost of corporate income tax allowance for the 2015–20 regulatory control period ($ 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3C4FF6" w:rsidRPr="00521143" w:rsidTr="006B29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3C4FF6" w:rsidRPr="003C4FF6" w:rsidRDefault="003C4FF6" w:rsidP="003C4FF6">
            <w:r w:rsidRPr="00521143">
              <w:t> </w:t>
            </w:r>
          </w:p>
        </w:tc>
        <w:tc>
          <w:tcPr>
            <w:tcW w:w="918" w:type="dxa"/>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521143">
              <w:t>2015–16</w:t>
            </w:r>
          </w:p>
        </w:tc>
        <w:tc>
          <w:tcPr>
            <w:tcW w:w="918" w:type="dxa"/>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521143">
              <w:t>2016–17</w:t>
            </w:r>
          </w:p>
        </w:tc>
        <w:tc>
          <w:tcPr>
            <w:tcW w:w="919" w:type="dxa"/>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521143">
              <w:t>2017–18</w:t>
            </w:r>
          </w:p>
        </w:tc>
        <w:tc>
          <w:tcPr>
            <w:tcW w:w="918" w:type="dxa"/>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521143">
              <w:t>2018–19</w:t>
            </w:r>
          </w:p>
        </w:tc>
        <w:tc>
          <w:tcPr>
            <w:tcW w:w="918" w:type="dxa"/>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521143">
              <w:t>2019–20</w:t>
            </w:r>
          </w:p>
        </w:tc>
        <w:tc>
          <w:tcPr>
            <w:tcW w:w="919" w:type="dxa"/>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521143">
              <w:t>Total</w:t>
            </w:r>
          </w:p>
        </w:tc>
      </w:tr>
      <w:tr w:rsidR="006B29F1" w:rsidRPr="00521143" w:rsidTr="006B29F1">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6B29F1" w:rsidRPr="006B29F1" w:rsidRDefault="006B29F1" w:rsidP="006B29F1">
            <w:r w:rsidRPr="006B29F1">
              <w:t>Tax payable</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60.5</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64.6</w:t>
            </w:r>
          </w:p>
        </w:tc>
        <w:tc>
          <w:tcPr>
            <w:tcW w:w="919"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68.6</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74.6</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71.9</w:t>
            </w:r>
          </w:p>
        </w:tc>
        <w:tc>
          <w:tcPr>
            <w:tcW w:w="919"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340.3</w:t>
            </w:r>
          </w:p>
        </w:tc>
      </w:tr>
      <w:tr w:rsidR="006B29F1" w:rsidRPr="00521143" w:rsidTr="006B29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6B29F1" w:rsidRPr="006B29F1" w:rsidRDefault="006B29F1" w:rsidP="006B29F1">
            <w:r w:rsidRPr="006B29F1">
              <w:rPr>
                <w:rStyle w:val="AERtextitalic"/>
              </w:rPr>
              <w:t>Less:</w:t>
            </w:r>
            <w:r w:rsidRPr="006B29F1">
              <w:t xml:space="preserve"> value of imputation credits</w:t>
            </w:r>
          </w:p>
        </w:tc>
        <w:tc>
          <w:tcPr>
            <w:tcW w:w="918" w:type="dxa"/>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24.2</w:t>
            </w:r>
          </w:p>
        </w:tc>
        <w:tc>
          <w:tcPr>
            <w:tcW w:w="918" w:type="dxa"/>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25.8</w:t>
            </w:r>
          </w:p>
        </w:tc>
        <w:tc>
          <w:tcPr>
            <w:tcW w:w="919" w:type="dxa"/>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27.5</w:t>
            </w:r>
          </w:p>
        </w:tc>
        <w:tc>
          <w:tcPr>
            <w:tcW w:w="918" w:type="dxa"/>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29.9</w:t>
            </w:r>
          </w:p>
        </w:tc>
        <w:tc>
          <w:tcPr>
            <w:tcW w:w="918" w:type="dxa"/>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28.8</w:t>
            </w:r>
          </w:p>
        </w:tc>
        <w:tc>
          <w:tcPr>
            <w:tcW w:w="919" w:type="dxa"/>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136.1</w:t>
            </w:r>
          </w:p>
        </w:tc>
      </w:tr>
      <w:tr w:rsidR="006B29F1" w:rsidRPr="006B29F1" w:rsidTr="006B29F1">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6B29F1" w:rsidRPr="006B29F1" w:rsidRDefault="006B29F1" w:rsidP="006B29F1">
            <w:pPr>
              <w:rPr>
                <w:rStyle w:val="Strong"/>
              </w:rPr>
            </w:pPr>
            <w:r w:rsidRPr="006B29F1">
              <w:rPr>
                <w:rStyle w:val="Strong"/>
              </w:rPr>
              <w:t>Net corporate income tax allowance</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rPr>
                <w:rStyle w:val="Strong"/>
              </w:rPr>
            </w:pPr>
            <w:r w:rsidRPr="006B29F1">
              <w:rPr>
                <w:rStyle w:val="Strong"/>
              </w:rPr>
              <w:t>36.3</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rPr>
                <w:rStyle w:val="Strong"/>
              </w:rPr>
            </w:pPr>
            <w:r w:rsidRPr="006B29F1">
              <w:rPr>
                <w:rStyle w:val="Strong"/>
              </w:rPr>
              <w:t>38.8</w:t>
            </w:r>
          </w:p>
        </w:tc>
        <w:tc>
          <w:tcPr>
            <w:tcW w:w="919"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rPr>
                <w:rStyle w:val="Strong"/>
              </w:rPr>
            </w:pPr>
            <w:r w:rsidRPr="006B29F1">
              <w:rPr>
                <w:rStyle w:val="Strong"/>
              </w:rPr>
              <w:t>41.2</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rPr>
                <w:rStyle w:val="Strong"/>
              </w:rPr>
            </w:pPr>
            <w:r w:rsidRPr="006B29F1">
              <w:rPr>
                <w:rStyle w:val="Strong"/>
              </w:rPr>
              <w:t>44.8</w:t>
            </w:r>
          </w:p>
        </w:tc>
        <w:tc>
          <w:tcPr>
            <w:tcW w:w="918"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rPr>
                <w:rStyle w:val="Strong"/>
              </w:rPr>
            </w:pPr>
            <w:r w:rsidRPr="006B29F1">
              <w:rPr>
                <w:rStyle w:val="Strong"/>
              </w:rPr>
              <w:t>43.1</w:t>
            </w:r>
          </w:p>
        </w:tc>
        <w:tc>
          <w:tcPr>
            <w:tcW w:w="919" w:type="dxa"/>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rPr>
                <w:rStyle w:val="Strong"/>
              </w:rPr>
            </w:pPr>
            <w:r w:rsidRPr="006B29F1">
              <w:rPr>
                <w:rStyle w:val="Strong"/>
              </w:rPr>
              <w:t>204.2</w:t>
            </w:r>
          </w:p>
        </w:tc>
      </w:tr>
    </w:tbl>
    <w:p w:rsidR="003C4FF6" w:rsidRDefault="003C4FF6" w:rsidP="003C4FF6">
      <w:pPr>
        <w:pStyle w:val="AERtablesource"/>
      </w:pPr>
      <w:r>
        <w:t>Source:</w:t>
      </w:r>
      <w:r>
        <w:tab/>
      </w:r>
      <w:r w:rsidR="000B7C98">
        <w:t>AER analysis.</w:t>
      </w:r>
    </w:p>
    <w:p w:rsidR="00DE563D" w:rsidRPr="00214D55" w:rsidRDefault="001201F1" w:rsidP="00214D55">
      <w:pPr>
        <w:pStyle w:val="Heading2"/>
      </w:pPr>
      <w:bookmarkStart w:id="14" w:name="_Toc403144137"/>
      <w:bookmarkStart w:id="15" w:name="_Toc413155782"/>
      <w:r w:rsidRPr="00214D55">
        <w:lastRenderedPageBreak/>
        <w:t>E</w:t>
      </w:r>
      <w:r w:rsidR="00E57429" w:rsidRPr="00214D55">
        <w:t>rgon Energy's</w:t>
      </w:r>
      <w:r w:rsidR="00DE563D" w:rsidRPr="00214D55">
        <w:t xml:space="preserve"> proposal</w:t>
      </w:r>
      <w:bookmarkEnd w:id="14"/>
      <w:bookmarkEnd w:id="15"/>
    </w:p>
    <w:p w:rsidR="003C4FF6" w:rsidRPr="00375619" w:rsidRDefault="003C4FF6" w:rsidP="003C4FF6">
      <w:r>
        <w:t>Ergon Energy</w:t>
      </w:r>
      <w:r w:rsidRPr="00375619">
        <w:t xml:space="preserve"> proposed a forecast cost of corporate income tax of $</w:t>
      </w:r>
      <w:r>
        <w:t>621.4 </w:t>
      </w:r>
      <w:r w:rsidRPr="00375619">
        <w:t>million ($</w:t>
      </w:r>
      <w:r>
        <w:t> </w:t>
      </w:r>
      <w:r w:rsidRPr="00375619">
        <w:t xml:space="preserve">nominal) using the AER's PTRM and the following inputs: </w:t>
      </w:r>
    </w:p>
    <w:p w:rsidR="003C4FF6" w:rsidRPr="00375619" w:rsidRDefault="003C4FF6" w:rsidP="003C4FF6">
      <w:pPr>
        <w:pStyle w:val="AERbulletlistfirststyle"/>
      </w:pPr>
      <w:r w:rsidRPr="00375619">
        <w:t>an opening TAB as at 1 July 201</w:t>
      </w:r>
      <w:r>
        <w:t>5</w:t>
      </w:r>
      <w:r w:rsidRPr="00375619">
        <w:t xml:space="preserve"> of $</w:t>
      </w:r>
      <w:r>
        <w:t>6325.1 </w:t>
      </w:r>
      <w:r w:rsidRPr="00375619">
        <w:t xml:space="preserve">million ($ nominal) </w:t>
      </w:r>
    </w:p>
    <w:p w:rsidR="003C4FF6" w:rsidRPr="00375619" w:rsidRDefault="003C4FF6" w:rsidP="003C4FF6">
      <w:pPr>
        <w:pStyle w:val="AERbulletlistfirststyle"/>
      </w:pPr>
      <w:r w:rsidRPr="00375619">
        <w:t>an expected statutory income tax rate of 30 per cent per year</w:t>
      </w:r>
    </w:p>
    <w:p w:rsidR="003C4FF6" w:rsidRPr="00375619" w:rsidRDefault="003C4FF6" w:rsidP="003C4FF6">
      <w:pPr>
        <w:pStyle w:val="AERbulletlistfirststyle"/>
      </w:pPr>
      <w:r w:rsidRPr="00375619">
        <w:t>a</w:t>
      </w:r>
      <w:r w:rsidR="00E22FCB">
        <w:t xml:space="preserve"> value for gamma of 0.25</w:t>
      </w:r>
      <w:r w:rsidR="00E22FCB">
        <w:rPr>
          <w:rStyle w:val="FootnoteReference"/>
        </w:rPr>
        <w:footnoteReference w:id="2"/>
      </w:r>
    </w:p>
    <w:p w:rsidR="003C4FF6" w:rsidRPr="00375619" w:rsidRDefault="003C4FF6" w:rsidP="003C4FF6">
      <w:pPr>
        <w:pStyle w:val="AERbulletlistfirststyle"/>
      </w:pPr>
      <w:r w:rsidRPr="00375619">
        <w:t>remaining tax asset lives of assets in existence as at 30 June 201</w:t>
      </w:r>
      <w:r>
        <w:t>5</w:t>
      </w:r>
      <w:r w:rsidRPr="00375619">
        <w:t xml:space="preserve"> derived </w:t>
      </w:r>
      <w:r>
        <w:t>using an average depreciation approach</w:t>
      </w:r>
      <w:r w:rsidR="00E22FCB">
        <w:rPr>
          <w:rStyle w:val="FootnoteReference"/>
        </w:rPr>
        <w:footnoteReference w:id="3"/>
      </w:r>
      <w:r w:rsidR="00E22FCB" w:rsidRPr="00E22FCB">
        <w:rPr>
          <w:rStyle w:val="AERsuperscript"/>
        </w:rPr>
        <w:t>;</w:t>
      </w:r>
      <w:r w:rsidR="00E22FCB">
        <w:rPr>
          <w:rStyle w:val="FootnoteReference"/>
        </w:rPr>
        <w:footnoteReference w:id="4"/>
      </w:r>
    </w:p>
    <w:p w:rsidR="003C4FF6" w:rsidRDefault="003C4FF6" w:rsidP="003C4FF6">
      <w:pPr>
        <w:pStyle w:val="AERbulletlistfirststyle"/>
      </w:pPr>
      <w:proofErr w:type="gramStart"/>
      <w:r w:rsidRPr="00375619">
        <w:t>the</w:t>
      </w:r>
      <w:proofErr w:type="gramEnd"/>
      <w:r w:rsidRPr="00375619">
        <w:t xml:space="preserve"> same standard tax asset lives for depreciating new assets for the 201</w:t>
      </w:r>
      <w:r>
        <w:t>5</w:t>
      </w:r>
      <w:r w:rsidRPr="00375619">
        <w:t>–</w:t>
      </w:r>
      <w:r>
        <w:t>20</w:t>
      </w:r>
      <w:r w:rsidRPr="00375619">
        <w:t xml:space="preserve"> </w:t>
      </w:r>
      <w:r>
        <w:t xml:space="preserve">regulatory control </w:t>
      </w:r>
      <w:r w:rsidRPr="00375619">
        <w:t xml:space="preserve">period as approved </w:t>
      </w:r>
      <w:r w:rsidR="000B7C98">
        <w:t>for</w:t>
      </w:r>
      <w:r>
        <w:t xml:space="preserve"> the 2010 </w:t>
      </w:r>
      <w:r w:rsidR="000B7C98">
        <w:t>distribution</w:t>
      </w:r>
      <w:r>
        <w:t xml:space="preserve"> determination</w:t>
      </w:r>
      <w:r w:rsidRPr="00375619">
        <w:t>.</w:t>
      </w:r>
      <w:r>
        <w:t xml:space="preserve"> </w:t>
      </w:r>
      <w:r w:rsidR="00BB553C">
        <w:t>However,</w:t>
      </w:r>
      <w:r w:rsidR="00676182">
        <w:t xml:space="preserve"> for </w:t>
      </w:r>
      <w:r w:rsidR="00BB553C">
        <w:t xml:space="preserve">the </w:t>
      </w:r>
      <w:r w:rsidR="00676182">
        <w:t xml:space="preserve">'Equity raising costs' </w:t>
      </w:r>
      <w:r w:rsidR="00BB553C">
        <w:t>asset class Ergon Energy</w:t>
      </w:r>
      <w:r w:rsidR="00676182">
        <w:t xml:space="preserve"> proposed a standard asset life of 'n/a'</w:t>
      </w:r>
      <w:r w:rsidR="00BB553C">
        <w:t xml:space="preserve"> which results in no tax depreciation</w:t>
      </w:r>
      <w:r w:rsidR="00676182">
        <w:t>.</w:t>
      </w:r>
    </w:p>
    <w:p w:rsidR="00DE563D" w:rsidRDefault="003C4FF6" w:rsidP="00DE563D">
      <w:r>
        <w:fldChar w:fldCharType="begin"/>
      </w:r>
      <w:r>
        <w:instrText xml:space="preserve"> REF _Ref411496914 \h </w:instrText>
      </w:r>
      <w:r>
        <w:fldChar w:fldCharType="separate"/>
      </w:r>
      <w:r w:rsidR="006B29F1">
        <w:t xml:space="preserve">Table </w:t>
      </w:r>
      <w:r w:rsidR="006B29F1">
        <w:rPr>
          <w:noProof/>
        </w:rPr>
        <w:t>8</w:t>
      </w:r>
      <w:r w:rsidR="006B29F1">
        <w:t>.</w:t>
      </w:r>
      <w:r w:rsidR="006B29F1">
        <w:rPr>
          <w:noProof/>
        </w:rPr>
        <w:t>2</w:t>
      </w:r>
      <w:r>
        <w:fldChar w:fldCharType="end"/>
      </w:r>
      <w:r>
        <w:t xml:space="preserve"> </w:t>
      </w:r>
      <w:r w:rsidRPr="003C4FF6">
        <w:t xml:space="preserve">sets out </w:t>
      </w:r>
      <w:r>
        <w:t>Ergon Energy</w:t>
      </w:r>
      <w:r w:rsidRPr="003C4FF6">
        <w:t xml:space="preserve">'s proposed corporate income tax allowance for the 2015–20 regulatory control </w:t>
      </w:r>
      <w:proofErr w:type="gramStart"/>
      <w:r w:rsidRPr="003C4FF6">
        <w:t>period</w:t>
      </w:r>
      <w:proofErr w:type="gramEnd"/>
      <w:r>
        <w:t>.</w:t>
      </w:r>
    </w:p>
    <w:p w:rsidR="00DE563D" w:rsidRDefault="003C4FF6" w:rsidP="003C4FF6">
      <w:pPr>
        <w:pStyle w:val="Caption"/>
      </w:pPr>
      <w:bookmarkStart w:id="16" w:name="_Ref411496914"/>
      <w:proofErr w:type="gramStart"/>
      <w:r>
        <w:t xml:space="preserve">Table </w:t>
      </w:r>
      <w:r w:rsidR="008F668C">
        <w:fldChar w:fldCharType="begin"/>
      </w:r>
      <w:r w:rsidR="008F668C">
        <w:instrText xml:space="preserve"> STYLEREF 1 \s </w:instrText>
      </w:r>
      <w:r w:rsidR="008F668C">
        <w:fldChar w:fldCharType="separate"/>
      </w:r>
      <w:r w:rsidR="006B29F1">
        <w:rPr>
          <w:noProof/>
        </w:rPr>
        <w:t>8</w:t>
      </w:r>
      <w:r w:rsidR="008F668C">
        <w:rPr>
          <w:noProof/>
        </w:rPr>
        <w:fldChar w:fldCharType="end"/>
      </w:r>
      <w:r w:rsidR="00387CE9">
        <w:t>.</w:t>
      </w:r>
      <w:proofErr w:type="gramEnd"/>
      <w:r w:rsidR="00976188">
        <w:fldChar w:fldCharType="begin"/>
      </w:r>
      <w:r w:rsidR="00976188">
        <w:instrText xml:space="preserve"> SEQ Table \* ARABIC \s 1 </w:instrText>
      </w:r>
      <w:r w:rsidR="00976188">
        <w:fldChar w:fldCharType="separate"/>
      </w:r>
      <w:r w:rsidR="006B29F1">
        <w:rPr>
          <w:noProof/>
        </w:rPr>
        <w:t>2</w:t>
      </w:r>
      <w:r w:rsidR="00976188">
        <w:rPr>
          <w:noProof/>
        </w:rPr>
        <w:fldChar w:fldCharType="end"/>
      </w:r>
      <w:bookmarkEnd w:id="16"/>
      <w:r>
        <w:tab/>
        <w:t>Ergon Energy</w:t>
      </w:r>
      <w:r w:rsidRPr="003C4FF6">
        <w:t>'s proposed cost of corporate income tax allowance for the 2015–20 regulatory control period ($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3C4FF6" w:rsidRPr="003C4FF6" w:rsidTr="003C4F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C4FF6" w:rsidRPr="003C4FF6" w:rsidRDefault="003C4FF6" w:rsidP="003C4FF6">
            <w:r w:rsidRPr="003C4FF6">
              <w:t> </w:t>
            </w:r>
          </w:p>
        </w:tc>
        <w:tc>
          <w:tcPr>
            <w:tcW w:w="536" w:type="pct"/>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3C4FF6">
              <w:t>2015–16</w:t>
            </w:r>
          </w:p>
        </w:tc>
        <w:tc>
          <w:tcPr>
            <w:tcW w:w="536" w:type="pct"/>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3C4FF6">
              <w:t>2016–17</w:t>
            </w:r>
          </w:p>
        </w:tc>
        <w:tc>
          <w:tcPr>
            <w:tcW w:w="536" w:type="pct"/>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3C4FF6">
              <w:t>2017–18</w:t>
            </w:r>
          </w:p>
        </w:tc>
        <w:tc>
          <w:tcPr>
            <w:tcW w:w="536" w:type="pct"/>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3C4FF6">
              <w:t>2018–19</w:t>
            </w:r>
          </w:p>
        </w:tc>
        <w:tc>
          <w:tcPr>
            <w:tcW w:w="536" w:type="pct"/>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3C4FF6">
              <w:t>2019–20</w:t>
            </w:r>
          </w:p>
        </w:tc>
        <w:tc>
          <w:tcPr>
            <w:tcW w:w="536" w:type="pct"/>
            <w:noWrap/>
            <w:hideMark/>
          </w:tcPr>
          <w:p w:rsidR="003C4FF6" w:rsidRPr="003C4FF6" w:rsidRDefault="003C4FF6" w:rsidP="003C4FF6">
            <w:pPr>
              <w:cnfStyle w:val="100000000000" w:firstRow="1" w:lastRow="0" w:firstColumn="0" w:lastColumn="0" w:oddVBand="0" w:evenVBand="0" w:oddHBand="0" w:evenHBand="0" w:firstRowFirstColumn="0" w:firstRowLastColumn="0" w:lastRowFirstColumn="0" w:lastRowLastColumn="0"/>
            </w:pPr>
            <w:r w:rsidRPr="003C4FF6">
              <w:t>Total</w:t>
            </w:r>
          </w:p>
        </w:tc>
      </w:tr>
      <w:tr w:rsidR="003C4FF6" w:rsidRPr="003C4FF6" w:rsidTr="003C4FF6">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C4FF6" w:rsidRPr="003C4FF6" w:rsidRDefault="003C4FF6" w:rsidP="003C4FF6">
            <w:r w:rsidRPr="003C4FF6">
              <w:t>Tax payable</w:t>
            </w:r>
          </w:p>
        </w:tc>
        <w:tc>
          <w:tcPr>
            <w:tcW w:w="536" w:type="pct"/>
            <w:noWrap/>
            <w:hideMark/>
          </w:tcPr>
          <w:p w:rsidR="003C4FF6" w:rsidRPr="003C4FF6" w:rsidRDefault="003C4FF6" w:rsidP="003C4FF6">
            <w:pPr>
              <w:cnfStyle w:val="000000000000" w:firstRow="0" w:lastRow="0" w:firstColumn="0" w:lastColumn="0" w:oddVBand="0" w:evenVBand="0" w:oddHBand="0" w:evenHBand="0" w:firstRowFirstColumn="0" w:firstRowLastColumn="0" w:lastRowFirstColumn="0" w:lastRowLastColumn="0"/>
            </w:pPr>
            <w:r w:rsidRPr="003C4FF6">
              <w:t>154.3</w:t>
            </w:r>
          </w:p>
        </w:tc>
        <w:tc>
          <w:tcPr>
            <w:tcW w:w="536" w:type="pct"/>
            <w:noWrap/>
            <w:hideMark/>
          </w:tcPr>
          <w:p w:rsidR="003C4FF6" w:rsidRPr="003C4FF6" w:rsidRDefault="003C4FF6" w:rsidP="003C4FF6">
            <w:pPr>
              <w:cnfStyle w:val="000000000000" w:firstRow="0" w:lastRow="0" w:firstColumn="0" w:lastColumn="0" w:oddVBand="0" w:evenVBand="0" w:oddHBand="0" w:evenHBand="0" w:firstRowFirstColumn="0" w:firstRowLastColumn="0" w:lastRowFirstColumn="0" w:lastRowLastColumn="0"/>
            </w:pPr>
            <w:r w:rsidRPr="003C4FF6">
              <w:t>163.0</w:t>
            </w:r>
          </w:p>
        </w:tc>
        <w:tc>
          <w:tcPr>
            <w:tcW w:w="536" w:type="pct"/>
            <w:noWrap/>
            <w:hideMark/>
          </w:tcPr>
          <w:p w:rsidR="003C4FF6" w:rsidRPr="003C4FF6" w:rsidRDefault="003C4FF6" w:rsidP="003C4FF6">
            <w:pPr>
              <w:cnfStyle w:val="000000000000" w:firstRow="0" w:lastRow="0" w:firstColumn="0" w:lastColumn="0" w:oddVBand="0" w:evenVBand="0" w:oddHBand="0" w:evenHBand="0" w:firstRowFirstColumn="0" w:firstRowLastColumn="0" w:lastRowFirstColumn="0" w:lastRowLastColumn="0"/>
            </w:pPr>
            <w:r w:rsidRPr="003C4FF6">
              <w:t>175.3</w:t>
            </w:r>
          </w:p>
        </w:tc>
        <w:tc>
          <w:tcPr>
            <w:tcW w:w="536" w:type="pct"/>
            <w:noWrap/>
            <w:hideMark/>
          </w:tcPr>
          <w:p w:rsidR="003C4FF6" w:rsidRPr="003C4FF6" w:rsidRDefault="003C4FF6" w:rsidP="003C4FF6">
            <w:pPr>
              <w:cnfStyle w:val="000000000000" w:firstRow="0" w:lastRow="0" w:firstColumn="0" w:lastColumn="0" w:oddVBand="0" w:evenVBand="0" w:oddHBand="0" w:evenHBand="0" w:firstRowFirstColumn="0" w:firstRowLastColumn="0" w:lastRowFirstColumn="0" w:lastRowLastColumn="0"/>
            </w:pPr>
            <w:r w:rsidRPr="003C4FF6">
              <w:t>164.8</w:t>
            </w:r>
          </w:p>
        </w:tc>
        <w:tc>
          <w:tcPr>
            <w:tcW w:w="536" w:type="pct"/>
            <w:noWrap/>
            <w:hideMark/>
          </w:tcPr>
          <w:p w:rsidR="003C4FF6" w:rsidRPr="003C4FF6" w:rsidRDefault="003C4FF6" w:rsidP="003C4FF6">
            <w:pPr>
              <w:cnfStyle w:val="000000000000" w:firstRow="0" w:lastRow="0" w:firstColumn="0" w:lastColumn="0" w:oddVBand="0" w:evenVBand="0" w:oddHBand="0" w:evenHBand="0" w:firstRowFirstColumn="0" w:firstRowLastColumn="0" w:lastRowFirstColumn="0" w:lastRowLastColumn="0"/>
            </w:pPr>
            <w:r w:rsidRPr="003C4FF6">
              <w:t>171.1</w:t>
            </w:r>
          </w:p>
        </w:tc>
        <w:tc>
          <w:tcPr>
            <w:tcW w:w="536" w:type="pct"/>
            <w:noWrap/>
            <w:hideMark/>
          </w:tcPr>
          <w:p w:rsidR="003C4FF6" w:rsidRPr="003C4FF6" w:rsidRDefault="003C4FF6" w:rsidP="003C4FF6">
            <w:pPr>
              <w:cnfStyle w:val="000000000000" w:firstRow="0" w:lastRow="0" w:firstColumn="0" w:lastColumn="0" w:oddVBand="0" w:evenVBand="0" w:oddHBand="0" w:evenHBand="0" w:firstRowFirstColumn="0" w:firstRowLastColumn="0" w:lastRowFirstColumn="0" w:lastRowLastColumn="0"/>
            </w:pPr>
            <w:r w:rsidRPr="003C4FF6">
              <w:t>828.6</w:t>
            </w:r>
          </w:p>
        </w:tc>
      </w:tr>
      <w:tr w:rsidR="003C4FF6" w:rsidRPr="003C4FF6" w:rsidTr="003C4F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C4FF6" w:rsidRPr="003C4FF6" w:rsidRDefault="003C4FF6" w:rsidP="003C4FF6">
            <w:r w:rsidRPr="00E22FCB">
              <w:rPr>
                <w:rStyle w:val="AERtextitalic"/>
              </w:rPr>
              <w:t xml:space="preserve">Less: </w:t>
            </w:r>
            <w:r w:rsidRPr="003C4FF6">
              <w:t>value of imputation credits</w:t>
            </w:r>
          </w:p>
        </w:tc>
        <w:tc>
          <w:tcPr>
            <w:tcW w:w="536" w:type="pct"/>
            <w:noWrap/>
            <w:hideMark/>
          </w:tcPr>
          <w:p w:rsidR="003C4FF6" w:rsidRPr="003C4FF6" w:rsidRDefault="003C4FF6" w:rsidP="003C4FF6">
            <w:pPr>
              <w:cnfStyle w:val="000000010000" w:firstRow="0" w:lastRow="0" w:firstColumn="0" w:lastColumn="0" w:oddVBand="0" w:evenVBand="0" w:oddHBand="0" w:evenHBand="1" w:firstRowFirstColumn="0" w:firstRowLastColumn="0" w:lastRowFirstColumn="0" w:lastRowLastColumn="0"/>
            </w:pPr>
            <w:r w:rsidRPr="003C4FF6">
              <w:t>38.6</w:t>
            </w:r>
          </w:p>
        </w:tc>
        <w:tc>
          <w:tcPr>
            <w:tcW w:w="536" w:type="pct"/>
            <w:noWrap/>
            <w:hideMark/>
          </w:tcPr>
          <w:p w:rsidR="003C4FF6" w:rsidRPr="003C4FF6" w:rsidRDefault="003C4FF6" w:rsidP="003C4FF6">
            <w:pPr>
              <w:cnfStyle w:val="000000010000" w:firstRow="0" w:lastRow="0" w:firstColumn="0" w:lastColumn="0" w:oddVBand="0" w:evenVBand="0" w:oddHBand="0" w:evenHBand="1" w:firstRowFirstColumn="0" w:firstRowLastColumn="0" w:lastRowFirstColumn="0" w:lastRowLastColumn="0"/>
            </w:pPr>
            <w:r w:rsidRPr="003C4FF6">
              <w:t>40.8</w:t>
            </w:r>
          </w:p>
        </w:tc>
        <w:tc>
          <w:tcPr>
            <w:tcW w:w="536" w:type="pct"/>
            <w:noWrap/>
            <w:hideMark/>
          </w:tcPr>
          <w:p w:rsidR="003C4FF6" w:rsidRPr="003C4FF6" w:rsidRDefault="003C4FF6" w:rsidP="003C4FF6">
            <w:pPr>
              <w:cnfStyle w:val="000000010000" w:firstRow="0" w:lastRow="0" w:firstColumn="0" w:lastColumn="0" w:oddVBand="0" w:evenVBand="0" w:oddHBand="0" w:evenHBand="1" w:firstRowFirstColumn="0" w:firstRowLastColumn="0" w:lastRowFirstColumn="0" w:lastRowLastColumn="0"/>
            </w:pPr>
            <w:r w:rsidRPr="003C4FF6">
              <w:t>43.8</w:t>
            </w:r>
          </w:p>
        </w:tc>
        <w:tc>
          <w:tcPr>
            <w:tcW w:w="536" w:type="pct"/>
            <w:noWrap/>
            <w:hideMark/>
          </w:tcPr>
          <w:p w:rsidR="003C4FF6" w:rsidRPr="003C4FF6" w:rsidRDefault="003C4FF6" w:rsidP="003C4FF6">
            <w:pPr>
              <w:cnfStyle w:val="000000010000" w:firstRow="0" w:lastRow="0" w:firstColumn="0" w:lastColumn="0" w:oddVBand="0" w:evenVBand="0" w:oddHBand="0" w:evenHBand="1" w:firstRowFirstColumn="0" w:firstRowLastColumn="0" w:lastRowFirstColumn="0" w:lastRowLastColumn="0"/>
            </w:pPr>
            <w:r w:rsidRPr="003C4FF6">
              <w:t>41.2</w:t>
            </w:r>
          </w:p>
        </w:tc>
        <w:tc>
          <w:tcPr>
            <w:tcW w:w="536" w:type="pct"/>
            <w:noWrap/>
            <w:hideMark/>
          </w:tcPr>
          <w:p w:rsidR="003C4FF6" w:rsidRPr="003C4FF6" w:rsidRDefault="003C4FF6" w:rsidP="003C4FF6">
            <w:pPr>
              <w:cnfStyle w:val="000000010000" w:firstRow="0" w:lastRow="0" w:firstColumn="0" w:lastColumn="0" w:oddVBand="0" w:evenVBand="0" w:oddHBand="0" w:evenHBand="1" w:firstRowFirstColumn="0" w:firstRowLastColumn="0" w:lastRowFirstColumn="0" w:lastRowLastColumn="0"/>
            </w:pPr>
            <w:r w:rsidRPr="003C4FF6">
              <w:t>42.8</w:t>
            </w:r>
          </w:p>
        </w:tc>
        <w:tc>
          <w:tcPr>
            <w:tcW w:w="536" w:type="pct"/>
            <w:noWrap/>
            <w:hideMark/>
          </w:tcPr>
          <w:p w:rsidR="003C4FF6" w:rsidRPr="003C4FF6" w:rsidRDefault="003C4FF6" w:rsidP="003C4FF6">
            <w:pPr>
              <w:cnfStyle w:val="000000010000" w:firstRow="0" w:lastRow="0" w:firstColumn="0" w:lastColumn="0" w:oddVBand="0" w:evenVBand="0" w:oddHBand="0" w:evenHBand="1" w:firstRowFirstColumn="0" w:firstRowLastColumn="0" w:lastRowFirstColumn="0" w:lastRowLastColumn="0"/>
            </w:pPr>
            <w:r w:rsidRPr="003C4FF6">
              <w:t>207.1</w:t>
            </w:r>
          </w:p>
        </w:tc>
      </w:tr>
      <w:tr w:rsidR="003C4FF6" w:rsidRPr="00E22FCB" w:rsidTr="003C4FF6">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C4FF6" w:rsidRPr="00E22FCB" w:rsidRDefault="003C4FF6" w:rsidP="003C4FF6">
            <w:pPr>
              <w:rPr>
                <w:rStyle w:val="Strong"/>
              </w:rPr>
            </w:pPr>
            <w:r w:rsidRPr="00E22FCB">
              <w:rPr>
                <w:rStyle w:val="Strong"/>
              </w:rPr>
              <w:t>Net corporate income tax allowance</w:t>
            </w:r>
          </w:p>
        </w:tc>
        <w:tc>
          <w:tcPr>
            <w:tcW w:w="536" w:type="pct"/>
            <w:noWrap/>
            <w:hideMark/>
          </w:tcPr>
          <w:p w:rsidR="003C4FF6" w:rsidRPr="00E22FCB" w:rsidRDefault="003C4FF6" w:rsidP="003C4FF6">
            <w:pPr>
              <w:cnfStyle w:val="000000000000" w:firstRow="0" w:lastRow="0" w:firstColumn="0" w:lastColumn="0" w:oddVBand="0" w:evenVBand="0" w:oddHBand="0" w:evenHBand="0" w:firstRowFirstColumn="0" w:firstRowLastColumn="0" w:lastRowFirstColumn="0" w:lastRowLastColumn="0"/>
              <w:rPr>
                <w:rStyle w:val="Strong"/>
              </w:rPr>
            </w:pPr>
            <w:r w:rsidRPr="00E22FCB">
              <w:rPr>
                <w:rStyle w:val="Strong"/>
              </w:rPr>
              <w:t>115.7</w:t>
            </w:r>
          </w:p>
        </w:tc>
        <w:tc>
          <w:tcPr>
            <w:tcW w:w="536" w:type="pct"/>
            <w:noWrap/>
            <w:hideMark/>
          </w:tcPr>
          <w:p w:rsidR="003C4FF6" w:rsidRPr="00E22FCB" w:rsidRDefault="003C4FF6" w:rsidP="003C4FF6">
            <w:pPr>
              <w:cnfStyle w:val="000000000000" w:firstRow="0" w:lastRow="0" w:firstColumn="0" w:lastColumn="0" w:oddVBand="0" w:evenVBand="0" w:oddHBand="0" w:evenHBand="0" w:firstRowFirstColumn="0" w:firstRowLastColumn="0" w:lastRowFirstColumn="0" w:lastRowLastColumn="0"/>
              <w:rPr>
                <w:rStyle w:val="Strong"/>
              </w:rPr>
            </w:pPr>
            <w:r w:rsidRPr="00E22FCB">
              <w:rPr>
                <w:rStyle w:val="Strong"/>
              </w:rPr>
              <w:t>122.3</w:t>
            </w:r>
          </w:p>
        </w:tc>
        <w:tc>
          <w:tcPr>
            <w:tcW w:w="536" w:type="pct"/>
            <w:noWrap/>
            <w:hideMark/>
          </w:tcPr>
          <w:p w:rsidR="003C4FF6" w:rsidRPr="00E22FCB" w:rsidRDefault="003C4FF6" w:rsidP="003C4FF6">
            <w:pPr>
              <w:cnfStyle w:val="000000000000" w:firstRow="0" w:lastRow="0" w:firstColumn="0" w:lastColumn="0" w:oddVBand="0" w:evenVBand="0" w:oddHBand="0" w:evenHBand="0" w:firstRowFirstColumn="0" w:firstRowLastColumn="0" w:lastRowFirstColumn="0" w:lastRowLastColumn="0"/>
              <w:rPr>
                <w:rStyle w:val="Strong"/>
              </w:rPr>
            </w:pPr>
            <w:r w:rsidRPr="00E22FCB">
              <w:rPr>
                <w:rStyle w:val="Strong"/>
              </w:rPr>
              <w:t>131.5</w:t>
            </w:r>
          </w:p>
        </w:tc>
        <w:tc>
          <w:tcPr>
            <w:tcW w:w="536" w:type="pct"/>
            <w:noWrap/>
            <w:hideMark/>
          </w:tcPr>
          <w:p w:rsidR="003C4FF6" w:rsidRPr="00E22FCB" w:rsidRDefault="003C4FF6" w:rsidP="003C4FF6">
            <w:pPr>
              <w:cnfStyle w:val="000000000000" w:firstRow="0" w:lastRow="0" w:firstColumn="0" w:lastColumn="0" w:oddVBand="0" w:evenVBand="0" w:oddHBand="0" w:evenHBand="0" w:firstRowFirstColumn="0" w:firstRowLastColumn="0" w:lastRowFirstColumn="0" w:lastRowLastColumn="0"/>
              <w:rPr>
                <w:rStyle w:val="Strong"/>
              </w:rPr>
            </w:pPr>
            <w:r w:rsidRPr="00E22FCB">
              <w:rPr>
                <w:rStyle w:val="Strong"/>
              </w:rPr>
              <w:t>123.6</w:t>
            </w:r>
          </w:p>
        </w:tc>
        <w:tc>
          <w:tcPr>
            <w:tcW w:w="536" w:type="pct"/>
            <w:noWrap/>
            <w:hideMark/>
          </w:tcPr>
          <w:p w:rsidR="003C4FF6" w:rsidRPr="00E22FCB" w:rsidRDefault="003C4FF6" w:rsidP="003C4FF6">
            <w:pPr>
              <w:cnfStyle w:val="000000000000" w:firstRow="0" w:lastRow="0" w:firstColumn="0" w:lastColumn="0" w:oddVBand="0" w:evenVBand="0" w:oddHBand="0" w:evenHBand="0" w:firstRowFirstColumn="0" w:firstRowLastColumn="0" w:lastRowFirstColumn="0" w:lastRowLastColumn="0"/>
              <w:rPr>
                <w:rStyle w:val="Strong"/>
              </w:rPr>
            </w:pPr>
            <w:r w:rsidRPr="00E22FCB">
              <w:rPr>
                <w:rStyle w:val="Strong"/>
              </w:rPr>
              <w:t>128.3</w:t>
            </w:r>
          </w:p>
        </w:tc>
        <w:tc>
          <w:tcPr>
            <w:tcW w:w="536" w:type="pct"/>
            <w:noWrap/>
            <w:hideMark/>
          </w:tcPr>
          <w:p w:rsidR="003C4FF6" w:rsidRPr="00E22FCB" w:rsidRDefault="003C4FF6" w:rsidP="003C4FF6">
            <w:pPr>
              <w:cnfStyle w:val="000000000000" w:firstRow="0" w:lastRow="0" w:firstColumn="0" w:lastColumn="0" w:oddVBand="0" w:evenVBand="0" w:oddHBand="0" w:evenHBand="0" w:firstRowFirstColumn="0" w:firstRowLastColumn="0" w:lastRowFirstColumn="0" w:lastRowLastColumn="0"/>
              <w:rPr>
                <w:rStyle w:val="Strong"/>
              </w:rPr>
            </w:pPr>
            <w:r w:rsidRPr="00E22FCB">
              <w:rPr>
                <w:rStyle w:val="Strong"/>
              </w:rPr>
              <w:t>621.4</w:t>
            </w:r>
          </w:p>
        </w:tc>
      </w:tr>
    </w:tbl>
    <w:p w:rsidR="003C4FF6" w:rsidRPr="003C4FF6" w:rsidRDefault="003C4FF6" w:rsidP="003C4FF6">
      <w:pPr>
        <w:pStyle w:val="AERtablesource"/>
      </w:pPr>
      <w:r>
        <w:t>Source:</w:t>
      </w:r>
      <w:r>
        <w:tab/>
      </w:r>
      <w:r w:rsidR="000B7C98">
        <w:t xml:space="preserve">Ergon Energy, </w:t>
      </w:r>
      <w:r w:rsidR="00BD1CC7" w:rsidRPr="00845B6F">
        <w:rPr>
          <w:rStyle w:val="AERtextitalic"/>
        </w:rPr>
        <w:t>Regulatory Proposal</w:t>
      </w:r>
      <w:r w:rsidR="00BD1CC7" w:rsidRPr="00845B6F">
        <w:t>, October 2014, 03.01.01 – Ergon Energ</w:t>
      </w:r>
      <w:r w:rsidR="00BD1CC7">
        <w:t>y’s Building Block Components, p. 31.</w:t>
      </w:r>
    </w:p>
    <w:p w:rsidR="00DE563D" w:rsidRPr="00214D55" w:rsidRDefault="00DE563D" w:rsidP="00214D55">
      <w:pPr>
        <w:pStyle w:val="Heading2"/>
      </w:pPr>
      <w:bookmarkStart w:id="17" w:name="_Toc403144138"/>
      <w:bookmarkStart w:id="18" w:name="_Toc413155783"/>
      <w:bookmarkStart w:id="19" w:name="_Ref413246517"/>
      <w:r w:rsidRPr="00214D55">
        <w:t>AER’s assessment approach</w:t>
      </w:r>
      <w:bookmarkEnd w:id="17"/>
      <w:bookmarkEnd w:id="18"/>
      <w:bookmarkEnd w:id="19"/>
    </w:p>
    <w:p w:rsidR="003C4FF6" w:rsidRPr="003C4FF6" w:rsidRDefault="003C4FF6" w:rsidP="003C4FF6">
      <w:r w:rsidRPr="003C4FF6">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t>Ergon Energy</w:t>
      </w:r>
      <w:r w:rsidRPr="003C4FF6">
        <w:t>'</w:t>
      </w:r>
      <w:r>
        <w:t>s</w:t>
      </w:r>
      <w:r w:rsidRPr="003C4FF6">
        <w:t xml:space="preserve"> business. The estimate is required to be determined in accordance with the PTRM. Our approach for calculating a service provider's cost of corporate income tax allowance is set out in our PTRM and involves the following steps:</w:t>
      </w:r>
    </w:p>
    <w:p w:rsidR="003C4FF6" w:rsidRPr="003C4FF6" w:rsidRDefault="003C4FF6" w:rsidP="003C4FF6">
      <w:pPr>
        <w:pStyle w:val="ListNumber"/>
      </w:pPr>
      <w:r w:rsidRPr="003C4FF6">
        <w:lastRenderedPageBreak/>
        <w:t>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service provider's forecast revenue to estimate the taxable income.</w:t>
      </w:r>
    </w:p>
    <w:p w:rsidR="003C4FF6" w:rsidRPr="003C4FF6" w:rsidRDefault="003C4FF6" w:rsidP="003C4FF6">
      <w:pPr>
        <w:pStyle w:val="ListNumber"/>
      </w:pPr>
      <w:r w:rsidRPr="003C4FF6">
        <w:t xml:space="preserve">The statutory income tax rate is then applied to the estimated annual taxable income </w:t>
      </w:r>
      <w:r w:rsidR="00BD1CC7">
        <w:t xml:space="preserve">(after adjustment for any tax loss carried forward) </w:t>
      </w:r>
      <w:r w:rsidRPr="003C4FF6">
        <w:t xml:space="preserve">to arrive at a notional amount of tax payable. </w:t>
      </w:r>
    </w:p>
    <w:p w:rsidR="003C4FF6" w:rsidRPr="003C4FF6" w:rsidRDefault="003C4FF6" w:rsidP="003C4FF6">
      <w:pPr>
        <w:pStyle w:val="ListNumber"/>
      </w:pPr>
      <w:r w:rsidRPr="003C4FF6">
        <w:t xml:space="preserve">We apply a discount to that notional amount of tax payable to account for the utilisation of imputation credits (gamma) by investors. </w:t>
      </w:r>
    </w:p>
    <w:p w:rsidR="003C4FF6" w:rsidRPr="003C4FF6" w:rsidRDefault="003C4FF6" w:rsidP="003C4FF6">
      <w:pPr>
        <w:pStyle w:val="ListNumber"/>
      </w:pPr>
      <w:r w:rsidRPr="003C4FF6">
        <w:t>The tax payable net of assumed utilised imputation credits represents the corporate income tax allowance and is included as a separate building block in determining the service provider’s annual revenue requirement.</w:t>
      </w:r>
    </w:p>
    <w:p w:rsidR="003C4FF6" w:rsidRPr="003C4FF6" w:rsidRDefault="003C4FF6" w:rsidP="00BD1CC7">
      <w:r w:rsidRPr="003C4FF6">
        <w:t>The cost of corporate income tax allowance is an output of our PTRM. We therefore assess the service provider's proposed cost of corporate tax allowance by analysing the proposed inputs to the PTRM for calculating that allowance. These inputs include:</w:t>
      </w:r>
    </w:p>
    <w:p w:rsidR="003C4FF6" w:rsidRPr="003C4FF6" w:rsidRDefault="003C4FF6" w:rsidP="003C4FF6">
      <w:pPr>
        <w:pStyle w:val="AERbulletlistfirststyle"/>
      </w:pPr>
      <w:r w:rsidRPr="003C4FF6">
        <w:rPr>
          <w:rStyle w:val="Strong"/>
        </w:rPr>
        <w:t>The opening TAB as at the commencement of the 2015–20 regulatory control period:</w:t>
      </w:r>
      <w:r w:rsidRPr="003C4FF6">
        <w:t xml:space="preserve"> We consider that the roll forward of the opening TAB should be based on the approved opening TAB as at commencement of the 2010–15 regulatory control period and the service provider's actual capex incurred during the 2010–15 regulatory control period.</w:t>
      </w:r>
      <w:r w:rsidRPr="003C4FF6">
        <w:rPr>
          <w:rStyle w:val="FootnoteReference"/>
        </w:rPr>
        <w:footnoteReference w:id="5"/>
      </w:r>
    </w:p>
    <w:p w:rsidR="003C4FF6" w:rsidRPr="003C4FF6" w:rsidRDefault="003C4FF6" w:rsidP="003C4FF6">
      <w:pPr>
        <w:pStyle w:val="AERbulletlistfirststyle"/>
      </w:pPr>
      <w:r w:rsidRPr="003C4FF6">
        <w:rPr>
          <w:rStyle w:val="Strong"/>
        </w:rPr>
        <w:t>The remaining tax asset life for each asset class at the commencement of the 2015</w:t>
      </w:r>
      <w:r w:rsidR="000B7C98">
        <w:rPr>
          <w:rStyle w:val="Strong"/>
        </w:rPr>
        <w:t>–</w:t>
      </w:r>
      <w:r w:rsidRPr="003C4FF6">
        <w:rPr>
          <w:rStyle w:val="Strong"/>
        </w:rPr>
        <w:t xml:space="preserve">20 regulatory control </w:t>
      </w:r>
      <w:proofErr w:type="gramStart"/>
      <w:r w:rsidRPr="003C4FF6">
        <w:rPr>
          <w:rStyle w:val="Strong"/>
        </w:rPr>
        <w:t>period</w:t>
      </w:r>
      <w:proofErr w:type="gramEnd"/>
      <w:r w:rsidRPr="003C4FF6">
        <w:rPr>
          <w:rStyle w:val="Strong"/>
        </w:rPr>
        <w:t>:</w:t>
      </w:r>
      <w:r w:rsidRPr="003C4FF6">
        <w:t xml:space="preserve"> Our preferred method to determine the remaining tax asset lives is the weighted average method. We consider the weighted average method provides a better reflection of the mix of assets within an asset class. We will assess the outcomes of other approaches against the outcomes of this preferred method.</w:t>
      </w:r>
    </w:p>
    <w:p w:rsidR="003C4FF6" w:rsidRPr="003C4FF6" w:rsidRDefault="003C4FF6" w:rsidP="003C4FF6">
      <w:pPr>
        <w:pStyle w:val="AERbulletlistfirststyle"/>
      </w:pPr>
      <w:r w:rsidRPr="003C4FF6">
        <w:rPr>
          <w:rStyle w:val="Strong"/>
        </w:rPr>
        <w:t>The standard tax asset life for each asset class:</w:t>
      </w:r>
      <w:r w:rsidRPr="003C4FF6">
        <w:t xml:space="preserve"> We assess the service provider's proposed standard tax asset lives, where necessary, against those prescribed by the Commissioner for taxation in tax ruling 2014/4 and the approved standard tax asset lives in the service provider's distribution determination for the 2010–15 regulatory control period.</w:t>
      </w:r>
    </w:p>
    <w:p w:rsidR="003C4FF6" w:rsidRPr="003C4FF6" w:rsidRDefault="003C4FF6" w:rsidP="003C4FF6">
      <w:pPr>
        <w:pStyle w:val="AERbulletlistfirststyle"/>
      </w:pPr>
      <w:r w:rsidRPr="003C4FF6">
        <w:rPr>
          <w:rStyle w:val="Strong"/>
        </w:rPr>
        <w:lastRenderedPageBreak/>
        <w:t>The income tax rate:</w:t>
      </w:r>
      <w:r w:rsidRPr="003C4FF6">
        <w:t xml:space="preserve"> The statutory income tax rate is 30 per cent per year.</w:t>
      </w:r>
    </w:p>
    <w:p w:rsidR="00BD1CC7" w:rsidRDefault="003C4FF6" w:rsidP="00BD1CC7">
      <w:pPr>
        <w:pStyle w:val="AERbulletlistfirststyle"/>
      </w:pPr>
      <w:r w:rsidRPr="003C4FF6">
        <w:rPr>
          <w:rStyle w:val="Strong"/>
        </w:rPr>
        <w:t>The value of gamma:</w:t>
      </w:r>
      <w:r w:rsidRPr="003C4FF6">
        <w:t xml:space="preserve"> The gamma input for </w:t>
      </w:r>
      <w:r>
        <w:t>Ergon Energy</w:t>
      </w:r>
      <w:r w:rsidRPr="003C4FF6">
        <w:t xml:space="preserve"> is 0.40. Refer to attachment 4 for detailed discussion on this matter.</w:t>
      </w:r>
    </w:p>
    <w:p w:rsidR="00BD1CC7" w:rsidRPr="00BD1CC7" w:rsidRDefault="00BD1CC7" w:rsidP="00BD1CC7">
      <w:r w:rsidRPr="00BD1CC7">
        <w:t xml:space="preserve">We received one submission from the CCP on </w:t>
      </w:r>
      <w:r>
        <w:t>Ergon Energy</w:t>
      </w:r>
      <w:r w:rsidRPr="00BD1CC7">
        <w:t>'s proposed corporate income tax. The CCP submitted that the AER should account for the actual tax situation in its estimate of the tax paid by a benchmark efficient network service provider.</w:t>
      </w:r>
      <w:r w:rsidRPr="00BD1CC7">
        <w:rPr>
          <w:rStyle w:val="FootnoteReference"/>
        </w:rPr>
        <w:footnoteReference w:id="6"/>
      </w:r>
      <w:r w:rsidRPr="00BD1CC7">
        <w:t xml:space="preserve"> It noted that the reported actual tax paid by one service provider is much less than forecast and may relate to its specific organisational structure.</w:t>
      </w:r>
    </w:p>
    <w:p w:rsidR="00BD1CC7" w:rsidRDefault="00BD1CC7" w:rsidP="00BD1CC7">
      <w:r w:rsidRPr="00BD1CC7">
        <w:t>We are required to estimate the cost of corporate income tax based on a benchmark efficient entity.</w:t>
      </w:r>
      <w:r w:rsidRPr="00BD1CC7">
        <w:rPr>
          <w:rStyle w:val="FootnoteReference"/>
        </w:rPr>
        <w:footnoteReference w:id="7"/>
      </w:r>
      <w:r w:rsidRPr="00BD1CC7">
        <w:t xml:space="preserve"> This estimate must be determined in accordance with the manner set out in the PTRM.</w:t>
      </w:r>
      <w:r w:rsidRPr="00BD1CC7">
        <w:rPr>
          <w:rStyle w:val="FootnoteReference"/>
        </w:rPr>
        <w:footnoteReference w:id="8"/>
      </w:r>
      <w:r w:rsidRPr="00BD1CC7">
        <w:t xml:space="preserve"> As noted above, the PTRM uses benchmark cash flows and any carried tax losses to estimate the forecast tax payments</w:t>
      </w:r>
      <w:r w:rsidR="00113F5D">
        <w:t>,</w:t>
      </w:r>
      <w:r w:rsidRPr="00BD1CC7">
        <w:t xml:space="preserve"> and does take into account the actual tax situation of a given network service provider in the way suggested by the CCP.  Further, we note that the CCP has not provided detailed analysis to show the reported actual taxes and drivers for all service providers or why the established approach to estimate tax in the PTRM is not appropriate. Accordingly, we cannot apply the alternative approach in the CCP's submission.</w:t>
      </w:r>
    </w:p>
    <w:p w:rsidR="00DE563D" w:rsidRPr="00214D55" w:rsidRDefault="00DE563D" w:rsidP="00214D55">
      <w:pPr>
        <w:pStyle w:val="Heading3"/>
      </w:pPr>
      <w:bookmarkStart w:id="20" w:name="_Toc403144139"/>
      <w:bookmarkStart w:id="21" w:name="_Toc413155784"/>
      <w:r w:rsidRPr="00214D55">
        <w:t>Interrelationships</w:t>
      </w:r>
      <w:bookmarkEnd w:id="20"/>
      <w:bookmarkEnd w:id="21"/>
    </w:p>
    <w:p w:rsidR="003C4FF6" w:rsidRPr="003C4FF6" w:rsidRDefault="003C4FF6" w:rsidP="003C4FF6">
      <w:r w:rsidRPr="003C4FF6">
        <w:t>The cost of corporate income tax building block feeds directly into the annual revenue requirement (ARR). This allowance is determined by four factors:</w:t>
      </w:r>
    </w:p>
    <w:p w:rsidR="003C4FF6" w:rsidRPr="003C4FF6" w:rsidRDefault="003C4FF6" w:rsidP="003C4FF6">
      <w:pPr>
        <w:pStyle w:val="AERbulletlistfirststyle"/>
      </w:pPr>
      <w:r w:rsidRPr="003C4FF6">
        <w:t xml:space="preserve">pre-tax revenues </w:t>
      </w:r>
    </w:p>
    <w:p w:rsidR="003C4FF6" w:rsidRPr="003C4FF6" w:rsidRDefault="003C4FF6" w:rsidP="003C4FF6">
      <w:pPr>
        <w:pStyle w:val="AERbulletlistfirststyle"/>
      </w:pPr>
      <w:r w:rsidRPr="003C4FF6">
        <w:t>tax expenses (including tax depreciation)</w:t>
      </w:r>
    </w:p>
    <w:p w:rsidR="003C4FF6" w:rsidRPr="003C4FF6" w:rsidRDefault="003C4FF6" w:rsidP="003C4FF6">
      <w:pPr>
        <w:pStyle w:val="AERbulletlistfirststyle"/>
      </w:pPr>
      <w:r w:rsidRPr="003C4FF6">
        <w:t>the corporate tax rate</w:t>
      </w:r>
    </w:p>
    <w:p w:rsidR="003C4FF6" w:rsidRPr="003C4FF6" w:rsidRDefault="003C4FF6" w:rsidP="003C4FF6">
      <w:pPr>
        <w:pStyle w:val="AERbulletlistfirststyle"/>
      </w:pPr>
      <w:proofErr w:type="gramStart"/>
      <w:r w:rsidRPr="003C4FF6">
        <w:t>gamma—</w:t>
      </w:r>
      <w:proofErr w:type="gramEnd"/>
      <w:r w:rsidRPr="003C4FF6">
        <w:t>the expected proportion of company tax that is returned to investors through the utilisation of imputation credits—which is offset against the corporate income tax allowance. This is discussed further at attachment 4.</w:t>
      </w:r>
    </w:p>
    <w:p w:rsidR="003C4FF6" w:rsidRPr="003C4FF6" w:rsidRDefault="003C4FF6" w:rsidP="003C4FF6">
      <w:r w:rsidRPr="003C4FF6">
        <w:t>Of these four factors, the corporate tax rate is set externally by the Government. The higher the tax rate the higher the required tax allowance.</w:t>
      </w:r>
    </w:p>
    <w:p w:rsidR="003C4FF6" w:rsidRPr="003C4FF6" w:rsidRDefault="003C4FF6" w:rsidP="003C4FF6">
      <w:r w:rsidRPr="003C4FF6">
        <w:t xml:space="preserve">The pre-tax revenues depend on all the building block components. Any factor that affects revenue will therefore affect pre-tax revenues. Higher pre-tax revenues can </w:t>
      </w:r>
      <w:r w:rsidRPr="003C4FF6">
        <w:lastRenderedPageBreak/>
        <w:t>increase the tax allowance.</w:t>
      </w:r>
      <w:r w:rsidRPr="003C4FF6">
        <w:rPr>
          <w:rStyle w:val="FootnoteReference"/>
        </w:rPr>
        <w:footnoteReference w:id="9"/>
      </w:r>
      <w:r w:rsidRPr="003C4FF6">
        <w:t xml:space="preserve"> Depending on the source of the revenue increase, the tax increase may be equal to or less than proportional to the company tax rate.</w:t>
      </w:r>
      <w:r w:rsidRPr="003C4FF6">
        <w:rPr>
          <w:rStyle w:val="FootnoteReference"/>
        </w:rPr>
        <w:footnoteReference w:id="10"/>
      </w:r>
      <w:r w:rsidRPr="003C4FF6">
        <w:t xml:space="preserve">   </w:t>
      </w:r>
    </w:p>
    <w:p w:rsidR="003C4FF6" w:rsidRPr="003C4FF6" w:rsidRDefault="003C4FF6" w:rsidP="003C4FF6">
      <w:r w:rsidRPr="003C4FF6">
        <w:t xml:space="preserve">The tax expenses </w:t>
      </w:r>
      <w:r w:rsidR="00BE5D31">
        <w:t xml:space="preserve">(or deductions) </w:t>
      </w:r>
      <w:r w:rsidRPr="003C4FF6">
        <w:t>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3C4FF6" w:rsidRPr="003C4FF6" w:rsidRDefault="003C4FF6" w:rsidP="003C4FF6">
      <w:pPr>
        <w:pStyle w:val="AERbulletlistfirststyle"/>
      </w:pPr>
      <w:r w:rsidRPr="003C4FF6">
        <w:t xml:space="preserve">Interest on debt – Interest is a tax offset. The size of </w:t>
      </w:r>
      <w:r w:rsidR="00165C5C">
        <w:t>this offset</w:t>
      </w:r>
      <w:r w:rsidR="00165C5C" w:rsidRPr="003C4FF6">
        <w:t xml:space="preserve"> </w:t>
      </w:r>
      <w:r w:rsidRPr="003C4FF6">
        <w:t>depends on the ratio of debt to equity and therefore the proportion of the RAB funded through debt. It also depends on the allowed return on debt and the size of the RAB.</w:t>
      </w:r>
    </w:p>
    <w:p w:rsidR="003C4FF6" w:rsidRPr="003C4FF6" w:rsidRDefault="003C4FF6" w:rsidP="003C4FF6">
      <w:pPr>
        <w:pStyle w:val="AERbulletlistfirststyle"/>
      </w:pPr>
      <w:r w:rsidRPr="003C4FF6">
        <w:t>General expenses – In the main these expenses will match the opex allowance.</w:t>
      </w:r>
    </w:p>
    <w:p w:rsidR="003C4FF6" w:rsidRPr="003C4FF6" w:rsidRDefault="003C4FF6" w:rsidP="003C4FF6">
      <w:pPr>
        <w:pStyle w:val="AERbulletlistfirststyle"/>
      </w:pPr>
      <w:r w:rsidRPr="003C4FF6">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DE563D" w:rsidRDefault="003C4FF6" w:rsidP="006B29F1">
      <w:r w:rsidRPr="003C4FF6">
        <w:t>A ten per cent increase in the corporate income tax allowance causes revenues to increase by about 0.</w:t>
      </w:r>
      <w:r w:rsidR="006B29F1">
        <w:t>8</w:t>
      </w:r>
      <w:r w:rsidRPr="003C4FF6">
        <w:t xml:space="preserve"> per cent. The proposed gamma of 0.25, compared to the value in our preliminary decision of 0.40, would increase the corporate income tax allowance by </w:t>
      </w:r>
      <w:r w:rsidR="006B29F1">
        <w:t>32.3</w:t>
      </w:r>
      <w:r w:rsidRPr="003C4FF6">
        <w:t xml:space="preserve"> per cent and total revenues by about </w:t>
      </w:r>
      <w:r w:rsidR="006B29F1">
        <w:t>1.1</w:t>
      </w:r>
      <w:r w:rsidRPr="003C4FF6">
        <w:t xml:space="preserve"> per cent.</w:t>
      </w:r>
    </w:p>
    <w:p w:rsidR="00DE563D" w:rsidRPr="00214D55" w:rsidRDefault="00DE563D" w:rsidP="00214D55">
      <w:pPr>
        <w:pStyle w:val="Heading2"/>
      </w:pPr>
      <w:bookmarkStart w:id="22" w:name="_Toc403144140"/>
      <w:bookmarkStart w:id="23" w:name="_Toc413155785"/>
      <w:r w:rsidRPr="00214D55">
        <w:t>Reasons for preliminary decision</w:t>
      </w:r>
      <w:bookmarkEnd w:id="22"/>
      <w:bookmarkEnd w:id="23"/>
      <w:r w:rsidRPr="00214D55">
        <w:t xml:space="preserve"> </w:t>
      </w:r>
    </w:p>
    <w:p w:rsidR="005B05C7" w:rsidRPr="005B05C7" w:rsidRDefault="005B05C7" w:rsidP="005B05C7">
      <w:r w:rsidRPr="005B05C7">
        <w:t xml:space="preserve">We do not accept </w:t>
      </w:r>
      <w:r>
        <w:t>Ergon Energy</w:t>
      </w:r>
      <w:r w:rsidRPr="005B05C7">
        <w:t xml:space="preserve">'s proposed cost of corporate income tax allowance of </w:t>
      </w:r>
      <w:r w:rsidR="005E7DB7">
        <w:t>$</w:t>
      </w:r>
      <w:r w:rsidRPr="005B05C7">
        <w:t>6</w:t>
      </w:r>
      <w:r>
        <w:t>21.4</w:t>
      </w:r>
      <w:r w:rsidRPr="005B05C7">
        <w:t> million ($ nominal). We have instead determined a cost of corporate income tax allowance of $</w:t>
      </w:r>
      <w:r w:rsidR="006B29F1">
        <w:t>204.2</w:t>
      </w:r>
      <w:r w:rsidRPr="005B05C7">
        <w:t xml:space="preserve"> million. This represents a reduction of $</w:t>
      </w:r>
      <w:r w:rsidR="006B29F1">
        <w:t>417.2</w:t>
      </w:r>
      <w:r w:rsidRPr="005B05C7">
        <w:t xml:space="preserve"> million (or </w:t>
      </w:r>
      <w:r w:rsidR="006B29F1">
        <w:t>67.1</w:t>
      </w:r>
      <w:r w:rsidRPr="005B05C7">
        <w:t xml:space="preserve"> per cent) </w:t>
      </w:r>
      <w:r w:rsidR="005E7DB7">
        <w:t>from</w:t>
      </w:r>
      <w:r w:rsidRPr="005B05C7">
        <w:t xml:space="preserve"> </w:t>
      </w:r>
      <w:r>
        <w:t>Ergon Energy</w:t>
      </w:r>
      <w:r w:rsidR="005E7DB7">
        <w:t>'s proposal</w:t>
      </w:r>
      <w:r w:rsidRPr="005B05C7">
        <w:t>.</w:t>
      </w:r>
    </w:p>
    <w:p w:rsidR="005B05C7" w:rsidRPr="005B05C7" w:rsidRDefault="005B05C7" w:rsidP="005B05C7">
      <w:r w:rsidRPr="005B05C7">
        <w:t xml:space="preserve">This is because we adjusted the following proposed inputs to the PTRM for tax purposes: </w:t>
      </w:r>
    </w:p>
    <w:p w:rsidR="005B05C7" w:rsidRPr="005B05C7" w:rsidRDefault="005B05C7" w:rsidP="005B05C7">
      <w:pPr>
        <w:pStyle w:val="AERbulletlistfirststyle"/>
      </w:pPr>
      <w:r w:rsidRPr="005B05C7">
        <w:t>the opening TAB value as at 1 July 2015 (section</w:t>
      </w:r>
      <w:r>
        <w:t xml:space="preserve"> </w:t>
      </w:r>
      <w:r w:rsidR="00A47FE5">
        <w:fldChar w:fldCharType="begin"/>
      </w:r>
      <w:r w:rsidR="00A47FE5">
        <w:instrText xml:space="preserve"> REF _Ref414894346 \r \h </w:instrText>
      </w:r>
      <w:r w:rsidR="00A47FE5">
        <w:fldChar w:fldCharType="separate"/>
      </w:r>
      <w:r w:rsidR="006B29F1">
        <w:t>8.4.1</w:t>
      </w:r>
      <w:r w:rsidR="00A47FE5">
        <w:fldChar w:fldCharType="end"/>
      </w:r>
      <w:r w:rsidRPr="005B05C7">
        <w:t>)</w:t>
      </w:r>
    </w:p>
    <w:p w:rsidR="005B05C7" w:rsidRDefault="005B05C7" w:rsidP="005B05C7">
      <w:pPr>
        <w:pStyle w:val="AERbulletlistfirststyle"/>
      </w:pPr>
      <w:r w:rsidRPr="005B05C7">
        <w:t>the remaining tax asset lives (section</w:t>
      </w:r>
      <w:r>
        <w:t xml:space="preserve"> </w:t>
      </w:r>
      <w:r>
        <w:fldChar w:fldCharType="begin"/>
      </w:r>
      <w:r>
        <w:instrText xml:space="preserve"> REF _Ref411497323 \r \h </w:instrText>
      </w:r>
      <w:r>
        <w:fldChar w:fldCharType="separate"/>
      </w:r>
      <w:r w:rsidR="006B29F1">
        <w:t>8.4.2</w:t>
      </w:r>
      <w:r>
        <w:fldChar w:fldCharType="end"/>
      </w:r>
      <w:r w:rsidRPr="005B05C7">
        <w:t>)</w:t>
      </w:r>
    </w:p>
    <w:p w:rsidR="005B05C7" w:rsidRPr="005B05C7" w:rsidRDefault="005B05C7" w:rsidP="005B05C7">
      <w:pPr>
        <w:pStyle w:val="AERbulletlistfirststyle"/>
      </w:pPr>
      <w:r w:rsidRPr="005B05C7">
        <w:t>the value of gamma (attachment 4)</w:t>
      </w:r>
    </w:p>
    <w:p w:rsidR="005B05C7" w:rsidRPr="005B05C7" w:rsidRDefault="005B05C7" w:rsidP="005B05C7">
      <w:pPr>
        <w:pStyle w:val="AERbulletlistfirststyle"/>
      </w:pPr>
      <w:r w:rsidRPr="005B05C7">
        <w:lastRenderedPageBreak/>
        <w:t xml:space="preserve">other building block components including forecast opex (attachment 7) and forecast capex (attachment 6) that </w:t>
      </w:r>
      <w:r w:rsidR="005E7DB7">
        <w:t>a</w:t>
      </w:r>
      <w:r w:rsidRPr="005B05C7">
        <w:t>ffect revenues, and therefore also impact the forecast corporate income tax allowance.</w:t>
      </w:r>
    </w:p>
    <w:p w:rsidR="00882EB7" w:rsidRDefault="005B05C7" w:rsidP="00882EB7">
      <w:r w:rsidRPr="005B05C7">
        <w:t xml:space="preserve">We accept </w:t>
      </w:r>
      <w:r>
        <w:t>Ergon Energy</w:t>
      </w:r>
      <w:r w:rsidRPr="005B05C7">
        <w:t>'s proposed standard tax asset lives, as they are consistent with those approved for the 2010–15 regulatory control period</w:t>
      </w:r>
      <w:r w:rsidR="00BB553C">
        <w:t xml:space="preserve"> and the values p</w:t>
      </w:r>
      <w:r w:rsidR="000E5F13" w:rsidRPr="000E5F13">
        <w:t>rescribed by the Commissioner for taxation in tax ruling 2014/4.</w:t>
      </w:r>
      <w:r w:rsidR="000E5F13">
        <w:rPr>
          <w:rStyle w:val="FootnoteReference"/>
        </w:rPr>
        <w:footnoteReference w:id="11"/>
      </w:r>
      <w:r w:rsidR="000E5F13">
        <w:t xml:space="preserve"> </w:t>
      </w:r>
      <w:r w:rsidR="005E7DB7">
        <w:t>Further</w:t>
      </w:r>
      <w:r>
        <w:t xml:space="preserve">, we have updated the standard tax asset life for the 'Equity </w:t>
      </w:r>
      <w:proofErr w:type="gramStart"/>
      <w:r w:rsidR="005E7DB7">
        <w:t>r</w:t>
      </w:r>
      <w:r>
        <w:t>aising</w:t>
      </w:r>
      <w:proofErr w:type="gramEnd"/>
      <w:r>
        <w:t xml:space="preserve"> </w:t>
      </w:r>
      <w:r w:rsidR="005E7DB7">
        <w:t>c</w:t>
      </w:r>
      <w:r>
        <w:t xml:space="preserve">osts' asset class, consistent with the approach approved for </w:t>
      </w:r>
      <w:r w:rsidRPr="005B05C7">
        <w:t>the 2010–15 regulatory control period</w:t>
      </w:r>
      <w:r>
        <w:t xml:space="preserve"> (section </w:t>
      </w:r>
      <w:r w:rsidR="00A47FE5">
        <w:fldChar w:fldCharType="begin"/>
      </w:r>
      <w:r w:rsidR="00A47FE5">
        <w:instrText xml:space="preserve"> REF _Ref414894397 \r \h </w:instrText>
      </w:r>
      <w:r w:rsidR="00A47FE5">
        <w:fldChar w:fldCharType="separate"/>
      </w:r>
      <w:r w:rsidR="006B29F1">
        <w:t>8.4.3</w:t>
      </w:r>
      <w:r w:rsidR="00A47FE5">
        <w:fldChar w:fldCharType="end"/>
      </w:r>
      <w:r>
        <w:t>).</w:t>
      </w:r>
      <w:bookmarkStart w:id="24" w:name="_Ref411497315"/>
      <w:bookmarkStart w:id="25" w:name="_Toc413155786"/>
    </w:p>
    <w:p w:rsidR="005B05C7" w:rsidRDefault="005B05C7" w:rsidP="005B05C7">
      <w:pPr>
        <w:pStyle w:val="Heading3"/>
      </w:pPr>
      <w:bookmarkStart w:id="26" w:name="_Ref414894346"/>
      <w:r>
        <w:t>Opening tax asset base</w:t>
      </w:r>
      <w:bookmarkEnd w:id="24"/>
      <w:bookmarkEnd w:id="25"/>
      <w:bookmarkEnd w:id="26"/>
    </w:p>
    <w:p w:rsidR="005B05C7" w:rsidRDefault="008A4FB6" w:rsidP="005B05C7">
      <w:pPr>
        <w:pStyle w:val="AERbulletlistfirststyle"/>
        <w:numPr>
          <w:ilvl w:val="0"/>
          <w:numId w:val="0"/>
        </w:numPr>
      </w:pPr>
      <w:r w:rsidRPr="008A4FB6">
        <w:t xml:space="preserve">We accept </w:t>
      </w:r>
      <w:r>
        <w:t>Ergon Energy</w:t>
      </w:r>
      <w:r w:rsidRPr="008A4FB6">
        <w:t xml:space="preserve">'s proposed method to establish the opening TAB as at 1 July 2015 as it is based on the approach set out in our </w:t>
      </w:r>
      <w:r w:rsidR="00357031">
        <w:t>roll forward model (</w:t>
      </w:r>
      <w:r w:rsidRPr="008A4FB6">
        <w:t>RFM</w:t>
      </w:r>
      <w:r w:rsidR="00357031">
        <w:t>)</w:t>
      </w:r>
      <w:r w:rsidRPr="008A4FB6">
        <w:t xml:space="preserve">. However, we do not accept </w:t>
      </w:r>
      <w:r>
        <w:t>Ergon Energy</w:t>
      </w:r>
      <w:r w:rsidRPr="008A4FB6">
        <w:t>'s proposed ope</w:t>
      </w:r>
      <w:r w:rsidR="001C1AE0">
        <w:t>ning TAB value as at 1 July 2015</w:t>
      </w:r>
      <w:r w:rsidRPr="008A4FB6">
        <w:t xml:space="preserve"> of $6</w:t>
      </w:r>
      <w:r>
        <w:t>325.1 </w:t>
      </w:r>
      <w:r w:rsidRPr="008A4FB6">
        <w:t>million ($</w:t>
      </w:r>
      <w:r>
        <w:t> </w:t>
      </w:r>
      <w:r w:rsidRPr="008A4FB6">
        <w:t>nominal). Instead we determine an opening TAB value as at 1 July 2015 of $</w:t>
      </w:r>
      <w:r w:rsidR="001C1AE0">
        <w:t>63</w:t>
      </w:r>
      <w:r w:rsidR="006B29F1">
        <w:t>77.8</w:t>
      </w:r>
      <w:r w:rsidR="005E7DB7">
        <w:t> </w:t>
      </w:r>
      <w:r w:rsidRPr="008A4FB6">
        <w:t>million ($ nominal). This represents a</w:t>
      </w:r>
      <w:r w:rsidR="001C1AE0">
        <w:t>n increase</w:t>
      </w:r>
      <w:r w:rsidRPr="008A4FB6">
        <w:t xml:space="preserve"> of $</w:t>
      </w:r>
      <w:r w:rsidR="006B29F1">
        <w:t>52.7</w:t>
      </w:r>
      <w:r w:rsidRPr="008A4FB6">
        <w:t xml:space="preserve"> million ($</w:t>
      </w:r>
      <w:r w:rsidR="006B29F1">
        <w:t> </w:t>
      </w:r>
      <w:r w:rsidRPr="008A4FB6">
        <w:t xml:space="preserve">nominal) or </w:t>
      </w:r>
      <w:r w:rsidR="006B29F1">
        <w:t>0.8</w:t>
      </w:r>
      <w:r w:rsidR="00A96A02">
        <w:t> </w:t>
      </w:r>
      <w:r w:rsidRPr="008A4FB6">
        <w:t xml:space="preserve">per cent. This </w:t>
      </w:r>
      <w:r w:rsidR="005E7DB7">
        <w:t>increase</w:t>
      </w:r>
      <w:r w:rsidRPr="008A4FB6">
        <w:t xml:space="preserve"> is due to the adjustments made to the actual capex values in </w:t>
      </w:r>
      <w:r w:rsidR="009A5DA8">
        <w:t>Ergon Energy</w:t>
      </w:r>
      <w:r w:rsidRPr="008A4FB6">
        <w:t>'s proposed RFM as discussed in attachment 2.</w:t>
      </w:r>
      <w:r w:rsidR="00CC0295">
        <w:rPr>
          <w:rStyle w:val="FootnoteReference"/>
        </w:rPr>
        <w:footnoteReference w:id="12"/>
      </w:r>
    </w:p>
    <w:p w:rsidR="005E7DB7" w:rsidRDefault="005E7DB7" w:rsidP="005E7DB7">
      <w:r>
        <w:fldChar w:fldCharType="begin"/>
      </w:r>
      <w:r>
        <w:instrText xml:space="preserve"> REF _Ref413156784 \h </w:instrText>
      </w:r>
      <w:r>
        <w:fldChar w:fldCharType="separate"/>
      </w:r>
      <w:r w:rsidR="006B29F1">
        <w:t xml:space="preserve">Table </w:t>
      </w:r>
      <w:r w:rsidR="006B29F1">
        <w:rPr>
          <w:noProof/>
        </w:rPr>
        <w:t>8</w:t>
      </w:r>
      <w:r w:rsidR="006B29F1">
        <w:t>.</w:t>
      </w:r>
      <w:r w:rsidR="006B29F1">
        <w:rPr>
          <w:noProof/>
        </w:rPr>
        <w:t>3</w:t>
      </w:r>
      <w:r>
        <w:fldChar w:fldCharType="end"/>
      </w:r>
      <w:r>
        <w:t xml:space="preserve"> </w:t>
      </w:r>
      <w:r w:rsidRPr="008F4FB1">
        <w:t xml:space="preserve">sets out our </w:t>
      </w:r>
      <w:r>
        <w:t>preliminary</w:t>
      </w:r>
      <w:r w:rsidRPr="008F4FB1">
        <w:t xml:space="preserve"> decision on the roll forward of </w:t>
      </w:r>
      <w:r w:rsidR="00A72B78">
        <w:t>Ergon Energy</w:t>
      </w:r>
      <w:r w:rsidRPr="008F4FB1">
        <w:t>'s TAB values over the 20</w:t>
      </w:r>
      <w:r>
        <w:t>10</w:t>
      </w:r>
      <w:r w:rsidRPr="008F4FB1">
        <w:t>–1</w:t>
      </w:r>
      <w:r>
        <w:t>5</w:t>
      </w:r>
      <w:r w:rsidRPr="008F4FB1">
        <w:t xml:space="preserve"> regulatory control period.</w:t>
      </w:r>
    </w:p>
    <w:p w:rsidR="005E7DB7" w:rsidRDefault="005E7DB7" w:rsidP="005E7DB7">
      <w:pPr>
        <w:pStyle w:val="Caption"/>
      </w:pPr>
      <w:bookmarkStart w:id="27" w:name="_Ref413156784"/>
      <w:proofErr w:type="gramStart"/>
      <w:r>
        <w:t xml:space="preserve">Table </w:t>
      </w:r>
      <w:proofErr w:type="gramEnd"/>
      <w:r w:rsidRPr="005E7DB7">
        <w:fldChar w:fldCharType="begin"/>
      </w:r>
      <w:r>
        <w:instrText xml:space="preserve"> STYLEREF 1 \s </w:instrText>
      </w:r>
      <w:r w:rsidRPr="005E7DB7">
        <w:fldChar w:fldCharType="separate"/>
      </w:r>
      <w:r w:rsidR="006B29F1">
        <w:rPr>
          <w:noProof/>
        </w:rPr>
        <w:t>8</w:t>
      </w:r>
      <w:r w:rsidRPr="005E7DB7">
        <w:fldChar w:fldCharType="end"/>
      </w:r>
      <w:proofErr w:type="gramStart"/>
      <w:r>
        <w:t>.</w:t>
      </w:r>
      <w:proofErr w:type="gramEnd"/>
      <w:r w:rsidRPr="005E7DB7">
        <w:fldChar w:fldCharType="begin"/>
      </w:r>
      <w:r>
        <w:instrText xml:space="preserve"> SEQ Table \* ARABIC \s 1 </w:instrText>
      </w:r>
      <w:r w:rsidRPr="005E7DB7">
        <w:fldChar w:fldCharType="separate"/>
      </w:r>
      <w:r w:rsidR="006B29F1">
        <w:rPr>
          <w:noProof/>
        </w:rPr>
        <w:t>3</w:t>
      </w:r>
      <w:r w:rsidRPr="005E7DB7">
        <w:fldChar w:fldCharType="end"/>
      </w:r>
      <w:bookmarkEnd w:id="27"/>
      <w:r>
        <w:tab/>
      </w:r>
      <w:r w:rsidRPr="008F4FB1">
        <w:t xml:space="preserve">AER's </w:t>
      </w:r>
      <w:r>
        <w:t>preliminary</w:t>
      </w:r>
      <w:r w:rsidRPr="008F4FB1">
        <w:t xml:space="preserve"> decision on </w:t>
      </w:r>
      <w:r>
        <w:t>Ergon Energy</w:t>
      </w:r>
      <w:r w:rsidRPr="008F4FB1">
        <w:t>'s TAB roll forward ($ million, nominal)</w:t>
      </w:r>
    </w:p>
    <w:tbl>
      <w:tblPr>
        <w:tblStyle w:val="AERtable-numbers"/>
        <w:tblW w:w="5000" w:type="pct"/>
        <w:tblLook w:val="04A0" w:firstRow="1" w:lastRow="0" w:firstColumn="1" w:lastColumn="0" w:noHBand="0" w:noVBand="1"/>
      </w:tblPr>
      <w:tblGrid>
        <w:gridCol w:w="3111"/>
        <w:gridCol w:w="1082"/>
        <w:gridCol w:w="1081"/>
        <w:gridCol w:w="1081"/>
        <w:gridCol w:w="1257"/>
        <w:gridCol w:w="1081"/>
      </w:tblGrid>
      <w:tr w:rsidR="005E7DB7" w:rsidRPr="008F4FB1" w:rsidTr="006B29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pct"/>
            <w:noWrap/>
            <w:hideMark/>
          </w:tcPr>
          <w:p w:rsidR="005E7DB7" w:rsidRPr="005E7DB7" w:rsidRDefault="005E7DB7" w:rsidP="005E7DB7">
            <w:r w:rsidRPr="008F4FB1">
              <w:t> </w:t>
            </w:r>
          </w:p>
        </w:tc>
        <w:tc>
          <w:tcPr>
            <w:tcW w:w="622" w:type="pct"/>
            <w:noWrap/>
            <w:hideMark/>
          </w:tcPr>
          <w:p w:rsidR="005E7DB7" w:rsidRPr="005E7DB7" w:rsidRDefault="005E7DB7" w:rsidP="005E7DB7">
            <w:pPr>
              <w:cnfStyle w:val="100000000000" w:firstRow="1" w:lastRow="0" w:firstColumn="0" w:lastColumn="0" w:oddVBand="0" w:evenVBand="0" w:oddHBand="0" w:evenHBand="0" w:firstRowFirstColumn="0" w:firstRowLastColumn="0" w:lastRowFirstColumn="0" w:lastRowLastColumn="0"/>
            </w:pPr>
            <w:r w:rsidRPr="008F4FB1">
              <w:t>2010–11</w:t>
            </w:r>
          </w:p>
        </w:tc>
        <w:tc>
          <w:tcPr>
            <w:tcW w:w="622" w:type="pct"/>
            <w:noWrap/>
            <w:hideMark/>
          </w:tcPr>
          <w:p w:rsidR="005E7DB7" w:rsidRPr="005E7DB7" w:rsidRDefault="005E7DB7" w:rsidP="005E7DB7">
            <w:pPr>
              <w:cnfStyle w:val="100000000000" w:firstRow="1" w:lastRow="0" w:firstColumn="0" w:lastColumn="0" w:oddVBand="0" w:evenVBand="0" w:oddHBand="0" w:evenHBand="0" w:firstRowFirstColumn="0" w:firstRowLastColumn="0" w:lastRowFirstColumn="0" w:lastRowLastColumn="0"/>
            </w:pPr>
            <w:r w:rsidRPr="008F4FB1">
              <w:t>2011–12</w:t>
            </w:r>
          </w:p>
        </w:tc>
        <w:tc>
          <w:tcPr>
            <w:tcW w:w="622" w:type="pct"/>
            <w:noWrap/>
            <w:hideMark/>
          </w:tcPr>
          <w:p w:rsidR="005E7DB7" w:rsidRPr="005E7DB7" w:rsidRDefault="005E7DB7" w:rsidP="005E7DB7">
            <w:pPr>
              <w:cnfStyle w:val="100000000000" w:firstRow="1" w:lastRow="0" w:firstColumn="0" w:lastColumn="0" w:oddVBand="0" w:evenVBand="0" w:oddHBand="0" w:evenHBand="0" w:firstRowFirstColumn="0" w:firstRowLastColumn="0" w:lastRowFirstColumn="0" w:lastRowLastColumn="0"/>
            </w:pPr>
            <w:r w:rsidRPr="008F4FB1">
              <w:t>2012–13</w:t>
            </w:r>
          </w:p>
        </w:tc>
        <w:tc>
          <w:tcPr>
            <w:tcW w:w="723" w:type="pct"/>
            <w:noWrap/>
            <w:hideMark/>
          </w:tcPr>
          <w:p w:rsidR="005E7DB7" w:rsidRPr="005E7DB7" w:rsidRDefault="005E7DB7" w:rsidP="005E7DB7">
            <w:pPr>
              <w:cnfStyle w:val="100000000000" w:firstRow="1" w:lastRow="0" w:firstColumn="0" w:lastColumn="0" w:oddVBand="0" w:evenVBand="0" w:oddHBand="0" w:evenHBand="0" w:firstRowFirstColumn="0" w:firstRowLastColumn="0" w:lastRowFirstColumn="0" w:lastRowLastColumn="0"/>
            </w:pPr>
            <w:r w:rsidRPr="008F4FB1">
              <w:t>2013–14</w:t>
            </w:r>
          </w:p>
        </w:tc>
        <w:tc>
          <w:tcPr>
            <w:tcW w:w="622" w:type="pct"/>
            <w:noWrap/>
            <w:hideMark/>
          </w:tcPr>
          <w:p w:rsidR="005E7DB7" w:rsidRPr="005E7DB7" w:rsidRDefault="005E7DB7" w:rsidP="005E7DB7">
            <w:pPr>
              <w:cnfStyle w:val="100000000000" w:firstRow="1" w:lastRow="0" w:firstColumn="0" w:lastColumn="0" w:oddVBand="0" w:evenVBand="0" w:oddHBand="0" w:evenHBand="0" w:firstRowFirstColumn="0" w:firstRowLastColumn="0" w:lastRowFirstColumn="0" w:lastRowLastColumn="0"/>
              <w:rPr>
                <w:rStyle w:val="AERsuperscript"/>
              </w:rPr>
            </w:pPr>
            <w:r w:rsidRPr="008F4FB1">
              <w:t>2014–15</w:t>
            </w:r>
            <w:r w:rsidRPr="005E7DB7">
              <w:rPr>
                <w:rStyle w:val="AERsuperscript"/>
              </w:rPr>
              <w:t>b</w:t>
            </w:r>
          </w:p>
        </w:tc>
      </w:tr>
      <w:tr w:rsidR="006B29F1" w:rsidRPr="00A47FE5" w:rsidTr="006B29F1">
        <w:trPr>
          <w:trHeight w:val="300"/>
        </w:trPr>
        <w:tc>
          <w:tcPr>
            <w:cnfStyle w:val="001000000000" w:firstRow="0" w:lastRow="0" w:firstColumn="1" w:lastColumn="0" w:oddVBand="0" w:evenVBand="0" w:oddHBand="0" w:evenHBand="0" w:firstRowFirstColumn="0" w:firstRowLastColumn="0" w:lastRowFirstColumn="0" w:lastRowLastColumn="0"/>
            <w:tcW w:w="1789" w:type="pct"/>
            <w:noWrap/>
            <w:hideMark/>
          </w:tcPr>
          <w:p w:rsidR="006B29F1" w:rsidRPr="006B29F1" w:rsidRDefault="006B29F1" w:rsidP="006B29F1">
            <w:r w:rsidRPr="006B29F1">
              <w:t>Opening TAB</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3932.8</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4483.2</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4949.6</w:t>
            </w:r>
          </w:p>
        </w:tc>
        <w:tc>
          <w:tcPr>
            <w:tcW w:w="723"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5478.5</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5904.2</w:t>
            </w:r>
          </w:p>
        </w:tc>
      </w:tr>
      <w:tr w:rsidR="006B29F1" w:rsidRPr="008F4FB1" w:rsidTr="006B29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pct"/>
            <w:noWrap/>
            <w:hideMark/>
          </w:tcPr>
          <w:p w:rsidR="006B29F1" w:rsidRPr="006B29F1" w:rsidRDefault="006B29F1" w:rsidP="006B29F1">
            <w:pPr>
              <w:rPr>
                <w:rStyle w:val="AERsuperscript"/>
              </w:rPr>
            </w:pPr>
            <w:r w:rsidRPr="006B29F1">
              <w:t xml:space="preserve">Capital </w:t>
            </w:r>
            <w:proofErr w:type="spellStart"/>
            <w:r w:rsidRPr="006B29F1">
              <w:t>expenditure</w:t>
            </w:r>
            <w:r w:rsidRPr="006B29F1">
              <w:rPr>
                <w:rStyle w:val="AERsuperscript"/>
              </w:rPr>
              <w:t>a</w:t>
            </w:r>
            <w:proofErr w:type="spellEnd"/>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769.8</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717.7</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798.6</w:t>
            </w:r>
          </w:p>
        </w:tc>
        <w:tc>
          <w:tcPr>
            <w:tcW w:w="723"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708.7</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846.9</w:t>
            </w:r>
          </w:p>
        </w:tc>
      </w:tr>
      <w:tr w:rsidR="006B29F1" w:rsidRPr="008F4FB1" w:rsidTr="006B29F1">
        <w:trPr>
          <w:trHeight w:val="300"/>
        </w:trPr>
        <w:tc>
          <w:tcPr>
            <w:cnfStyle w:val="001000000000" w:firstRow="0" w:lastRow="0" w:firstColumn="1" w:lastColumn="0" w:oddVBand="0" w:evenVBand="0" w:oddHBand="0" w:evenHBand="0" w:firstRowFirstColumn="0" w:firstRowLastColumn="0" w:lastRowFirstColumn="0" w:lastRowLastColumn="0"/>
            <w:tcW w:w="1789" w:type="pct"/>
            <w:noWrap/>
            <w:hideMark/>
          </w:tcPr>
          <w:p w:rsidR="006B29F1" w:rsidRPr="006B29F1" w:rsidRDefault="006B29F1" w:rsidP="006B29F1">
            <w:r w:rsidRPr="006B29F1">
              <w:rPr>
                <w:rStyle w:val="AERtextitalic"/>
              </w:rPr>
              <w:t>Less:</w:t>
            </w:r>
            <w:r w:rsidRPr="006B29F1">
              <w:t xml:space="preserve"> Tax depreciation</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219.4</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251.3</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269.7</w:t>
            </w:r>
          </w:p>
        </w:tc>
        <w:tc>
          <w:tcPr>
            <w:tcW w:w="723"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282.9</w:t>
            </w:r>
          </w:p>
        </w:tc>
        <w:tc>
          <w:tcPr>
            <w:tcW w:w="622" w:type="pct"/>
            <w:noWrap/>
          </w:tcPr>
          <w:p w:rsidR="006B29F1" w:rsidRPr="006B29F1" w:rsidRDefault="006B29F1" w:rsidP="006B29F1">
            <w:pPr>
              <w:cnfStyle w:val="000000000000" w:firstRow="0" w:lastRow="0" w:firstColumn="0" w:lastColumn="0" w:oddVBand="0" w:evenVBand="0" w:oddHBand="0" w:evenHBand="0" w:firstRowFirstColumn="0" w:firstRowLastColumn="0" w:lastRowFirstColumn="0" w:lastRowLastColumn="0"/>
            </w:pPr>
            <w:r w:rsidRPr="006B29F1">
              <w:t>293.4</w:t>
            </w:r>
          </w:p>
        </w:tc>
      </w:tr>
      <w:tr w:rsidR="006B29F1" w:rsidRPr="00A47FE5" w:rsidTr="006B29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pct"/>
            <w:noWrap/>
            <w:hideMark/>
          </w:tcPr>
          <w:p w:rsidR="006B29F1" w:rsidRPr="006B29F1" w:rsidRDefault="006B29F1" w:rsidP="006B29F1">
            <w:r w:rsidRPr="006B29F1">
              <w:t>Closing TAB</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4483.2</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4949.6</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5478.5</w:t>
            </w:r>
          </w:p>
        </w:tc>
        <w:tc>
          <w:tcPr>
            <w:tcW w:w="723"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5904.2</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pPr>
            <w:r w:rsidRPr="006B29F1">
              <w:t>6457.7</w:t>
            </w:r>
          </w:p>
        </w:tc>
      </w:tr>
      <w:tr w:rsidR="006B29F1" w:rsidRPr="008F4FB1" w:rsidTr="006B29F1">
        <w:trPr>
          <w:trHeight w:val="300"/>
        </w:trPr>
        <w:tc>
          <w:tcPr>
            <w:cnfStyle w:val="001000000000" w:firstRow="0" w:lastRow="0" w:firstColumn="1" w:lastColumn="0" w:oddVBand="0" w:evenVBand="0" w:oddHBand="0" w:evenHBand="0" w:firstRowFirstColumn="0" w:firstRowLastColumn="0" w:lastRowFirstColumn="0" w:lastRowLastColumn="0"/>
            <w:tcW w:w="1789" w:type="pct"/>
            <w:noWrap/>
            <w:hideMark/>
          </w:tcPr>
          <w:p w:rsidR="006B29F1" w:rsidRPr="006B29F1" w:rsidRDefault="006B29F1" w:rsidP="006B29F1">
            <w:r w:rsidRPr="006B29F1">
              <w:t xml:space="preserve">Meters moved to ACS and </w:t>
            </w:r>
          </w:p>
          <w:p w:rsidR="006B29F1" w:rsidRPr="006B29F1" w:rsidRDefault="006B29F1" w:rsidP="006B29F1">
            <w:r w:rsidRPr="006B29F1">
              <w:t>unregulated assets removed</w:t>
            </w:r>
          </w:p>
        </w:tc>
        <w:tc>
          <w:tcPr>
            <w:tcW w:w="622" w:type="pct"/>
            <w:noWrap/>
          </w:tcPr>
          <w:p w:rsidR="006B29F1" w:rsidRPr="006B29F1" w:rsidRDefault="006B29F1">
            <w:pPr>
              <w:cnfStyle w:val="000000000000" w:firstRow="0" w:lastRow="0" w:firstColumn="0" w:lastColumn="0" w:oddVBand="0" w:evenVBand="0" w:oddHBand="0" w:evenHBand="0" w:firstRowFirstColumn="0" w:firstRowLastColumn="0" w:lastRowFirstColumn="0" w:lastRowLastColumn="0"/>
            </w:pPr>
            <w:r w:rsidRPr="006B29F1">
              <w:t> </w:t>
            </w:r>
          </w:p>
        </w:tc>
        <w:tc>
          <w:tcPr>
            <w:tcW w:w="622" w:type="pct"/>
            <w:noWrap/>
          </w:tcPr>
          <w:p w:rsidR="006B29F1" w:rsidRPr="006B29F1" w:rsidRDefault="006B29F1">
            <w:pPr>
              <w:cnfStyle w:val="000000000000" w:firstRow="0" w:lastRow="0" w:firstColumn="0" w:lastColumn="0" w:oddVBand="0" w:evenVBand="0" w:oddHBand="0" w:evenHBand="0" w:firstRowFirstColumn="0" w:firstRowLastColumn="0" w:lastRowFirstColumn="0" w:lastRowLastColumn="0"/>
            </w:pPr>
            <w:r w:rsidRPr="006B29F1">
              <w:t> </w:t>
            </w:r>
          </w:p>
        </w:tc>
        <w:tc>
          <w:tcPr>
            <w:tcW w:w="622" w:type="pct"/>
            <w:noWrap/>
          </w:tcPr>
          <w:p w:rsidR="006B29F1" w:rsidRPr="006B29F1" w:rsidRDefault="006B29F1">
            <w:pPr>
              <w:cnfStyle w:val="000000000000" w:firstRow="0" w:lastRow="0" w:firstColumn="0" w:lastColumn="0" w:oddVBand="0" w:evenVBand="0" w:oddHBand="0" w:evenHBand="0" w:firstRowFirstColumn="0" w:firstRowLastColumn="0" w:lastRowFirstColumn="0" w:lastRowLastColumn="0"/>
            </w:pPr>
            <w:r w:rsidRPr="006B29F1">
              <w:t> </w:t>
            </w:r>
          </w:p>
        </w:tc>
        <w:tc>
          <w:tcPr>
            <w:tcW w:w="723" w:type="pct"/>
            <w:noWrap/>
          </w:tcPr>
          <w:p w:rsidR="006B29F1" w:rsidRPr="006B29F1" w:rsidRDefault="006B29F1">
            <w:pPr>
              <w:cnfStyle w:val="000000000000" w:firstRow="0" w:lastRow="0" w:firstColumn="0" w:lastColumn="0" w:oddVBand="0" w:evenVBand="0" w:oddHBand="0" w:evenHBand="0" w:firstRowFirstColumn="0" w:firstRowLastColumn="0" w:lastRowFirstColumn="0" w:lastRowLastColumn="0"/>
            </w:pPr>
            <w:r w:rsidRPr="006B29F1">
              <w:t> </w:t>
            </w:r>
          </w:p>
        </w:tc>
        <w:tc>
          <w:tcPr>
            <w:tcW w:w="622" w:type="pct"/>
            <w:noWrap/>
          </w:tcPr>
          <w:p w:rsidR="006B29F1" w:rsidRPr="006B29F1" w:rsidRDefault="00C56CCB" w:rsidP="006B29F1">
            <w:pPr>
              <w:cnfStyle w:val="000000000000" w:firstRow="0" w:lastRow="0" w:firstColumn="0" w:lastColumn="0" w:oddVBand="0" w:evenVBand="0" w:oddHBand="0" w:evenHBand="0" w:firstRowFirstColumn="0" w:firstRowLastColumn="0" w:lastRowFirstColumn="0" w:lastRowLastColumn="0"/>
            </w:pPr>
            <w:r>
              <w:t>–</w:t>
            </w:r>
            <w:r w:rsidR="006B29F1" w:rsidRPr="006B29F1">
              <w:t>79.9</w:t>
            </w:r>
          </w:p>
        </w:tc>
      </w:tr>
      <w:tr w:rsidR="006B29F1" w:rsidRPr="006B29F1" w:rsidTr="006B29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pct"/>
            <w:noWrap/>
            <w:hideMark/>
          </w:tcPr>
          <w:p w:rsidR="006B29F1" w:rsidRPr="006B29F1" w:rsidRDefault="006B29F1" w:rsidP="006B29F1">
            <w:pPr>
              <w:rPr>
                <w:rStyle w:val="Strong"/>
              </w:rPr>
            </w:pPr>
            <w:r w:rsidRPr="006B29F1">
              <w:rPr>
                <w:rStyle w:val="Strong"/>
              </w:rPr>
              <w:t>Opening TAB as at 1 July 2015</w:t>
            </w:r>
          </w:p>
        </w:tc>
        <w:tc>
          <w:tcPr>
            <w:tcW w:w="622" w:type="pct"/>
            <w:noWrap/>
          </w:tcPr>
          <w:p w:rsidR="006B29F1" w:rsidRPr="006B29F1" w:rsidRDefault="006B29F1">
            <w:pPr>
              <w:cnfStyle w:val="000000010000" w:firstRow="0" w:lastRow="0" w:firstColumn="0" w:lastColumn="0" w:oddVBand="0" w:evenVBand="0" w:oddHBand="0" w:evenHBand="1" w:firstRowFirstColumn="0" w:firstRowLastColumn="0" w:lastRowFirstColumn="0" w:lastRowLastColumn="0"/>
              <w:rPr>
                <w:rStyle w:val="Strong"/>
              </w:rPr>
            </w:pPr>
            <w:r w:rsidRPr="006B29F1">
              <w:rPr>
                <w:rStyle w:val="Strong"/>
              </w:rPr>
              <w:t> </w:t>
            </w:r>
          </w:p>
        </w:tc>
        <w:tc>
          <w:tcPr>
            <w:tcW w:w="622" w:type="pct"/>
            <w:noWrap/>
          </w:tcPr>
          <w:p w:rsidR="006B29F1" w:rsidRPr="006B29F1" w:rsidRDefault="006B29F1">
            <w:pPr>
              <w:cnfStyle w:val="000000010000" w:firstRow="0" w:lastRow="0" w:firstColumn="0" w:lastColumn="0" w:oddVBand="0" w:evenVBand="0" w:oddHBand="0" w:evenHBand="1" w:firstRowFirstColumn="0" w:firstRowLastColumn="0" w:lastRowFirstColumn="0" w:lastRowLastColumn="0"/>
              <w:rPr>
                <w:rStyle w:val="Strong"/>
              </w:rPr>
            </w:pPr>
            <w:r w:rsidRPr="006B29F1">
              <w:rPr>
                <w:rStyle w:val="Strong"/>
              </w:rPr>
              <w:t> </w:t>
            </w:r>
          </w:p>
        </w:tc>
        <w:tc>
          <w:tcPr>
            <w:tcW w:w="622" w:type="pct"/>
            <w:noWrap/>
          </w:tcPr>
          <w:p w:rsidR="006B29F1" w:rsidRPr="006B29F1" w:rsidRDefault="006B29F1">
            <w:pPr>
              <w:cnfStyle w:val="000000010000" w:firstRow="0" w:lastRow="0" w:firstColumn="0" w:lastColumn="0" w:oddVBand="0" w:evenVBand="0" w:oddHBand="0" w:evenHBand="1" w:firstRowFirstColumn="0" w:firstRowLastColumn="0" w:lastRowFirstColumn="0" w:lastRowLastColumn="0"/>
              <w:rPr>
                <w:rStyle w:val="Strong"/>
              </w:rPr>
            </w:pPr>
            <w:r w:rsidRPr="006B29F1">
              <w:rPr>
                <w:rStyle w:val="Strong"/>
              </w:rPr>
              <w:t> </w:t>
            </w:r>
          </w:p>
        </w:tc>
        <w:tc>
          <w:tcPr>
            <w:tcW w:w="723" w:type="pct"/>
            <w:noWrap/>
          </w:tcPr>
          <w:p w:rsidR="006B29F1" w:rsidRPr="006B29F1" w:rsidRDefault="006B29F1">
            <w:pPr>
              <w:cnfStyle w:val="000000010000" w:firstRow="0" w:lastRow="0" w:firstColumn="0" w:lastColumn="0" w:oddVBand="0" w:evenVBand="0" w:oddHBand="0" w:evenHBand="1" w:firstRowFirstColumn="0" w:firstRowLastColumn="0" w:lastRowFirstColumn="0" w:lastRowLastColumn="0"/>
              <w:rPr>
                <w:rStyle w:val="Strong"/>
              </w:rPr>
            </w:pPr>
            <w:r w:rsidRPr="006B29F1">
              <w:rPr>
                <w:rStyle w:val="Strong"/>
              </w:rPr>
              <w:t> </w:t>
            </w:r>
          </w:p>
        </w:tc>
        <w:tc>
          <w:tcPr>
            <w:tcW w:w="622" w:type="pct"/>
            <w:noWrap/>
          </w:tcPr>
          <w:p w:rsidR="006B29F1" w:rsidRPr="006B29F1" w:rsidRDefault="006B29F1" w:rsidP="006B29F1">
            <w:pPr>
              <w:cnfStyle w:val="000000010000" w:firstRow="0" w:lastRow="0" w:firstColumn="0" w:lastColumn="0" w:oddVBand="0" w:evenVBand="0" w:oddHBand="0" w:evenHBand="1" w:firstRowFirstColumn="0" w:firstRowLastColumn="0" w:lastRowFirstColumn="0" w:lastRowLastColumn="0"/>
              <w:rPr>
                <w:rStyle w:val="Strong"/>
              </w:rPr>
            </w:pPr>
            <w:r w:rsidRPr="006B29F1">
              <w:rPr>
                <w:rStyle w:val="Strong"/>
              </w:rPr>
              <w:t>6377.8</w:t>
            </w:r>
          </w:p>
        </w:tc>
      </w:tr>
    </w:tbl>
    <w:p w:rsidR="005E7DB7" w:rsidRDefault="005E7DB7" w:rsidP="005E7DB7">
      <w:pPr>
        <w:pStyle w:val="AERtablesource"/>
      </w:pPr>
      <w:r>
        <w:t>Source:</w:t>
      </w:r>
      <w:r>
        <w:tab/>
        <w:t>AER analysis.</w:t>
      </w:r>
    </w:p>
    <w:p w:rsidR="005E7DB7" w:rsidRDefault="005E7DB7" w:rsidP="005E7DB7">
      <w:pPr>
        <w:pStyle w:val="AERtablesource"/>
      </w:pPr>
      <w:r>
        <w:t>(a)</w:t>
      </w:r>
      <w:r>
        <w:tab/>
        <w:t>Net of disposals.</w:t>
      </w:r>
    </w:p>
    <w:p w:rsidR="005E7DB7" w:rsidRDefault="005E7DB7" w:rsidP="005E7DB7">
      <w:pPr>
        <w:pStyle w:val="AERtablesource"/>
      </w:pPr>
      <w:r>
        <w:t>(b)</w:t>
      </w:r>
      <w:r>
        <w:tab/>
        <w:t>Based on estimated capex.</w:t>
      </w:r>
    </w:p>
    <w:p w:rsidR="005B05C7" w:rsidRDefault="005B05C7" w:rsidP="005B05C7">
      <w:pPr>
        <w:pStyle w:val="Heading3"/>
      </w:pPr>
      <w:bookmarkStart w:id="28" w:name="_Ref411497323"/>
      <w:bookmarkStart w:id="29" w:name="_Toc413155787"/>
      <w:r>
        <w:lastRenderedPageBreak/>
        <w:t>Remaining tax asset lives</w:t>
      </w:r>
      <w:bookmarkEnd w:id="28"/>
      <w:bookmarkEnd w:id="29"/>
    </w:p>
    <w:p w:rsidR="00E22FCB" w:rsidRDefault="00E22FCB" w:rsidP="00E22FCB">
      <w:bookmarkStart w:id="30" w:name="_Ref411497337"/>
      <w:r w:rsidRPr="00E22FCB">
        <w:t xml:space="preserve">We do not accept Ergon Energy's </w:t>
      </w:r>
      <w:r w:rsidR="005E7DB7">
        <w:t xml:space="preserve">proposed </w:t>
      </w:r>
      <w:r w:rsidRPr="00E22FCB">
        <w:t xml:space="preserve">approach to </w:t>
      </w:r>
      <w:r w:rsidR="005E7DB7">
        <w:t>estimating</w:t>
      </w:r>
      <w:r w:rsidR="005E7DB7" w:rsidRPr="00E22FCB">
        <w:t xml:space="preserve"> </w:t>
      </w:r>
      <w:r w:rsidRPr="00E22FCB">
        <w:t xml:space="preserve">remaining </w:t>
      </w:r>
      <w:r>
        <w:t xml:space="preserve">tax </w:t>
      </w:r>
      <w:r w:rsidRPr="00E22FCB">
        <w:t xml:space="preserve">asset lives at 1 July 2015. </w:t>
      </w:r>
      <w:r w:rsidR="00165C5C">
        <w:t>Ergon Energy proposed to</w:t>
      </w:r>
      <w:r w:rsidR="00BE5D31">
        <w:t xml:space="preserve"> use the average depreciation approach to calculate remaining tax asset lives</w:t>
      </w:r>
      <w:r w:rsidR="00165C5C">
        <w:t xml:space="preserve">. </w:t>
      </w:r>
      <w:r w:rsidRPr="00E22FCB">
        <w:t xml:space="preserve">We have instead </w:t>
      </w:r>
      <w:r w:rsidR="00E37632">
        <w:t xml:space="preserve">determined remaining tax asset lives </w:t>
      </w:r>
      <w:r w:rsidRPr="00E22FCB">
        <w:t>us</w:t>
      </w:r>
      <w:r w:rsidR="00E37632">
        <w:t>ing</w:t>
      </w:r>
      <w:r w:rsidRPr="00E22FCB">
        <w:t xml:space="preserve"> </w:t>
      </w:r>
      <w:r w:rsidR="005E7DB7">
        <w:t xml:space="preserve">our preferred weighted </w:t>
      </w:r>
      <w:r w:rsidRPr="00E22FCB">
        <w:t>a</w:t>
      </w:r>
      <w:r w:rsidR="005E7DB7">
        <w:t>verage</w:t>
      </w:r>
      <w:r w:rsidRPr="00E22FCB">
        <w:t xml:space="preserve"> approach</w:t>
      </w:r>
      <w:r w:rsidR="005E7DB7">
        <w:t xml:space="preserve"> that rolls forward the </w:t>
      </w:r>
      <w:r w:rsidR="00CC0295">
        <w:t xml:space="preserve">approved </w:t>
      </w:r>
      <w:r w:rsidR="005E7DB7">
        <w:t>remaining tax asset lives at the start of the 2010–15 regulatory control period</w:t>
      </w:r>
      <w:r w:rsidR="00CC0295">
        <w:t xml:space="preserve"> having regard to the amount of capex incurred in that period</w:t>
      </w:r>
      <w:r w:rsidRPr="00E22FCB">
        <w:t>.</w:t>
      </w:r>
      <w:r>
        <w:t xml:space="preserve"> </w:t>
      </w:r>
    </w:p>
    <w:p w:rsidR="00E22FCB" w:rsidRDefault="00E37632" w:rsidP="00E22FCB">
      <w:r>
        <w:t xml:space="preserve">To calculate remaining tax asset lives, Ergon Energy used the same approach </w:t>
      </w:r>
      <w:r w:rsidR="00E22FCB" w:rsidRPr="00E22FCB">
        <w:t>to calculate t</w:t>
      </w:r>
      <w:r>
        <w:t xml:space="preserve">he RAB remaining asset lives. </w:t>
      </w:r>
      <w:r w:rsidR="00E22FCB" w:rsidRPr="00E22FCB">
        <w:t xml:space="preserve">For the same reasons as discussed in attachment </w:t>
      </w:r>
      <w:r>
        <w:t>5</w:t>
      </w:r>
      <w:r w:rsidR="00E22FCB" w:rsidRPr="00E22FCB">
        <w:t xml:space="preserve">, we have concerns with </w:t>
      </w:r>
      <w:r>
        <w:t>Ergon Energy</w:t>
      </w:r>
      <w:r w:rsidR="00E22FCB" w:rsidRPr="00E22FCB">
        <w:t>'s approach as it tends to result in lower lives. In particular, it does not control well for when assets expire. For example, an asset may expire at the end of 201</w:t>
      </w:r>
      <w:r>
        <w:t>5</w:t>
      </w:r>
      <w:r>
        <w:softHyphen/>
        <w:t>–16</w:t>
      </w:r>
      <w:r w:rsidR="00E22FCB" w:rsidRPr="00E22FCB">
        <w:t>, yet the depreciation associated with that asset for 201</w:t>
      </w:r>
      <w:r>
        <w:t>5–16</w:t>
      </w:r>
      <w:r w:rsidR="00E22FCB" w:rsidRPr="00E22FCB">
        <w:t xml:space="preserve"> is effectively assumed to continue into the future under </w:t>
      </w:r>
      <w:r>
        <w:t>Ergon Energy</w:t>
      </w:r>
      <w:r w:rsidR="00E22FCB" w:rsidRPr="00E22FCB">
        <w:t xml:space="preserve">'s approach. </w:t>
      </w:r>
      <w:r w:rsidRPr="00E37632">
        <w:t xml:space="preserve">Accordingly, we </w:t>
      </w:r>
      <w:r>
        <w:t xml:space="preserve">do not </w:t>
      </w:r>
      <w:r w:rsidRPr="00E37632">
        <w:t xml:space="preserve">accept </w:t>
      </w:r>
      <w:r>
        <w:t>Ergon Energy</w:t>
      </w:r>
      <w:r w:rsidRPr="00E37632">
        <w:t xml:space="preserve">'s proposed remaining tax asset lives for this </w:t>
      </w:r>
      <w:r>
        <w:t xml:space="preserve">preliminary </w:t>
      </w:r>
      <w:r w:rsidRPr="00E37632">
        <w:t>decision.</w:t>
      </w:r>
      <w:r>
        <w:t xml:space="preserve"> Instead we have used </w:t>
      </w:r>
      <w:r w:rsidR="00CC0295">
        <w:t>the weighted average</w:t>
      </w:r>
      <w:r>
        <w:t xml:space="preserve"> approach to determine the remaining tax asset lives at 1 July 2015.</w:t>
      </w:r>
    </w:p>
    <w:p w:rsidR="00E37632" w:rsidRDefault="00E37632" w:rsidP="00E22FCB">
      <w:r w:rsidRPr="00E37632">
        <w:t xml:space="preserve">For the </w:t>
      </w:r>
      <w:r w:rsidR="00BB553C">
        <w:t>substitute</w:t>
      </w:r>
      <w:r w:rsidRPr="00E37632">
        <w:t xml:space="preserve"> decision we will recalculate Ergon Energy's remaining </w:t>
      </w:r>
      <w:r>
        <w:t xml:space="preserve">tax </w:t>
      </w:r>
      <w:r w:rsidRPr="00E37632">
        <w:t>asset lives as at 1 July 2015 based on updated</w:t>
      </w:r>
      <w:r w:rsidR="00CC0295">
        <w:t xml:space="preserve"> capex</w:t>
      </w:r>
      <w:r w:rsidRPr="00E37632">
        <w:t xml:space="preserve"> inputs</w:t>
      </w:r>
      <w:r w:rsidR="00CC0295">
        <w:t xml:space="preserve"> in its RFM</w:t>
      </w:r>
      <w:r w:rsidRPr="00E37632">
        <w:t>.</w:t>
      </w:r>
      <w:r w:rsidR="00CC0295" w:rsidRPr="00CC0295">
        <w:rPr>
          <w:rStyle w:val="AERbody"/>
        </w:rPr>
        <w:t xml:space="preserve"> </w:t>
      </w:r>
      <w:r w:rsidR="00CC0295" w:rsidRPr="00242219">
        <w:rPr>
          <w:rStyle w:val="AERbody"/>
        </w:rPr>
        <w:t xml:space="preserve">This is because the actual capex values are inputs for calculating the weighted average remaining tax asset lives in the </w:t>
      </w:r>
      <w:r w:rsidR="00582CDB">
        <w:rPr>
          <w:rStyle w:val="AERbody"/>
        </w:rPr>
        <w:t>RFM</w:t>
      </w:r>
      <w:r>
        <w:t>.</w:t>
      </w:r>
      <w:r w:rsidR="00CC0295">
        <w:rPr>
          <w:rStyle w:val="FootnoteReference"/>
        </w:rPr>
        <w:footnoteReference w:id="13"/>
      </w:r>
    </w:p>
    <w:p w:rsidR="00582CDB" w:rsidRDefault="00582CDB" w:rsidP="00582CDB">
      <w:r>
        <w:t xml:space="preserve">We are satisfied the remaining </w:t>
      </w:r>
      <w:r w:rsidRPr="005F0D1A">
        <w:t>tax asset li</w:t>
      </w:r>
      <w:r>
        <w:t>ves</w:t>
      </w:r>
      <w:r w:rsidRPr="005F0D1A">
        <w:t xml:space="preserve"> </w:t>
      </w:r>
      <w:r>
        <w:t xml:space="preserve">estimated under the weighted average approach </w:t>
      </w:r>
      <w:r w:rsidRPr="005F0D1A">
        <w:t>provide</w:t>
      </w:r>
      <w:r>
        <w:t xml:space="preserve"> a better</w:t>
      </w:r>
      <w:r w:rsidRPr="005F0D1A">
        <w:t xml:space="preserve"> estimate of the tax depreciation amount for a benchmark efficie</w:t>
      </w:r>
      <w:r>
        <w:t>nt service provider as required by the NER.</w:t>
      </w:r>
      <w:r>
        <w:rPr>
          <w:rStyle w:val="FootnoteReference"/>
        </w:rPr>
        <w:footnoteReference w:id="14"/>
      </w:r>
    </w:p>
    <w:p w:rsidR="00582CDB" w:rsidRDefault="00582CDB" w:rsidP="00582CDB">
      <w:r w:rsidRPr="00582CDB">
        <w:fldChar w:fldCharType="begin"/>
      </w:r>
      <w:r w:rsidRPr="00582CDB">
        <w:instrText xml:space="preserve"> REF _Ref411514083 \h </w:instrText>
      </w:r>
      <w:r>
        <w:instrText xml:space="preserve"> \* MERGEFORMAT </w:instrText>
      </w:r>
      <w:r w:rsidRPr="00582CDB">
        <w:fldChar w:fldCharType="separate"/>
      </w:r>
      <w:r w:rsidR="006B29F1">
        <w:t>Table 8.4</w:t>
      </w:r>
      <w:r w:rsidRPr="00582CDB">
        <w:fldChar w:fldCharType="end"/>
      </w:r>
      <w:r w:rsidRPr="00582CDB">
        <w:t xml:space="preserve"> sets out our preliminary decision on the </w:t>
      </w:r>
      <w:r>
        <w:t>remaining</w:t>
      </w:r>
      <w:r w:rsidRPr="00582CDB">
        <w:t xml:space="preserve"> tax asset lives </w:t>
      </w:r>
      <w:r>
        <w:t xml:space="preserve">at 1 July 2015 </w:t>
      </w:r>
      <w:r w:rsidRPr="00582CDB">
        <w:t>for Ergon Energy</w:t>
      </w:r>
      <w:r>
        <w:t>.</w:t>
      </w:r>
    </w:p>
    <w:p w:rsidR="005B05C7" w:rsidRDefault="005B05C7" w:rsidP="00E22FCB">
      <w:pPr>
        <w:pStyle w:val="Heading3"/>
      </w:pPr>
      <w:bookmarkStart w:id="31" w:name="_Toc413155788"/>
      <w:bookmarkStart w:id="32" w:name="_Ref414894397"/>
      <w:r>
        <w:t>Standard tax asset lives</w:t>
      </w:r>
      <w:bookmarkEnd w:id="30"/>
      <w:bookmarkEnd w:id="31"/>
      <w:bookmarkEnd w:id="32"/>
    </w:p>
    <w:p w:rsidR="00FC7824" w:rsidRPr="007211B2" w:rsidRDefault="00FC7824" w:rsidP="00FC7824">
      <w:r w:rsidRPr="007211B2">
        <w:t xml:space="preserve">We accept </w:t>
      </w:r>
      <w:r>
        <w:t xml:space="preserve">Ergon Energy's </w:t>
      </w:r>
      <w:r w:rsidRPr="007211B2">
        <w:t>proposed standard tax asset lives because they are:</w:t>
      </w:r>
    </w:p>
    <w:p w:rsidR="00FC7824" w:rsidRPr="007211B2" w:rsidRDefault="00FC7824" w:rsidP="00FC7824">
      <w:pPr>
        <w:pStyle w:val="AERbulletlistfirststyle"/>
      </w:pPr>
      <w:r w:rsidRPr="007211B2">
        <w:t>broadly consistent with the values prescribed by the Commissioner for taxation in tax ruling 2014/4</w:t>
      </w:r>
      <w:r>
        <w:rPr>
          <w:rStyle w:val="FootnoteReference"/>
        </w:rPr>
        <w:footnoteReference w:id="15"/>
      </w:r>
      <w:r w:rsidRPr="007211B2">
        <w:t xml:space="preserve"> </w:t>
      </w:r>
    </w:p>
    <w:p w:rsidR="00FC7824" w:rsidRPr="007211B2" w:rsidRDefault="00FC7824" w:rsidP="00FC7824">
      <w:pPr>
        <w:pStyle w:val="AERbulletlistfirststyle"/>
      </w:pPr>
      <w:proofErr w:type="gramStart"/>
      <w:r w:rsidRPr="007211B2">
        <w:lastRenderedPageBreak/>
        <w:t>the</w:t>
      </w:r>
      <w:proofErr w:type="gramEnd"/>
      <w:r w:rsidRPr="007211B2">
        <w:t xml:space="preserve"> same as th</w:t>
      </w:r>
      <w:r>
        <w:t>e</w:t>
      </w:r>
      <w:r w:rsidRPr="007211B2">
        <w:t xml:space="preserve"> approved standard tax asset lives for the 20</w:t>
      </w:r>
      <w:r>
        <w:t>10</w:t>
      </w:r>
      <w:r w:rsidRPr="007211B2">
        <w:t>–1</w:t>
      </w:r>
      <w:r>
        <w:t>5</w:t>
      </w:r>
      <w:r w:rsidRPr="007211B2">
        <w:t xml:space="preserve"> regulatory control period. </w:t>
      </w:r>
    </w:p>
    <w:p w:rsidR="00FC7824" w:rsidRDefault="00FC7824" w:rsidP="00FC7824">
      <w:r w:rsidRPr="007211B2">
        <w:t>We are satisfied that the proposed standard tax asset lives remain appropriate for applying over the 201</w:t>
      </w:r>
      <w:r>
        <w:t>5</w:t>
      </w:r>
      <w:r w:rsidRPr="007211B2">
        <w:t>–</w:t>
      </w:r>
      <w:r>
        <w:t>20 regulatory control</w:t>
      </w:r>
      <w:r w:rsidRPr="007211B2">
        <w:t xml:space="preserve"> period.</w:t>
      </w:r>
      <w:r>
        <w:t xml:space="preserve"> </w:t>
      </w:r>
      <w:r w:rsidR="00676182" w:rsidRPr="00470CFB">
        <w:t xml:space="preserve">However, we have changed the standard tax asset life for the 'Equity raising costs' asset class </w:t>
      </w:r>
      <w:r w:rsidR="00676182">
        <w:t xml:space="preserve">from 'n/a' </w:t>
      </w:r>
      <w:r w:rsidR="00676182" w:rsidRPr="00470CFB">
        <w:t>to</w:t>
      </w:r>
      <w:r w:rsidR="00676182">
        <w:t xml:space="preserve"> 5 years. </w:t>
      </w:r>
      <w:r w:rsidR="00676182" w:rsidRPr="00470CFB">
        <w:t>This is because</w:t>
      </w:r>
      <w:r w:rsidR="00676182">
        <w:t xml:space="preserve"> </w:t>
      </w:r>
      <w:r w:rsidR="00676182" w:rsidRPr="00470CFB">
        <w:t>the Australian Taxation Office (ATO) requires equity raising costs to be amortised over a five-year</w:t>
      </w:r>
      <w:r w:rsidR="00676182">
        <w:t xml:space="preserve"> </w:t>
      </w:r>
      <w:r w:rsidR="00676182" w:rsidRPr="00470CFB">
        <w:t>period on a straight-line basis</w:t>
      </w:r>
      <w:r w:rsidR="00676182">
        <w:t>.</w:t>
      </w:r>
      <w:r w:rsidR="00676182">
        <w:rPr>
          <w:rStyle w:val="FootnoteReference"/>
        </w:rPr>
        <w:footnoteReference w:id="16"/>
      </w:r>
      <w:r w:rsidR="00676182">
        <w:t xml:space="preserve"> This is also consistent with the standard asset life for </w:t>
      </w:r>
      <w:r w:rsidR="00BB553C">
        <w:t>this asset class</w:t>
      </w:r>
      <w:r w:rsidR="00676182">
        <w:t xml:space="preserve"> approved at the 2010 distribution determination.</w:t>
      </w:r>
    </w:p>
    <w:p w:rsidR="005B05C7" w:rsidRDefault="00387CE9" w:rsidP="005B05C7">
      <w:pPr>
        <w:pStyle w:val="AERbulletlistfirststyle"/>
        <w:numPr>
          <w:ilvl w:val="0"/>
          <w:numId w:val="0"/>
        </w:numPr>
      </w:pPr>
      <w:r>
        <w:fldChar w:fldCharType="begin"/>
      </w:r>
      <w:r>
        <w:instrText xml:space="preserve"> REF _Ref411514083 \h </w:instrText>
      </w:r>
      <w:r>
        <w:fldChar w:fldCharType="separate"/>
      </w:r>
      <w:r w:rsidR="006B29F1">
        <w:t xml:space="preserve">Table </w:t>
      </w:r>
      <w:r w:rsidR="006B29F1">
        <w:rPr>
          <w:noProof/>
        </w:rPr>
        <w:t>8</w:t>
      </w:r>
      <w:r w:rsidR="006B29F1">
        <w:t>.</w:t>
      </w:r>
      <w:r w:rsidR="006B29F1">
        <w:rPr>
          <w:noProof/>
        </w:rPr>
        <w:t>4</w:t>
      </w:r>
      <w:r>
        <w:fldChar w:fldCharType="end"/>
      </w:r>
      <w:r>
        <w:t xml:space="preserve"> </w:t>
      </w:r>
      <w:r w:rsidR="00FC7824" w:rsidRPr="00FC7824">
        <w:t xml:space="preserve">sets out our preliminary decision on the standard tax asset lives for </w:t>
      </w:r>
      <w:r w:rsidR="00FC7824">
        <w:t>Ergon Energy</w:t>
      </w:r>
      <w:r w:rsidR="00FC7824" w:rsidRPr="00FC7824">
        <w:t>.</w:t>
      </w:r>
    </w:p>
    <w:p w:rsidR="00FC7824" w:rsidRDefault="00387CE9" w:rsidP="00387CE9">
      <w:pPr>
        <w:pStyle w:val="Caption"/>
      </w:pPr>
      <w:bookmarkStart w:id="33" w:name="_Ref411514083"/>
      <w:proofErr w:type="gramStart"/>
      <w:r>
        <w:t xml:space="preserve">Table </w:t>
      </w:r>
      <w:r w:rsidR="008F668C">
        <w:fldChar w:fldCharType="begin"/>
      </w:r>
      <w:r w:rsidR="008F668C">
        <w:instrText xml:space="preserve"> STYLEREF 1 \s </w:instrText>
      </w:r>
      <w:r w:rsidR="008F668C">
        <w:fldChar w:fldCharType="separate"/>
      </w:r>
      <w:r w:rsidR="006B29F1">
        <w:rPr>
          <w:noProof/>
        </w:rPr>
        <w:t>8</w:t>
      </w:r>
      <w:r w:rsidR="008F668C">
        <w:rPr>
          <w:noProof/>
        </w:rPr>
        <w:fldChar w:fldCharType="end"/>
      </w:r>
      <w:r>
        <w:t>.</w:t>
      </w:r>
      <w:proofErr w:type="gramEnd"/>
      <w:fldSimple w:instr=" SEQ Table \* ARABIC \s 1 ">
        <w:r w:rsidR="006B29F1">
          <w:rPr>
            <w:noProof/>
          </w:rPr>
          <w:t>4</w:t>
        </w:r>
      </w:fldSimple>
      <w:bookmarkEnd w:id="33"/>
      <w:r>
        <w:tab/>
      </w:r>
      <w:r w:rsidR="00FC7824" w:rsidRPr="00FC7824">
        <w:t xml:space="preserve">AER's preliminary decision on </w:t>
      </w:r>
      <w:r w:rsidR="00FC7824">
        <w:t>Ergon Energy</w:t>
      </w:r>
      <w:r w:rsidR="00FC7824" w:rsidRPr="00FC7824">
        <w:t>'s standard and remaining tax asset lives (years)</w:t>
      </w:r>
    </w:p>
    <w:tbl>
      <w:tblPr>
        <w:tblStyle w:val="AERtable-numbers"/>
        <w:tblW w:w="8518" w:type="dxa"/>
        <w:tblLook w:val="04A0" w:firstRow="1" w:lastRow="0" w:firstColumn="1" w:lastColumn="0" w:noHBand="0" w:noVBand="1"/>
      </w:tblPr>
      <w:tblGrid>
        <w:gridCol w:w="3067"/>
        <w:gridCol w:w="1999"/>
        <w:gridCol w:w="3452"/>
      </w:tblGrid>
      <w:tr w:rsidR="00387CE9" w:rsidRPr="00387CE9" w:rsidTr="00882EB7">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387CE9" w:rsidRPr="00387CE9" w:rsidRDefault="00387CE9" w:rsidP="00387CE9">
            <w:r w:rsidRPr="00387CE9">
              <w:t>Asset class</w:t>
            </w:r>
          </w:p>
        </w:tc>
        <w:tc>
          <w:tcPr>
            <w:tcW w:w="0" w:type="auto"/>
            <w:noWrap/>
            <w:hideMark/>
          </w:tcPr>
          <w:p w:rsidR="00387CE9" w:rsidRPr="00387CE9" w:rsidRDefault="00387CE9" w:rsidP="00387CE9">
            <w:pPr>
              <w:cnfStyle w:val="100000000000" w:firstRow="1" w:lastRow="0" w:firstColumn="0" w:lastColumn="0" w:oddVBand="0" w:evenVBand="0" w:oddHBand="0" w:evenHBand="0" w:firstRowFirstColumn="0" w:firstRowLastColumn="0" w:lastRowFirstColumn="0" w:lastRowLastColumn="0"/>
            </w:pPr>
            <w:r w:rsidRPr="00387CE9">
              <w:t xml:space="preserve">Standard </w:t>
            </w:r>
            <w:r>
              <w:t xml:space="preserve">tax </w:t>
            </w:r>
            <w:r w:rsidRPr="00387CE9">
              <w:t xml:space="preserve">asset life </w:t>
            </w:r>
          </w:p>
        </w:tc>
        <w:tc>
          <w:tcPr>
            <w:tcW w:w="3452" w:type="dxa"/>
            <w:noWrap/>
            <w:hideMark/>
          </w:tcPr>
          <w:p w:rsidR="00C873D9" w:rsidRDefault="00387CE9" w:rsidP="00582CDB">
            <w:pPr>
              <w:cnfStyle w:val="100000000000" w:firstRow="1" w:lastRow="0" w:firstColumn="0" w:lastColumn="0" w:oddVBand="0" w:evenVBand="0" w:oddHBand="0" w:evenHBand="0" w:firstRowFirstColumn="0" w:firstRowLastColumn="0" w:lastRowFirstColumn="0" w:lastRowLastColumn="0"/>
            </w:pPr>
            <w:r w:rsidRPr="00387CE9">
              <w:t xml:space="preserve">Remaining </w:t>
            </w:r>
            <w:r>
              <w:t xml:space="preserve">tax </w:t>
            </w:r>
            <w:r w:rsidRPr="00387CE9">
              <w:t>asset life</w:t>
            </w:r>
          </w:p>
          <w:p w:rsidR="00387CE9" w:rsidRPr="00387CE9" w:rsidRDefault="00387CE9" w:rsidP="00582CDB">
            <w:pPr>
              <w:cnfStyle w:val="100000000000" w:firstRow="1" w:lastRow="0" w:firstColumn="0" w:lastColumn="0" w:oddVBand="0" w:evenVBand="0" w:oddHBand="0" w:evenHBand="0" w:firstRowFirstColumn="0" w:firstRowLastColumn="0" w:lastRowFirstColumn="0" w:lastRowLastColumn="0"/>
            </w:pPr>
            <w:r w:rsidRPr="00387CE9">
              <w:t>as at 1 July 2015</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Overhead Sub-transmission lines</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45.0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21.0</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Underground Sub-transmission cables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50.0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35.3</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Overhead distribution lines</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45.0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32.2</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Underground distribution cables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50.0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37.3</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 xml:space="preserve">Distribution equipment  </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45.0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42.8</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Substation bays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35.7</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Substation establishment</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33.0</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Distribution substation switchgear</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34.8</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Zone transformers</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25.5</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Distribution transformers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25.2</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Low voltage services</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23.6</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Metering</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25.0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21.8</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 xml:space="preserve">Communications – pilot wires </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10.0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6.3</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Generation assets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15.0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14.3</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Other equipment</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37.6</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Control centre - SCADA</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10.0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6.1</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Land &amp; easements (system)</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n/a</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n/a</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tcPr>
          <w:p w:rsidR="00837CEC" w:rsidRPr="00837CEC" w:rsidRDefault="00837CEC" w:rsidP="00837CEC">
            <w:r w:rsidRPr="00837CEC">
              <w:lastRenderedPageBreak/>
              <w:t>Metering Type 5-6</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25.0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n/a</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Communications</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10.0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7.8</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IT systems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4.0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3.1</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Office equipment &amp; furniture</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10.0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7.1</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Motor vehicles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13.5</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9.7</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Plant &amp; equipment</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5.0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3.3</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Buildings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31.5</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Land &amp; easements</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n/a</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n/a</w:t>
            </w:r>
          </w:p>
        </w:tc>
      </w:tr>
      <w:tr w:rsidR="00837CEC" w:rsidRPr="00387CE9" w:rsidTr="00882EB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Land improvements</w:t>
            </w:r>
          </w:p>
        </w:tc>
        <w:tc>
          <w:tcPr>
            <w:tcW w:w="0" w:type="auto"/>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40.0</w:t>
            </w:r>
          </w:p>
        </w:tc>
        <w:tc>
          <w:tcPr>
            <w:tcW w:w="3452" w:type="dxa"/>
            <w:noWrap/>
            <w:vAlign w:val="bottom"/>
          </w:tcPr>
          <w:p w:rsidR="00837CEC" w:rsidRPr="00837CEC" w:rsidRDefault="00837CEC" w:rsidP="00837CEC">
            <w:pPr>
              <w:cnfStyle w:val="000000010000" w:firstRow="0" w:lastRow="0" w:firstColumn="0" w:lastColumn="0" w:oddVBand="0" w:evenVBand="0" w:oddHBand="0" w:evenHBand="1" w:firstRowFirstColumn="0" w:firstRowLastColumn="0" w:lastRowFirstColumn="0" w:lastRowLastColumn="0"/>
            </w:pPr>
            <w:r w:rsidRPr="00837CEC">
              <w:t>36.5</w:t>
            </w:r>
          </w:p>
        </w:tc>
      </w:tr>
      <w:tr w:rsidR="00837CEC" w:rsidRPr="00387CE9" w:rsidTr="00882EB7">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rsidR="00837CEC" w:rsidRPr="00837CEC" w:rsidRDefault="00837CEC" w:rsidP="00837CEC">
            <w:r w:rsidRPr="00837CEC">
              <w:t>Equity raising costs</w:t>
            </w:r>
          </w:p>
        </w:tc>
        <w:tc>
          <w:tcPr>
            <w:tcW w:w="0" w:type="auto"/>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5.0</w:t>
            </w:r>
          </w:p>
        </w:tc>
        <w:tc>
          <w:tcPr>
            <w:tcW w:w="3452" w:type="dxa"/>
            <w:noWrap/>
            <w:vAlign w:val="bottom"/>
          </w:tcPr>
          <w:p w:rsidR="00837CEC" w:rsidRPr="00837CEC" w:rsidRDefault="00837CEC" w:rsidP="00837CEC">
            <w:pPr>
              <w:cnfStyle w:val="000000000000" w:firstRow="0" w:lastRow="0" w:firstColumn="0" w:lastColumn="0" w:oddVBand="0" w:evenVBand="0" w:oddHBand="0" w:evenHBand="0" w:firstRowFirstColumn="0" w:firstRowLastColumn="0" w:lastRowFirstColumn="0" w:lastRowLastColumn="0"/>
            </w:pPr>
            <w:r w:rsidRPr="00837CEC">
              <w:t>1.0</w:t>
            </w:r>
          </w:p>
        </w:tc>
      </w:tr>
    </w:tbl>
    <w:p w:rsidR="000E5F13" w:rsidRDefault="000E5F13" w:rsidP="00882EB7">
      <w:pPr>
        <w:pStyle w:val="AERtablesource"/>
      </w:pPr>
      <w:r>
        <w:t xml:space="preserve">Source: </w:t>
      </w:r>
      <w:r>
        <w:tab/>
        <w:t xml:space="preserve">AER analysis. </w:t>
      </w:r>
    </w:p>
    <w:p w:rsidR="00387CE9" w:rsidRPr="00387CE9" w:rsidRDefault="000E5F13" w:rsidP="00882EB7">
      <w:pPr>
        <w:pStyle w:val="AERtablesource"/>
      </w:pPr>
      <w:r>
        <w:t>n/a:</w:t>
      </w:r>
      <w:r>
        <w:tab/>
        <w:t>not applicable.</w:t>
      </w:r>
    </w:p>
    <w:sectPr w:rsidR="00387CE9" w:rsidRPr="00387CE9"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F1" w:rsidRPr="00290C63" w:rsidRDefault="006B29F1" w:rsidP="00290C63">
      <w:r>
        <w:separator/>
      </w:r>
    </w:p>
    <w:p w:rsidR="006B29F1" w:rsidRDefault="006B29F1"/>
  </w:endnote>
  <w:endnote w:type="continuationSeparator" w:id="0">
    <w:p w:rsidR="006B29F1" w:rsidRPr="00290C63" w:rsidRDefault="006B29F1" w:rsidP="00290C63">
      <w:r>
        <w:continuationSeparator/>
      </w:r>
    </w:p>
    <w:p w:rsidR="006B29F1" w:rsidRDefault="006B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1" w:rsidRPr="00290C63" w:rsidRDefault="006B29F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B29F1" w:rsidRDefault="006B29F1"/>
  <w:p w:rsidR="006B29F1" w:rsidRDefault="006B29F1"/>
  <w:p w:rsidR="006B29F1" w:rsidRDefault="006B29F1"/>
  <w:p w:rsidR="006B29F1" w:rsidRDefault="006B29F1"/>
  <w:p w:rsidR="006B29F1" w:rsidRDefault="006B29F1"/>
  <w:p w:rsidR="006B29F1" w:rsidRDefault="006B29F1"/>
  <w:p w:rsidR="006B29F1" w:rsidRDefault="006B29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6B29F1" w:rsidRDefault="006B29F1">
        <w:pPr>
          <w:pStyle w:val="Footer"/>
        </w:pPr>
        <w:r>
          <w:t>8-</w:t>
        </w:r>
        <w:r>
          <w:fldChar w:fldCharType="begin"/>
        </w:r>
        <w:r>
          <w:instrText xml:space="preserve"> PAGE   \* MERGEFORMAT </w:instrText>
        </w:r>
        <w:r>
          <w:fldChar w:fldCharType="separate"/>
        </w:r>
        <w:r w:rsidR="008F668C">
          <w:rPr>
            <w:noProof/>
          </w:rPr>
          <w:t>3</w:t>
        </w:r>
        <w:r>
          <w:rPr>
            <w:noProof/>
          </w:rPr>
          <w:fldChar w:fldCharType="end"/>
        </w:r>
        <w:r>
          <w:rPr>
            <w:noProof/>
          </w:rPr>
          <w:t xml:space="preserve">      </w:t>
        </w:r>
        <w:r>
          <w:t xml:space="preserve">           </w:t>
        </w:r>
        <w:r>
          <w:rPr>
            <w:noProof/>
          </w:rPr>
          <w:t xml:space="preserve"> </w:t>
        </w:r>
        <w:r>
          <w:t xml:space="preserve">                   </w:t>
        </w:r>
        <w:r>
          <w:rPr>
            <w:noProof/>
          </w:rPr>
          <w:t xml:space="preserve"> Attachment 8 </w:t>
        </w:r>
        <w:r>
          <w:rPr>
            <w:rFonts w:cs="Gautami"/>
            <w:noProof/>
          </w:rPr>
          <w:t xml:space="preserve">– </w:t>
        </w:r>
        <w:r>
          <w:t>Corporate income tax</w:t>
        </w:r>
        <w:r>
          <w:rPr>
            <w:rFonts w:cs="Gautami"/>
            <w:noProof/>
          </w:rPr>
          <w:t xml:space="preserve"> | </w:t>
        </w:r>
        <w:r>
          <w:t>Ergon Energy</w:t>
        </w:r>
        <w:r>
          <w:rPr>
            <w:rFonts w:cs="Gautami"/>
            <w:noProof/>
          </w:rPr>
          <w:t xml:space="preserve"> determination 2015–20</w:t>
        </w:r>
      </w:p>
    </w:sdtContent>
  </w:sdt>
  <w:p w:rsidR="006B29F1" w:rsidRDefault="006B29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1" w:rsidRPr="00290C63" w:rsidRDefault="006B29F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B29F1" w:rsidRDefault="006B29F1">
    <w:pPr>
      <w:pStyle w:val="Footer"/>
    </w:pPr>
  </w:p>
  <w:p w:rsidR="006B29F1" w:rsidRDefault="006B29F1"/>
  <w:p w:rsidR="006B29F1" w:rsidRDefault="006B29F1"/>
  <w:p w:rsidR="006B29F1" w:rsidRDefault="006B29F1"/>
  <w:p w:rsidR="006B29F1" w:rsidRDefault="006B29F1"/>
  <w:p w:rsidR="006B29F1" w:rsidRDefault="006B29F1"/>
  <w:p w:rsidR="006B29F1" w:rsidRDefault="006B29F1"/>
  <w:p w:rsidR="006B29F1" w:rsidRDefault="006B2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F1" w:rsidRPr="00290C63" w:rsidRDefault="006B29F1" w:rsidP="00290C63">
      <w:r>
        <w:separator/>
      </w:r>
    </w:p>
    <w:p w:rsidR="006B29F1" w:rsidRDefault="006B29F1"/>
  </w:footnote>
  <w:footnote w:type="continuationSeparator" w:id="0">
    <w:p w:rsidR="006B29F1" w:rsidRPr="00290C63" w:rsidRDefault="006B29F1" w:rsidP="00290C63">
      <w:r>
        <w:continuationSeparator/>
      </w:r>
    </w:p>
    <w:p w:rsidR="006B29F1" w:rsidRDefault="006B29F1"/>
  </w:footnote>
  <w:footnote w:id="1">
    <w:p w:rsidR="006B29F1" w:rsidRDefault="006B29F1" w:rsidP="009F53E2">
      <w:pPr>
        <w:pStyle w:val="FootnoteText"/>
      </w:pPr>
      <w:r>
        <w:rPr>
          <w:rStyle w:val="FootnoteReference"/>
        </w:rPr>
        <w:footnoteRef/>
      </w:r>
      <w:r>
        <w:t xml:space="preserve"> </w:t>
      </w:r>
      <w:r>
        <w:tab/>
      </w:r>
      <w:r w:rsidRPr="0046015E">
        <w:t>NER, cl</w:t>
      </w:r>
      <w:r>
        <w:t>.</w:t>
      </w:r>
      <w:r w:rsidRPr="0046015E">
        <w:t xml:space="preserve"> 6.4.3(a</w:t>
      </w:r>
      <w:proofErr w:type="gramStart"/>
      <w:r w:rsidRPr="0046015E">
        <w:t>)(</w:t>
      </w:r>
      <w:proofErr w:type="gramEnd"/>
      <w:r w:rsidRPr="0046015E">
        <w:t>4).</w:t>
      </w:r>
    </w:p>
  </w:footnote>
  <w:footnote w:id="2">
    <w:p w:rsidR="006B29F1" w:rsidRDefault="006B29F1">
      <w:pPr>
        <w:pStyle w:val="FootnoteText"/>
      </w:pPr>
      <w:r>
        <w:rPr>
          <w:rStyle w:val="FootnoteReference"/>
        </w:rPr>
        <w:footnoteRef/>
      </w:r>
      <w:r>
        <w:t xml:space="preserve"> </w:t>
      </w:r>
      <w:r>
        <w:tab/>
      </w:r>
      <w:r w:rsidRPr="00845B6F">
        <w:t xml:space="preserve">Ergon Energy, </w:t>
      </w:r>
      <w:r w:rsidRPr="00845B6F">
        <w:rPr>
          <w:rStyle w:val="AERtextitalic"/>
        </w:rPr>
        <w:t>Regulatory Proposal</w:t>
      </w:r>
      <w:r>
        <w:t>, October 2014</w:t>
      </w:r>
      <w:r w:rsidRPr="00845B6F">
        <w:t xml:space="preserve">, </w:t>
      </w:r>
      <w:r>
        <w:t>Appendix C.</w:t>
      </w:r>
    </w:p>
  </w:footnote>
  <w:footnote w:id="3">
    <w:p w:rsidR="006B29F1" w:rsidRDefault="006B29F1">
      <w:pPr>
        <w:pStyle w:val="FootnoteText"/>
      </w:pPr>
      <w:r>
        <w:rPr>
          <w:rStyle w:val="FootnoteReference"/>
        </w:rPr>
        <w:footnoteRef/>
      </w:r>
      <w:r>
        <w:t xml:space="preserve"> </w:t>
      </w:r>
      <w:r>
        <w:tab/>
      </w:r>
      <w:r w:rsidRPr="00845B6F">
        <w:t xml:space="preserve">Ergon Energy, </w:t>
      </w:r>
      <w:r w:rsidRPr="00845B6F">
        <w:rPr>
          <w:rStyle w:val="AERtextitalic"/>
        </w:rPr>
        <w:t>Regulatory Proposal</w:t>
      </w:r>
      <w:r w:rsidRPr="00845B6F">
        <w:t>, October 2014, 03.01.01 – Ergon Energ</w:t>
      </w:r>
      <w:r>
        <w:t>y’s Building Block Components, p. 26.</w:t>
      </w:r>
    </w:p>
  </w:footnote>
  <w:footnote w:id="4">
    <w:p w:rsidR="006B29F1" w:rsidRDefault="006B29F1">
      <w:pPr>
        <w:pStyle w:val="FootnoteText"/>
      </w:pPr>
      <w:r>
        <w:rPr>
          <w:rStyle w:val="FootnoteReference"/>
        </w:rPr>
        <w:footnoteRef/>
      </w:r>
      <w:r>
        <w:t xml:space="preserve"> </w:t>
      </w:r>
      <w:r>
        <w:tab/>
        <w:t xml:space="preserve">Ergon Energy's average </w:t>
      </w:r>
      <w:r w:rsidRPr="004351B1">
        <w:t>depreciation approach to deriv</w:t>
      </w:r>
      <w:r>
        <w:t>ing</w:t>
      </w:r>
      <w:r w:rsidRPr="004351B1">
        <w:t xml:space="preserve"> the remaining </w:t>
      </w:r>
      <w:r>
        <w:t xml:space="preserve">tax </w:t>
      </w:r>
      <w:r w:rsidRPr="004351B1">
        <w:t xml:space="preserve">asset lives divides </w:t>
      </w:r>
      <w:r>
        <w:t xml:space="preserve">each asset class' </w:t>
      </w:r>
      <w:r w:rsidRPr="004351B1">
        <w:t xml:space="preserve">opening </w:t>
      </w:r>
      <w:r>
        <w:t>T</w:t>
      </w:r>
      <w:r w:rsidRPr="004351B1">
        <w:t xml:space="preserve">AB </w:t>
      </w:r>
      <w:r>
        <w:t xml:space="preserve">at 1 July 2015 </w:t>
      </w:r>
      <w:r w:rsidRPr="004351B1">
        <w:t xml:space="preserve">by the </w:t>
      </w:r>
      <w:r>
        <w:t xml:space="preserve">forecast </w:t>
      </w:r>
      <w:r w:rsidRPr="004351B1">
        <w:t>201</w:t>
      </w:r>
      <w:r>
        <w:t>5</w:t>
      </w:r>
      <w:r w:rsidRPr="004351B1">
        <w:t>–1</w:t>
      </w:r>
      <w:r>
        <w:t>6 tax depreciation for that asset class (from the RFM)</w:t>
      </w:r>
      <w:r w:rsidRPr="004351B1">
        <w:t>.</w:t>
      </w:r>
    </w:p>
  </w:footnote>
  <w:footnote w:id="5">
    <w:p w:rsidR="006B29F1" w:rsidRDefault="006B29F1" w:rsidP="003C4FF6">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6">
    <w:p w:rsidR="006B29F1" w:rsidRDefault="006B29F1" w:rsidP="00BD1CC7">
      <w:pPr>
        <w:pStyle w:val="FootnoteText"/>
      </w:pPr>
      <w:r>
        <w:rPr>
          <w:rStyle w:val="FootnoteReference"/>
        </w:rPr>
        <w:footnoteRef/>
      </w:r>
      <w:r>
        <w:t xml:space="preserve"> </w:t>
      </w:r>
      <w:r>
        <w:tab/>
      </w:r>
      <w:r w:rsidRPr="00667F06">
        <w:t xml:space="preserve">CCP, </w:t>
      </w:r>
      <w:r w:rsidRPr="009D1E22">
        <w:rPr>
          <w:rStyle w:val="AERtextitalic"/>
        </w:rPr>
        <w:t>CCP Sub-Panel submission on Energex, Ergon and SAPN revenues controls</w:t>
      </w:r>
      <w:r w:rsidRPr="00667F06">
        <w:t>, pp. 11–12</w:t>
      </w:r>
      <w:r w:rsidR="00035867">
        <w:t>.</w:t>
      </w:r>
    </w:p>
  </w:footnote>
  <w:footnote w:id="7">
    <w:p w:rsidR="006B29F1" w:rsidRDefault="006B29F1" w:rsidP="00BD1CC7">
      <w:pPr>
        <w:pStyle w:val="FootnoteText"/>
      </w:pPr>
      <w:r>
        <w:rPr>
          <w:rStyle w:val="FootnoteReference"/>
        </w:rPr>
        <w:footnoteRef/>
      </w:r>
      <w:r>
        <w:t xml:space="preserve"> </w:t>
      </w:r>
      <w:r>
        <w:tab/>
      </w:r>
      <w:proofErr w:type="gramStart"/>
      <w:r w:rsidRPr="0046015E">
        <w:t>NER, cl</w:t>
      </w:r>
      <w:r>
        <w:t>. 6.5.3.</w:t>
      </w:r>
      <w:proofErr w:type="gramEnd"/>
    </w:p>
  </w:footnote>
  <w:footnote w:id="8">
    <w:p w:rsidR="006B29F1" w:rsidRDefault="006B29F1" w:rsidP="00BD1CC7">
      <w:pPr>
        <w:pStyle w:val="FootnoteText"/>
      </w:pPr>
      <w:r>
        <w:rPr>
          <w:rStyle w:val="FootnoteReference"/>
        </w:rPr>
        <w:footnoteRef/>
      </w:r>
      <w:r>
        <w:t xml:space="preserve"> </w:t>
      </w:r>
      <w:r>
        <w:tab/>
      </w:r>
      <w:proofErr w:type="gramStart"/>
      <w:r w:rsidRPr="0046015E">
        <w:t xml:space="preserve">NER, </w:t>
      </w:r>
      <w:proofErr w:type="spellStart"/>
      <w:r w:rsidRPr="0046015E">
        <w:t>cl</w:t>
      </w:r>
      <w:r>
        <w:t>s</w:t>
      </w:r>
      <w:proofErr w:type="spellEnd"/>
      <w:r>
        <w:t>.</w:t>
      </w:r>
      <w:proofErr w:type="gramEnd"/>
      <w:r>
        <w:t xml:space="preserve"> 6.5.3 and 6.4.2</w:t>
      </w:r>
      <w:r w:rsidRPr="0046015E">
        <w:t>(</w:t>
      </w:r>
      <w:r>
        <w:t>b</w:t>
      </w:r>
      <w:proofErr w:type="gramStart"/>
      <w:r w:rsidRPr="0046015E">
        <w:t>)(</w:t>
      </w:r>
      <w:proofErr w:type="gramEnd"/>
      <w:r w:rsidRPr="0046015E">
        <w:t>4).</w:t>
      </w:r>
    </w:p>
  </w:footnote>
  <w:footnote w:id="9">
    <w:p w:rsidR="006B29F1" w:rsidRDefault="006B29F1" w:rsidP="003C4FF6">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10">
    <w:p w:rsidR="006B29F1" w:rsidRDefault="006B29F1" w:rsidP="003C4FF6">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1">
    <w:p w:rsidR="006B29F1" w:rsidRDefault="006B29F1">
      <w:pPr>
        <w:pStyle w:val="FootnoteText"/>
      </w:pPr>
      <w:r>
        <w:rPr>
          <w:rStyle w:val="FootnoteReference"/>
        </w:rPr>
        <w:footnoteRef/>
      </w:r>
      <w:r>
        <w:t xml:space="preserve"> </w:t>
      </w:r>
      <w:r>
        <w:tab/>
      </w:r>
      <w:r w:rsidRPr="00DE17C1">
        <w:t xml:space="preserve">Australian Taxation Office, </w:t>
      </w:r>
      <w:r w:rsidRPr="002C477D">
        <w:rPr>
          <w:rStyle w:val="AERtextitalic"/>
        </w:rPr>
        <w:t>Taxation Ruling Income tax: effective life of depreciating assets (applicable from 1 July 2014)</w:t>
      </w:r>
      <w:r>
        <w:t xml:space="preserve">, </w:t>
      </w:r>
      <w:r w:rsidRPr="00DE17C1">
        <w:t xml:space="preserve">August 2014, </w:t>
      </w:r>
      <w:r>
        <w:t>htt</w:t>
      </w:r>
      <w:r w:rsidRPr="00DE17C1">
        <w:t>tp://law.ato.gov.au/atolaw/view.htm?docid=%22TXR%2FTR20144%2FNAT%2FATO%2F00001%22</w:t>
      </w:r>
      <w:r w:rsidR="00035867">
        <w:t>.</w:t>
      </w:r>
    </w:p>
  </w:footnote>
  <w:footnote w:id="12">
    <w:p w:rsidR="006B29F1" w:rsidRDefault="006B29F1">
      <w:pPr>
        <w:pStyle w:val="FootnoteText"/>
      </w:pPr>
      <w:r>
        <w:rPr>
          <w:rStyle w:val="FootnoteReference"/>
        </w:rPr>
        <w:footnoteRef/>
      </w:r>
      <w:r>
        <w:t xml:space="preserve"> </w:t>
      </w:r>
      <w:r>
        <w:tab/>
        <w:t xml:space="preserve">At the time of this preliminary decision, the roll forward of Ergon Energy's TAB includes estimated capex values for </w:t>
      </w:r>
      <w:r>
        <w:br/>
        <w:t>2014–15. We will update the 2014–15 estimated capex values for the substitute decision.</w:t>
      </w:r>
    </w:p>
  </w:footnote>
  <w:footnote w:id="13">
    <w:p w:rsidR="006B29F1" w:rsidRDefault="006B29F1">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Ergon Energy's TAB</w:t>
      </w:r>
      <w:r w:rsidRPr="008914BF">
        <w:t xml:space="preserve"> includes </w:t>
      </w:r>
      <w:r>
        <w:t>estimated</w:t>
      </w:r>
      <w:r w:rsidRPr="008914BF">
        <w:t xml:space="preserve"> capex</w:t>
      </w:r>
      <w:r>
        <w:t xml:space="preserve"> values</w:t>
      </w:r>
      <w:r w:rsidRPr="008914BF">
        <w:t xml:space="preserve"> for </w:t>
      </w:r>
      <w:r>
        <w:t xml:space="preserve">2014–15. </w:t>
      </w:r>
      <w:r w:rsidRPr="00516A5D">
        <w:t>We will update the 201</w:t>
      </w:r>
      <w:r>
        <w:t>4</w:t>
      </w:r>
      <w:r w:rsidRPr="00516A5D">
        <w:t>–1</w:t>
      </w:r>
      <w:r>
        <w:t>5</w:t>
      </w:r>
      <w:r w:rsidRPr="00516A5D">
        <w:t xml:space="preserve"> estimated capex value</w:t>
      </w:r>
      <w:r>
        <w:t xml:space="preserve">s </w:t>
      </w:r>
      <w:r w:rsidRPr="00516A5D">
        <w:t xml:space="preserve">for the </w:t>
      </w:r>
      <w:r>
        <w:t>substitute</w:t>
      </w:r>
      <w:r w:rsidRPr="00516A5D">
        <w:t xml:space="preserve"> decision</w:t>
      </w:r>
      <w:r>
        <w:t>. The 2014–15</w:t>
      </w:r>
      <w:r w:rsidRPr="008914BF">
        <w:t xml:space="preserve"> capex </w:t>
      </w:r>
      <w:r>
        <w:t>values are</w:t>
      </w:r>
      <w:r w:rsidRPr="008914BF">
        <w:t xml:space="preserve"> used to calculate the weighted average remaining </w:t>
      </w:r>
      <w:r>
        <w:t xml:space="preserve">tax </w:t>
      </w:r>
      <w:r w:rsidRPr="008914BF">
        <w:t xml:space="preserve">asset lives </w:t>
      </w:r>
      <w:r>
        <w:t>in the RFM</w:t>
      </w:r>
      <w:r w:rsidRPr="008914BF">
        <w:t xml:space="preserve">. Therefore, </w:t>
      </w:r>
      <w:r>
        <w:t>for the substitute decision we</w:t>
      </w:r>
      <w:r w:rsidRPr="008914BF">
        <w:t xml:space="preserve"> </w:t>
      </w:r>
      <w:r>
        <w:t>will</w:t>
      </w:r>
      <w:r w:rsidRPr="008914BF">
        <w:t xml:space="preserve"> recalculate </w:t>
      </w:r>
      <w:r>
        <w:t>Ergon Energy's</w:t>
      </w:r>
      <w:r w:rsidRPr="008914BF">
        <w:t xml:space="preserve"> remaining</w:t>
      </w:r>
      <w:r>
        <w:t xml:space="preserve"> tax</w:t>
      </w:r>
      <w:r w:rsidRPr="008914BF">
        <w:t xml:space="preserve"> asset lives</w:t>
      </w:r>
      <w:r>
        <w:t xml:space="preserve"> as at 1 July 2015</w:t>
      </w:r>
      <w:r w:rsidRPr="008914BF">
        <w:t xml:space="preserve"> using the method approved in this </w:t>
      </w:r>
      <w:r>
        <w:t>preliminary</w:t>
      </w:r>
      <w:r w:rsidRPr="008914BF">
        <w:t xml:space="preserve"> decision</w:t>
      </w:r>
      <w:r>
        <w:t>.</w:t>
      </w:r>
    </w:p>
  </w:footnote>
  <w:footnote w:id="14">
    <w:p w:rsidR="006B29F1" w:rsidRDefault="006B29F1" w:rsidP="00582CDB">
      <w:pPr>
        <w:pStyle w:val="FootnoteText"/>
      </w:pPr>
      <w:r>
        <w:rPr>
          <w:rStyle w:val="FootnoteReference"/>
        </w:rPr>
        <w:footnoteRef/>
      </w:r>
      <w:r>
        <w:t xml:space="preserve"> </w:t>
      </w:r>
      <w:r>
        <w:tab/>
      </w:r>
      <w:proofErr w:type="gramStart"/>
      <w:r w:rsidRPr="005F0D1A">
        <w:t xml:space="preserve">NER, </w:t>
      </w:r>
      <w:r>
        <w:t>cl</w:t>
      </w:r>
      <w:r w:rsidRPr="005F0D1A">
        <w:t xml:space="preserve"> 6</w:t>
      </w:r>
      <w:r>
        <w:t>.5.3</w:t>
      </w:r>
      <w:r w:rsidRPr="005F0D1A">
        <w:t>.</w:t>
      </w:r>
      <w:proofErr w:type="gramEnd"/>
    </w:p>
  </w:footnote>
  <w:footnote w:id="15">
    <w:p w:rsidR="006B29F1" w:rsidRPr="007211B2" w:rsidRDefault="006B29F1" w:rsidP="00FC7824">
      <w:pPr>
        <w:pStyle w:val="FootnoteText"/>
        <w:rPr>
          <w:color w:val="0000FF"/>
          <w:sz w:val="22"/>
          <w:u w:val="single"/>
        </w:rPr>
      </w:pPr>
      <w:r>
        <w:rPr>
          <w:rStyle w:val="FootnoteReference"/>
        </w:rPr>
        <w:footnoteRef/>
      </w:r>
      <w:r>
        <w:t xml:space="preserve"> </w:t>
      </w:r>
      <w:r>
        <w:tab/>
      </w:r>
      <w:r w:rsidRPr="007211B2">
        <w:t xml:space="preserve">ATO, </w:t>
      </w:r>
      <w:r w:rsidRPr="000E5F13">
        <w:rPr>
          <w:rStyle w:val="AERtextitalic"/>
        </w:rPr>
        <w:t>Taxation Ruling Income tax: effective life of depreciating assets</w:t>
      </w:r>
      <w:r w:rsidRPr="00882EB7">
        <w:rPr>
          <w:rStyle w:val="AERtextitalic"/>
        </w:rPr>
        <w:t xml:space="preserve"> (applicable from 1 July 2014)</w:t>
      </w:r>
      <w:r w:rsidRPr="007211B2">
        <w:t xml:space="preserve">, August 2014, </w:t>
      </w:r>
      <w:hyperlink r:id="rId1" w:history="1">
        <w:r w:rsidRPr="007211B2">
          <w:rPr>
            <w:rStyle w:val="Hyperlink"/>
            <w:color w:val="auto"/>
            <w:sz w:val="16"/>
            <w:u w:val="none"/>
          </w:rPr>
          <w:t>http://law.ato.gov.au/atolaw/view.htm?docid=%22TXR%2FTR20144%2FNAT%2FATO%2F00001%22</w:t>
        </w:r>
      </w:hyperlink>
      <w:r w:rsidRPr="007211B2">
        <w:t xml:space="preserve">, accessed on </w:t>
      </w:r>
      <w:r>
        <w:t>06</w:t>
      </w:r>
      <w:r w:rsidRPr="007211B2">
        <w:t xml:space="preserve"> </w:t>
      </w:r>
      <w:r>
        <w:t>January</w:t>
      </w:r>
      <w:r w:rsidRPr="007211B2">
        <w:t xml:space="preserve"> 201</w:t>
      </w:r>
      <w:r>
        <w:t>5</w:t>
      </w:r>
      <w:r w:rsidRPr="007211B2">
        <w:t>.</w:t>
      </w:r>
    </w:p>
  </w:footnote>
  <w:footnote w:id="16">
    <w:p w:rsidR="006B29F1" w:rsidRDefault="006B29F1" w:rsidP="00676182">
      <w:pPr>
        <w:pStyle w:val="FootnoteText"/>
      </w:pPr>
      <w:r>
        <w:rPr>
          <w:rStyle w:val="FootnoteReference"/>
        </w:rPr>
        <w:footnoteRef/>
      </w:r>
      <w:r>
        <w:t xml:space="preserve"> </w:t>
      </w:r>
      <w:r>
        <w:tab/>
      </w:r>
      <w:r w:rsidRPr="00470CFB">
        <w:t xml:space="preserve">ATO, </w:t>
      </w:r>
      <w:r w:rsidRPr="00470CFB">
        <w:rPr>
          <w:rStyle w:val="AERtextitalic"/>
        </w:rPr>
        <w:t>Guide to depreciating assets 2001-02: Business related costs—section 40-880 deductions</w:t>
      </w:r>
      <w:r w:rsidRPr="00470CFB">
        <w:t>, ATO reference; NONAT7170, p.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35F2D49E"/>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6E6566A5"/>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3"/>
  </w:num>
  <w:num w:numId="17">
    <w:abstractNumId w:val="9"/>
  </w:num>
  <w:num w:numId="18">
    <w:abstractNumId w:val="16"/>
  </w:num>
  <w:num w:numId="19">
    <w:abstractNumId w:val="24"/>
  </w:num>
  <w:num w:numId="20">
    <w:abstractNumId w:val="32"/>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31"/>
  </w:num>
  <w:num w:numId="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aK2K/p4Z4i+HfPSUJfgneDxVeNb2Z4WXivdGxVxaxI=" w:saltValue="bwGqnJYNN2aY3qA+xxwDVQ==" w:algorithmName="SHA-256"/>
  <w:defaultTabStop w:val="34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040\AER15 201  NEW - Ergon - prelim decision - Attach 18 - Connection policy.DOCX"/>
  </w:docVars>
  <w:rsids>
    <w:rsidRoot w:val="00961A4A"/>
    <w:rsid w:val="00021202"/>
    <w:rsid w:val="0002517F"/>
    <w:rsid w:val="0003578C"/>
    <w:rsid w:val="00035867"/>
    <w:rsid w:val="00063247"/>
    <w:rsid w:val="00070F9F"/>
    <w:rsid w:val="0007137B"/>
    <w:rsid w:val="00085663"/>
    <w:rsid w:val="00085EBF"/>
    <w:rsid w:val="000A3020"/>
    <w:rsid w:val="000A6C7B"/>
    <w:rsid w:val="000B7C98"/>
    <w:rsid w:val="000D122C"/>
    <w:rsid w:val="000E1819"/>
    <w:rsid w:val="000E4821"/>
    <w:rsid w:val="000E5F13"/>
    <w:rsid w:val="000E6C72"/>
    <w:rsid w:val="00113F5D"/>
    <w:rsid w:val="00116EB2"/>
    <w:rsid w:val="001201F1"/>
    <w:rsid w:val="00124609"/>
    <w:rsid w:val="00126A4C"/>
    <w:rsid w:val="0014573B"/>
    <w:rsid w:val="001573E4"/>
    <w:rsid w:val="00160756"/>
    <w:rsid w:val="00165C5C"/>
    <w:rsid w:val="0017232E"/>
    <w:rsid w:val="00174102"/>
    <w:rsid w:val="00180157"/>
    <w:rsid w:val="00185CB9"/>
    <w:rsid w:val="00186F77"/>
    <w:rsid w:val="001926A4"/>
    <w:rsid w:val="00192AD5"/>
    <w:rsid w:val="001B45A0"/>
    <w:rsid w:val="001C1AE0"/>
    <w:rsid w:val="001D055E"/>
    <w:rsid w:val="001F492E"/>
    <w:rsid w:val="001F6DA3"/>
    <w:rsid w:val="002010BC"/>
    <w:rsid w:val="00202E03"/>
    <w:rsid w:val="0020492C"/>
    <w:rsid w:val="00214D55"/>
    <w:rsid w:val="00224DB9"/>
    <w:rsid w:val="00233775"/>
    <w:rsid w:val="00251745"/>
    <w:rsid w:val="00251E1D"/>
    <w:rsid w:val="00263AC0"/>
    <w:rsid w:val="00264264"/>
    <w:rsid w:val="0026772D"/>
    <w:rsid w:val="00286874"/>
    <w:rsid w:val="00290C63"/>
    <w:rsid w:val="00296B65"/>
    <w:rsid w:val="002A7DEF"/>
    <w:rsid w:val="002B58EA"/>
    <w:rsid w:val="002E7B22"/>
    <w:rsid w:val="002F7986"/>
    <w:rsid w:val="00301B40"/>
    <w:rsid w:val="003029EE"/>
    <w:rsid w:val="00305CC8"/>
    <w:rsid w:val="00307F6D"/>
    <w:rsid w:val="003177A2"/>
    <w:rsid w:val="003271B5"/>
    <w:rsid w:val="00327A1E"/>
    <w:rsid w:val="00331264"/>
    <w:rsid w:val="00334C8D"/>
    <w:rsid w:val="00343A18"/>
    <w:rsid w:val="003518B3"/>
    <w:rsid w:val="00357031"/>
    <w:rsid w:val="003846F1"/>
    <w:rsid w:val="00387CE9"/>
    <w:rsid w:val="003B484F"/>
    <w:rsid w:val="003C4FF6"/>
    <w:rsid w:val="003F174D"/>
    <w:rsid w:val="00446716"/>
    <w:rsid w:val="0045777E"/>
    <w:rsid w:val="00480B4B"/>
    <w:rsid w:val="00485D89"/>
    <w:rsid w:val="00485DC4"/>
    <w:rsid w:val="004A43D1"/>
    <w:rsid w:val="004B4412"/>
    <w:rsid w:val="004C348C"/>
    <w:rsid w:val="004D2433"/>
    <w:rsid w:val="004D55BA"/>
    <w:rsid w:val="004E22EC"/>
    <w:rsid w:val="00530128"/>
    <w:rsid w:val="00532467"/>
    <w:rsid w:val="00564A4D"/>
    <w:rsid w:val="00567BA5"/>
    <w:rsid w:val="00571B35"/>
    <w:rsid w:val="00571D57"/>
    <w:rsid w:val="00577A09"/>
    <w:rsid w:val="005829C2"/>
    <w:rsid w:val="00582CDB"/>
    <w:rsid w:val="00584D8F"/>
    <w:rsid w:val="005A404D"/>
    <w:rsid w:val="005B05C7"/>
    <w:rsid w:val="005B1E3C"/>
    <w:rsid w:val="005C26CC"/>
    <w:rsid w:val="005D7BA2"/>
    <w:rsid w:val="005E36C2"/>
    <w:rsid w:val="005E7DB7"/>
    <w:rsid w:val="00615C6B"/>
    <w:rsid w:val="00621DCE"/>
    <w:rsid w:val="00632D6D"/>
    <w:rsid w:val="00642C3E"/>
    <w:rsid w:val="0066104A"/>
    <w:rsid w:val="00663DAD"/>
    <w:rsid w:val="00675E20"/>
    <w:rsid w:val="00676182"/>
    <w:rsid w:val="00676679"/>
    <w:rsid w:val="00683C89"/>
    <w:rsid w:val="006B2395"/>
    <w:rsid w:val="006B29F1"/>
    <w:rsid w:val="006B4CF9"/>
    <w:rsid w:val="006B7AC8"/>
    <w:rsid w:val="006D550F"/>
    <w:rsid w:val="006E6202"/>
    <w:rsid w:val="00701CAB"/>
    <w:rsid w:val="00707563"/>
    <w:rsid w:val="0072348C"/>
    <w:rsid w:val="00724A37"/>
    <w:rsid w:val="007303C3"/>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6C88"/>
    <w:rsid w:val="0081034E"/>
    <w:rsid w:val="008344F6"/>
    <w:rsid w:val="0083510F"/>
    <w:rsid w:val="00837CEC"/>
    <w:rsid w:val="00845B6F"/>
    <w:rsid w:val="00851209"/>
    <w:rsid w:val="00882EB7"/>
    <w:rsid w:val="008837AC"/>
    <w:rsid w:val="008A4FB6"/>
    <w:rsid w:val="008A587D"/>
    <w:rsid w:val="008B35CD"/>
    <w:rsid w:val="008B4F03"/>
    <w:rsid w:val="008B5FCC"/>
    <w:rsid w:val="008C5486"/>
    <w:rsid w:val="008D1661"/>
    <w:rsid w:val="008E7031"/>
    <w:rsid w:val="008E77DE"/>
    <w:rsid w:val="008F07A3"/>
    <w:rsid w:val="008F2DD6"/>
    <w:rsid w:val="008F668C"/>
    <w:rsid w:val="00900E1B"/>
    <w:rsid w:val="0091729A"/>
    <w:rsid w:val="009233EE"/>
    <w:rsid w:val="009460AA"/>
    <w:rsid w:val="00951978"/>
    <w:rsid w:val="00961A4A"/>
    <w:rsid w:val="009661DE"/>
    <w:rsid w:val="00976188"/>
    <w:rsid w:val="00983C25"/>
    <w:rsid w:val="009856B7"/>
    <w:rsid w:val="00985C86"/>
    <w:rsid w:val="009A5DA8"/>
    <w:rsid w:val="009A5FC3"/>
    <w:rsid w:val="009B74B0"/>
    <w:rsid w:val="009D6B46"/>
    <w:rsid w:val="009F4940"/>
    <w:rsid w:val="009F53E2"/>
    <w:rsid w:val="009F5BA1"/>
    <w:rsid w:val="00A02A88"/>
    <w:rsid w:val="00A0562E"/>
    <w:rsid w:val="00A0726D"/>
    <w:rsid w:val="00A32FBB"/>
    <w:rsid w:val="00A428EE"/>
    <w:rsid w:val="00A4478A"/>
    <w:rsid w:val="00A44852"/>
    <w:rsid w:val="00A47FE5"/>
    <w:rsid w:val="00A57D04"/>
    <w:rsid w:val="00A60A26"/>
    <w:rsid w:val="00A61598"/>
    <w:rsid w:val="00A72B78"/>
    <w:rsid w:val="00A84A99"/>
    <w:rsid w:val="00A84F46"/>
    <w:rsid w:val="00A871F4"/>
    <w:rsid w:val="00A96A02"/>
    <w:rsid w:val="00AC1B2C"/>
    <w:rsid w:val="00AC3264"/>
    <w:rsid w:val="00AE1BF1"/>
    <w:rsid w:val="00AF0DD2"/>
    <w:rsid w:val="00B13048"/>
    <w:rsid w:val="00B1716D"/>
    <w:rsid w:val="00B17A1D"/>
    <w:rsid w:val="00B207A0"/>
    <w:rsid w:val="00B514DD"/>
    <w:rsid w:val="00B52AF0"/>
    <w:rsid w:val="00B561BD"/>
    <w:rsid w:val="00B56E03"/>
    <w:rsid w:val="00B8080B"/>
    <w:rsid w:val="00B87BA5"/>
    <w:rsid w:val="00B87C39"/>
    <w:rsid w:val="00BA4665"/>
    <w:rsid w:val="00BB2FB2"/>
    <w:rsid w:val="00BB3304"/>
    <w:rsid w:val="00BB553C"/>
    <w:rsid w:val="00BD1CC7"/>
    <w:rsid w:val="00BD3446"/>
    <w:rsid w:val="00BE1F1B"/>
    <w:rsid w:val="00BE47B5"/>
    <w:rsid w:val="00BE5D31"/>
    <w:rsid w:val="00C25FA6"/>
    <w:rsid w:val="00C538A9"/>
    <w:rsid w:val="00C53B5A"/>
    <w:rsid w:val="00C54F5A"/>
    <w:rsid w:val="00C569B4"/>
    <w:rsid w:val="00C56CCB"/>
    <w:rsid w:val="00C67A92"/>
    <w:rsid w:val="00C86679"/>
    <w:rsid w:val="00C873D9"/>
    <w:rsid w:val="00C911E9"/>
    <w:rsid w:val="00CA489E"/>
    <w:rsid w:val="00CB0279"/>
    <w:rsid w:val="00CB666B"/>
    <w:rsid w:val="00CC0295"/>
    <w:rsid w:val="00CC7ED2"/>
    <w:rsid w:val="00CC7F1D"/>
    <w:rsid w:val="00CE3005"/>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2FCB"/>
    <w:rsid w:val="00E23993"/>
    <w:rsid w:val="00E25B8C"/>
    <w:rsid w:val="00E37632"/>
    <w:rsid w:val="00E57429"/>
    <w:rsid w:val="00E65C85"/>
    <w:rsid w:val="00E66199"/>
    <w:rsid w:val="00E755EC"/>
    <w:rsid w:val="00E7624D"/>
    <w:rsid w:val="00EA3D42"/>
    <w:rsid w:val="00EA6B1B"/>
    <w:rsid w:val="00ED7323"/>
    <w:rsid w:val="00EE28F3"/>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74E2"/>
    <w:rsid w:val="00FC10C4"/>
    <w:rsid w:val="00FC782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485D8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485D8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04657145">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4659584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995FC17</Template>
  <TotalTime>0</TotalTime>
  <Pages>15</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2015-04-27T05:43:00Z</dcterms:created>
  <dcterms:modified xsi:type="dcterms:W3CDTF">2015-04-27T05:43:00Z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8355470</vt:lpwstr>
  </property>
</Properties>
</file>