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0428E7E4" wp14:editId="3054C376">
                <wp:simplePos x="0" y="0"/>
                <wp:positionH relativeFrom="column">
                  <wp:posOffset>-1140444</wp:posOffset>
                </wp:positionH>
                <wp:positionV relativeFrom="paragraph">
                  <wp:posOffset>-1031358</wp:posOffset>
                </wp:positionV>
                <wp:extent cx="7697248" cy="10813311"/>
                <wp:effectExtent l="0" t="0" r="0" b="762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97248" cy="10813311"/>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E6F7B" w:rsidRDefault="005E6F7B" w:rsidP="00F171E0"/>
        <w:p w:rsidR="00F171E0" w:rsidRDefault="00F171E0" w:rsidP="00F171E0"/>
        <w:p w:rsidR="00327A1E" w:rsidRDefault="00DA4752" w:rsidP="008F07A3">
          <w:pPr>
            <w:pStyle w:val="ReportSubtitle"/>
          </w:pPr>
          <w:r>
            <w:t>PRELIMINARY DECISION</w:t>
          </w:r>
        </w:p>
        <w:p w:rsidR="000A6C7B" w:rsidRDefault="00A73D60" w:rsidP="008F07A3">
          <w:pPr>
            <w:pStyle w:val="ReportSubtitle"/>
          </w:pPr>
          <w:r>
            <w:t>Ergon Energy</w:t>
          </w:r>
          <w:r w:rsidR="00DA4752">
            <w:t xml:space="preserve"> determination 2015</w:t>
          </w:r>
          <w:r w:rsidR="00DA4752">
            <w:rPr>
              <w:rFonts w:cs="Arial"/>
            </w:rPr>
            <w:t>−</w:t>
          </w:r>
          <w:r w:rsidR="00DA4752">
            <w:t>16 to 2019</w:t>
          </w:r>
          <w:r w:rsidR="00DA4752">
            <w:rPr>
              <w:rFonts w:cs="Arial"/>
            </w:rPr>
            <w:t>−</w:t>
          </w:r>
          <w:r w:rsidR="00DA4752">
            <w:t>20</w:t>
          </w:r>
        </w:p>
        <w:p w:rsidR="008F07A3" w:rsidRPr="000A6C7B" w:rsidRDefault="008F07A3" w:rsidP="008F07A3">
          <w:pPr>
            <w:pStyle w:val="ReportSubtitle"/>
          </w:pPr>
        </w:p>
        <w:p w:rsidR="000A6C7B" w:rsidRPr="000A6C7B" w:rsidRDefault="00521204" w:rsidP="008F07A3">
          <w:pPr>
            <w:pStyle w:val="ReportSubtitle"/>
          </w:pPr>
          <w:r>
            <w:t>Overview</w:t>
          </w:r>
        </w:p>
        <w:p w:rsidR="000A6C7B" w:rsidRPr="00327A1E" w:rsidRDefault="00DA4752" w:rsidP="00327A1E">
          <w:pPr>
            <w:pStyle w:val="ReportDate"/>
          </w:pPr>
          <w:r>
            <w:t>April 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A6C7B" w:rsidRDefault="000A6C7B" w:rsidP="000A6C7B">
      <w:pPr>
        <w:pStyle w:val="Copyright"/>
      </w:pPr>
      <w:r>
        <w:t>Requests and inquiries concerning reproduction and rights should be addressed to the Director, Corporate Communications</w:t>
      </w:r>
      <w:proofErr w:type="gramStart"/>
      <w:r>
        <w:t>,</w:t>
      </w:r>
      <w:proofErr w:type="gramEnd"/>
      <w:r w:rsidR="00983C25">
        <w:br/>
      </w:r>
      <w:r>
        <w:t xml:space="preserve">Australian Competition and Consumer Commission, </w:t>
      </w:r>
      <w:r w:rsidR="00983C25">
        <w:br/>
      </w:r>
      <w:r>
        <w:t>GPO Box 4141, Canberra ACT 2601</w:t>
      </w:r>
      <w:r w:rsidR="00983C25">
        <w:br/>
      </w: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5D7BA2" w:rsidRDefault="000A6C7B" w:rsidP="008F07A3">
      <w:pPr>
        <w:pStyle w:val="Copyright"/>
      </w:pPr>
      <w:r>
        <w:t xml:space="preserve">Email: </w:t>
      </w:r>
      <w:hyperlink r:id="rId11" w:history="1">
        <w:r w:rsidRPr="00D64888">
          <w:rPr>
            <w:rStyle w:val="Hyperlink"/>
          </w:rPr>
          <w:t>AERInquiry@aer.gov.au</w:t>
        </w:r>
      </w:hyperlink>
      <w:r w:rsidR="00951978">
        <w:rPr>
          <w:rStyle w:val="Hyperlink"/>
        </w:rPr>
        <w:br/>
      </w:r>
    </w:p>
    <w:p w:rsidR="00521204" w:rsidRDefault="00521204">
      <w:pPr>
        <w:spacing w:line="240" w:lineRule="auto"/>
      </w:pPr>
      <w:r>
        <w:br w:type="page"/>
      </w:r>
    </w:p>
    <w:p w:rsidR="008F07A3" w:rsidRDefault="00DA61F3" w:rsidP="008F07A3">
      <w:pPr>
        <w:pStyle w:val="UnnumberedHeading"/>
        <w:numPr>
          <w:ilvl w:val="0"/>
          <w:numId w:val="24"/>
        </w:numPr>
      </w:pPr>
      <w:bookmarkStart w:id="0" w:name="_Toc404354899"/>
      <w:bookmarkStart w:id="1" w:name="_Toc404353070"/>
      <w:bookmarkStart w:id="2" w:name="_Toc404684201"/>
      <w:bookmarkStart w:id="3" w:name="_Toc404700923"/>
      <w:bookmarkStart w:id="4" w:name="_Toc418685490"/>
      <w:r>
        <w:lastRenderedPageBreak/>
        <w:t>N</w:t>
      </w:r>
      <w:r w:rsidR="008F07A3">
        <w:t>ote</w:t>
      </w:r>
      <w:bookmarkEnd w:id="0"/>
      <w:bookmarkEnd w:id="1"/>
      <w:bookmarkEnd w:id="2"/>
      <w:bookmarkEnd w:id="3"/>
      <w:bookmarkEnd w:id="4"/>
    </w:p>
    <w:p w:rsidR="008F07A3" w:rsidRDefault="008F07A3" w:rsidP="008F07A3">
      <w:pPr>
        <w:numPr>
          <w:ilvl w:val="0"/>
          <w:numId w:val="25"/>
        </w:numPr>
      </w:pPr>
      <w:r>
        <w:t xml:space="preserve">This </w:t>
      </w:r>
      <w:r w:rsidR="00D44A58">
        <w:t>overview</w:t>
      </w:r>
      <w:r>
        <w:t xml:space="preserve"> forms part of the AER's preliminary decision </w:t>
      </w:r>
      <w:r w:rsidR="00AE735C">
        <w:t xml:space="preserve">on </w:t>
      </w:r>
      <w:r w:rsidR="008E1976">
        <w:t>Ergon Energy</w:t>
      </w:r>
      <w:r w:rsidR="00AE735C">
        <w:t>'s</w:t>
      </w:r>
      <w:r>
        <w:t xml:space="preserve"> 2015–</w:t>
      </w:r>
      <w:r w:rsidR="008D184C">
        <w:t>20</w:t>
      </w:r>
      <w:r>
        <w:t xml:space="preserve"> distribution determination. It should be read with </w:t>
      </w:r>
      <w:r w:rsidR="005D6860">
        <w:t xml:space="preserve">all </w:t>
      </w:r>
      <w:r>
        <w:t>other parts of the preliminary decision.</w:t>
      </w:r>
    </w:p>
    <w:p w:rsidR="008F07A3" w:rsidRDefault="008F07A3" w:rsidP="008F07A3">
      <w:pPr>
        <w:numPr>
          <w:ilvl w:val="0"/>
          <w:numId w:val="25"/>
        </w:numPr>
      </w:pPr>
      <w:r>
        <w:t>The preliminary decision includes the following documents:</w:t>
      </w:r>
    </w:p>
    <w:p w:rsidR="008F07A3" w:rsidRDefault="008F07A3" w:rsidP="008F07A3">
      <w:pPr>
        <w:numPr>
          <w:ilvl w:val="0"/>
          <w:numId w:val="25"/>
        </w:numPr>
      </w:pPr>
      <w:r>
        <w:t>Overview</w:t>
      </w:r>
    </w:p>
    <w:p w:rsidR="008F07A3" w:rsidRDefault="008F07A3" w:rsidP="008F07A3">
      <w:pPr>
        <w:numPr>
          <w:ilvl w:val="0"/>
          <w:numId w:val="25"/>
        </w:numPr>
      </w:pPr>
      <w:r>
        <w:t>Attachment 1 – Annual revenue requirement</w:t>
      </w:r>
    </w:p>
    <w:p w:rsidR="008F07A3" w:rsidRDefault="008F07A3" w:rsidP="008F07A3">
      <w:pPr>
        <w:numPr>
          <w:ilvl w:val="0"/>
          <w:numId w:val="25"/>
        </w:numPr>
      </w:pPr>
      <w:r>
        <w:t>Attachment 2 – Regulatory asset base</w:t>
      </w:r>
    </w:p>
    <w:p w:rsidR="008F07A3" w:rsidRDefault="008F07A3" w:rsidP="008F07A3">
      <w:pPr>
        <w:numPr>
          <w:ilvl w:val="0"/>
          <w:numId w:val="25"/>
        </w:numPr>
      </w:pPr>
      <w:r>
        <w:t>Attachment 3 – Rate of return</w:t>
      </w:r>
    </w:p>
    <w:p w:rsidR="008F07A3" w:rsidRDefault="008F07A3" w:rsidP="008F07A3">
      <w:pPr>
        <w:numPr>
          <w:ilvl w:val="0"/>
          <w:numId w:val="25"/>
        </w:numPr>
      </w:pPr>
      <w:r>
        <w:t>Attachment 4 – Value of imputation credits</w:t>
      </w:r>
    </w:p>
    <w:p w:rsidR="008F07A3" w:rsidRDefault="008F07A3" w:rsidP="008F07A3">
      <w:pPr>
        <w:numPr>
          <w:ilvl w:val="0"/>
          <w:numId w:val="25"/>
        </w:numPr>
      </w:pPr>
      <w:r>
        <w:t>Attachment 5 – Regulatory depreciation</w:t>
      </w:r>
    </w:p>
    <w:p w:rsidR="008F07A3" w:rsidRDefault="008F07A3" w:rsidP="008F07A3">
      <w:pPr>
        <w:numPr>
          <w:ilvl w:val="0"/>
          <w:numId w:val="25"/>
        </w:numPr>
      </w:pPr>
      <w:r>
        <w:t xml:space="preserve">Attachment 6 – Capital expenditure </w:t>
      </w:r>
    </w:p>
    <w:p w:rsidR="008F07A3" w:rsidRDefault="008F07A3" w:rsidP="008F07A3">
      <w:pPr>
        <w:numPr>
          <w:ilvl w:val="0"/>
          <w:numId w:val="25"/>
        </w:numPr>
      </w:pPr>
      <w:r>
        <w:t>Attachment 7 – Operating expenditure</w:t>
      </w:r>
    </w:p>
    <w:p w:rsidR="008F07A3" w:rsidRDefault="008F07A3" w:rsidP="008F07A3">
      <w:pPr>
        <w:numPr>
          <w:ilvl w:val="0"/>
          <w:numId w:val="25"/>
        </w:numPr>
      </w:pPr>
      <w:r>
        <w:t>Attachment 8 – Corporate income tax</w:t>
      </w:r>
    </w:p>
    <w:p w:rsidR="008F07A3" w:rsidRDefault="008F07A3" w:rsidP="008F07A3">
      <w:pPr>
        <w:numPr>
          <w:ilvl w:val="0"/>
          <w:numId w:val="25"/>
        </w:numPr>
      </w:pPr>
      <w:r>
        <w:t>Attachment 9 – Efficiency benefit sharing scheme</w:t>
      </w:r>
    </w:p>
    <w:p w:rsidR="008F07A3" w:rsidRDefault="008F07A3" w:rsidP="008F07A3">
      <w:pPr>
        <w:numPr>
          <w:ilvl w:val="0"/>
          <w:numId w:val="25"/>
        </w:numPr>
      </w:pPr>
      <w:r>
        <w:t>Attachment 10 – Capital expenditure sharing scheme</w:t>
      </w:r>
    </w:p>
    <w:p w:rsidR="008F07A3" w:rsidRDefault="008F07A3" w:rsidP="008F07A3">
      <w:pPr>
        <w:numPr>
          <w:ilvl w:val="0"/>
          <w:numId w:val="25"/>
        </w:numPr>
      </w:pPr>
      <w:r>
        <w:t>Attachment 11 – Service target performance incentive scheme</w:t>
      </w:r>
    </w:p>
    <w:p w:rsidR="008F07A3" w:rsidRDefault="008F07A3" w:rsidP="008F07A3">
      <w:pPr>
        <w:numPr>
          <w:ilvl w:val="0"/>
          <w:numId w:val="25"/>
        </w:numPr>
      </w:pPr>
      <w:r>
        <w:t>Attachment 12 – Demand management incentive scheme</w:t>
      </w:r>
    </w:p>
    <w:p w:rsidR="008F07A3" w:rsidRDefault="008F07A3" w:rsidP="008F07A3">
      <w:pPr>
        <w:numPr>
          <w:ilvl w:val="0"/>
          <w:numId w:val="25"/>
        </w:numPr>
      </w:pPr>
      <w:r>
        <w:t>Attachment 13 – Classification of services</w:t>
      </w:r>
    </w:p>
    <w:p w:rsidR="008F07A3" w:rsidRDefault="008F07A3" w:rsidP="008F07A3">
      <w:pPr>
        <w:numPr>
          <w:ilvl w:val="0"/>
          <w:numId w:val="25"/>
        </w:numPr>
      </w:pPr>
      <w:r>
        <w:t>Attachment 14 – Control mechanism</w:t>
      </w:r>
    </w:p>
    <w:p w:rsidR="008F07A3" w:rsidRDefault="008F07A3" w:rsidP="008F07A3">
      <w:pPr>
        <w:numPr>
          <w:ilvl w:val="0"/>
          <w:numId w:val="25"/>
        </w:numPr>
      </w:pPr>
      <w:r>
        <w:t>Attachment 15 – Pass through events</w:t>
      </w:r>
    </w:p>
    <w:p w:rsidR="008F07A3" w:rsidRDefault="008F07A3" w:rsidP="008F07A3">
      <w:pPr>
        <w:numPr>
          <w:ilvl w:val="0"/>
          <w:numId w:val="25"/>
        </w:numPr>
      </w:pPr>
      <w:r>
        <w:t>Attachment 16 – Alternative control services</w:t>
      </w:r>
    </w:p>
    <w:p w:rsidR="008F07A3" w:rsidRDefault="008F07A3" w:rsidP="008F07A3">
      <w:pPr>
        <w:numPr>
          <w:ilvl w:val="0"/>
          <w:numId w:val="25"/>
        </w:numPr>
      </w:pPr>
      <w:r>
        <w:t>Attachment 17 – Negotiated services framework and criteria</w:t>
      </w:r>
    </w:p>
    <w:p w:rsidR="008F07A3" w:rsidRPr="008B6C33" w:rsidRDefault="008F07A3" w:rsidP="008F07A3">
      <w:pPr>
        <w:numPr>
          <w:ilvl w:val="0"/>
          <w:numId w:val="25"/>
        </w:numPr>
      </w:pPr>
      <w:r>
        <w:t xml:space="preserve">Attachment 18 – Connection </w:t>
      </w:r>
      <w:r w:rsidR="00C77A8D">
        <w:t>policy</w:t>
      </w:r>
    </w:p>
    <w:p w:rsidR="008F07A3" w:rsidRPr="008F07A3" w:rsidRDefault="008F07A3" w:rsidP="008F07A3">
      <w:pPr>
        <w:sectPr w:rsidR="008F07A3" w:rsidRPr="008F07A3" w:rsidSect="00DE563D">
          <w:footerReference w:type="even" r:id="rId12"/>
          <w:footerReference w:type="default" r:id="rId13"/>
          <w:footerReference w:type="first" r:id="rId14"/>
          <w:pgSz w:w="11906" w:h="16838" w:code="9"/>
          <w:pgMar w:top="1440" w:right="1700" w:bottom="1582" w:left="1729" w:header="720" w:footer="0" w:gutter="0"/>
          <w:pgNumType w:start="0"/>
          <w:cols w:space="720"/>
          <w:docGrid w:linePitch="326"/>
        </w:sectPr>
      </w:pPr>
    </w:p>
    <w:p w:rsidR="00DE563D" w:rsidRPr="00A72B34" w:rsidRDefault="00DE563D" w:rsidP="00DE563D">
      <w:pPr>
        <w:pStyle w:val="UnnumberedHeading"/>
        <w:numPr>
          <w:ilvl w:val="0"/>
          <w:numId w:val="24"/>
        </w:numPr>
      </w:pPr>
      <w:bookmarkStart w:id="5" w:name="_Toc403144133"/>
      <w:bookmarkStart w:id="6" w:name="_Toc418685491"/>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5A2CA6" w:rsidRDefault="005E6437">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"1-3" \h \z \u \t "Heading 7,1,Heading 8,2,Heading 9,3" </w:instrText>
          </w:r>
          <w:r>
            <w:rPr>
              <w:color w:val="auto"/>
              <w:sz w:val="22"/>
            </w:rPr>
            <w:fldChar w:fldCharType="separate"/>
          </w:r>
          <w:hyperlink w:anchor="_Toc418685490" w:history="1">
            <w:r w:rsidR="005A2CA6" w:rsidRPr="00021AE1">
              <w:rPr>
                <w:rStyle w:val="Hyperlink"/>
              </w:rPr>
              <w:t>Note</w:t>
            </w:r>
            <w:r w:rsidR="005A2CA6">
              <w:rPr>
                <w:webHidden/>
              </w:rPr>
              <w:tab/>
            </w:r>
            <w:r w:rsidR="005A2CA6">
              <w:rPr>
                <w:webHidden/>
              </w:rPr>
              <w:fldChar w:fldCharType="begin"/>
            </w:r>
            <w:r w:rsidR="005A2CA6">
              <w:rPr>
                <w:webHidden/>
              </w:rPr>
              <w:instrText xml:space="preserve"> PAGEREF _Toc418685490 \h </w:instrText>
            </w:r>
            <w:r w:rsidR="005A2CA6">
              <w:rPr>
                <w:webHidden/>
              </w:rPr>
            </w:r>
            <w:r w:rsidR="005A2CA6">
              <w:rPr>
                <w:webHidden/>
              </w:rPr>
              <w:fldChar w:fldCharType="separate"/>
            </w:r>
            <w:r w:rsidR="005A2CA6">
              <w:rPr>
                <w:webHidden/>
              </w:rPr>
              <w:t>2</w:t>
            </w:r>
            <w:r w:rsidR="005A2CA6">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491" w:history="1">
            <w:r w:rsidRPr="00021AE1">
              <w:rPr>
                <w:rStyle w:val="Hyperlink"/>
              </w:rPr>
              <w:t>Contents</w:t>
            </w:r>
            <w:r>
              <w:rPr>
                <w:webHidden/>
              </w:rPr>
              <w:tab/>
            </w:r>
            <w:r>
              <w:rPr>
                <w:webHidden/>
              </w:rPr>
              <w:fldChar w:fldCharType="begin"/>
            </w:r>
            <w:r>
              <w:rPr>
                <w:webHidden/>
              </w:rPr>
              <w:instrText xml:space="preserve"> PAGEREF _Toc418685491 \h </w:instrText>
            </w:r>
            <w:r>
              <w:rPr>
                <w:webHidden/>
              </w:rPr>
            </w:r>
            <w:r>
              <w:rPr>
                <w:webHidden/>
              </w:rPr>
              <w:fldChar w:fldCharType="separate"/>
            </w:r>
            <w:r>
              <w:rPr>
                <w:webHidden/>
              </w:rPr>
              <w:t>3</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492" w:history="1">
            <w:r w:rsidRPr="00021AE1">
              <w:rPr>
                <w:rStyle w:val="Hyperlink"/>
              </w:rPr>
              <w:t>Shortened forms</w:t>
            </w:r>
            <w:r>
              <w:rPr>
                <w:webHidden/>
              </w:rPr>
              <w:tab/>
            </w:r>
            <w:r>
              <w:rPr>
                <w:webHidden/>
              </w:rPr>
              <w:fldChar w:fldCharType="begin"/>
            </w:r>
            <w:r>
              <w:rPr>
                <w:webHidden/>
              </w:rPr>
              <w:instrText xml:space="preserve"> PAGEREF _Toc418685492 \h </w:instrText>
            </w:r>
            <w:r>
              <w:rPr>
                <w:webHidden/>
              </w:rPr>
            </w:r>
            <w:r>
              <w:rPr>
                <w:webHidden/>
              </w:rPr>
              <w:fldChar w:fldCharType="separate"/>
            </w:r>
            <w:r>
              <w:rPr>
                <w:webHidden/>
              </w:rPr>
              <w:t>5</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493" w:history="1">
            <w:r w:rsidRPr="00021AE1">
              <w:rPr>
                <w:rStyle w:val="Hyperlink"/>
              </w:rPr>
              <w:t>1</w:t>
            </w:r>
            <w:r>
              <w:rPr>
                <w:rFonts w:asciiTheme="minorHAnsi" w:eastAsiaTheme="minorEastAsia" w:hAnsiTheme="minorHAnsi"/>
                <w:b w:val="0"/>
                <w:color w:val="auto"/>
                <w:sz w:val="22"/>
                <w:lang w:val="en-AU" w:eastAsia="en-AU"/>
              </w:rPr>
              <w:tab/>
            </w:r>
            <w:r w:rsidRPr="00021AE1">
              <w:rPr>
                <w:rStyle w:val="Hyperlink"/>
              </w:rPr>
              <w:t>Our preliminary decision</w:t>
            </w:r>
            <w:r>
              <w:rPr>
                <w:webHidden/>
              </w:rPr>
              <w:tab/>
            </w:r>
            <w:r>
              <w:rPr>
                <w:webHidden/>
              </w:rPr>
              <w:fldChar w:fldCharType="begin"/>
            </w:r>
            <w:r>
              <w:rPr>
                <w:webHidden/>
              </w:rPr>
              <w:instrText xml:space="preserve"> PAGEREF _Toc418685493 \h </w:instrText>
            </w:r>
            <w:r>
              <w:rPr>
                <w:webHidden/>
              </w:rPr>
            </w:r>
            <w:r>
              <w:rPr>
                <w:webHidden/>
              </w:rPr>
              <w:fldChar w:fldCharType="separate"/>
            </w:r>
            <w:r>
              <w:rPr>
                <w:webHidden/>
              </w:rPr>
              <w:t>7</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494" w:history="1">
            <w:r w:rsidRPr="00021AE1">
              <w:rPr>
                <w:rStyle w:val="Hyperlink"/>
              </w:rPr>
              <w:t>1.1</w:t>
            </w:r>
            <w:r>
              <w:rPr>
                <w:rFonts w:asciiTheme="minorHAnsi" w:eastAsiaTheme="minorEastAsia" w:hAnsiTheme="minorHAnsi"/>
                <w:b w:val="0"/>
                <w:color w:val="auto"/>
                <w:sz w:val="22"/>
                <w:lang w:eastAsia="en-AU"/>
              </w:rPr>
              <w:tab/>
            </w:r>
            <w:r w:rsidRPr="00021AE1">
              <w:rPr>
                <w:rStyle w:val="Hyperlink"/>
              </w:rPr>
              <w:t>Decision</w:t>
            </w:r>
            <w:r>
              <w:rPr>
                <w:webHidden/>
              </w:rPr>
              <w:tab/>
            </w:r>
            <w:r>
              <w:rPr>
                <w:webHidden/>
              </w:rPr>
              <w:fldChar w:fldCharType="begin"/>
            </w:r>
            <w:r>
              <w:rPr>
                <w:webHidden/>
              </w:rPr>
              <w:instrText xml:space="preserve"> PAGEREF _Toc418685494 \h </w:instrText>
            </w:r>
            <w:r>
              <w:rPr>
                <w:webHidden/>
              </w:rPr>
            </w:r>
            <w:r>
              <w:rPr>
                <w:webHidden/>
              </w:rPr>
              <w:fldChar w:fldCharType="separate"/>
            </w:r>
            <w:r>
              <w:rPr>
                <w:webHidden/>
              </w:rPr>
              <w:t>8</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495" w:history="1">
            <w:r w:rsidRPr="00021AE1">
              <w:rPr>
                <w:rStyle w:val="Hyperlink"/>
              </w:rPr>
              <w:t>1.2</w:t>
            </w:r>
            <w:r>
              <w:rPr>
                <w:rFonts w:asciiTheme="minorHAnsi" w:eastAsiaTheme="minorEastAsia" w:hAnsiTheme="minorHAnsi"/>
                <w:b w:val="0"/>
                <w:color w:val="auto"/>
                <w:sz w:val="22"/>
                <w:lang w:eastAsia="en-AU"/>
              </w:rPr>
              <w:tab/>
            </w:r>
            <w:r w:rsidRPr="00021AE1">
              <w:rPr>
                <w:rStyle w:val="Hyperlink"/>
              </w:rPr>
              <w:t>Contribution to the achievement of the NEO</w:t>
            </w:r>
            <w:r>
              <w:rPr>
                <w:webHidden/>
              </w:rPr>
              <w:tab/>
            </w:r>
            <w:r>
              <w:rPr>
                <w:webHidden/>
              </w:rPr>
              <w:fldChar w:fldCharType="begin"/>
            </w:r>
            <w:r>
              <w:rPr>
                <w:webHidden/>
              </w:rPr>
              <w:instrText xml:space="preserve"> PAGEREF _Toc418685495 \h </w:instrText>
            </w:r>
            <w:r>
              <w:rPr>
                <w:webHidden/>
              </w:rPr>
            </w:r>
            <w:r>
              <w:rPr>
                <w:webHidden/>
              </w:rPr>
              <w:fldChar w:fldCharType="separate"/>
            </w:r>
            <w:r>
              <w:rPr>
                <w:webHidden/>
              </w:rPr>
              <w:t>11</w:t>
            </w:r>
            <w:r>
              <w:rPr>
                <w:webHidden/>
              </w:rPr>
              <w:fldChar w:fldCharType="end"/>
            </w:r>
          </w:hyperlink>
        </w:p>
        <w:p w:rsidR="005A2CA6" w:rsidRDefault="005A2CA6">
          <w:pPr>
            <w:pStyle w:val="TOC3"/>
            <w:rPr>
              <w:rFonts w:asciiTheme="minorHAnsi" w:eastAsiaTheme="minorEastAsia" w:hAnsiTheme="minorHAnsi"/>
              <w:lang w:eastAsia="en-AU"/>
            </w:rPr>
          </w:pPr>
          <w:hyperlink w:anchor="_Toc418685496" w:history="1">
            <w:r w:rsidRPr="00021AE1">
              <w:rPr>
                <w:rStyle w:val="Hyperlink"/>
              </w:rPr>
              <w:t>1.2.1</w:t>
            </w:r>
            <w:r>
              <w:rPr>
                <w:rFonts w:asciiTheme="minorHAnsi" w:eastAsiaTheme="minorEastAsia" w:hAnsiTheme="minorHAnsi"/>
                <w:lang w:eastAsia="en-AU"/>
              </w:rPr>
              <w:tab/>
            </w:r>
            <w:r w:rsidRPr="00021AE1">
              <w:rPr>
                <w:rStyle w:val="Hyperlink"/>
              </w:rPr>
              <w:t>Rate of return</w:t>
            </w:r>
            <w:r>
              <w:rPr>
                <w:webHidden/>
              </w:rPr>
              <w:tab/>
            </w:r>
            <w:r>
              <w:rPr>
                <w:webHidden/>
              </w:rPr>
              <w:fldChar w:fldCharType="begin"/>
            </w:r>
            <w:r>
              <w:rPr>
                <w:webHidden/>
              </w:rPr>
              <w:instrText xml:space="preserve"> PAGEREF _Toc418685496 \h </w:instrText>
            </w:r>
            <w:r>
              <w:rPr>
                <w:webHidden/>
              </w:rPr>
            </w:r>
            <w:r>
              <w:rPr>
                <w:webHidden/>
              </w:rPr>
              <w:fldChar w:fldCharType="separate"/>
            </w:r>
            <w:r>
              <w:rPr>
                <w:webHidden/>
              </w:rPr>
              <w:t>13</w:t>
            </w:r>
            <w:r>
              <w:rPr>
                <w:webHidden/>
              </w:rPr>
              <w:fldChar w:fldCharType="end"/>
            </w:r>
          </w:hyperlink>
        </w:p>
        <w:p w:rsidR="005A2CA6" w:rsidRDefault="005A2CA6">
          <w:pPr>
            <w:pStyle w:val="TOC3"/>
            <w:rPr>
              <w:rFonts w:asciiTheme="minorHAnsi" w:eastAsiaTheme="minorEastAsia" w:hAnsiTheme="minorHAnsi"/>
              <w:lang w:eastAsia="en-AU"/>
            </w:rPr>
          </w:pPr>
          <w:hyperlink w:anchor="_Toc418685497" w:history="1">
            <w:r w:rsidRPr="00021AE1">
              <w:rPr>
                <w:rStyle w:val="Hyperlink"/>
              </w:rPr>
              <w:t>1.2.2</w:t>
            </w:r>
            <w:r>
              <w:rPr>
                <w:rFonts w:asciiTheme="minorHAnsi" w:eastAsiaTheme="minorEastAsia" w:hAnsiTheme="minorHAnsi"/>
                <w:lang w:eastAsia="en-AU"/>
              </w:rPr>
              <w:tab/>
            </w:r>
            <w:r w:rsidRPr="00021AE1">
              <w:rPr>
                <w:rStyle w:val="Hyperlink"/>
              </w:rPr>
              <w:t>Operating expenditure</w:t>
            </w:r>
            <w:r>
              <w:rPr>
                <w:webHidden/>
              </w:rPr>
              <w:tab/>
            </w:r>
            <w:r>
              <w:rPr>
                <w:webHidden/>
              </w:rPr>
              <w:fldChar w:fldCharType="begin"/>
            </w:r>
            <w:r>
              <w:rPr>
                <w:webHidden/>
              </w:rPr>
              <w:instrText xml:space="preserve"> PAGEREF _Toc418685497 \h </w:instrText>
            </w:r>
            <w:r>
              <w:rPr>
                <w:webHidden/>
              </w:rPr>
            </w:r>
            <w:r>
              <w:rPr>
                <w:webHidden/>
              </w:rPr>
              <w:fldChar w:fldCharType="separate"/>
            </w:r>
            <w:r>
              <w:rPr>
                <w:webHidden/>
              </w:rPr>
              <w:t>14</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498" w:history="1">
            <w:r w:rsidRPr="00021AE1">
              <w:rPr>
                <w:rStyle w:val="Hyperlink"/>
              </w:rPr>
              <w:t>1.3</w:t>
            </w:r>
            <w:r>
              <w:rPr>
                <w:rFonts w:asciiTheme="minorHAnsi" w:eastAsiaTheme="minorEastAsia" w:hAnsiTheme="minorHAnsi"/>
                <w:b w:val="0"/>
                <w:color w:val="auto"/>
                <w:sz w:val="22"/>
                <w:lang w:eastAsia="en-AU"/>
              </w:rPr>
              <w:tab/>
            </w:r>
            <w:r w:rsidRPr="00021AE1">
              <w:rPr>
                <w:rStyle w:val="Hyperlink"/>
              </w:rPr>
              <w:t>Assessment of options under the NEO</w:t>
            </w:r>
            <w:r>
              <w:rPr>
                <w:webHidden/>
              </w:rPr>
              <w:tab/>
            </w:r>
            <w:r>
              <w:rPr>
                <w:webHidden/>
              </w:rPr>
              <w:fldChar w:fldCharType="begin"/>
            </w:r>
            <w:r>
              <w:rPr>
                <w:webHidden/>
              </w:rPr>
              <w:instrText xml:space="preserve"> PAGEREF _Toc418685498 \h </w:instrText>
            </w:r>
            <w:r>
              <w:rPr>
                <w:webHidden/>
              </w:rPr>
            </w:r>
            <w:r>
              <w:rPr>
                <w:webHidden/>
              </w:rPr>
              <w:fldChar w:fldCharType="separate"/>
            </w:r>
            <w:r>
              <w:rPr>
                <w:webHidden/>
              </w:rPr>
              <w:t>16</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499" w:history="1">
            <w:r w:rsidRPr="00021AE1">
              <w:rPr>
                <w:rStyle w:val="Hyperlink"/>
              </w:rPr>
              <w:t>1.4</w:t>
            </w:r>
            <w:r>
              <w:rPr>
                <w:rFonts w:asciiTheme="minorHAnsi" w:eastAsiaTheme="minorEastAsia" w:hAnsiTheme="minorHAnsi"/>
                <w:b w:val="0"/>
                <w:color w:val="auto"/>
                <w:sz w:val="22"/>
                <w:lang w:eastAsia="en-AU"/>
              </w:rPr>
              <w:tab/>
            </w:r>
            <w:r w:rsidRPr="00021AE1">
              <w:rPr>
                <w:rStyle w:val="Hyperlink"/>
              </w:rPr>
              <w:t>Structure of the overview</w:t>
            </w:r>
            <w:r>
              <w:rPr>
                <w:webHidden/>
              </w:rPr>
              <w:tab/>
            </w:r>
            <w:r>
              <w:rPr>
                <w:webHidden/>
              </w:rPr>
              <w:fldChar w:fldCharType="begin"/>
            </w:r>
            <w:r>
              <w:rPr>
                <w:webHidden/>
              </w:rPr>
              <w:instrText xml:space="preserve"> PAGEREF _Toc418685499 \h </w:instrText>
            </w:r>
            <w:r>
              <w:rPr>
                <w:webHidden/>
              </w:rPr>
            </w:r>
            <w:r>
              <w:rPr>
                <w:webHidden/>
              </w:rPr>
              <w:fldChar w:fldCharType="separate"/>
            </w:r>
            <w:r>
              <w:rPr>
                <w:webHidden/>
              </w:rPr>
              <w:t>17</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500" w:history="1">
            <w:r w:rsidRPr="00021AE1">
              <w:rPr>
                <w:rStyle w:val="Hyperlink"/>
              </w:rPr>
              <w:t>2</w:t>
            </w:r>
            <w:r>
              <w:rPr>
                <w:rFonts w:asciiTheme="minorHAnsi" w:eastAsiaTheme="minorEastAsia" w:hAnsiTheme="minorHAnsi"/>
                <w:b w:val="0"/>
                <w:color w:val="auto"/>
                <w:sz w:val="22"/>
                <w:lang w:val="en-AU" w:eastAsia="en-AU"/>
              </w:rPr>
              <w:tab/>
            </w:r>
            <w:r w:rsidRPr="00021AE1">
              <w:rPr>
                <w:rStyle w:val="Hyperlink"/>
              </w:rPr>
              <w:t>Key elements of the building blocks</w:t>
            </w:r>
            <w:r>
              <w:rPr>
                <w:webHidden/>
              </w:rPr>
              <w:tab/>
            </w:r>
            <w:r>
              <w:rPr>
                <w:webHidden/>
              </w:rPr>
              <w:fldChar w:fldCharType="begin"/>
            </w:r>
            <w:r>
              <w:rPr>
                <w:webHidden/>
              </w:rPr>
              <w:instrText xml:space="preserve"> PAGEREF _Toc418685500 \h </w:instrText>
            </w:r>
            <w:r>
              <w:rPr>
                <w:webHidden/>
              </w:rPr>
            </w:r>
            <w:r>
              <w:rPr>
                <w:webHidden/>
              </w:rPr>
              <w:fldChar w:fldCharType="separate"/>
            </w:r>
            <w:r>
              <w:rPr>
                <w:webHidden/>
              </w:rPr>
              <w:t>18</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01" w:history="1">
            <w:r w:rsidRPr="00021AE1">
              <w:rPr>
                <w:rStyle w:val="Hyperlink"/>
              </w:rPr>
              <w:t>2.1</w:t>
            </w:r>
            <w:r>
              <w:rPr>
                <w:rFonts w:asciiTheme="minorHAnsi" w:eastAsiaTheme="minorEastAsia" w:hAnsiTheme="minorHAnsi"/>
                <w:b w:val="0"/>
                <w:color w:val="auto"/>
                <w:sz w:val="22"/>
                <w:lang w:eastAsia="en-AU"/>
              </w:rPr>
              <w:tab/>
            </w:r>
            <w:r w:rsidRPr="00021AE1">
              <w:rPr>
                <w:rStyle w:val="Hyperlink"/>
              </w:rPr>
              <w:t>The building block approach</w:t>
            </w:r>
            <w:r>
              <w:rPr>
                <w:webHidden/>
              </w:rPr>
              <w:tab/>
            </w:r>
            <w:r>
              <w:rPr>
                <w:webHidden/>
              </w:rPr>
              <w:fldChar w:fldCharType="begin"/>
            </w:r>
            <w:r>
              <w:rPr>
                <w:webHidden/>
              </w:rPr>
              <w:instrText xml:space="preserve"> PAGEREF _Toc418685501 \h </w:instrText>
            </w:r>
            <w:r>
              <w:rPr>
                <w:webHidden/>
              </w:rPr>
            </w:r>
            <w:r>
              <w:rPr>
                <w:webHidden/>
              </w:rPr>
              <w:fldChar w:fldCharType="separate"/>
            </w:r>
            <w:r>
              <w:rPr>
                <w:webHidden/>
              </w:rPr>
              <w:t>19</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02" w:history="1">
            <w:r w:rsidRPr="00021AE1">
              <w:rPr>
                <w:rStyle w:val="Hyperlink"/>
              </w:rPr>
              <w:t>2.2</w:t>
            </w:r>
            <w:r>
              <w:rPr>
                <w:rFonts w:asciiTheme="minorHAnsi" w:eastAsiaTheme="minorEastAsia" w:hAnsiTheme="minorHAnsi"/>
                <w:b w:val="0"/>
                <w:color w:val="auto"/>
                <w:sz w:val="22"/>
                <w:lang w:eastAsia="en-AU"/>
              </w:rPr>
              <w:tab/>
            </w:r>
            <w:r w:rsidRPr="00021AE1">
              <w:rPr>
                <w:rStyle w:val="Hyperlink"/>
              </w:rPr>
              <w:t>Regulatory asset base</w:t>
            </w:r>
            <w:r>
              <w:rPr>
                <w:webHidden/>
              </w:rPr>
              <w:tab/>
            </w:r>
            <w:r>
              <w:rPr>
                <w:webHidden/>
              </w:rPr>
              <w:fldChar w:fldCharType="begin"/>
            </w:r>
            <w:r>
              <w:rPr>
                <w:webHidden/>
              </w:rPr>
              <w:instrText xml:space="preserve"> PAGEREF _Toc418685502 \h </w:instrText>
            </w:r>
            <w:r>
              <w:rPr>
                <w:webHidden/>
              </w:rPr>
            </w:r>
            <w:r>
              <w:rPr>
                <w:webHidden/>
              </w:rPr>
              <w:fldChar w:fldCharType="separate"/>
            </w:r>
            <w:r>
              <w:rPr>
                <w:webHidden/>
              </w:rPr>
              <w:t>20</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03" w:history="1">
            <w:r w:rsidRPr="00021AE1">
              <w:rPr>
                <w:rStyle w:val="Hyperlink"/>
              </w:rPr>
              <w:t>2.3</w:t>
            </w:r>
            <w:r>
              <w:rPr>
                <w:rFonts w:asciiTheme="minorHAnsi" w:eastAsiaTheme="minorEastAsia" w:hAnsiTheme="minorHAnsi"/>
                <w:b w:val="0"/>
                <w:color w:val="auto"/>
                <w:sz w:val="22"/>
                <w:lang w:eastAsia="en-AU"/>
              </w:rPr>
              <w:tab/>
            </w:r>
            <w:r w:rsidRPr="00021AE1">
              <w:rPr>
                <w:rStyle w:val="Hyperlink"/>
              </w:rPr>
              <w:t>Rate of return (return on capital)</w:t>
            </w:r>
            <w:r>
              <w:rPr>
                <w:webHidden/>
              </w:rPr>
              <w:tab/>
            </w:r>
            <w:r>
              <w:rPr>
                <w:webHidden/>
              </w:rPr>
              <w:fldChar w:fldCharType="begin"/>
            </w:r>
            <w:r>
              <w:rPr>
                <w:webHidden/>
              </w:rPr>
              <w:instrText xml:space="preserve"> PAGEREF _Toc418685503 \h </w:instrText>
            </w:r>
            <w:r>
              <w:rPr>
                <w:webHidden/>
              </w:rPr>
            </w:r>
            <w:r>
              <w:rPr>
                <w:webHidden/>
              </w:rPr>
              <w:fldChar w:fldCharType="separate"/>
            </w:r>
            <w:r>
              <w:rPr>
                <w:webHidden/>
              </w:rPr>
              <w:t>22</w:t>
            </w:r>
            <w:r>
              <w:rPr>
                <w:webHidden/>
              </w:rPr>
              <w:fldChar w:fldCharType="end"/>
            </w:r>
          </w:hyperlink>
        </w:p>
        <w:p w:rsidR="005A2CA6" w:rsidRDefault="005A2CA6">
          <w:pPr>
            <w:pStyle w:val="TOC3"/>
            <w:rPr>
              <w:rFonts w:asciiTheme="minorHAnsi" w:eastAsiaTheme="minorEastAsia" w:hAnsiTheme="minorHAnsi"/>
              <w:lang w:eastAsia="en-AU"/>
            </w:rPr>
          </w:pPr>
          <w:hyperlink w:anchor="_Toc418685504" w:history="1">
            <w:r w:rsidRPr="00021AE1">
              <w:rPr>
                <w:rStyle w:val="Hyperlink"/>
              </w:rPr>
              <w:t>Our approach</w:t>
            </w:r>
            <w:r>
              <w:rPr>
                <w:webHidden/>
              </w:rPr>
              <w:tab/>
            </w:r>
            <w:r>
              <w:rPr>
                <w:webHidden/>
              </w:rPr>
              <w:fldChar w:fldCharType="begin"/>
            </w:r>
            <w:r>
              <w:rPr>
                <w:webHidden/>
              </w:rPr>
              <w:instrText xml:space="preserve"> PAGEREF _Toc418685504 \h </w:instrText>
            </w:r>
            <w:r>
              <w:rPr>
                <w:webHidden/>
              </w:rPr>
            </w:r>
            <w:r>
              <w:rPr>
                <w:webHidden/>
              </w:rPr>
              <w:fldChar w:fldCharType="separate"/>
            </w:r>
            <w:r>
              <w:rPr>
                <w:webHidden/>
              </w:rPr>
              <w:t>24</w:t>
            </w:r>
            <w:r>
              <w:rPr>
                <w:webHidden/>
              </w:rPr>
              <w:fldChar w:fldCharType="end"/>
            </w:r>
          </w:hyperlink>
        </w:p>
        <w:p w:rsidR="005A2CA6" w:rsidRDefault="005A2CA6">
          <w:pPr>
            <w:pStyle w:val="TOC3"/>
            <w:rPr>
              <w:rFonts w:asciiTheme="minorHAnsi" w:eastAsiaTheme="minorEastAsia" w:hAnsiTheme="minorHAnsi"/>
              <w:lang w:eastAsia="en-AU"/>
            </w:rPr>
          </w:pPr>
          <w:hyperlink w:anchor="_Toc418685505" w:history="1">
            <w:r w:rsidRPr="00021AE1">
              <w:rPr>
                <w:rStyle w:val="Hyperlink"/>
              </w:rPr>
              <w:t>Return on debt</w:t>
            </w:r>
            <w:r>
              <w:rPr>
                <w:webHidden/>
              </w:rPr>
              <w:tab/>
            </w:r>
            <w:r>
              <w:rPr>
                <w:webHidden/>
              </w:rPr>
              <w:fldChar w:fldCharType="begin"/>
            </w:r>
            <w:r>
              <w:rPr>
                <w:webHidden/>
              </w:rPr>
              <w:instrText xml:space="preserve"> PAGEREF _Toc418685505 \h </w:instrText>
            </w:r>
            <w:r>
              <w:rPr>
                <w:webHidden/>
              </w:rPr>
            </w:r>
            <w:r>
              <w:rPr>
                <w:webHidden/>
              </w:rPr>
              <w:fldChar w:fldCharType="separate"/>
            </w:r>
            <w:r>
              <w:rPr>
                <w:webHidden/>
              </w:rPr>
              <w:t>24</w:t>
            </w:r>
            <w:r>
              <w:rPr>
                <w:webHidden/>
              </w:rPr>
              <w:fldChar w:fldCharType="end"/>
            </w:r>
          </w:hyperlink>
        </w:p>
        <w:p w:rsidR="005A2CA6" w:rsidRDefault="005A2CA6">
          <w:pPr>
            <w:pStyle w:val="TOC3"/>
            <w:rPr>
              <w:rFonts w:asciiTheme="minorHAnsi" w:eastAsiaTheme="minorEastAsia" w:hAnsiTheme="minorHAnsi"/>
              <w:lang w:eastAsia="en-AU"/>
            </w:rPr>
          </w:pPr>
          <w:hyperlink w:anchor="_Toc418685506" w:history="1">
            <w:r w:rsidRPr="00021AE1">
              <w:rPr>
                <w:rStyle w:val="Hyperlink"/>
              </w:rPr>
              <w:t>Return on equity</w:t>
            </w:r>
            <w:r>
              <w:rPr>
                <w:webHidden/>
              </w:rPr>
              <w:tab/>
            </w:r>
            <w:r>
              <w:rPr>
                <w:webHidden/>
              </w:rPr>
              <w:fldChar w:fldCharType="begin"/>
            </w:r>
            <w:r>
              <w:rPr>
                <w:webHidden/>
              </w:rPr>
              <w:instrText xml:space="preserve"> PAGEREF _Toc418685506 \h </w:instrText>
            </w:r>
            <w:r>
              <w:rPr>
                <w:webHidden/>
              </w:rPr>
            </w:r>
            <w:r>
              <w:rPr>
                <w:webHidden/>
              </w:rPr>
              <w:fldChar w:fldCharType="separate"/>
            </w:r>
            <w:r>
              <w:rPr>
                <w:webHidden/>
              </w:rPr>
              <w:t>24</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07" w:history="1">
            <w:r w:rsidRPr="00021AE1">
              <w:rPr>
                <w:rStyle w:val="Hyperlink"/>
              </w:rPr>
              <w:t>2.4</w:t>
            </w:r>
            <w:r>
              <w:rPr>
                <w:rFonts w:asciiTheme="minorHAnsi" w:eastAsiaTheme="minorEastAsia" w:hAnsiTheme="minorHAnsi"/>
                <w:b w:val="0"/>
                <w:color w:val="auto"/>
                <w:sz w:val="22"/>
                <w:lang w:eastAsia="en-AU"/>
              </w:rPr>
              <w:tab/>
            </w:r>
            <w:r w:rsidRPr="00021AE1">
              <w:rPr>
                <w:rStyle w:val="Hyperlink"/>
              </w:rPr>
              <w:t>Value of imputation credits (gamma)</w:t>
            </w:r>
            <w:r>
              <w:rPr>
                <w:webHidden/>
              </w:rPr>
              <w:tab/>
            </w:r>
            <w:r>
              <w:rPr>
                <w:webHidden/>
              </w:rPr>
              <w:fldChar w:fldCharType="begin"/>
            </w:r>
            <w:r>
              <w:rPr>
                <w:webHidden/>
              </w:rPr>
              <w:instrText xml:space="preserve"> PAGEREF _Toc418685507 \h </w:instrText>
            </w:r>
            <w:r>
              <w:rPr>
                <w:webHidden/>
              </w:rPr>
            </w:r>
            <w:r>
              <w:rPr>
                <w:webHidden/>
              </w:rPr>
              <w:fldChar w:fldCharType="separate"/>
            </w:r>
            <w:r>
              <w:rPr>
                <w:webHidden/>
              </w:rPr>
              <w:t>27</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08" w:history="1">
            <w:r w:rsidRPr="00021AE1">
              <w:rPr>
                <w:rStyle w:val="Hyperlink"/>
              </w:rPr>
              <w:t>2.5</w:t>
            </w:r>
            <w:r>
              <w:rPr>
                <w:rFonts w:asciiTheme="minorHAnsi" w:eastAsiaTheme="minorEastAsia" w:hAnsiTheme="minorHAnsi"/>
                <w:b w:val="0"/>
                <w:color w:val="auto"/>
                <w:sz w:val="22"/>
                <w:lang w:eastAsia="en-AU"/>
              </w:rPr>
              <w:tab/>
            </w:r>
            <w:r w:rsidRPr="00021AE1">
              <w:rPr>
                <w:rStyle w:val="Hyperlink"/>
              </w:rPr>
              <w:t>Regulatory depreciation (return of capital)</w:t>
            </w:r>
            <w:r>
              <w:rPr>
                <w:webHidden/>
              </w:rPr>
              <w:tab/>
            </w:r>
            <w:r>
              <w:rPr>
                <w:webHidden/>
              </w:rPr>
              <w:fldChar w:fldCharType="begin"/>
            </w:r>
            <w:r>
              <w:rPr>
                <w:webHidden/>
              </w:rPr>
              <w:instrText xml:space="preserve"> PAGEREF _Toc418685508 \h </w:instrText>
            </w:r>
            <w:r>
              <w:rPr>
                <w:webHidden/>
              </w:rPr>
            </w:r>
            <w:r>
              <w:rPr>
                <w:webHidden/>
              </w:rPr>
              <w:fldChar w:fldCharType="separate"/>
            </w:r>
            <w:r>
              <w:rPr>
                <w:webHidden/>
              </w:rPr>
              <w:t>28</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09" w:history="1">
            <w:r w:rsidRPr="00021AE1">
              <w:rPr>
                <w:rStyle w:val="Hyperlink"/>
              </w:rPr>
              <w:t>2.6</w:t>
            </w:r>
            <w:r>
              <w:rPr>
                <w:rFonts w:asciiTheme="minorHAnsi" w:eastAsiaTheme="minorEastAsia" w:hAnsiTheme="minorHAnsi"/>
                <w:b w:val="0"/>
                <w:color w:val="auto"/>
                <w:sz w:val="22"/>
                <w:lang w:eastAsia="en-AU"/>
              </w:rPr>
              <w:tab/>
            </w:r>
            <w:r w:rsidRPr="00021AE1">
              <w:rPr>
                <w:rStyle w:val="Hyperlink"/>
              </w:rPr>
              <w:t>Capital expenditure</w:t>
            </w:r>
            <w:r>
              <w:rPr>
                <w:webHidden/>
              </w:rPr>
              <w:tab/>
            </w:r>
            <w:r>
              <w:rPr>
                <w:webHidden/>
              </w:rPr>
              <w:fldChar w:fldCharType="begin"/>
            </w:r>
            <w:r>
              <w:rPr>
                <w:webHidden/>
              </w:rPr>
              <w:instrText xml:space="preserve"> PAGEREF _Toc418685509 \h </w:instrText>
            </w:r>
            <w:r>
              <w:rPr>
                <w:webHidden/>
              </w:rPr>
            </w:r>
            <w:r>
              <w:rPr>
                <w:webHidden/>
              </w:rPr>
              <w:fldChar w:fldCharType="separate"/>
            </w:r>
            <w:r>
              <w:rPr>
                <w:webHidden/>
              </w:rPr>
              <w:t>30</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10" w:history="1">
            <w:r w:rsidRPr="00021AE1">
              <w:rPr>
                <w:rStyle w:val="Hyperlink"/>
              </w:rPr>
              <w:t>2.7</w:t>
            </w:r>
            <w:r>
              <w:rPr>
                <w:rFonts w:asciiTheme="minorHAnsi" w:eastAsiaTheme="minorEastAsia" w:hAnsiTheme="minorHAnsi"/>
                <w:b w:val="0"/>
                <w:color w:val="auto"/>
                <w:sz w:val="22"/>
                <w:lang w:eastAsia="en-AU"/>
              </w:rPr>
              <w:tab/>
            </w:r>
            <w:r w:rsidRPr="00021AE1">
              <w:rPr>
                <w:rStyle w:val="Hyperlink"/>
              </w:rPr>
              <w:t>Operating expenditure</w:t>
            </w:r>
            <w:r>
              <w:rPr>
                <w:webHidden/>
              </w:rPr>
              <w:tab/>
            </w:r>
            <w:r>
              <w:rPr>
                <w:webHidden/>
              </w:rPr>
              <w:fldChar w:fldCharType="begin"/>
            </w:r>
            <w:r>
              <w:rPr>
                <w:webHidden/>
              </w:rPr>
              <w:instrText xml:space="preserve"> PAGEREF _Toc418685510 \h </w:instrText>
            </w:r>
            <w:r>
              <w:rPr>
                <w:webHidden/>
              </w:rPr>
            </w:r>
            <w:r>
              <w:rPr>
                <w:webHidden/>
              </w:rPr>
              <w:fldChar w:fldCharType="separate"/>
            </w:r>
            <w:r>
              <w:rPr>
                <w:webHidden/>
              </w:rPr>
              <w:t>32</w:t>
            </w:r>
            <w:r>
              <w:rPr>
                <w:webHidden/>
              </w:rPr>
              <w:fldChar w:fldCharType="end"/>
            </w:r>
          </w:hyperlink>
        </w:p>
        <w:p w:rsidR="005A2CA6" w:rsidRDefault="005A2CA6">
          <w:pPr>
            <w:pStyle w:val="TOC3"/>
            <w:rPr>
              <w:rFonts w:asciiTheme="minorHAnsi" w:eastAsiaTheme="minorEastAsia" w:hAnsiTheme="minorHAnsi"/>
              <w:lang w:eastAsia="en-AU"/>
            </w:rPr>
          </w:pPr>
          <w:hyperlink w:anchor="_Toc418685511" w:history="1">
            <w:r w:rsidRPr="00021AE1">
              <w:rPr>
                <w:rStyle w:val="Hyperlink"/>
              </w:rPr>
              <w:t>Benchmarking</w:t>
            </w:r>
            <w:r>
              <w:rPr>
                <w:webHidden/>
              </w:rPr>
              <w:tab/>
            </w:r>
            <w:r>
              <w:rPr>
                <w:webHidden/>
              </w:rPr>
              <w:fldChar w:fldCharType="begin"/>
            </w:r>
            <w:r>
              <w:rPr>
                <w:webHidden/>
              </w:rPr>
              <w:instrText xml:space="preserve"> PAGEREF _Toc418685511 \h </w:instrText>
            </w:r>
            <w:r>
              <w:rPr>
                <w:webHidden/>
              </w:rPr>
            </w:r>
            <w:r>
              <w:rPr>
                <w:webHidden/>
              </w:rPr>
              <w:fldChar w:fldCharType="separate"/>
            </w:r>
            <w:r>
              <w:rPr>
                <w:webHidden/>
              </w:rPr>
              <w:t>35</w:t>
            </w:r>
            <w:r>
              <w:rPr>
                <w:webHidden/>
              </w:rPr>
              <w:fldChar w:fldCharType="end"/>
            </w:r>
          </w:hyperlink>
        </w:p>
        <w:p w:rsidR="005A2CA6" w:rsidRDefault="005A2CA6">
          <w:pPr>
            <w:pStyle w:val="TOC3"/>
            <w:rPr>
              <w:rFonts w:asciiTheme="minorHAnsi" w:eastAsiaTheme="minorEastAsia" w:hAnsiTheme="minorHAnsi"/>
              <w:lang w:eastAsia="en-AU"/>
            </w:rPr>
          </w:pPr>
          <w:hyperlink w:anchor="_Toc418685512" w:history="1">
            <w:r w:rsidRPr="00021AE1">
              <w:rPr>
                <w:rStyle w:val="Hyperlink"/>
              </w:rPr>
              <w:t>Qualitative review</w:t>
            </w:r>
            <w:r>
              <w:rPr>
                <w:webHidden/>
              </w:rPr>
              <w:tab/>
            </w:r>
            <w:r>
              <w:rPr>
                <w:webHidden/>
              </w:rPr>
              <w:fldChar w:fldCharType="begin"/>
            </w:r>
            <w:r>
              <w:rPr>
                <w:webHidden/>
              </w:rPr>
              <w:instrText xml:space="preserve"> PAGEREF _Toc418685512 \h </w:instrText>
            </w:r>
            <w:r>
              <w:rPr>
                <w:webHidden/>
              </w:rPr>
            </w:r>
            <w:r>
              <w:rPr>
                <w:webHidden/>
              </w:rPr>
              <w:fldChar w:fldCharType="separate"/>
            </w:r>
            <w:r>
              <w:rPr>
                <w:webHidden/>
              </w:rPr>
              <w:t>36</w:t>
            </w:r>
            <w:r>
              <w:rPr>
                <w:webHidden/>
              </w:rPr>
              <w:fldChar w:fldCharType="end"/>
            </w:r>
          </w:hyperlink>
        </w:p>
        <w:p w:rsidR="005A2CA6" w:rsidRDefault="005A2CA6">
          <w:pPr>
            <w:pStyle w:val="TOC3"/>
            <w:rPr>
              <w:rFonts w:asciiTheme="minorHAnsi" w:eastAsiaTheme="minorEastAsia" w:hAnsiTheme="minorHAnsi"/>
              <w:lang w:eastAsia="en-AU"/>
            </w:rPr>
          </w:pPr>
          <w:hyperlink w:anchor="_Toc418685513" w:history="1">
            <w:r w:rsidRPr="00021AE1">
              <w:rPr>
                <w:rStyle w:val="Hyperlink"/>
              </w:rPr>
              <w:t>Our estimate of base opex</w:t>
            </w:r>
            <w:r>
              <w:rPr>
                <w:webHidden/>
              </w:rPr>
              <w:tab/>
            </w:r>
            <w:r>
              <w:rPr>
                <w:webHidden/>
              </w:rPr>
              <w:fldChar w:fldCharType="begin"/>
            </w:r>
            <w:r>
              <w:rPr>
                <w:webHidden/>
              </w:rPr>
              <w:instrText xml:space="preserve"> PAGEREF _Toc418685513 \h </w:instrText>
            </w:r>
            <w:r>
              <w:rPr>
                <w:webHidden/>
              </w:rPr>
            </w:r>
            <w:r>
              <w:rPr>
                <w:webHidden/>
              </w:rPr>
              <w:fldChar w:fldCharType="separate"/>
            </w:r>
            <w:r>
              <w:rPr>
                <w:webHidden/>
              </w:rPr>
              <w:t>37</w:t>
            </w:r>
            <w:r>
              <w:rPr>
                <w:webHidden/>
              </w:rPr>
              <w:fldChar w:fldCharType="end"/>
            </w:r>
          </w:hyperlink>
        </w:p>
        <w:p w:rsidR="005A2CA6" w:rsidRDefault="005A2CA6">
          <w:pPr>
            <w:pStyle w:val="TOC3"/>
            <w:rPr>
              <w:rFonts w:asciiTheme="minorHAnsi" w:eastAsiaTheme="minorEastAsia" w:hAnsiTheme="minorHAnsi"/>
              <w:lang w:eastAsia="en-AU"/>
            </w:rPr>
          </w:pPr>
          <w:hyperlink w:anchor="_Toc418685514" w:history="1">
            <w:r w:rsidRPr="00021AE1">
              <w:rPr>
                <w:rStyle w:val="Hyperlink"/>
              </w:rPr>
              <w:t>Step changes</w:t>
            </w:r>
            <w:r>
              <w:rPr>
                <w:webHidden/>
              </w:rPr>
              <w:tab/>
            </w:r>
            <w:r>
              <w:rPr>
                <w:webHidden/>
              </w:rPr>
              <w:fldChar w:fldCharType="begin"/>
            </w:r>
            <w:r>
              <w:rPr>
                <w:webHidden/>
              </w:rPr>
              <w:instrText xml:space="preserve"> PAGEREF _Toc418685514 \h </w:instrText>
            </w:r>
            <w:r>
              <w:rPr>
                <w:webHidden/>
              </w:rPr>
            </w:r>
            <w:r>
              <w:rPr>
                <w:webHidden/>
              </w:rPr>
              <w:fldChar w:fldCharType="separate"/>
            </w:r>
            <w:r>
              <w:rPr>
                <w:webHidden/>
              </w:rPr>
              <w:t>38</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15" w:history="1">
            <w:r w:rsidRPr="00021AE1">
              <w:rPr>
                <w:rStyle w:val="Hyperlink"/>
              </w:rPr>
              <w:t>2.8</w:t>
            </w:r>
            <w:r>
              <w:rPr>
                <w:rFonts w:asciiTheme="minorHAnsi" w:eastAsiaTheme="minorEastAsia" w:hAnsiTheme="minorHAnsi"/>
                <w:b w:val="0"/>
                <w:color w:val="auto"/>
                <w:sz w:val="22"/>
                <w:lang w:eastAsia="en-AU"/>
              </w:rPr>
              <w:tab/>
            </w:r>
            <w:r w:rsidRPr="00021AE1">
              <w:rPr>
                <w:rStyle w:val="Hyperlink"/>
              </w:rPr>
              <w:t>Corporate income tax</w:t>
            </w:r>
            <w:r>
              <w:rPr>
                <w:webHidden/>
              </w:rPr>
              <w:tab/>
            </w:r>
            <w:r>
              <w:rPr>
                <w:webHidden/>
              </w:rPr>
              <w:fldChar w:fldCharType="begin"/>
            </w:r>
            <w:r>
              <w:rPr>
                <w:webHidden/>
              </w:rPr>
              <w:instrText xml:space="preserve"> PAGEREF _Toc418685515 \h </w:instrText>
            </w:r>
            <w:r>
              <w:rPr>
                <w:webHidden/>
              </w:rPr>
            </w:r>
            <w:r>
              <w:rPr>
                <w:webHidden/>
              </w:rPr>
              <w:fldChar w:fldCharType="separate"/>
            </w:r>
            <w:r>
              <w:rPr>
                <w:webHidden/>
              </w:rPr>
              <w:t>38</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516" w:history="1">
            <w:r w:rsidRPr="00021AE1">
              <w:rPr>
                <w:rStyle w:val="Hyperlink"/>
              </w:rPr>
              <w:t>3</w:t>
            </w:r>
            <w:r>
              <w:rPr>
                <w:rFonts w:asciiTheme="minorHAnsi" w:eastAsiaTheme="minorEastAsia" w:hAnsiTheme="minorHAnsi"/>
                <w:b w:val="0"/>
                <w:color w:val="auto"/>
                <w:sz w:val="22"/>
                <w:lang w:val="en-AU" w:eastAsia="en-AU"/>
              </w:rPr>
              <w:tab/>
            </w:r>
            <w:r w:rsidRPr="00021AE1">
              <w:rPr>
                <w:rStyle w:val="Hyperlink"/>
              </w:rPr>
              <w:t>Classification of services, control mechanisms and schemes</w:t>
            </w:r>
            <w:r>
              <w:rPr>
                <w:webHidden/>
              </w:rPr>
              <w:tab/>
            </w:r>
            <w:r>
              <w:rPr>
                <w:webHidden/>
              </w:rPr>
              <w:fldChar w:fldCharType="begin"/>
            </w:r>
            <w:r>
              <w:rPr>
                <w:webHidden/>
              </w:rPr>
              <w:instrText xml:space="preserve"> PAGEREF _Toc418685516 \h </w:instrText>
            </w:r>
            <w:r>
              <w:rPr>
                <w:webHidden/>
              </w:rPr>
            </w:r>
            <w:r>
              <w:rPr>
                <w:webHidden/>
              </w:rPr>
              <w:fldChar w:fldCharType="separate"/>
            </w:r>
            <w:r>
              <w:rPr>
                <w:webHidden/>
              </w:rPr>
              <w:t>40</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17" w:history="1">
            <w:r w:rsidRPr="00021AE1">
              <w:rPr>
                <w:rStyle w:val="Hyperlink"/>
              </w:rPr>
              <w:t>3.1</w:t>
            </w:r>
            <w:r>
              <w:rPr>
                <w:rFonts w:asciiTheme="minorHAnsi" w:eastAsiaTheme="minorEastAsia" w:hAnsiTheme="minorHAnsi"/>
                <w:b w:val="0"/>
                <w:color w:val="auto"/>
                <w:sz w:val="22"/>
                <w:lang w:eastAsia="en-AU"/>
              </w:rPr>
              <w:tab/>
            </w:r>
            <w:r w:rsidRPr="00021AE1">
              <w:rPr>
                <w:rStyle w:val="Hyperlink"/>
              </w:rPr>
              <w:t>Classification of services and control mechanisms</w:t>
            </w:r>
            <w:r>
              <w:rPr>
                <w:webHidden/>
              </w:rPr>
              <w:tab/>
            </w:r>
            <w:r>
              <w:rPr>
                <w:webHidden/>
              </w:rPr>
              <w:fldChar w:fldCharType="begin"/>
            </w:r>
            <w:r>
              <w:rPr>
                <w:webHidden/>
              </w:rPr>
              <w:instrText xml:space="preserve"> PAGEREF _Toc418685517 \h </w:instrText>
            </w:r>
            <w:r>
              <w:rPr>
                <w:webHidden/>
              </w:rPr>
            </w:r>
            <w:r>
              <w:rPr>
                <w:webHidden/>
              </w:rPr>
              <w:fldChar w:fldCharType="separate"/>
            </w:r>
            <w:r>
              <w:rPr>
                <w:webHidden/>
              </w:rPr>
              <w:t>40</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18" w:history="1">
            <w:r w:rsidRPr="00021AE1">
              <w:rPr>
                <w:rStyle w:val="Hyperlink"/>
              </w:rPr>
              <w:t>3.2</w:t>
            </w:r>
            <w:r>
              <w:rPr>
                <w:rFonts w:asciiTheme="minorHAnsi" w:eastAsiaTheme="minorEastAsia" w:hAnsiTheme="minorHAnsi"/>
                <w:b w:val="0"/>
                <w:color w:val="auto"/>
                <w:sz w:val="22"/>
                <w:lang w:eastAsia="en-AU"/>
              </w:rPr>
              <w:tab/>
            </w:r>
            <w:r w:rsidRPr="00021AE1">
              <w:rPr>
                <w:rStyle w:val="Hyperlink"/>
              </w:rPr>
              <w:t>Alternative control services</w:t>
            </w:r>
            <w:r>
              <w:rPr>
                <w:webHidden/>
              </w:rPr>
              <w:tab/>
            </w:r>
            <w:r>
              <w:rPr>
                <w:webHidden/>
              </w:rPr>
              <w:fldChar w:fldCharType="begin"/>
            </w:r>
            <w:r>
              <w:rPr>
                <w:webHidden/>
              </w:rPr>
              <w:instrText xml:space="preserve"> PAGEREF _Toc418685518 \h </w:instrText>
            </w:r>
            <w:r>
              <w:rPr>
                <w:webHidden/>
              </w:rPr>
            </w:r>
            <w:r>
              <w:rPr>
                <w:webHidden/>
              </w:rPr>
              <w:fldChar w:fldCharType="separate"/>
            </w:r>
            <w:r>
              <w:rPr>
                <w:webHidden/>
              </w:rPr>
              <w:t>41</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19" w:history="1">
            <w:r w:rsidRPr="00021AE1">
              <w:rPr>
                <w:rStyle w:val="Hyperlink"/>
              </w:rPr>
              <w:t>3.3</w:t>
            </w:r>
            <w:r>
              <w:rPr>
                <w:rFonts w:asciiTheme="minorHAnsi" w:eastAsiaTheme="minorEastAsia" w:hAnsiTheme="minorHAnsi"/>
                <w:b w:val="0"/>
                <w:color w:val="auto"/>
                <w:sz w:val="22"/>
                <w:lang w:eastAsia="en-AU"/>
              </w:rPr>
              <w:tab/>
            </w:r>
            <w:r w:rsidRPr="00021AE1">
              <w:rPr>
                <w:rStyle w:val="Hyperlink"/>
              </w:rPr>
              <w:t>Incentive schemes</w:t>
            </w:r>
            <w:r>
              <w:rPr>
                <w:webHidden/>
              </w:rPr>
              <w:tab/>
            </w:r>
            <w:r>
              <w:rPr>
                <w:webHidden/>
              </w:rPr>
              <w:fldChar w:fldCharType="begin"/>
            </w:r>
            <w:r>
              <w:rPr>
                <w:webHidden/>
              </w:rPr>
              <w:instrText xml:space="preserve"> PAGEREF _Toc418685519 \h </w:instrText>
            </w:r>
            <w:r>
              <w:rPr>
                <w:webHidden/>
              </w:rPr>
            </w:r>
            <w:r>
              <w:rPr>
                <w:webHidden/>
              </w:rPr>
              <w:fldChar w:fldCharType="separate"/>
            </w:r>
            <w:r>
              <w:rPr>
                <w:webHidden/>
              </w:rPr>
              <w:t>42</w:t>
            </w:r>
            <w:r>
              <w:rPr>
                <w:webHidden/>
              </w:rPr>
              <w:fldChar w:fldCharType="end"/>
            </w:r>
          </w:hyperlink>
        </w:p>
        <w:p w:rsidR="005A2CA6" w:rsidRDefault="005A2CA6">
          <w:pPr>
            <w:pStyle w:val="TOC3"/>
            <w:rPr>
              <w:rFonts w:asciiTheme="minorHAnsi" w:eastAsiaTheme="minorEastAsia" w:hAnsiTheme="minorHAnsi"/>
              <w:lang w:eastAsia="en-AU"/>
            </w:rPr>
          </w:pPr>
          <w:hyperlink w:anchor="_Toc418685520" w:history="1">
            <w:r w:rsidRPr="00021AE1">
              <w:rPr>
                <w:rStyle w:val="Hyperlink"/>
              </w:rPr>
              <w:t>3.3.1</w:t>
            </w:r>
            <w:r>
              <w:rPr>
                <w:rFonts w:asciiTheme="minorHAnsi" w:eastAsiaTheme="minorEastAsia" w:hAnsiTheme="minorHAnsi"/>
                <w:lang w:eastAsia="en-AU"/>
              </w:rPr>
              <w:tab/>
            </w:r>
            <w:r w:rsidRPr="00021AE1">
              <w:rPr>
                <w:rStyle w:val="Hyperlink"/>
              </w:rPr>
              <w:t>Efficiency benefit sharing scheme</w:t>
            </w:r>
            <w:r>
              <w:rPr>
                <w:webHidden/>
              </w:rPr>
              <w:tab/>
            </w:r>
            <w:r>
              <w:rPr>
                <w:webHidden/>
              </w:rPr>
              <w:fldChar w:fldCharType="begin"/>
            </w:r>
            <w:r>
              <w:rPr>
                <w:webHidden/>
              </w:rPr>
              <w:instrText xml:space="preserve"> PAGEREF _Toc418685520 \h </w:instrText>
            </w:r>
            <w:r>
              <w:rPr>
                <w:webHidden/>
              </w:rPr>
            </w:r>
            <w:r>
              <w:rPr>
                <w:webHidden/>
              </w:rPr>
              <w:fldChar w:fldCharType="separate"/>
            </w:r>
            <w:r>
              <w:rPr>
                <w:webHidden/>
              </w:rPr>
              <w:t>42</w:t>
            </w:r>
            <w:r>
              <w:rPr>
                <w:webHidden/>
              </w:rPr>
              <w:fldChar w:fldCharType="end"/>
            </w:r>
          </w:hyperlink>
        </w:p>
        <w:p w:rsidR="005A2CA6" w:rsidRDefault="005A2CA6">
          <w:pPr>
            <w:pStyle w:val="TOC3"/>
            <w:rPr>
              <w:rFonts w:asciiTheme="minorHAnsi" w:eastAsiaTheme="minorEastAsia" w:hAnsiTheme="minorHAnsi"/>
              <w:lang w:eastAsia="en-AU"/>
            </w:rPr>
          </w:pPr>
          <w:hyperlink w:anchor="_Toc418685521" w:history="1">
            <w:r w:rsidRPr="00021AE1">
              <w:rPr>
                <w:rStyle w:val="Hyperlink"/>
              </w:rPr>
              <w:t>3.3.2</w:t>
            </w:r>
            <w:r>
              <w:rPr>
                <w:rFonts w:asciiTheme="minorHAnsi" w:eastAsiaTheme="minorEastAsia" w:hAnsiTheme="minorHAnsi"/>
                <w:lang w:eastAsia="en-AU"/>
              </w:rPr>
              <w:tab/>
            </w:r>
            <w:r w:rsidRPr="00021AE1">
              <w:rPr>
                <w:rStyle w:val="Hyperlink"/>
              </w:rPr>
              <w:t>Capital expenditure sharing scheme</w:t>
            </w:r>
            <w:r>
              <w:rPr>
                <w:webHidden/>
              </w:rPr>
              <w:tab/>
            </w:r>
            <w:r>
              <w:rPr>
                <w:webHidden/>
              </w:rPr>
              <w:fldChar w:fldCharType="begin"/>
            </w:r>
            <w:r>
              <w:rPr>
                <w:webHidden/>
              </w:rPr>
              <w:instrText xml:space="preserve"> PAGEREF _Toc418685521 \h </w:instrText>
            </w:r>
            <w:r>
              <w:rPr>
                <w:webHidden/>
              </w:rPr>
            </w:r>
            <w:r>
              <w:rPr>
                <w:webHidden/>
              </w:rPr>
              <w:fldChar w:fldCharType="separate"/>
            </w:r>
            <w:r>
              <w:rPr>
                <w:webHidden/>
              </w:rPr>
              <w:t>43</w:t>
            </w:r>
            <w:r>
              <w:rPr>
                <w:webHidden/>
              </w:rPr>
              <w:fldChar w:fldCharType="end"/>
            </w:r>
          </w:hyperlink>
        </w:p>
        <w:p w:rsidR="005A2CA6" w:rsidRDefault="005A2CA6">
          <w:pPr>
            <w:pStyle w:val="TOC3"/>
            <w:rPr>
              <w:rFonts w:asciiTheme="minorHAnsi" w:eastAsiaTheme="minorEastAsia" w:hAnsiTheme="minorHAnsi"/>
              <w:lang w:eastAsia="en-AU"/>
            </w:rPr>
          </w:pPr>
          <w:hyperlink w:anchor="_Toc418685522" w:history="1">
            <w:r w:rsidRPr="00021AE1">
              <w:rPr>
                <w:rStyle w:val="Hyperlink"/>
              </w:rPr>
              <w:t>3.3.3</w:t>
            </w:r>
            <w:r>
              <w:rPr>
                <w:rFonts w:asciiTheme="minorHAnsi" w:eastAsiaTheme="minorEastAsia" w:hAnsiTheme="minorHAnsi"/>
                <w:lang w:eastAsia="en-AU"/>
              </w:rPr>
              <w:tab/>
            </w:r>
            <w:r w:rsidRPr="00021AE1">
              <w:rPr>
                <w:rStyle w:val="Hyperlink"/>
              </w:rPr>
              <w:t>Service target performance incentive scheme (STPIS)</w:t>
            </w:r>
            <w:r>
              <w:rPr>
                <w:webHidden/>
              </w:rPr>
              <w:tab/>
            </w:r>
            <w:r>
              <w:rPr>
                <w:webHidden/>
              </w:rPr>
              <w:fldChar w:fldCharType="begin"/>
            </w:r>
            <w:r>
              <w:rPr>
                <w:webHidden/>
              </w:rPr>
              <w:instrText xml:space="preserve"> PAGEREF _Toc418685522 \h </w:instrText>
            </w:r>
            <w:r>
              <w:rPr>
                <w:webHidden/>
              </w:rPr>
            </w:r>
            <w:r>
              <w:rPr>
                <w:webHidden/>
              </w:rPr>
              <w:fldChar w:fldCharType="separate"/>
            </w:r>
            <w:r>
              <w:rPr>
                <w:webHidden/>
              </w:rPr>
              <w:t>44</w:t>
            </w:r>
            <w:r>
              <w:rPr>
                <w:webHidden/>
              </w:rPr>
              <w:fldChar w:fldCharType="end"/>
            </w:r>
          </w:hyperlink>
        </w:p>
        <w:p w:rsidR="005A2CA6" w:rsidRDefault="005A2CA6">
          <w:pPr>
            <w:pStyle w:val="TOC3"/>
            <w:rPr>
              <w:rFonts w:asciiTheme="minorHAnsi" w:eastAsiaTheme="minorEastAsia" w:hAnsiTheme="minorHAnsi"/>
              <w:lang w:eastAsia="en-AU"/>
            </w:rPr>
          </w:pPr>
          <w:hyperlink w:anchor="_Toc418685523" w:history="1">
            <w:r w:rsidRPr="00021AE1">
              <w:rPr>
                <w:rStyle w:val="Hyperlink"/>
              </w:rPr>
              <w:t>3.3.4</w:t>
            </w:r>
            <w:r>
              <w:rPr>
                <w:rFonts w:asciiTheme="minorHAnsi" w:eastAsiaTheme="minorEastAsia" w:hAnsiTheme="minorHAnsi"/>
                <w:lang w:eastAsia="en-AU"/>
              </w:rPr>
              <w:tab/>
            </w:r>
            <w:r w:rsidRPr="00021AE1">
              <w:rPr>
                <w:rStyle w:val="Hyperlink"/>
              </w:rPr>
              <w:t>Demand management incentive scheme</w:t>
            </w:r>
            <w:r>
              <w:rPr>
                <w:webHidden/>
              </w:rPr>
              <w:tab/>
            </w:r>
            <w:r>
              <w:rPr>
                <w:webHidden/>
              </w:rPr>
              <w:fldChar w:fldCharType="begin"/>
            </w:r>
            <w:r>
              <w:rPr>
                <w:webHidden/>
              </w:rPr>
              <w:instrText xml:space="preserve"> PAGEREF _Toc418685523 \h </w:instrText>
            </w:r>
            <w:r>
              <w:rPr>
                <w:webHidden/>
              </w:rPr>
            </w:r>
            <w:r>
              <w:rPr>
                <w:webHidden/>
              </w:rPr>
              <w:fldChar w:fldCharType="separate"/>
            </w:r>
            <w:r>
              <w:rPr>
                <w:webHidden/>
              </w:rPr>
              <w:t>44</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524" w:history="1">
            <w:r w:rsidRPr="00021AE1">
              <w:rPr>
                <w:rStyle w:val="Hyperlink"/>
              </w:rPr>
              <w:t>4</w:t>
            </w:r>
            <w:r>
              <w:rPr>
                <w:rFonts w:asciiTheme="minorHAnsi" w:eastAsiaTheme="minorEastAsia" w:hAnsiTheme="minorHAnsi"/>
                <w:b w:val="0"/>
                <w:color w:val="auto"/>
                <w:sz w:val="22"/>
                <w:lang w:val="en-AU" w:eastAsia="en-AU"/>
              </w:rPr>
              <w:tab/>
            </w:r>
            <w:r w:rsidRPr="00021AE1">
              <w:rPr>
                <w:rStyle w:val="Hyperlink"/>
              </w:rPr>
              <w:t>Regulatory framework</w:t>
            </w:r>
            <w:r>
              <w:rPr>
                <w:webHidden/>
              </w:rPr>
              <w:tab/>
            </w:r>
            <w:r>
              <w:rPr>
                <w:webHidden/>
              </w:rPr>
              <w:fldChar w:fldCharType="begin"/>
            </w:r>
            <w:r>
              <w:rPr>
                <w:webHidden/>
              </w:rPr>
              <w:instrText xml:space="preserve"> PAGEREF _Toc418685524 \h </w:instrText>
            </w:r>
            <w:r>
              <w:rPr>
                <w:webHidden/>
              </w:rPr>
            </w:r>
            <w:r>
              <w:rPr>
                <w:webHidden/>
              </w:rPr>
              <w:fldChar w:fldCharType="separate"/>
            </w:r>
            <w:r>
              <w:rPr>
                <w:webHidden/>
              </w:rPr>
              <w:t>46</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25" w:history="1">
            <w:r w:rsidRPr="00021AE1">
              <w:rPr>
                <w:rStyle w:val="Hyperlink"/>
              </w:rPr>
              <w:t>4.1</w:t>
            </w:r>
            <w:r>
              <w:rPr>
                <w:rFonts w:asciiTheme="minorHAnsi" w:eastAsiaTheme="minorEastAsia" w:hAnsiTheme="minorHAnsi"/>
                <w:b w:val="0"/>
                <w:color w:val="auto"/>
                <w:sz w:val="22"/>
                <w:lang w:eastAsia="en-AU"/>
              </w:rPr>
              <w:tab/>
            </w:r>
            <w:r w:rsidRPr="00021AE1">
              <w:rPr>
                <w:rStyle w:val="Hyperlink"/>
              </w:rPr>
              <w:t>Understanding the NEO</w:t>
            </w:r>
            <w:r>
              <w:rPr>
                <w:webHidden/>
              </w:rPr>
              <w:tab/>
            </w:r>
            <w:r>
              <w:rPr>
                <w:webHidden/>
              </w:rPr>
              <w:fldChar w:fldCharType="begin"/>
            </w:r>
            <w:r>
              <w:rPr>
                <w:webHidden/>
              </w:rPr>
              <w:instrText xml:space="preserve"> PAGEREF _Toc418685525 \h </w:instrText>
            </w:r>
            <w:r>
              <w:rPr>
                <w:webHidden/>
              </w:rPr>
            </w:r>
            <w:r>
              <w:rPr>
                <w:webHidden/>
              </w:rPr>
              <w:fldChar w:fldCharType="separate"/>
            </w:r>
            <w:r>
              <w:rPr>
                <w:webHidden/>
              </w:rPr>
              <w:t>48</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26" w:history="1">
            <w:r w:rsidRPr="00021AE1">
              <w:rPr>
                <w:rStyle w:val="Hyperlink"/>
              </w:rPr>
              <w:t>4.2</w:t>
            </w:r>
            <w:r>
              <w:rPr>
                <w:rFonts w:asciiTheme="minorHAnsi" w:eastAsiaTheme="minorEastAsia" w:hAnsiTheme="minorHAnsi"/>
                <w:b w:val="0"/>
                <w:color w:val="auto"/>
                <w:sz w:val="22"/>
                <w:lang w:eastAsia="en-AU"/>
              </w:rPr>
              <w:tab/>
            </w:r>
            <w:r w:rsidRPr="00021AE1">
              <w:rPr>
                <w:rStyle w:val="Hyperlink"/>
              </w:rPr>
              <w:t>The 2012 framework changes</w:t>
            </w:r>
            <w:r>
              <w:rPr>
                <w:webHidden/>
              </w:rPr>
              <w:tab/>
            </w:r>
            <w:r>
              <w:rPr>
                <w:webHidden/>
              </w:rPr>
              <w:fldChar w:fldCharType="begin"/>
            </w:r>
            <w:r>
              <w:rPr>
                <w:webHidden/>
              </w:rPr>
              <w:instrText xml:space="preserve"> PAGEREF _Toc418685526 \h </w:instrText>
            </w:r>
            <w:r>
              <w:rPr>
                <w:webHidden/>
              </w:rPr>
            </w:r>
            <w:r>
              <w:rPr>
                <w:webHidden/>
              </w:rPr>
              <w:fldChar w:fldCharType="separate"/>
            </w:r>
            <w:r>
              <w:rPr>
                <w:webHidden/>
              </w:rPr>
              <w:t>49</w:t>
            </w:r>
            <w:r>
              <w:rPr>
                <w:webHidden/>
              </w:rPr>
              <w:fldChar w:fldCharType="end"/>
            </w:r>
          </w:hyperlink>
        </w:p>
        <w:p w:rsidR="005A2CA6" w:rsidRDefault="005A2CA6">
          <w:pPr>
            <w:pStyle w:val="TOC3"/>
            <w:rPr>
              <w:rFonts w:asciiTheme="minorHAnsi" w:eastAsiaTheme="minorEastAsia" w:hAnsiTheme="minorHAnsi"/>
              <w:lang w:eastAsia="en-AU"/>
            </w:rPr>
          </w:pPr>
          <w:hyperlink w:anchor="_Toc418685527" w:history="1">
            <w:r w:rsidRPr="00021AE1">
              <w:rPr>
                <w:rStyle w:val="Hyperlink"/>
              </w:rPr>
              <w:t>4.2.1</w:t>
            </w:r>
            <w:r>
              <w:rPr>
                <w:rFonts w:asciiTheme="minorHAnsi" w:eastAsiaTheme="minorEastAsia" w:hAnsiTheme="minorHAnsi"/>
                <w:lang w:eastAsia="en-AU"/>
              </w:rPr>
              <w:tab/>
            </w:r>
            <w:r w:rsidRPr="00021AE1">
              <w:rPr>
                <w:rStyle w:val="Hyperlink"/>
              </w:rPr>
              <w:t>Interrelationships</w:t>
            </w:r>
            <w:r>
              <w:rPr>
                <w:webHidden/>
              </w:rPr>
              <w:tab/>
            </w:r>
            <w:r>
              <w:rPr>
                <w:webHidden/>
              </w:rPr>
              <w:fldChar w:fldCharType="begin"/>
            </w:r>
            <w:r>
              <w:rPr>
                <w:webHidden/>
              </w:rPr>
              <w:instrText xml:space="preserve"> PAGEREF _Toc418685527 \h </w:instrText>
            </w:r>
            <w:r>
              <w:rPr>
                <w:webHidden/>
              </w:rPr>
            </w:r>
            <w:r>
              <w:rPr>
                <w:webHidden/>
              </w:rPr>
              <w:fldChar w:fldCharType="separate"/>
            </w:r>
            <w:r>
              <w:rPr>
                <w:webHidden/>
              </w:rPr>
              <w:t>50</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528" w:history="1">
            <w:r w:rsidRPr="00021AE1">
              <w:rPr>
                <w:rStyle w:val="Hyperlink"/>
              </w:rPr>
              <w:t>5</w:t>
            </w:r>
            <w:r>
              <w:rPr>
                <w:rFonts w:asciiTheme="minorHAnsi" w:eastAsiaTheme="minorEastAsia" w:hAnsiTheme="minorHAnsi"/>
                <w:b w:val="0"/>
                <w:color w:val="auto"/>
                <w:sz w:val="22"/>
                <w:lang w:val="en-AU" w:eastAsia="en-AU"/>
              </w:rPr>
              <w:tab/>
            </w:r>
            <w:r w:rsidRPr="00021AE1">
              <w:rPr>
                <w:rStyle w:val="Hyperlink"/>
              </w:rPr>
              <w:t>Process</w:t>
            </w:r>
            <w:r>
              <w:rPr>
                <w:webHidden/>
              </w:rPr>
              <w:tab/>
            </w:r>
            <w:r>
              <w:rPr>
                <w:webHidden/>
              </w:rPr>
              <w:fldChar w:fldCharType="begin"/>
            </w:r>
            <w:r>
              <w:rPr>
                <w:webHidden/>
              </w:rPr>
              <w:instrText xml:space="preserve"> PAGEREF _Toc418685528 \h </w:instrText>
            </w:r>
            <w:r>
              <w:rPr>
                <w:webHidden/>
              </w:rPr>
            </w:r>
            <w:r>
              <w:rPr>
                <w:webHidden/>
              </w:rPr>
              <w:fldChar w:fldCharType="separate"/>
            </w:r>
            <w:r>
              <w:rPr>
                <w:webHidden/>
              </w:rPr>
              <w:t>52</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29" w:history="1">
            <w:r w:rsidRPr="00021AE1">
              <w:rPr>
                <w:rStyle w:val="Hyperlink"/>
              </w:rPr>
              <w:t>5.1</w:t>
            </w:r>
            <w:r>
              <w:rPr>
                <w:rFonts w:asciiTheme="minorHAnsi" w:eastAsiaTheme="minorEastAsia" w:hAnsiTheme="minorHAnsi"/>
                <w:b w:val="0"/>
                <w:color w:val="auto"/>
                <w:sz w:val="22"/>
                <w:lang w:eastAsia="en-AU"/>
              </w:rPr>
              <w:tab/>
            </w:r>
            <w:r w:rsidRPr="00021AE1">
              <w:rPr>
                <w:rStyle w:val="Hyperlink"/>
              </w:rPr>
              <w:t>Better Regulation program</w:t>
            </w:r>
            <w:r>
              <w:rPr>
                <w:webHidden/>
              </w:rPr>
              <w:tab/>
            </w:r>
            <w:r>
              <w:rPr>
                <w:webHidden/>
              </w:rPr>
              <w:fldChar w:fldCharType="begin"/>
            </w:r>
            <w:r>
              <w:rPr>
                <w:webHidden/>
              </w:rPr>
              <w:instrText xml:space="preserve"> PAGEREF _Toc418685529 \h </w:instrText>
            </w:r>
            <w:r>
              <w:rPr>
                <w:webHidden/>
              </w:rPr>
            </w:r>
            <w:r>
              <w:rPr>
                <w:webHidden/>
              </w:rPr>
              <w:fldChar w:fldCharType="separate"/>
            </w:r>
            <w:r>
              <w:rPr>
                <w:webHidden/>
              </w:rPr>
              <w:t>52</w:t>
            </w:r>
            <w:r>
              <w:rPr>
                <w:webHidden/>
              </w:rPr>
              <w:fldChar w:fldCharType="end"/>
            </w:r>
          </w:hyperlink>
        </w:p>
        <w:p w:rsidR="005A2CA6" w:rsidRDefault="005A2CA6">
          <w:pPr>
            <w:pStyle w:val="TOC2"/>
            <w:rPr>
              <w:rFonts w:asciiTheme="minorHAnsi" w:eastAsiaTheme="minorEastAsia" w:hAnsiTheme="minorHAnsi"/>
              <w:b w:val="0"/>
              <w:color w:val="auto"/>
              <w:sz w:val="22"/>
              <w:lang w:eastAsia="en-AU"/>
            </w:rPr>
          </w:pPr>
          <w:hyperlink w:anchor="_Toc418685530" w:history="1">
            <w:r w:rsidRPr="00021AE1">
              <w:rPr>
                <w:rStyle w:val="Hyperlink"/>
              </w:rPr>
              <w:t>5.2</w:t>
            </w:r>
            <w:r>
              <w:rPr>
                <w:rFonts w:asciiTheme="minorHAnsi" w:eastAsiaTheme="minorEastAsia" w:hAnsiTheme="minorHAnsi"/>
                <w:b w:val="0"/>
                <w:color w:val="auto"/>
                <w:sz w:val="22"/>
                <w:lang w:eastAsia="en-AU"/>
              </w:rPr>
              <w:tab/>
            </w:r>
            <w:r w:rsidRPr="00021AE1">
              <w:rPr>
                <w:rStyle w:val="Hyperlink"/>
              </w:rPr>
              <w:t>Our engagement during the decision making process</w:t>
            </w:r>
            <w:r>
              <w:rPr>
                <w:webHidden/>
              </w:rPr>
              <w:tab/>
            </w:r>
            <w:r>
              <w:rPr>
                <w:webHidden/>
              </w:rPr>
              <w:fldChar w:fldCharType="begin"/>
            </w:r>
            <w:r>
              <w:rPr>
                <w:webHidden/>
              </w:rPr>
              <w:instrText xml:space="preserve"> PAGEREF _Toc418685530 \h </w:instrText>
            </w:r>
            <w:r>
              <w:rPr>
                <w:webHidden/>
              </w:rPr>
            </w:r>
            <w:r>
              <w:rPr>
                <w:webHidden/>
              </w:rPr>
              <w:fldChar w:fldCharType="separate"/>
            </w:r>
            <w:r>
              <w:rPr>
                <w:webHidden/>
              </w:rPr>
              <w:t>52</w:t>
            </w:r>
            <w:r>
              <w:rPr>
                <w:webHidden/>
              </w:rPr>
              <w:fldChar w:fldCharType="end"/>
            </w:r>
          </w:hyperlink>
        </w:p>
        <w:p w:rsidR="005A2CA6" w:rsidRDefault="005A2CA6">
          <w:pPr>
            <w:pStyle w:val="TOC3"/>
            <w:rPr>
              <w:rFonts w:asciiTheme="minorHAnsi" w:eastAsiaTheme="minorEastAsia" w:hAnsiTheme="minorHAnsi"/>
              <w:lang w:eastAsia="en-AU"/>
            </w:rPr>
          </w:pPr>
          <w:hyperlink w:anchor="_Toc418685531" w:history="1">
            <w:r w:rsidRPr="00021AE1">
              <w:rPr>
                <w:rStyle w:val="Hyperlink"/>
              </w:rPr>
              <w:t>5.2.1</w:t>
            </w:r>
            <w:r>
              <w:rPr>
                <w:rFonts w:asciiTheme="minorHAnsi" w:eastAsiaTheme="minorEastAsia" w:hAnsiTheme="minorHAnsi"/>
                <w:lang w:eastAsia="en-AU"/>
              </w:rPr>
              <w:tab/>
            </w:r>
            <w:r w:rsidRPr="00021AE1">
              <w:rPr>
                <w:rStyle w:val="Hyperlink"/>
              </w:rPr>
              <w:t>Revocation and substitution of preliminary decision</w:t>
            </w:r>
            <w:r>
              <w:rPr>
                <w:webHidden/>
              </w:rPr>
              <w:tab/>
            </w:r>
            <w:r>
              <w:rPr>
                <w:webHidden/>
              </w:rPr>
              <w:fldChar w:fldCharType="begin"/>
            </w:r>
            <w:r>
              <w:rPr>
                <w:webHidden/>
              </w:rPr>
              <w:instrText xml:space="preserve"> PAGEREF _Toc418685531 \h </w:instrText>
            </w:r>
            <w:r>
              <w:rPr>
                <w:webHidden/>
              </w:rPr>
            </w:r>
            <w:r>
              <w:rPr>
                <w:webHidden/>
              </w:rPr>
              <w:fldChar w:fldCharType="separate"/>
            </w:r>
            <w:r>
              <w:rPr>
                <w:webHidden/>
              </w:rPr>
              <w:t>54</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532" w:history="1">
            <w:r w:rsidRPr="00021AE1">
              <w:rPr>
                <w:rStyle w:val="Hyperlink"/>
              </w:rPr>
              <w:t>6</w:t>
            </w:r>
            <w:r>
              <w:rPr>
                <w:rFonts w:asciiTheme="minorHAnsi" w:eastAsiaTheme="minorEastAsia" w:hAnsiTheme="minorHAnsi"/>
                <w:b w:val="0"/>
                <w:color w:val="auto"/>
                <w:sz w:val="22"/>
                <w:lang w:val="en-AU" w:eastAsia="en-AU"/>
              </w:rPr>
              <w:tab/>
            </w:r>
            <w:r w:rsidRPr="00021AE1">
              <w:rPr>
                <w:rStyle w:val="Hyperlink"/>
              </w:rPr>
              <w:t>Next steps</w:t>
            </w:r>
            <w:r>
              <w:rPr>
                <w:webHidden/>
              </w:rPr>
              <w:tab/>
            </w:r>
            <w:r>
              <w:rPr>
                <w:webHidden/>
              </w:rPr>
              <w:fldChar w:fldCharType="begin"/>
            </w:r>
            <w:r>
              <w:rPr>
                <w:webHidden/>
              </w:rPr>
              <w:instrText xml:space="preserve"> PAGEREF _Toc418685532 \h </w:instrText>
            </w:r>
            <w:r>
              <w:rPr>
                <w:webHidden/>
              </w:rPr>
            </w:r>
            <w:r>
              <w:rPr>
                <w:webHidden/>
              </w:rPr>
              <w:fldChar w:fldCharType="separate"/>
            </w:r>
            <w:r>
              <w:rPr>
                <w:webHidden/>
              </w:rPr>
              <w:t>55</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533" w:history="1">
            <w:r w:rsidRPr="00021AE1">
              <w:rPr>
                <w:rStyle w:val="Hyperlink"/>
              </w:rPr>
              <w:t>A</w:t>
            </w:r>
            <w:r>
              <w:rPr>
                <w:rFonts w:asciiTheme="minorHAnsi" w:eastAsiaTheme="minorEastAsia" w:hAnsiTheme="minorHAnsi"/>
                <w:b w:val="0"/>
                <w:color w:val="auto"/>
                <w:sz w:val="22"/>
                <w:lang w:val="en-AU" w:eastAsia="en-AU"/>
              </w:rPr>
              <w:tab/>
            </w:r>
            <w:r w:rsidRPr="00021AE1">
              <w:rPr>
                <w:rStyle w:val="Hyperlink"/>
              </w:rPr>
              <w:t>Constituent decisions</w:t>
            </w:r>
            <w:r>
              <w:rPr>
                <w:webHidden/>
              </w:rPr>
              <w:tab/>
            </w:r>
            <w:r>
              <w:rPr>
                <w:webHidden/>
              </w:rPr>
              <w:fldChar w:fldCharType="begin"/>
            </w:r>
            <w:r>
              <w:rPr>
                <w:webHidden/>
              </w:rPr>
              <w:instrText xml:space="preserve"> PAGEREF _Toc418685533 \h </w:instrText>
            </w:r>
            <w:r>
              <w:rPr>
                <w:webHidden/>
              </w:rPr>
            </w:r>
            <w:r>
              <w:rPr>
                <w:webHidden/>
              </w:rPr>
              <w:fldChar w:fldCharType="separate"/>
            </w:r>
            <w:r>
              <w:rPr>
                <w:webHidden/>
              </w:rPr>
              <w:t>56</w:t>
            </w:r>
            <w:r>
              <w:rPr>
                <w:webHidden/>
              </w:rPr>
              <w:fldChar w:fldCharType="end"/>
            </w:r>
          </w:hyperlink>
        </w:p>
        <w:p w:rsidR="005A2CA6" w:rsidRDefault="005A2CA6">
          <w:pPr>
            <w:pStyle w:val="TOC1"/>
            <w:rPr>
              <w:rFonts w:asciiTheme="minorHAnsi" w:eastAsiaTheme="minorEastAsia" w:hAnsiTheme="minorHAnsi"/>
              <w:b w:val="0"/>
              <w:color w:val="auto"/>
              <w:sz w:val="22"/>
              <w:lang w:val="en-AU" w:eastAsia="en-AU"/>
            </w:rPr>
          </w:pPr>
          <w:hyperlink w:anchor="_Toc418685534" w:history="1">
            <w:r w:rsidRPr="00021AE1">
              <w:rPr>
                <w:rStyle w:val="Hyperlink"/>
              </w:rPr>
              <w:t>B</w:t>
            </w:r>
            <w:r>
              <w:rPr>
                <w:rFonts w:asciiTheme="minorHAnsi" w:eastAsiaTheme="minorEastAsia" w:hAnsiTheme="minorHAnsi"/>
                <w:b w:val="0"/>
                <w:color w:val="auto"/>
                <w:sz w:val="22"/>
                <w:lang w:val="en-AU" w:eastAsia="en-AU"/>
              </w:rPr>
              <w:tab/>
            </w:r>
            <w:r w:rsidRPr="00021AE1">
              <w:rPr>
                <w:rStyle w:val="Hyperlink"/>
              </w:rPr>
              <w:t>List of submissions</w:t>
            </w:r>
            <w:r>
              <w:rPr>
                <w:webHidden/>
              </w:rPr>
              <w:tab/>
            </w:r>
            <w:r>
              <w:rPr>
                <w:webHidden/>
              </w:rPr>
              <w:fldChar w:fldCharType="begin"/>
            </w:r>
            <w:r>
              <w:rPr>
                <w:webHidden/>
              </w:rPr>
              <w:instrText xml:space="preserve"> PAGEREF _Toc418685534 \h </w:instrText>
            </w:r>
            <w:r>
              <w:rPr>
                <w:webHidden/>
              </w:rPr>
            </w:r>
            <w:r>
              <w:rPr>
                <w:webHidden/>
              </w:rPr>
              <w:fldChar w:fldCharType="separate"/>
            </w:r>
            <w:r>
              <w:rPr>
                <w:webHidden/>
              </w:rPr>
              <w:t>59</w:t>
            </w:r>
            <w:r>
              <w:rPr>
                <w:webHidden/>
              </w:rPr>
              <w:fldChar w:fldCharType="end"/>
            </w:r>
          </w:hyperlink>
        </w:p>
        <w:p w:rsidR="00DE563D" w:rsidRDefault="005E6437" w:rsidP="005E6437">
          <w:pPr>
            <w:pStyle w:val="TOC1"/>
          </w:pPr>
          <w:r>
            <w:rPr>
              <w:color w:val="auto"/>
              <w:sz w:val="22"/>
            </w:rPr>
            <w:fldChar w:fldCharType="end"/>
          </w:r>
        </w:p>
      </w:sdtContent>
    </w:sdt>
    <w:p w:rsidR="00DE563D" w:rsidRDefault="00DE563D">
      <w:pPr>
        <w:spacing w:line="240" w:lineRule="auto"/>
      </w:pPr>
    </w:p>
    <w:p w:rsidR="00DE563D" w:rsidRDefault="00DE563D" w:rsidP="00DE563D">
      <w:pPr>
        <w:pStyle w:val="UnnumberedHeading"/>
        <w:numPr>
          <w:ilvl w:val="0"/>
          <w:numId w:val="24"/>
        </w:numPr>
      </w:pPr>
      <w:bookmarkStart w:id="7" w:name="_Toc404700925"/>
      <w:bookmarkStart w:id="8" w:name="_Toc418685492"/>
      <w:r>
        <w:lastRenderedPageBreak/>
        <w:t>Shortened forms</w:t>
      </w:r>
      <w:bookmarkEnd w:id="7"/>
      <w:bookmarkEnd w:id="8"/>
    </w:p>
    <w:tbl>
      <w:tblPr>
        <w:tblStyle w:val="AERtable-text0"/>
        <w:tblW w:w="0" w:type="auto"/>
        <w:tblLook w:val="04A0" w:firstRow="1" w:lastRow="0" w:firstColumn="1" w:lastColumn="0" w:noHBand="0" w:noVBand="1"/>
      </w:tblPr>
      <w:tblGrid>
        <w:gridCol w:w="4340"/>
        <w:gridCol w:w="4353"/>
      </w:tblGrid>
      <w:tr w:rsidR="00DE563D" w:rsidTr="006C6CA7">
        <w:trPr>
          <w:cnfStyle w:val="100000000000" w:firstRow="1" w:lastRow="0" w:firstColumn="0" w:lastColumn="0" w:oddVBand="0" w:evenVBand="0" w:oddHBand="0" w:evenHBand="0" w:firstRowFirstColumn="0" w:firstRowLastColumn="0" w:lastRowFirstColumn="0" w:lastRowLastColumn="0"/>
          <w:tblHeader/>
        </w:trPr>
        <w:tc>
          <w:tcPr>
            <w:tcW w:w="4340" w:type="dxa"/>
          </w:tcPr>
          <w:p w:rsidR="00DE563D" w:rsidRDefault="00DE563D" w:rsidP="00DE563D">
            <w:pPr>
              <w:pStyle w:val="AERtabletextleft"/>
            </w:pPr>
            <w:r>
              <w:t>Shortened form</w:t>
            </w:r>
          </w:p>
        </w:tc>
        <w:tc>
          <w:tcPr>
            <w:tcW w:w="4353" w:type="dxa"/>
          </w:tcPr>
          <w:p w:rsidR="00DE563D" w:rsidRDefault="00DE563D" w:rsidP="00DE563D">
            <w:pPr>
              <w:pStyle w:val="AERtabletextleft"/>
            </w:pPr>
            <w:r>
              <w:t>Extended form</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AEMC</w:t>
            </w:r>
          </w:p>
        </w:tc>
        <w:tc>
          <w:tcPr>
            <w:tcW w:w="4353" w:type="dxa"/>
          </w:tcPr>
          <w:p w:rsidR="00DE563D" w:rsidRPr="003346D9" w:rsidRDefault="00DE563D" w:rsidP="00DE563D">
            <w:pPr>
              <w:pStyle w:val="AERtabletextleft"/>
              <w:rPr>
                <w:rStyle w:val="AERtextsize8"/>
              </w:rPr>
            </w:pPr>
            <w:r w:rsidRPr="003346D9">
              <w:rPr>
                <w:rStyle w:val="AERtextsize8"/>
              </w:rPr>
              <w:t>Australian Energy Market Commission</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AEMO</w:t>
            </w:r>
          </w:p>
        </w:tc>
        <w:tc>
          <w:tcPr>
            <w:tcW w:w="4353" w:type="dxa"/>
          </w:tcPr>
          <w:p w:rsidR="00DE563D" w:rsidRPr="003346D9" w:rsidRDefault="00DE563D" w:rsidP="00DE563D">
            <w:pPr>
              <w:pStyle w:val="AERtabletextleft"/>
              <w:rPr>
                <w:rStyle w:val="AERtextsize8"/>
              </w:rPr>
            </w:pPr>
            <w:r w:rsidRPr="003346D9">
              <w:rPr>
                <w:rStyle w:val="AERtextsize8"/>
              </w:rPr>
              <w:t>Australian Energy Market Operator</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AER</w:t>
            </w:r>
          </w:p>
        </w:tc>
        <w:tc>
          <w:tcPr>
            <w:tcW w:w="4353" w:type="dxa"/>
          </w:tcPr>
          <w:p w:rsidR="00DE563D" w:rsidRPr="003346D9" w:rsidRDefault="00DE563D" w:rsidP="00DE563D">
            <w:pPr>
              <w:pStyle w:val="AERtabletextleft"/>
              <w:rPr>
                <w:rStyle w:val="AERtextsize8"/>
              </w:rPr>
            </w:pPr>
            <w:r w:rsidRPr="003346D9">
              <w:rPr>
                <w:rStyle w:val="AERtextsize8"/>
              </w:rPr>
              <w:t>Australian Energy Regulator</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proofErr w:type="spellStart"/>
            <w:r w:rsidRPr="003346D9">
              <w:rPr>
                <w:rStyle w:val="AERtextsize8"/>
              </w:rPr>
              <w:t>augex</w:t>
            </w:r>
            <w:proofErr w:type="spellEnd"/>
          </w:p>
        </w:tc>
        <w:tc>
          <w:tcPr>
            <w:tcW w:w="4353" w:type="dxa"/>
          </w:tcPr>
          <w:p w:rsidR="00DE563D" w:rsidRPr="003346D9" w:rsidRDefault="00DE563D" w:rsidP="00DE563D">
            <w:pPr>
              <w:pStyle w:val="AERtabletextleft"/>
              <w:rPr>
                <w:rStyle w:val="AERtextsize8"/>
              </w:rPr>
            </w:pPr>
            <w:r w:rsidRPr="003346D9">
              <w:rPr>
                <w:rStyle w:val="AERtextsize8"/>
              </w:rPr>
              <w:t>augmentation expenditure</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capex</w:t>
            </w:r>
          </w:p>
        </w:tc>
        <w:tc>
          <w:tcPr>
            <w:tcW w:w="4353" w:type="dxa"/>
          </w:tcPr>
          <w:p w:rsidR="00DE563D" w:rsidRPr="003346D9" w:rsidRDefault="00DE563D" w:rsidP="00DE563D">
            <w:pPr>
              <w:pStyle w:val="AERtabletextleft"/>
              <w:rPr>
                <w:rStyle w:val="AERtextsize8"/>
              </w:rPr>
            </w:pPr>
            <w:r w:rsidRPr="003346D9">
              <w:rPr>
                <w:rStyle w:val="AERtextsize8"/>
              </w:rPr>
              <w:t>capital expenditure</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CCP</w:t>
            </w:r>
          </w:p>
        </w:tc>
        <w:tc>
          <w:tcPr>
            <w:tcW w:w="4353" w:type="dxa"/>
          </w:tcPr>
          <w:p w:rsidR="00DE563D" w:rsidRPr="003346D9" w:rsidRDefault="00DE563D" w:rsidP="00DE563D">
            <w:pPr>
              <w:pStyle w:val="AERtabletextleft"/>
              <w:rPr>
                <w:rStyle w:val="AERtextsize8"/>
              </w:rPr>
            </w:pPr>
            <w:r w:rsidRPr="003346D9">
              <w:rPr>
                <w:rStyle w:val="AERtextsize8"/>
              </w:rPr>
              <w:t>Consumer Challenge Panel</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CESS</w:t>
            </w:r>
          </w:p>
        </w:tc>
        <w:tc>
          <w:tcPr>
            <w:tcW w:w="4353" w:type="dxa"/>
          </w:tcPr>
          <w:p w:rsidR="00DE563D" w:rsidRPr="003346D9" w:rsidRDefault="00DE563D" w:rsidP="00DE563D">
            <w:pPr>
              <w:pStyle w:val="AERtabletextleft"/>
              <w:rPr>
                <w:rStyle w:val="AERtextsize8"/>
              </w:rPr>
            </w:pPr>
            <w:r w:rsidRPr="003346D9">
              <w:rPr>
                <w:rStyle w:val="AERtextsize8"/>
              </w:rPr>
              <w:t>capital expenditure sharing scheme</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CPI</w:t>
            </w:r>
          </w:p>
        </w:tc>
        <w:tc>
          <w:tcPr>
            <w:tcW w:w="4353" w:type="dxa"/>
          </w:tcPr>
          <w:p w:rsidR="00DE563D" w:rsidRPr="003346D9" w:rsidRDefault="00DE563D" w:rsidP="00DE563D">
            <w:pPr>
              <w:pStyle w:val="AERtabletextleft"/>
              <w:rPr>
                <w:rStyle w:val="AERtextsize8"/>
              </w:rPr>
            </w:pPr>
            <w:r w:rsidRPr="003346D9">
              <w:rPr>
                <w:rStyle w:val="AERtextsize8"/>
              </w:rPr>
              <w:t>consumer price index</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DRP</w:t>
            </w:r>
          </w:p>
        </w:tc>
        <w:tc>
          <w:tcPr>
            <w:tcW w:w="4353" w:type="dxa"/>
          </w:tcPr>
          <w:p w:rsidR="00DE563D" w:rsidRPr="003346D9" w:rsidRDefault="00DE563D" w:rsidP="00DE563D">
            <w:pPr>
              <w:pStyle w:val="AERtabletextleft"/>
              <w:rPr>
                <w:rStyle w:val="AERtextsize8"/>
              </w:rPr>
            </w:pPr>
            <w:r w:rsidRPr="003346D9">
              <w:rPr>
                <w:rStyle w:val="AERtextsize8"/>
              </w:rPr>
              <w:t>debt risk premium</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DMIA</w:t>
            </w:r>
          </w:p>
        </w:tc>
        <w:tc>
          <w:tcPr>
            <w:tcW w:w="4353" w:type="dxa"/>
          </w:tcPr>
          <w:p w:rsidR="00DE563D" w:rsidRPr="003346D9" w:rsidRDefault="00DE563D" w:rsidP="00DE563D">
            <w:pPr>
              <w:pStyle w:val="AERtabletextleft"/>
              <w:rPr>
                <w:rStyle w:val="AERtextsize8"/>
              </w:rPr>
            </w:pPr>
            <w:r w:rsidRPr="003346D9">
              <w:rPr>
                <w:rStyle w:val="AERtextsize8"/>
              </w:rPr>
              <w:t>demand management innovation allowance</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DMIS</w:t>
            </w:r>
          </w:p>
        </w:tc>
        <w:tc>
          <w:tcPr>
            <w:tcW w:w="4353" w:type="dxa"/>
          </w:tcPr>
          <w:p w:rsidR="00DE563D" w:rsidRPr="003346D9" w:rsidRDefault="00DE563D" w:rsidP="00DE563D">
            <w:pPr>
              <w:pStyle w:val="AERtabletextleft"/>
              <w:rPr>
                <w:rStyle w:val="AERtextsize8"/>
              </w:rPr>
            </w:pPr>
            <w:r w:rsidRPr="003346D9">
              <w:rPr>
                <w:rStyle w:val="AERtextsize8"/>
              </w:rPr>
              <w:t>demand management incentive scheme</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distributor</w:t>
            </w:r>
          </w:p>
        </w:tc>
        <w:tc>
          <w:tcPr>
            <w:tcW w:w="4353" w:type="dxa"/>
          </w:tcPr>
          <w:p w:rsidR="00DE563D" w:rsidRPr="003346D9" w:rsidRDefault="00DE563D" w:rsidP="00DE563D">
            <w:pPr>
              <w:pStyle w:val="AERtabletextleft"/>
              <w:rPr>
                <w:rStyle w:val="AERtextsize8"/>
              </w:rPr>
            </w:pPr>
            <w:r w:rsidRPr="003346D9">
              <w:rPr>
                <w:rStyle w:val="AERtextsize8"/>
              </w:rPr>
              <w:t>distribution network service provider</w:t>
            </w:r>
          </w:p>
        </w:tc>
      </w:tr>
      <w:tr w:rsidR="00DE563D" w:rsidTr="006C6CA7">
        <w:tc>
          <w:tcPr>
            <w:tcW w:w="4340" w:type="dxa"/>
          </w:tcPr>
          <w:p w:rsidR="00DE563D" w:rsidRPr="003346D9" w:rsidRDefault="00DE563D" w:rsidP="00DE563D">
            <w:pPr>
              <w:pStyle w:val="AERtabletextleft"/>
              <w:rPr>
                <w:rStyle w:val="AERtextsize8"/>
              </w:rPr>
            </w:pPr>
            <w:proofErr w:type="spellStart"/>
            <w:r w:rsidRPr="003346D9">
              <w:rPr>
                <w:rStyle w:val="AERtextsize8"/>
              </w:rPr>
              <w:t>DUoS</w:t>
            </w:r>
            <w:proofErr w:type="spellEnd"/>
          </w:p>
        </w:tc>
        <w:tc>
          <w:tcPr>
            <w:tcW w:w="4353" w:type="dxa"/>
          </w:tcPr>
          <w:p w:rsidR="00DE563D" w:rsidRPr="003346D9" w:rsidRDefault="00DE563D" w:rsidP="00DE563D">
            <w:pPr>
              <w:pStyle w:val="AERtabletextleft"/>
              <w:rPr>
                <w:rStyle w:val="AERtextsize8"/>
              </w:rPr>
            </w:pPr>
            <w:r w:rsidRPr="003346D9">
              <w:rPr>
                <w:rStyle w:val="AERtextsize8"/>
              </w:rPr>
              <w:t>distribution use of system</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EBSS</w:t>
            </w:r>
          </w:p>
        </w:tc>
        <w:tc>
          <w:tcPr>
            <w:tcW w:w="4353" w:type="dxa"/>
          </w:tcPr>
          <w:p w:rsidR="00DE563D" w:rsidRPr="003346D9" w:rsidRDefault="00DE563D" w:rsidP="00DE563D">
            <w:pPr>
              <w:pStyle w:val="AERtabletextleft"/>
              <w:rPr>
                <w:rStyle w:val="AERtextsize8"/>
              </w:rPr>
            </w:pPr>
            <w:r w:rsidRPr="003346D9">
              <w:rPr>
                <w:rStyle w:val="AERtextsize8"/>
              </w:rPr>
              <w:t>efficiency benefit sharing scheme</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ERP</w:t>
            </w:r>
          </w:p>
        </w:tc>
        <w:tc>
          <w:tcPr>
            <w:tcW w:w="4353" w:type="dxa"/>
          </w:tcPr>
          <w:p w:rsidR="00DE563D" w:rsidRPr="003346D9" w:rsidRDefault="00DE563D" w:rsidP="00DE563D">
            <w:pPr>
              <w:pStyle w:val="AERtabletextleft"/>
              <w:rPr>
                <w:rStyle w:val="AERtextsize8"/>
              </w:rPr>
            </w:pPr>
            <w:r w:rsidRPr="003346D9">
              <w:rPr>
                <w:rStyle w:val="AERtextsize8"/>
              </w:rPr>
              <w:t>equity risk premium</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0E26C1" w:rsidP="00DE563D">
            <w:pPr>
              <w:pStyle w:val="AERtabletextleft"/>
              <w:rPr>
                <w:rStyle w:val="AERtextsize8"/>
              </w:rPr>
            </w:pPr>
            <w:r w:rsidRPr="003346D9">
              <w:rPr>
                <w:rStyle w:val="AERtextsize8"/>
              </w:rPr>
              <w:t>E</w:t>
            </w:r>
            <w:r w:rsidR="00DE563D" w:rsidRPr="003346D9">
              <w:rPr>
                <w:rStyle w:val="AERtextsize8"/>
              </w:rPr>
              <w:t xml:space="preserve">xpenditure </w:t>
            </w:r>
            <w:r w:rsidRPr="003346D9">
              <w:rPr>
                <w:rStyle w:val="AERtextsize8"/>
              </w:rPr>
              <w:t>A</w:t>
            </w:r>
            <w:r w:rsidR="00DE563D" w:rsidRPr="003346D9">
              <w:rPr>
                <w:rStyle w:val="AERtextsize8"/>
              </w:rPr>
              <w:t xml:space="preserve">ssessment </w:t>
            </w:r>
            <w:r w:rsidRPr="003346D9">
              <w:rPr>
                <w:rStyle w:val="AERtextsize8"/>
              </w:rPr>
              <w:t>G</w:t>
            </w:r>
            <w:r w:rsidR="00DE563D" w:rsidRPr="003346D9">
              <w:rPr>
                <w:rStyle w:val="AERtextsize8"/>
              </w:rPr>
              <w:t>uideline</w:t>
            </w:r>
          </w:p>
        </w:tc>
        <w:tc>
          <w:tcPr>
            <w:tcW w:w="4353" w:type="dxa"/>
          </w:tcPr>
          <w:p w:rsidR="00DE563D" w:rsidRPr="003346D9" w:rsidRDefault="006C6CA7" w:rsidP="00FD11E3">
            <w:pPr>
              <w:pStyle w:val="AERtabletextleft"/>
              <w:rPr>
                <w:rStyle w:val="AERtextsize8"/>
              </w:rPr>
            </w:pPr>
            <w:r w:rsidRPr="003346D9">
              <w:rPr>
                <w:rStyle w:val="AERtextsize8"/>
              </w:rPr>
              <w:t>Expenditure F</w:t>
            </w:r>
            <w:r w:rsidR="00DE563D" w:rsidRPr="003346D9">
              <w:rPr>
                <w:rStyle w:val="AERtextsize8"/>
              </w:rPr>
              <w:t xml:space="preserve">orecast </w:t>
            </w:r>
            <w:r w:rsidR="00FD11E3" w:rsidRPr="003346D9">
              <w:rPr>
                <w:rStyle w:val="AERtextsize8"/>
              </w:rPr>
              <w:t>A</w:t>
            </w:r>
            <w:r w:rsidR="00DE563D" w:rsidRPr="003346D9">
              <w:rPr>
                <w:rStyle w:val="AERtextsize8"/>
              </w:rPr>
              <w:t xml:space="preserve">ssessment </w:t>
            </w:r>
            <w:r w:rsidR="00DE3DDF" w:rsidRPr="003346D9">
              <w:rPr>
                <w:rStyle w:val="AERtextsize8"/>
              </w:rPr>
              <w:t>G</w:t>
            </w:r>
            <w:r w:rsidR="00FD11E3" w:rsidRPr="003346D9">
              <w:rPr>
                <w:rStyle w:val="AERtextsize8"/>
              </w:rPr>
              <w:t>uideline for E</w:t>
            </w:r>
            <w:r w:rsidR="00DE563D" w:rsidRPr="003346D9">
              <w:rPr>
                <w:rStyle w:val="AERtextsize8"/>
              </w:rPr>
              <w:t xml:space="preserve">lectricity </w:t>
            </w:r>
            <w:r w:rsidR="00FD11E3" w:rsidRPr="003346D9">
              <w:rPr>
                <w:rStyle w:val="AERtextsize8"/>
              </w:rPr>
              <w:t>D</w:t>
            </w:r>
            <w:r w:rsidR="00DE563D" w:rsidRPr="003346D9">
              <w:rPr>
                <w:rStyle w:val="AERtextsize8"/>
              </w:rPr>
              <w:t>istribution</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F&amp;A</w:t>
            </w:r>
          </w:p>
        </w:tc>
        <w:tc>
          <w:tcPr>
            <w:tcW w:w="4353" w:type="dxa"/>
          </w:tcPr>
          <w:p w:rsidR="00DE563D" w:rsidRPr="003346D9" w:rsidRDefault="00DE563D" w:rsidP="00DE563D">
            <w:pPr>
              <w:pStyle w:val="AERtabletextleft"/>
              <w:rPr>
                <w:rStyle w:val="AERtextsize8"/>
              </w:rPr>
            </w:pPr>
            <w:r w:rsidRPr="003346D9">
              <w:rPr>
                <w:rStyle w:val="AERtextsize8"/>
              </w:rPr>
              <w:t>framework and approach</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MRP</w:t>
            </w:r>
          </w:p>
        </w:tc>
        <w:tc>
          <w:tcPr>
            <w:tcW w:w="4353" w:type="dxa"/>
          </w:tcPr>
          <w:p w:rsidR="00DE563D" w:rsidRPr="003346D9" w:rsidRDefault="00DE563D" w:rsidP="00DE563D">
            <w:pPr>
              <w:pStyle w:val="AERtabletextleft"/>
              <w:rPr>
                <w:rStyle w:val="AERtextsize8"/>
              </w:rPr>
            </w:pPr>
            <w:r w:rsidRPr="003346D9">
              <w:rPr>
                <w:rStyle w:val="AERtextsize8"/>
              </w:rPr>
              <w:t>market risk premium</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NEL</w:t>
            </w:r>
          </w:p>
        </w:tc>
        <w:tc>
          <w:tcPr>
            <w:tcW w:w="4353" w:type="dxa"/>
          </w:tcPr>
          <w:p w:rsidR="00DE563D" w:rsidRPr="003346D9" w:rsidRDefault="00DE563D" w:rsidP="00DE563D">
            <w:pPr>
              <w:pStyle w:val="AERtabletextleft"/>
              <w:rPr>
                <w:rStyle w:val="AERtextsize8"/>
              </w:rPr>
            </w:pPr>
            <w:r w:rsidRPr="003346D9">
              <w:rPr>
                <w:rStyle w:val="AERtextsize8"/>
              </w:rPr>
              <w:t>national electricity law</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NEM</w:t>
            </w:r>
          </w:p>
        </w:tc>
        <w:tc>
          <w:tcPr>
            <w:tcW w:w="4353" w:type="dxa"/>
          </w:tcPr>
          <w:p w:rsidR="00DE563D" w:rsidRPr="003346D9" w:rsidRDefault="00DE563D" w:rsidP="00DE563D">
            <w:pPr>
              <w:pStyle w:val="AERtabletextleft"/>
              <w:rPr>
                <w:rStyle w:val="AERtextsize8"/>
              </w:rPr>
            </w:pPr>
            <w:r w:rsidRPr="003346D9">
              <w:rPr>
                <w:rStyle w:val="AERtextsize8"/>
              </w:rPr>
              <w:t>national electricity market</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NEO</w:t>
            </w:r>
          </w:p>
        </w:tc>
        <w:tc>
          <w:tcPr>
            <w:tcW w:w="4353" w:type="dxa"/>
          </w:tcPr>
          <w:p w:rsidR="00DE563D" w:rsidRPr="003346D9" w:rsidRDefault="00DE563D" w:rsidP="00DE563D">
            <w:pPr>
              <w:pStyle w:val="AERtabletextleft"/>
              <w:rPr>
                <w:rStyle w:val="AERtextsize8"/>
              </w:rPr>
            </w:pPr>
            <w:r w:rsidRPr="003346D9">
              <w:rPr>
                <w:rStyle w:val="AERtextsize8"/>
              </w:rPr>
              <w:t>national electricity objective</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NER</w:t>
            </w:r>
          </w:p>
        </w:tc>
        <w:tc>
          <w:tcPr>
            <w:tcW w:w="4353" w:type="dxa"/>
          </w:tcPr>
          <w:p w:rsidR="00DE563D" w:rsidRPr="003346D9" w:rsidRDefault="00DE563D" w:rsidP="00DE563D">
            <w:pPr>
              <w:pStyle w:val="AERtabletextleft"/>
              <w:rPr>
                <w:rStyle w:val="AERtextsize8"/>
              </w:rPr>
            </w:pPr>
            <w:r w:rsidRPr="003346D9">
              <w:rPr>
                <w:rStyle w:val="AERtextsize8"/>
              </w:rPr>
              <w:t>national electricity rules</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NSP</w:t>
            </w:r>
          </w:p>
        </w:tc>
        <w:tc>
          <w:tcPr>
            <w:tcW w:w="4353" w:type="dxa"/>
          </w:tcPr>
          <w:p w:rsidR="00DE563D" w:rsidRPr="003346D9" w:rsidRDefault="00DE563D" w:rsidP="00DE563D">
            <w:pPr>
              <w:pStyle w:val="AERtabletextleft"/>
              <w:rPr>
                <w:rStyle w:val="AERtextsize8"/>
              </w:rPr>
            </w:pPr>
            <w:r w:rsidRPr="003346D9">
              <w:rPr>
                <w:rStyle w:val="AERtextsize8"/>
              </w:rPr>
              <w:t>network service provider</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proofErr w:type="spellStart"/>
            <w:r w:rsidRPr="003346D9">
              <w:rPr>
                <w:rStyle w:val="AERtextsize8"/>
              </w:rPr>
              <w:t>opex</w:t>
            </w:r>
            <w:proofErr w:type="spellEnd"/>
          </w:p>
        </w:tc>
        <w:tc>
          <w:tcPr>
            <w:tcW w:w="4353" w:type="dxa"/>
          </w:tcPr>
          <w:p w:rsidR="00DE563D" w:rsidRPr="003346D9" w:rsidRDefault="00DE563D" w:rsidP="00DE563D">
            <w:pPr>
              <w:pStyle w:val="AERtabletextleft"/>
              <w:rPr>
                <w:rStyle w:val="AERtextsize8"/>
              </w:rPr>
            </w:pPr>
            <w:r w:rsidRPr="003346D9">
              <w:rPr>
                <w:rStyle w:val="AERtextsize8"/>
              </w:rPr>
              <w:t>operating expenditure</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PPI</w:t>
            </w:r>
          </w:p>
        </w:tc>
        <w:tc>
          <w:tcPr>
            <w:tcW w:w="4353" w:type="dxa"/>
          </w:tcPr>
          <w:p w:rsidR="00DE563D" w:rsidRPr="003346D9" w:rsidRDefault="00DE563D" w:rsidP="00DE563D">
            <w:pPr>
              <w:pStyle w:val="AERtabletextleft"/>
              <w:rPr>
                <w:rStyle w:val="AERtextsize8"/>
              </w:rPr>
            </w:pPr>
            <w:r w:rsidRPr="003346D9">
              <w:rPr>
                <w:rStyle w:val="AERtextsize8"/>
              </w:rPr>
              <w:t>partial performance indicators</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PTRM</w:t>
            </w:r>
          </w:p>
        </w:tc>
        <w:tc>
          <w:tcPr>
            <w:tcW w:w="4353" w:type="dxa"/>
          </w:tcPr>
          <w:p w:rsidR="00DE563D" w:rsidRPr="003346D9" w:rsidRDefault="00DE563D" w:rsidP="00DE563D">
            <w:pPr>
              <w:pStyle w:val="AERtabletextleft"/>
              <w:rPr>
                <w:rStyle w:val="AERtextsize8"/>
              </w:rPr>
            </w:pPr>
            <w:r w:rsidRPr="003346D9">
              <w:rPr>
                <w:rStyle w:val="AERtextsize8"/>
              </w:rPr>
              <w:t>post-tax revenue model</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RAB</w:t>
            </w:r>
          </w:p>
        </w:tc>
        <w:tc>
          <w:tcPr>
            <w:tcW w:w="4353" w:type="dxa"/>
          </w:tcPr>
          <w:p w:rsidR="00DE563D" w:rsidRPr="003346D9" w:rsidRDefault="00DE563D" w:rsidP="00DE563D">
            <w:pPr>
              <w:pStyle w:val="AERtabletextleft"/>
              <w:rPr>
                <w:rStyle w:val="AERtextsize8"/>
              </w:rPr>
            </w:pPr>
            <w:r w:rsidRPr="003346D9">
              <w:rPr>
                <w:rStyle w:val="AERtextsize8"/>
              </w:rPr>
              <w:t>regulatory asset base</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RBA</w:t>
            </w:r>
          </w:p>
        </w:tc>
        <w:tc>
          <w:tcPr>
            <w:tcW w:w="4353" w:type="dxa"/>
          </w:tcPr>
          <w:p w:rsidR="00DE563D" w:rsidRPr="003346D9" w:rsidRDefault="00DE563D" w:rsidP="00DE563D">
            <w:pPr>
              <w:pStyle w:val="AERtabletextleft"/>
              <w:rPr>
                <w:rStyle w:val="AERtextsize8"/>
              </w:rPr>
            </w:pPr>
            <w:r w:rsidRPr="003346D9">
              <w:rPr>
                <w:rStyle w:val="AERtextsize8"/>
              </w:rPr>
              <w:t>Reserve Bank of Australia</w:t>
            </w:r>
          </w:p>
        </w:tc>
      </w:tr>
      <w:tr w:rsidR="00DE563D" w:rsidRPr="003346D9" w:rsidTr="006C6CA7">
        <w:tc>
          <w:tcPr>
            <w:tcW w:w="4340" w:type="dxa"/>
          </w:tcPr>
          <w:p w:rsidR="00DE563D" w:rsidRPr="003346D9" w:rsidRDefault="00DE563D" w:rsidP="00DE563D">
            <w:pPr>
              <w:pStyle w:val="AERtabletextleft"/>
              <w:rPr>
                <w:rStyle w:val="AERtextsize8"/>
              </w:rPr>
            </w:pPr>
            <w:proofErr w:type="spellStart"/>
            <w:r w:rsidRPr="003346D9">
              <w:rPr>
                <w:rStyle w:val="AERtextsize8"/>
              </w:rPr>
              <w:t>repex</w:t>
            </w:r>
            <w:proofErr w:type="spellEnd"/>
          </w:p>
        </w:tc>
        <w:tc>
          <w:tcPr>
            <w:tcW w:w="4353" w:type="dxa"/>
          </w:tcPr>
          <w:p w:rsidR="00DE563D" w:rsidRPr="003346D9" w:rsidRDefault="00DE563D" w:rsidP="00DE563D">
            <w:pPr>
              <w:pStyle w:val="AERtabletextleft"/>
              <w:rPr>
                <w:rStyle w:val="AERtextsize8"/>
              </w:rPr>
            </w:pPr>
            <w:r w:rsidRPr="003346D9">
              <w:rPr>
                <w:rStyle w:val="AERtextsize8"/>
              </w:rPr>
              <w:t>replacement expenditure</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lastRenderedPageBreak/>
              <w:t>RFM</w:t>
            </w:r>
          </w:p>
        </w:tc>
        <w:tc>
          <w:tcPr>
            <w:tcW w:w="4353" w:type="dxa"/>
          </w:tcPr>
          <w:p w:rsidR="00DE563D" w:rsidRPr="003346D9" w:rsidRDefault="00DE563D" w:rsidP="00DE563D">
            <w:pPr>
              <w:pStyle w:val="AERtabletextleft"/>
              <w:rPr>
                <w:rStyle w:val="AERtextsize8"/>
              </w:rPr>
            </w:pPr>
            <w:r w:rsidRPr="003346D9">
              <w:rPr>
                <w:rStyle w:val="AERtextsize8"/>
              </w:rPr>
              <w:t>roll forward model</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RIN</w:t>
            </w:r>
          </w:p>
        </w:tc>
        <w:tc>
          <w:tcPr>
            <w:tcW w:w="4353" w:type="dxa"/>
          </w:tcPr>
          <w:p w:rsidR="00DE563D" w:rsidRPr="003346D9" w:rsidRDefault="00DE563D" w:rsidP="00DE563D">
            <w:pPr>
              <w:pStyle w:val="AERtabletextleft"/>
              <w:rPr>
                <w:rStyle w:val="AERtextsize8"/>
              </w:rPr>
            </w:pPr>
            <w:r w:rsidRPr="003346D9">
              <w:rPr>
                <w:rStyle w:val="AERtextsize8"/>
              </w:rPr>
              <w:t>regulatory information notice</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RPP</w:t>
            </w:r>
          </w:p>
        </w:tc>
        <w:tc>
          <w:tcPr>
            <w:tcW w:w="4353" w:type="dxa"/>
          </w:tcPr>
          <w:p w:rsidR="00DE563D" w:rsidRPr="003346D9" w:rsidRDefault="00DE563D" w:rsidP="00DE563D">
            <w:pPr>
              <w:pStyle w:val="AERtabletextleft"/>
              <w:rPr>
                <w:rStyle w:val="AERtextsize8"/>
              </w:rPr>
            </w:pPr>
            <w:r w:rsidRPr="003346D9">
              <w:rPr>
                <w:rStyle w:val="AERtextsize8"/>
              </w:rPr>
              <w:t xml:space="preserve">revenue </w:t>
            </w:r>
            <w:r w:rsidR="00DE3DDF" w:rsidRPr="003346D9">
              <w:rPr>
                <w:rStyle w:val="AERtextsize8"/>
              </w:rPr>
              <w:t xml:space="preserve">and </w:t>
            </w:r>
            <w:r w:rsidRPr="003346D9">
              <w:rPr>
                <w:rStyle w:val="AERtextsize8"/>
              </w:rPr>
              <w:t>pricing principles</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SAIDI</w:t>
            </w:r>
          </w:p>
        </w:tc>
        <w:tc>
          <w:tcPr>
            <w:tcW w:w="4353" w:type="dxa"/>
          </w:tcPr>
          <w:p w:rsidR="00DE563D" w:rsidRPr="003346D9" w:rsidRDefault="00DE563D" w:rsidP="00DE563D">
            <w:pPr>
              <w:pStyle w:val="AERtabletextleft"/>
              <w:rPr>
                <w:rStyle w:val="AERtextsize8"/>
              </w:rPr>
            </w:pPr>
            <w:r w:rsidRPr="003346D9">
              <w:rPr>
                <w:rStyle w:val="AERtextsize8"/>
              </w:rPr>
              <w:t>system average interruption duration index</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SAIFI</w:t>
            </w:r>
          </w:p>
        </w:tc>
        <w:tc>
          <w:tcPr>
            <w:tcW w:w="4353" w:type="dxa"/>
          </w:tcPr>
          <w:p w:rsidR="00DE563D" w:rsidRPr="003346D9" w:rsidRDefault="00DE563D" w:rsidP="0001599B">
            <w:pPr>
              <w:pStyle w:val="AERtabletextleft"/>
              <w:rPr>
                <w:rStyle w:val="AERtextsize8"/>
              </w:rPr>
            </w:pPr>
            <w:r w:rsidRPr="003346D9">
              <w:rPr>
                <w:rStyle w:val="AERtextsize8"/>
              </w:rPr>
              <w:t>system average interruption frequency index</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SLCAPM</w:t>
            </w:r>
          </w:p>
        </w:tc>
        <w:tc>
          <w:tcPr>
            <w:tcW w:w="4353" w:type="dxa"/>
          </w:tcPr>
          <w:p w:rsidR="00DE563D" w:rsidRPr="003346D9" w:rsidRDefault="00DE563D" w:rsidP="00DE563D">
            <w:pPr>
              <w:pStyle w:val="AERtabletextleft"/>
              <w:rPr>
                <w:rStyle w:val="AERtextsize8"/>
              </w:rPr>
            </w:pPr>
            <w:r w:rsidRPr="003346D9">
              <w:rPr>
                <w:rStyle w:val="AERtextsize8"/>
              </w:rPr>
              <w:t>Sharpe-</w:t>
            </w:r>
            <w:proofErr w:type="spellStart"/>
            <w:r w:rsidRPr="003346D9">
              <w:rPr>
                <w:rStyle w:val="AERtextsize8"/>
              </w:rPr>
              <w:t>Lintner</w:t>
            </w:r>
            <w:proofErr w:type="spellEnd"/>
            <w:r w:rsidRPr="003346D9">
              <w:rPr>
                <w:rStyle w:val="AERtextsize8"/>
              </w:rPr>
              <w:t xml:space="preserve"> capital asset pricing model</w:t>
            </w:r>
          </w:p>
        </w:tc>
      </w:tr>
      <w:tr w:rsidR="00DE563D" w:rsidTr="006C6CA7">
        <w:trPr>
          <w:cnfStyle w:val="000000010000" w:firstRow="0" w:lastRow="0" w:firstColumn="0" w:lastColumn="0" w:oddVBand="0" w:evenVBand="0" w:oddHBand="0" w:evenHBand="1" w:firstRowFirstColumn="0" w:firstRowLastColumn="0" w:lastRowFirstColumn="0" w:lastRowLastColumn="0"/>
        </w:trPr>
        <w:tc>
          <w:tcPr>
            <w:tcW w:w="4340" w:type="dxa"/>
          </w:tcPr>
          <w:p w:rsidR="00DE563D" w:rsidRPr="003346D9" w:rsidRDefault="00DE563D" w:rsidP="00DE563D">
            <w:pPr>
              <w:pStyle w:val="AERtabletextleft"/>
              <w:rPr>
                <w:rStyle w:val="AERtextsize8"/>
              </w:rPr>
            </w:pPr>
            <w:r w:rsidRPr="003346D9">
              <w:rPr>
                <w:rStyle w:val="AERtextsize8"/>
              </w:rPr>
              <w:t>STPIS</w:t>
            </w:r>
          </w:p>
        </w:tc>
        <w:tc>
          <w:tcPr>
            <w:tcW w:w="4353" w:type="dxa"/>
          </w:tcPr>
          <w:p w:rsidR="00DE563D" w:rsidRPr="003346D9" w:rsidRDefault="00DE563D" w:rsidP="0001599B">
            <w:pPr>
              <w:pStyle w:val="AERtabletextleft"/>
              <w:rPr>
                <w:rStyle w:val="AERtextsize8"/>
              </w:rPr>
            </w:pPr>
            <w:r w:rsidRPr="003346D9">
              <w:rPr>
                <w:rStyle w:val="AERtextsize8"/>
              </w:rPr>
              <w:t>service target performance incentive scheme</w:t>
            </w:r>
          </w:p>
        </w:tc>
      </w:tr>
      <w:tr w:rsidR="00DE563D" w:rsidTr="006C6CA7">
        <w:tc>
          <w:tcPr>
            <w:tcW w:w="4340" w:type="dxa"/>
          </w:tcPr>
          <w:p w:rsidR="00DE563D" w:rsidRPr="003346D9" w:rsidRDefault="00DE563D" w:rsidP="00DE563D">
            <w:pPr>
              <w:pStyle w:val="AERtabletextleft"/>
              <w:rPr>
                <w:rStyle w:val="AERtextsize8"/>
              </w:rPr>
            </w:pPr>
            <w:r w:rsidRPr="003346D9">
              <w:rPr>
                <w:rStyle w:val="AERtextsize8"/>
              </w:rPr>
              <w:t>WACC</w:t>
            </w:r>
          </w:p>
        </w:tc>
        <w:tc>
          <w:tcPr>
            <w:tcW w:w="4353" w:type="dxa"/>
          </w:tcPr>
          <w:p w:rsidR="00DE563D" w:rsidRPr="003346D9" w:rsidRDefault="00DE563D" w:rsidP="00DE563D">
            <w:pPr>
              <w:pStyle w:val="AERtabletextleft"/>
              <w:rPr>
                <w:rStyle w:val="AERtextsize8"/>
              </w:rPr>
            </w:pPr>
            <w:r w:rsidRPr="003346D9">
              <w:rPr>
                <w:rStyle w:val="AERtextsize8"/>
              </w:rPr>
              <w:t>weighted average cost of capital</w:t>
            </w:r>
          </w:p>
        </w:tc>
      </w:tr>
    </w:tbl>
    <w:p w:rsidR="00DE563D" w:rsidRPr="00271F7C" w:rsidRDefault="00DE563D" w:rsidP="00DE563D">
      <w:pPr>
        <w:numPr>
          <w:ilvl w:val="0"/>
          <w:numId w:val="25"/>
        </w:numPr>
      </w:pPr>
    </w:p>
    <w:p w:rsidR="00DE563D" w:rsidRPr="00436A39" w:rsidRDefault="00DE563D" w:rsidP="00DE563D">
      <w:pPr>
        <w:numPr>
          <w:ilvl w:val="0"/>
          <w:numId w:val="25"/>
        </w:numPr>
      </w:pPr>
    </w:p>
    <w:p w:rsidR="005D6860" w:rsidRPr="005D6860" w:rsidRDefault="005D6860" w:rsidP="005D6860">
      <w:pPr>
        <w:pStyle w:val="Heading1"/>
      </w:pPr>
      <w:bookmarkStart w:id="9" w:name="_Toc414891151"/>
      <w:bookmarkStart w:id="10" w:name="_Toc418685493"/>
      <w:r w:rsidRPr="005D6860">
        <w:lastRenderedPageBreak/>
        <w:t>Our preliminary decision</w:t>
      </w:r>
      <w:bookmarkEnd w:id="9"/>
      <w:bookmarkEnd w:id="10"/>
    </w:p>
    <w:p w:rsidR="00D44A58" w:rsidRDefault="00D44A58" w:rsidP="00D44A58">
      <w:r>
        <w:t xml:space="preserve">The </w:t>
      </w:r>
      <w:r w:rsidR="00163E61">
        <w:t>Australian Energy Regulator (</w:t>
      </w:r>
      <w:r>
        <w:t>AER</w:t>
      </w:r>
      <w:r w:rsidR="00163E61">
        <w:t>)</w:t>
      </w:r>
      <w:r>
        <w:t xml:space="preserve"> is responsible for the economic regulation of electricity transmission and distribution systems in all states and territories except Western Australian and the Northern Territory. Ergon Energy is one of two distribution network service providers (distributor) in Queensland and is responsible for providing electricity distribution s</w:t>
      </w:r>
      <w:r w:rsidR="008D184C">
        <w:t>ervices outside of south east Queensland</w:t>
      </w:r>
      <w:r>
        <w:t xml:space="preserve"> to the far north and western </w:t>
      </w:r>
      <w:r w:rsidRPr="005D6860">
        <w:t>areas of Q</w:t>
      </w:r>
      <w:r w:rsidR="008D184C">
        <w:t>ueensland</w:t>
      </w:r>
      <w:r>
        <w:t>. We regulate the revenues Erg</w:t>
      </w:r>
      <w:r w:rsidR="007C2102">
        <w:t>on Energy and other service providers</w:t>
      </w:r>
      <w:r>
        <w:t xml:space="preserve"> can recover from their customers. </w:t>
      </w:r>
    </w:p>
    <w:p w:rsidR="00D44A58" w:rsidRDefault="00D44A58" w:rsidP="00D44A58">
      <w:r>
        <w:t xml:space="preserve">The National Electricity Law (NEL) and National Electricity Rules (NER) provide the regulatory framework under which we operate. Most relevantly, they set out how we must assess a regulatory proposal and make our decision. </w:t>
      </w:r>
    </w:p>
    <w:p w:rsidR="00D44A58" w:rsidRDefault="00D44A58" w:rsidP="00D44A58">
      <w:r>
        <w:t>The National Electricity Objective (NEO) sits at the centre of the NEL and NER. The NEO is to promote efficient investment in, and efficient operation and use of, electricity services for the long term interests of consumers of electricity with respect to</w:t>
      </w:r>
      <w:r w:rsidRPr="00D44A58">
        <w:t>─</w:t>
      </w:r>
    </w:p>
    <w:p w:rsidR="00D44A58" w:rsidRDefault="00D44A58" w:rsidP="00D44A58">
      <w:pPr>
        <w:pStyle w:val="AERquote"/>
      </w:pPr>
      <w:proofErr w:type="gramStart"/>
      <w:r>
        <w:t>price</w:t>
      </w:r>
      <w:proofErr w:type="gramEnd"/>
      <w:r>
        <w:t>,  quality, safety, reliability and security of supply of electricity; and</w:t>
      </w:r>
    </w:p>
    <w:p w:rsidR="00D44A58" w:rsidRDefault="00D44A58" w:rsidP="00D44A58">
      <w:pPr>
        <w:pStyle w:val="AERquote"/>
      </w:pPr>
      <w:proofErr w:type="gramStart"/>
      <w:r>
        <w:t>the</w:t>
      </w:r>
      <w:proofErr w:type="gramEnd"/>
      <w:r>
        <w:t xml:space="preserve"> reliability, safety and security of the national electricity system.</w:t>
      </w:r>
      <w:r>
        <w:rPr>
          <w:rStyle w:val="FootnoteReference"/>
        </w:rPr>
        <w:footnoteReference w:id="1"/>
      </w:r>
    </w:p>
    <w:p w:rsidR="00D44A58" w:rsidRDefault="00D44A58" w:rsidP="00D44A58">
      <w:r>
        <w:t>Under the NER, Ergon Energy must submit a regulatory proposal to us for approval.</w:t>
      </w:r>
      <w:r>
        <w:rPr>
          <w:rStyle w:val="FootnoteReference"/>
        </w:rPr>
        <w:footnoteReference w:id="2"/>
      </w:r>
      <w:r>
        <w:t xml:space="preserve"> </w:t>
      </w:r>
      <w:r w:rsidR="00764144">
        <w:t xml:space="preserve">It did this in October 2014. </w:t>
      </w:r>
      <w:r w:rsidRPr="003B504B">
        <w:t xml:space="preserve">The central component of a regulatory proposal is the amount of revenue </w:t>
      </w:r>
      <w:r>
        <w:t>Ergon Energy</w:t>
      </w:r>
      <w:r w:rsidRPr="003B504B">
        <w:t xml:space="preserve"> proposes to recove</w:t>
      </w:r>
      <w:r>
        <w:t>r from consumers over the 2015</w:t>
      </w:r>
      <w:r w:rsidRPr="009761DD">
        <w:t>−</w:t>
      </w:r>
      <w:r w:rsidR="00857F5C">
        <w:t>2</w:t>
      </w:r>
      <w:r w:rsidR="007C2102">
        <w:t>0</w:t>
      </w:r>
      <w:r w:rsidRPr="003B504B">
        <w:t xml:space="preserve"> regulatory control period.</w:t>
      </w:r>
      <w:r>
        <w:rPr>
          <w:rStyle w:val="FootnoteReference"/>
        </w:rPr>
        <w:footnoteReference w:id="3"/>
      </w:r>
      <w:r w:rsidRPr="003B504B">
        <w:t xml:space="preserve"> </w:t>
      </w:r>
      <w:r>
        <w:t>We</w:t>
      </w:r>
      <w:r w:rsidRPr="003B504B">
        <w:t xml:space="preserve"> must assess </w:t>
      </w:r>
      <w:r>
        <w:t xml:space="preserve">Ergon Energy's </w:t>
      </w:r>
      <w:r w:rsidRPr="003B504B">
        <w:t>proposal</w:t>
      </w:r>
      <w:r>
        <w:t>,</w:t>
      </w:r>
      <w:r w:rsidR="004B7424">
        <w:t xml:space="preserve"> using the NER's detailed rules. The </w:t>
      </w:r>
      <w:r w:rsidR="006D4F9F">
        <w:t>NER</w:t>
      </w:r>
      <w:r w:rsidR="004B7424">
        <w:t xml:space="preserve"> address</w:t>
      </w:r>
      <w:r w:rsidR="006339EC">
        <w:t>es</w:t>
      </w:r>
      <w:r w:rsidR="004B7424">
        <w:t xml:space="preserve"> a range of </w:t>
      </w:r>
      <w:r>
        <w:t xml:space="preserve">constituent components of a regulatory proposal. We must </w:t>
      </w:r>
      <w:r w:rsidRPr="003B504B">
        <w:t xml:space="preserve">decide whether to accept </w:t>
      </w:r>
      <w:r>
        <w:t>Ergon Energy's regulatory proposal</w:t>
      </w:r>
      <w:r w:rsidRPr="003B504B">
        <w:t xml:space="preserve">. If </w:t>
      </w:r>
      <w:r>
        <w:t>we do not accept that Ergon Energy's proposal complies with the requirements</w:t>
      </w:r>
      <w:r w:rsidR="007C2102">
        <w:t xml:space="preserve"> of the NER</w:t>
      </w:r>
      <w:r>
        <w:t xml:space="preserve">, we must </w:t>
      </w:r>
      <w:r w:rsidRPr="003B504B">
        <w:t>substitute an alternative amount of revenue that</w:t>
      </w:r>
      <w:r>
        <w:t xml:space="preserve"> we are satisfied does comply. We must undertake this assessment and make this decision in a manner that </w:t>
      </w:r>
      <w:r w:rsidR="005E6F7B">
        <w:t xml:space="preserve">will or is likely to </w:t>
      </w:r>
      <w:r>
        <w:t>contribute</w:t>
      </w:r>
      <w:r w:rsidR="005E6F7B">
        <w:t xml:space="preserve"> to the achievement of the NEO and to the greatest degree.</w:t>
      </w:r>
    </w:p>
    <w:p w:rsidR="00D44A58" w:rsidRDefault="00D44A58" w:rsidP="00D44A58">
      <w:r>
        <w:t xml:space="preserve">We regulate Ergon Energy's revenue, not its costs. Ergon Energy </w:t>
      </w:r>
      <w:r w:rsidR="00CD423E">
        <w:t xml:space="preserve">must then decide how best to use this revenue in providing distribution services and fulfilling its obligations. </w:t>
      </w:r>
      <w:r>
        <w:t>This provides incentives for distributors, such as Ergon Ene</w:t>
      </w:r>
      <w:r w:rsidR="00961FDD">
        <w:t>r</w:t>
      </w:r>
      <w:r>
        <w:t xml:space="preserve">gy, to operate their businesses efficiently and, in the long run, at </w:t>
      </w:r>
      <w:r w:rsidR="007C2102">
        <w:t xml:space="preserve">the </w:t>
      </w:r>
      <w:r>
        <w:t>least cost to consumers. It also provides incentives for distributors to innovate and invest in response</w:t>
      </w:r>
      <w:r w:rsidR="00A61FC4">
        <w:t>s</w:t>
      </w:r>
      <w:r>
        <w:t xml:space="preserve"> to changes in consumer needs and productive opportunities.</w:t>
      </w:r>
      <w:r>
        <w:rPr>
          <w:rStyle w:val="FootnoteReference"/>
        </w:rPr>
        <w:footnoteReference w:id="4"/>
      </w:r>
      <w:r>
        <w:t xml:space="preserve"> This is consistent with economic efficiency principles. It also means that the </w:t>
      </w:r>
      <w:proofErr w:type="gramStart"/>
      <w:r>
        <w:t>person</w:t>
      </w:r>
      <w:proofErr w:type="gramEnd"/>
      <w:r>
        <w:t xml:space="preserve"> who is best able to manage a risk, generally carries that risk. </w:t>
      </w:r>
    </w:p>
    <w:p w:rsidR="00D44A58" w:rsidRDefault="00D44A58" w:rsidP="00D44A58">
      <w:r>
        <w:lastRenderedPageBreak/>
        <w:t xml:space="preserve">This overview, together with its </w:t>
      </w:r>
      <w:r w:rsidRPr="003B504B">
        <w:t xml:space="preserve">attachments, constitutes our </w:t>
      </w:r>
      <w:r>
        <w:t>preliminary</w:t>
      </w:r>
      <w:r w:rsidRPr="003B504B">
        <w:t xml:space="preserve"> decision on </w:t>
      </w:r>
      <w:r>
        <w:t>Ergon Energy's regulatory proposal</w:t>
      </w:r>
      <w:r w:rsidRPr="003B504B">
        <w:t xml:space="preserve">. </w:t>
      </w:r>
      <w:r w:rsidR="007C2102">
        <w:t>This overview</w:t>
      </w:r>
      <w:r>
        <w:t xml:space="preserve"> provides the reader with </w:t>
      </w:r>
      <w:r w:rsidR="007C2102">
        <w:t xml:space="preserve">a summary of our </w:t>
      </w:r>
      <w:r>
        <w:t xml:space="preserve">preliminary </w:t>
      </w:r>
      <w:r w:rsidRPr="003B504B">
        <w:t>decision</w:t>
      </w:r>
      <w:r w:rsidR="007C2102">
        <w:t xml:space="preserve"> and its</w:t>
      </w:r>
      <w:r>
        <w:t xml:space="preserve"> constituent components</w:t>
      </w:r>
      <w:r w:rsidR="007C2102">
        <w:t>.</w:t>
      </w:r>
      <w:r>
        <w:t xml:space="preserve"> It offers an insight into the issues we covered, the conclusions we made, and how those conclusions were reached. </w:t>
      </w:r>
      <w:r w:rsidR="0074351E">
        <w:t>W</w:t>
      </w:r>
      <w:r w:rsidR="0074351E" w:rsidRPr="00547AB3">
        <w:t xml:space="preserve">e </w:t>
      </w:r>
      <w:r w:rsidR="0074351E">
        <w:t xml:space="preserve">also explain why we are satisfied our decision </w:t>
      </w:r>
      <w:r w:rsidR="0074351E" w:rsidRPr="00547AB3">
        <w:t>contribute</w:t>
      </w:r>
      <w:r w:rsidR="0074351E">
        <w:t>s</w:t>
      </w:r>
      <w:r w:rsidR="0074351E" w:rsidRPr="00547AB3">
        <w:t xml:space="preserve"> to the achievement of</w:t>
      </w:r>
      <w:r w:rsidR="0074351E">
        <w:t xml:space="preserve"> the NEO to the greatest degree and why we</w:t>
      </w:r>
      <w:r w:rsidR="005E6F7B">
        <w:t xml:space="preserve"> do not consider that</w:t>
      </w:r>
      <w:r>
        <w:t xml:space="preserve"> Ergon Energy's proposal</w:t>
      </w:r>
      <w:r w:rsidR="005E6F7B">
        <w:t xml:space="preserve"> contributes to the achievement of the NEO to a satisfactory degree</w:t>
      </w:r>
      <w:r w:rsidR="0074351E">
        <w:t>.</w:t>
      </w:r>
      <w:r w:rsidR="00547AB3" w:rsidRPr="00547AB3">
        <w:t xml:space="preserve"> </w:t>
      </w:r>
      <w:r w:rsidRPr="003B504B">
        <w:t xml:space="preserve">In </w:t>
      </w:r>
      <w:r>
        <w:t>our</w:t>
      </w:r>
      <w:r w:rsidRPr="003B504B">
        <w:t xml:space="preserve"> attachments we set out detailed analysis of the constituent components that make up </w:t>
      </w:r>
      <w:r>
        <w:t>Ergon Energy's proposal</w:t>
      </w:r>
      <w:r w:rsidRPr="003B504B">
        <w:t xml:space="preserve"> and our </w:t>
      </w:r>
      <w:r w:rsidR="007C2102">
        <w:t xml:space="preserve">preliminary </w:t>
      </w:r>
      <w:r w:rsidRPr="003B504B">
        <w:t>decision on each of them.</w:t>
      </w:r>
      <w:r w:rsidR="007C2102">
        <w:t xml:space="preserve"> </w:t>
      </w:r>
    </w:p>
    <w:p w:rsidR="00D44A58" w:rsidRPr="00012781" w:rsidRDefault="00D44A58" w:rsidP="00D44A58">
      <w:pPr>
        <w:pStyle w:val="Heading2"/>
      </w:pPr>
      <w:bookmarkStart w:id="11" w:name="_Toc415837315"/>
      <w:bookmarkStart w:id="12" w:name="_Toc418685494"/>
      <w:r w:rsidRPr="00012781">
        <w:t>Decision</w:t>
      </w:r>
      <w:bookmarkEnd w:id="11"/>
      <w:bookmarkEnd w:id="12"/>
      <w:r>
        <w:t xml:space="preserve"> </w:t>
      </w:r>
    </w:p>
    <w:p w:rsidR="00764144" w:rsidRDefault="00764144" w:rsidP="00764144">
      <w:r w:rsidRPr="00012781">
        <w:t xml:space="preserve">Our preliminary decision </w:t>
      </w:r>
      <w:r>
        <w:t xml:space="preserve">is that Ergon Energy can recover </w:t>
      </w:r>
      <w:r w:rsidRPr="00FD11E3">
        <w:rPr>
          <w:rStyle w:val="AERbodytextChar"/>
          <w:rFonts w:eastAsiaTheme="minorHAnsi"/>
        </w:rPr>
        <w:t>$</w:t>
      </w:r>
      <w:r w:rsidR="00A61E93">
        <w:rPr>
          <w:rStyle w:val="AERbodytextChar"/>
          <w:rFonts w:eastAsiaTheme="minorHAnsi"/>
        </w:rPr>
        <w:t>6021.5</w:t>
      </w:r>
      <w:r w:rsidRPr="00012781">
        <w:t xml:space="preserve"> </w:t>
      </w:r>
      <w:r w:rsidR="00493049">
        <w:t>m</w:t>
      </w:r>
      <w:r w:rsidRPr="00012781">
        <w:t xml:space="preserve">illion </w:t>
      </w:r>
      <w:r w:rsidR="006339EC">
        <w:t xml:space="preserve">($ nominal) </w:t>
      </w:r>
      <w:r w:rsidRPr="00012781">
        <w:t>from consumers over the 2015–20 regulatory control period.</w:t>
      </w:r>
      <w:r w:rsidR="001F21C7">
        <w:rPr>
          <w:rStyle w:val="FootnoteReference"/>
        </w:rPr>
        <w:footnoteReference w:id="5"/>
      </w:r>
      <w:r>
        <w:t xml:space="preserve"> After a five-year period in which Ergon Energy's annual revenue increased each year we expect annual revenues to decline over the 2015</w:t>
      </w:r>
      <w:r w:rsidRPr="00683CA1">
        <w:t>−</w:t>
      </w:r>
      <w:r>
        <w:t xml:space="preserve">20 regulatory control period. To a large extent, this reflects much lower financing costs and our expectation that Ergon Energy can operate more efficiently in future. Ergon Energy does not agree with us. It proposed much higher financing costs and </w:t>
      </w:r>
      <w:r w:rsidR="003D3FD6">
        <w:t>had allowed for few</w:t>
      </w:r>
      <w:r>
        <w:t xml:space="preserve"> operation</w:t>
      </w:r>
      <w:r w:rsidR="003D3FD6">
        <w:t>al</w:t>
      </w:r>
      <w:r>
        <w:t xml:space="preserve"> efficiency improvements going forward. A further aspect of</w:t>
      </w:r>
      <w:r w:rsidR="007C2102">
        <w:t xml:space="preserve"> the decline in</w:t>
      </w:r>
      <w:r>
        <w:t xml:space="preserve"> Ergon Energy's forecast revenue </w:t>
      </w:r>
      <w:r w:rsidR="00B80D8B">
        <w:t xml:space="preserve">requirement </w:t>
      </w:r>
      <w:r>
        <w:t>is the now closed solar bonus scheme</w:t>
      </w:r>
      <w:r w:rsidR="003D3FD6">
        <w:t xml:space="preserve"> that provide</w:t>
      </w:r>
      <w:r w:rsidR="00CD209A">
        <w:t>s</w:t>
      </w:r>
      <w:r w:rsidR="003D3FD6">
        <w:t xml:space="preserve"> generous feed in tariffs</w:t>
      </w:r>
      <w:r w:rsidR="00B738B6">
        <w:t xml:space="preserve"> (</w:t>
      </w:r>
      <w:proofErr w:type="spellStart"/>
      <w:r w:rsidR="00B738B6">
        <w:t>FiT</w:t>
      </w:r>
      <w:proofErr w:type="spellEnd"/>
      <w:r w:rsidR="00B738B6">
        <w:t>)</w:t>
      </w:r>
      <w:r w:rsidR="003D3FD6">
        <w:t xml:space="preserve"> to eligible customers</w:t>
      </w:r>
      <w:r w:rsidR="00B80D8B">
        <w:t>, which would add to its proposed revenue of $8241.7</w:t>
      </w:r>
      <w:r w:rsidR="00CD209A">
        <w:t> </w:t>
      </w:r>
      <w:r w:rsidR="00B80D8B">
        <w:t>million</w:t>
      </w:r>
      <w:r>
        <w:t>.</w:t>
      </w:r>
      <w:r w:rsidR="00CA781A">
        <w:rPr>
          <w:rStyle w:val="FootnoteReference"/>
        </w:rPr>
        <w:footnoteReference w:id="6"/>
      </w:r>
      <w:r>
        <w:t xml:space="preserve"> Neither Ergon Energy nor the AER are able to influence the significant costs that Ergon </w:t>
      </w:r>
      <w:r w:rsidR="003D3FD6">
        <w:t>Energy incurs under this scheme</w:t>
      </w:r>
      <w:r>
        <w:t>. Figure 1 illustrates our overall decision</w:t>
      </w:r>
      <w:r w:rsidR="00F901DD">
        <w:t>.</w:t>
      </w:r>
    </w:p>
    <w:p w:rsidR="00F901DD" w:rsidRDefault="00F901DD" w:rsidP="00764144"/>
    <w:p w:rsidR="00F901DD" w:rsidRDefault="00F901DD" w:rsidP="00764144"/>
    <w:p w:rsidR="00F901DD" w:rsidRDefault="00F901DD" w:rsidP="00764144"/>
    <w:p w:rsidR="00E8525F" w:rsidRDefault="00E8525F" w:rsidP="00764144"/>
    <w:p w:rsidR="00F901DD" w:rsidRDefault="00F901DD" w:rsidP="00764144"/>
    <w:p w:rsidR="00547AB3" w:rsidRDefault="00547AB3" w:rsidP="00764144"/>
    <w:p w:rsidR="00F901DD" w:rsidRDefault="00F901DD" w:rsidP="00764144"/>
    <w:p w:rsidR="00D44A58" w:rsidRPr="00012781" w:rsidRDefault="00D44A58" w:rsidP="00D44A58">
      <w:pPr>
        <w:pStyle w:val="Charttitle"/>
      </w:pPr>
      <w:r w:rsidRPr="00012781">
        <w:lastRenderedPageBreak/>
        <w:t xml:space="preserve">Figure </w:t>
      </w:r>
      <w:r w:rsidR="00B2791B">
        <w:fldChar w:fldCharType="begin"/>
      </w:r>
      <w:r w:rsidR="00B2791B">
        <w:instrText xml:space="preserve"> STYLEREF 1 \s </w:instrText>
      </w:r>
      <w:r w:rsidR="00B2791B">
        <w:fldChar w:fldCharType="separate"/>
      </w:r>
      <w:r w:rsidR="009C015C">
        <w:rPr>
          <w:noProof/>
        </w:rPr>
        <w:t>1</w:t>
      </w:r>
      <w:r w:rsidR="00B2791B">
        <w:rPr>
          <w:noProof/>
        </w:rPr>
        <w:fldChar w:fldCharType="end"/>
      </w:r>
      <w:r w:rsidRPr="00012781">
        <w:tab/>
      </w:r>
      <w:r>
        <w:t>Ergon Energy</w:t>
      </w:r>
      <w:r w:rsidRPr="00012781">
        <w:t>'s past total revenue, proposed total revenue and AER total revenue allowance ($ million, 201</w:t>
      </w:r>
      <w:r>
        <w:t>4</w:t>
      </w:r>
      <w:r w:rsidRPr="00012781">
        <w:t>–1</w:t>
      </w:r>
      <w:r>
        <w:t>5</w:t>
      </w:r>
      <w:r w:rsidRPr="00012781">
        <w:t>)</w:t>
      </w:r>
    </w:p>
    <w:p w:rsidR="00D44A58" w:rsidRPr="00316C1C" w:rsidRDefault="00C80FF0" w:rsidP="00316C1C">
      <w:r w:rsidRPr="00C80FF0">
        <w:rPr>
          <w:noProof/>
          <w:lang w:eastAsia="en-AU"/>
        </w:rPr>
        <w:drawing>
          <wp:inline distT="0" distB="0" distL="0" distR="0" wp14:anchorId="11CDAD33" wp14:editId="1A7A3E58">
            <wp:extent cx="5382895" cy="3221643"/>
            <wp:effectExtent l="0" t="0" r="825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82895" cy="3221643"/>
                    </a:xfrm>
                    <a:prstGeom prst="rect">
                      <a:avLst/>
                    </a:prstGeom>
                    <a:noFill/>
                    <a:ln>
                      <a:noFill/>
                    </a:ln>
                  </pic:spPr>
                </pic:pic>
              </a:graphicData>
            </a:graphic>
          </wp:inline>
        </w:drawing>
      </w:r>
    </w:p>
    <w:p w:rsidR="00D44A58" w:rsidRDefault="00D44A58" w:rsidP="00D44A58">
      <w:pPr>
        <w:pStyle w:val="AERtablesource"/>
      </w:pPr>
      <w:r>
        <w:t xml:space="preserve">Source: </w:t>
      </w:r>
      <w:r w:rsidR="006B32D8">
        <w:tab/>
      </w:r>
      <w:r>
        <w:t>AER analysis.</w:t>
      </w:r>
    </w:p>
    <w:p w:rsidR="00C80FF0" w:rsidRPr="00C80FF0" w:rsidRDefault="00ED575F" w:rsidP="00C80FF0">
      <w:pPr>
        <w:pStyle w:val="AERtablesource"/>
      </w:pPr>
      <w:r>
        <w:t>Note</w:t>
      </w:r>
      <w:r w:rsidR="00C80FF0">
        <w:t>s</w:t>
      </w:r>
      <w:r>
        <w:t>:</w:t>
      </w:r>
      <w:r w:rsidR="00B1069F" w:rsidRPr="00B1069F">
        <w:tab/>
        <w:t xml:space="preserve">Additional amounts in </w:t>
      </w:r>
      <w:proofErr w:type="spellStart"/>
      <w:r w:rsidR="00B1069F" w:rsidRPr="00B1069F">
        <w:t>DUoS</w:t>
      </w:r>
      <w:proofErr w:type="spellEnd"/>
      <w:r w:rsidR="00B1069F" w:rsidRPr="00B1069F">
        <w:t xml:space="preserve"> include solar bonus scheme forecasts (jurisdictional scheme obligation for </w:t>
      </w:r>
      <w:proofErr w:type="spellStart"/>
      <w:r w:rsidR="00B1069F" w:rsidRPr="00B1069F">
        <w:t>FiT</w:t>
      </w:r>
      <w:proofErr w:type="spellEnd"/>
      <w:r w:rsidR="00B1069F" w:rsidRPr="00B1069F">
        <w:t xml:space="preserve">) for 2015–20, estimated solar bonus scheme pass throughs for 2015–16 and 2016–17 relating to under-recoveries in 2013–14 and 2014–15, estimated </w:t>
      </w:r>
      <w:proofErr w:type="spellStart"/>
      <w:r w:rsidR="00B1069F" w:rsidRPr="00B1069F">
        <w:t>DUoS</w:t>
      </w:r>
      <w:proofErr w:type="spellEnd"/>
      <w:r w:rsidR="00B1069F" w:rsidRPr="00B1069F">
        <w:t xml:space="preserve"> under recovery for 2013–14, transitional capital contribution and shared assets under/over recovery from 2010–15, STPIS allowance from 2010–15 and DMIA over recovery from 2010–15.</w:t>
      </w:r>
      <w:r>
        <w:t xml:space="preserve"> This is discussed further in attachment 1, annual revenue requirement.</w:t>
      </w:r>
    </w:p>
    <w:p w:rsidR="00C80FF0" w:rsidRPr="00C80FF0" w:rsidRDefault="00C80FF0" w:rsidP="00C80FF0">
      <w:pPr>
        <w:pStyle w:val="AERtablesource"/>
      </w:pPr>
      <w:r>
        <w:tab/>
      </w:r>
      <w:r w:rsidRPr="00B2448C">
        <w:t xml:space="preserve">The ‘Allowed’ 2014–15 data point is the amount allowed in the AER final decision excluding </w:t>
      </w:r>
      <w:proofErr w:type="spellStart"/>
      <w:r w:rsidRPr="00B2448C">
        <w:t>additionals</w:t>
      </w:r>
      <w:proofErr w:type="spellEnd"/>
      <w:r w:rsidRPr="00B2448C">
        <w:t xml:space="preserve">. The ‘Actual’ 2014–15 data point is an updated forecast of the amount Ergon Energy actually expects to recover, including </w:t>
      </w:r>
      <w:proofErr w:type="spellStart"/>
      <w:r w:rsidRPr="00B2448C">
        <w:t>additionals</w:t>
      </w:r>
      <w:proofErr w:type="spellEnd"/>
      <w:r w:rsidRPr="00B2448C">
        <w:t xml:space="preserve">, as submitted in its reset RIN. The ‘AER preliminary’ </w:t>
      </w:r>
      <w:r>
        <w:t xml:space="preserve">and 'Proposed' 2014–15 </w:t>
      </w:r>
      <w:r w:rsidRPr="00B2448C">
        <w:t xml:space="preserve">data points </w:t>
      </w:r>
      <w:r>
        <w:t>are</w:t>
      </w:r>
      <w:r w:rsidRPr="00B2448C">
        <w:t xml:space="preserve"> the amount the service provider targeted in its 2014</w:t>
      </w:r>
      <w:r w:rsidRPr="00B2448C">
        <w:softHyphen/>
      </w:r>
      <w:r>
        <w:t>–</w:t>
      </w:r>
      <w:r w:rsidR="00006779">
        <w:t>15 regulatory</w:t>
      </w:r>
      <w:r w:rsidRPr="00B2448C">
        <w:t xml:space="preserve"> </w:t>
      </w:r>
      <w:proofErr w:type="gramStart"/>
      <w:r w:rsidRPr="00B2448C">
        <w:t>proposal</w:t>
      </w:r>
      <w:proofErr w:type="gramEnd"/>
      <w:r w:rsidRPr="00B2448C">
        <w:t>.</w:t>
      </w:r>
    </w:p>
    <w:p w:rsidR="00861A32" w:rsidRPr="00861A32" w:rsidRDefault="00D44A58" w:rsidP="00861A32">
      <w:r>
        <w:t xml:space="preserve">Distribution charges represent approximately </w:t>
      </w:r>
      <w:r w:rsidR="00323635">
        <w:t>42</w:t>
      </w:r>
      <w:r>
        <w:t xml:space="preserve"> per cent, on average, of the annual electricity bill for Ergon Energy customers</w:t>
      </w:r>
      <w:r w:rsidR="00D92C04">
        <w:t>.</w:t>
      </w:r>
      <w:r w:rsidR="00861A32" w:rsidRPr="00861A32">
        <w:t xml:space="preserve"> </w:t>
      </w:r>
      <w:r w:rsidR="0001599B">
        <w:t>If the</w:t>
      </w:r>
      <w:r w:rsidR="00861A32" w:rsidRPr="00861A32">
        <w:t xml:space="preserve"> lower distribution charges</w:t>
      </w:r>
      <w:r w:rsidR="005E6F7B">
        <w:t xml:space="preserve"> flowing</w:t>
      </w:r>
      <w:r w:rsidR="00861A32" w:rsidRPr="00861A32">
        <w:t xml:space="preserve"> from our decision </w:t>
      </w:r>
      <w:r w:rsidR="00D92C04">
        <w:t>pass</w:t>
      </w:r>
      <w:r w:rsidR="005E6F7B">
        <w:t>ed</w:t>
      </w:r>
      <w:r w:rsidR="00861A32" w:rsidRPr="00861A32">
        <w:t xml:space="preserve"> through to customers, we would expect the average annual electricity bill for residential and small business customers to reduce over the 2015–20 regulatory control period. However, other factors may also affect a customer’s electricity bill, such as the wholesale price of </w:t>
      </w:r>
      <w:r w:rsidR="00A774E1">
        <w:t>electricity</w:t>
      </w:r>
      <w:r w:rsidR="00861A32" w:rsidRPr="00861A32">
        <w:t>.</w:t>
      </w:r>
    </w:p>
    <w:p w:rsidR="00606EEF" w:rsidRPr="00B851EA" w:rsidRDefault="00F85FC8" w:rsidP="00606EEF">
      <w:r>
        <w:fldChar w:fldCharType="begin"/>
      </w:r>
      <w:r>
        <w:instrText xml:space="preserve"> REF _Ref416874181 \h </w:instrText>
      </w:r>
      <w:r>
        <w:fldChar w:fldCharType="separate"/>
      </w:r>
      <w:r w:rsidR="009C015C" w:rsidRPr="00012781">
        <w:t>Table</w:t>
      </w:r>
      <w:r w:rsidR="009C015C">
        <w:t xml:space="preserve"> </w:t>
      </w:r>
      <w:r w:rsidR="009C015C">
        <w:rPr>
          <w:noProof/>
        </w:rPr>
        <w:t>1</w:t>
      </w:r>
      <w:r>
        <w:fldChar w:fldCharType="end"/>
      </w:r>
      <w:r>
        <w:t xml:space="preserve"> shows the </w:t>
      </w:r>
      <w:r w:rsidRPr="00C729DC">
        <w:t xml:space="preserve">estimated impact of our </w:t>
      </w:r>
      <w:r>
        <w:t>final</w:t>
      </w:r>
      <w:r w:rsidRPr="00C729DC">
        <w:t xml:space="preserve"> decision </w:t>
      </w:r>
      <w:r>
        <w:t>on the average residential and small business customers' annual electricity bills in Ergon Energy</w:t>
      </w:r>
      <w:r w:rsidR="00857F5C">
        <w:t>'s network area over the 2015–</w:t>
      </w:r>
      <w:r w:rsidR="007C2102">
        <w:t>20</w:t>
      </w:r>
      <w:r>
        <w:t xml:space="preserve"> regulatory control period, compared with what was proposed</w:t>
      </w:r>
      <w:r w:rsidR="007C2102">
        <w:t xml:space="preserve"> by Ergon Energy</w:t>
      </w:r>
      <w:r>
        <w:t>.</w:t>
      </w:r>
      <w:r w:rsidR="008D29C5">
        <w:t xml:space="preserve"> </w:t>
      </w:r>
      <w:r w:rsidR="00C53E80">
        <w:t>Our</w:t>
      </w:r>
      <w:r w:rsidR="008D29C5">
        <w:t xml:space="preserve"> bill impact </w:t>
      </w:r>
      <w:r w:rsidR="00C53E80">
        <w:t>calculations</w:t>
      </w:r>
      <w:r w:rsidR="008D29C5">
        <w:t xml:space="preserve"> </w:t>
      </w:r>
      <w:r w:rsidR="00606EEF">
        <w:t>adopt the</w:t>
      </w:r>
      <w:r w:rsidR="008D29C5">
        <w:t xml:space="preserve"> network charges </w:t>
      </w:r>
      <w:r w:rsidR="00606EEF">
        <w:t>in our preliminary decision for Energex</w:t>
      </w:r>
      <w:r w:rsidR="008D29C5">
        <w:t>.</w:t>
      </w:r>
      <w:r w:rsidR="00606EEF">
        <w:t xml:space="preserve"> </w:t>
      </w:r>
      <w:r w:rsidR="00606EEF" w:rsidRPr="00B851EA">
        <w:t xml:space="preserve">This is because retail electricity </w:t>
      </w:r>
      <w:r w:rsidR="00606EEF">
        <w:t>prices in Ergon Energy's distribution area</w:t>
      </w:r>
      <w:r w:rsidR="00606EEF" w:rsidRPr="00B851EA">
        <w:t xml:space="preserve"> are </w:t>
      </w:r>
      <w:r w:rsidR="00606EEF">
        <w:t>determined under the</w:t>
      </w:r>
      <w:r w:rsidR="00606EEF" w:rsidRPr="00B851EA">
        <w:t xml:space="preserve"> Queensland Government</w:t>
      </w:r>
      <w:r w:rsidR="00606EEF">
        <w:t>'s</w:t>
      </w:r>
      <w:r w:rsidR="00606EEF" w:rsidRPr="00B851EA">
        <w:t xml:space="preserve"> uniform tariff policy. </w:t>
      </w:r>
      <w:r w:rsidR="00606EEF">
        <w:t>The policy results in regulated retail electricity prices in Ergon Energy's distribution area being matched to those in Energex's area.</w:t>
      </w:r>
    </w:p>
    <w:p w:rsidR="00D44A58" w:rsidRDefault="00D44A58" w:rsidP="00D44A58">
      <w:pPr>
        <w:pStyle w:val="Caption"/>
        <w:rPr>
          <w:rStyle w:val="AERsuperscript"/>
        </w:rPr>
      </w:pPr>
      <w:bookmarkStart w:id="13" w:name="_Ref416874181"/>
      <w:r w:rsidRPr="00012781">
        <w:lastRenderedPageBreak/>
        <w:t>Table</w:t>
      </w:r>
      <w:r>
        <w:t xml:space="preserve"> </w:t>
      </w:r>
      <w:r w:rsidR="00B2791B">
        <w:fldChar w:fldCharType="begin"/>
      </w:r>
      <w:r w:rsidR="00B2791B">
        <w:instrText xml:space="preserve"> SEQ Table \* ARABIC \s 1 </w:instrText>
      </w:r>
      <w:r w:rsidR="00B2791B">
        <w:fldChar w:fldCharType="separate"/>
      </w:r>
      <w:r w:rsidR="009C015C">
        <w:rPr>
          <w:noProof/>
        </w:rPr>
        <w:t>1</w:t>
      </w:r>
      <w:r w:rsidR="00B2791B">
        <w:rPr>
          <w:noProof/>
        </w:rPr>
        <w:fldChar w:fldCharType="end"/>
      </w:r>
      <w:bookmarkEnd w:id="13"/>
      <w:r w:rsidRPr="00012781">
        <w:tab/>
        <w:t xml:space="preserve">AER's </w:t>
      </w:r>
      <w:r>
        <w:t xml:space="preserve">estimated impact of </w:t>
      </w:r>
      <w:r w:rsidR="00A61FC4">
        <w:t>its</w:t>
      </w:r>
      <w:r>
        <w:t xml:space="preserve"> preliminary decision on the average residential and small business customers' electricity bills in </w:t>
      </w:r>
      <w:r w:rsidR="00995FA9">
        <w:t>Ergon Energy</w:t>
      </w:r>
      <w:r>
        <w:t>'s network for the 2015</w:t>
      </w:r>
      <w:r w:rsidRPr="00D44A58">
        <w:t>−</w:t>
      </w:r>
      <w:r w:rsidR="007C2102">
        <w:t>20</w:t>
      </w:r>
      <w:r>
        <w:t xml:space="preserve"> period</w:t>
      </w:r>
      <w:r w:rsidRPr="00012781">
        <w:t xml:space="preserve"> ($ nominal)</w:t>
      </w:r>
      <w:r w:rsidR="00606EEF" w:rsidRPr="00E216DF">
        <w:rPr>
          <w:rStyle w:val="AERsuperscript"/>
        </w:rPr>
        <w:t>a</w:t>
      </w:r>
    </w:p>
    <w:tbl>
      <w:tblPr>
        <w:tblStyle w:val="AERtable-numbers"/>
        <w:tblW w:w="0" w:type="auto"/>
        <w:tblLayout w:type="fixed"/>
        <w:tblLook w:val="04A0" w:firstRow="1" w:lastRow="0" w:firstColumn="1" w:lastColumn="0" w:noHBand="0" w:noVBand="1"/>
      </w:tblPr>
      <w:tblGrid>
        <w:gridCol w:w="2235"/>
        <w:gridCol w:w="850"/>
        <w:gridCol w:w="1121"/>
        <w:gridCol w:w="1122"/>
        <w:gridCol w:w="1121"/>
        <w:gridCol w:w="1122"/>
        <w:gridCol w:w="1122"/>
      </w:tblGrid>
      <w:tr w:rsidR="003478FC" w:rsidTr="0010065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35" w:type="dxa"/>
          </w:tcPr>
          <w:p w:rsidR="003478FC" w:rsidRDefault="003478FC" w:rsidP="003478FC"/>
        </w:tc>
        <w:tc>
          <w:tcPr>
            <w:tcW w:w="850" w:type="dxa"/>
          </w:tcPr>
          <w:p w:rsidR="003478FC" w:rsidRPr="003478FC" w:rsidRDefault="003478FC" w:rsidP="003478FC">
            <w:pPr>
              <w:cnfStyle w:val="100000000000" w:firstRow="1" w:lastRow="0" w:firstColumn="0" w:lastColumn="0" w:oddVBand="0" w:evenVBand="0" w:oddHBand="0" w:evenHBand="0" w:firstRowFirstColumn="0" w:firstRowLastColumn="0" w:lastRowFirstColumn="0" w:lastRowLastColumn="0"/>
            </w:pPr>
            <w:r>
              <w:t>201</w:t>
            </w:r>
            <w:r w:rsidRPr="003478FC">
              <w:t>4−15</w:t>
            </w:r>
          </w:p>
        </w:tc>
        <w:tc>
          <w:tcPr>
            <w:tcW w:w="1121" w:type="dxa"/>
          </w:tcPr>
          <w:p w:rsidR="003478FC" w:rsidRPr="003478FC" w:rsidRDefault="003478FC" w:rsidP="003478FC">
            <w:pPr>
              <w:cnfStyle w:val="100000000000" w:firstRow="1" w:lastRow="0" w:firstColumn="0" w:lastColumn="0" w:oddVBand="0" w:evenVBand="0" w:oddHBand="0" w:evenHBand="0" w:firstRowFirstColumn="0" w:firstRowLastColumn="0" w:lastRowFirstColumn="0" w:lastRowLastColumn="0"/>
            </w:pPr>
            <w:r>
              <w:t>201</w:t>
            </w:r>
            <w:r w:rsidRPr="003478FC">
              <w:t>5−16</w:t>
            </w:r>
          </w:p>
        </w:tc>
        <w:tc>
          <w:tcPr>
            <w:tcW w:w="1122" w:type="dxa"/>
          </w:tcPr>
          <w:p w:rsidR="003478FC" w:rsidRPr="003478FC" w:rsidRDefault="003478FC" w:rsidP="003478FC">
            <w:pPr>
              <w:cnfStyle w:val="100000000000" w:firstRow="1" w:lastRow="0" w:firstColumn="0" w:lastColumn="0" w:oddVBand="0" w:evenVBand="0" w:oddHBand="0" w:evenHBand="0" w:firstRowFirstColumn="0" w:firstRowLastColumn="0" w:lastRowFirstColumn="0" w:lastRowLastColumn="0"/>
            </w:pPr>
            <w:r>
              <w:t>201</w:t>
            </w:r>
            <w:r w:rsidRPr="003478FC">
              <w:t>6−17</w:t>
            </w:r>
          </w:p>
        </w:tc>
        <w:tc>
          <w:tcPr>
            <w:tcW w:w="1121" w:type="dxa"/>
          </w:tcPr>
          <w:p w:rsidR="003478FC" w:rsidRPr="003478FC" w:rsidRDefault="003478FC" w:rsidP="003478FC">
            <w:pPr>
              <w:cnfStyle w:val="100000000000" w:firstRow="1" w:lastRow="0" w:firstColumn="0" w:lastColumn="0" w:oddVBand="0" w:evenVBand="0" w:oddHBand="0" w:evenHBand="0" w:firstRowFirstColumn="0" w:firstRowLastColumn="0" w:lastRowFirstColumn="0" w:lastRowLastColumn="0"/>
            </w:pPr>
            <w:r>
              <w:t>201</w:t>
            </w:r>
            <w:r w:rsidRPr="003478FC">
              <w:t>7−18</w:t>
            </w:r>
          </w:p>
        </w:tc>
        <w:tc>
          <w:tcPr>
            <w:tcW w:w="1122" w:type="dxa"/>
          </w:tcPr>
          <w:p w:rsidR="003478FC" w:rsidRPr="003478FC" w:rsidRDefault="003478FC" w:rsidP="003478FC">
            <w:pPr>
              <w:cnfStyle w:val="100000000000" w:firstRow="1" w:lastRow="0" w:firstColumn="0" w:lastColumn="0" w:oddVBand="0" w:evenVBand="0" w:oddHBand="0" w:evenHBand="0" w:firstRowFirstColumn="0" w:firstRowLastColumn="0" w:lastRowFirstColumn="0" w:lastRowLastColumn="0"/>
            </w:pPr>
            <w:r>
              <w:t>201</w:t>
            </w:r>
            <w:r w:rsidRPr="003478FC">
              <w:t>8−19</w:t>
            </w:r>
          </w:p>
        </w:tc>
        <w:tc>
          <w:tcPr>
            <w:tcW w:w="1122" w:type="dxa"/>
          </w:tcPr>
          <w:p w:rsidR="003478FC" w:rsidRPr="003478FC" w:rsidRDefault="003478FC" w:rsidP="003478FC">
            <w:pPr>
              <w:cnfStyle w:val="100000000000" w:firstRow="1" w:lastRow="0" w:firstColumn="0" w:lastColumn="0" w:oddVBand="0" w:evenVBand="0" w:oddHBand="0" w:evenHBand="0" w:firstRowFirstColumn="0" w:firstRowLastColumn="0" w:lastRowFirstColumn="0" w:lastRowLastColumn="0"/>
            </w:pPr>
            <w:r>
              <w:t>2019–20</w:t>
            </w:r>
          </w:p>
        </w:tc>
      </w:tr>
      <w:tr w:rsidR="003478FC" w:rsidTr="0010065A">
        <w:tc>
          <w:tcPr>
            <w:cnfStyle w:val="001000000000" w:firstRow="0" w:lastRow="0" w:firstColumn="1" w:lastColumn="0" w:oddVBand="0" w:evenVBand="0" w:oddHBand="0" w:evenHBand="0" w:firstRowFirstColumn="0" w:firstRowLastColumn="0" w:lastRowFirstColumn="0" w:lastRowLastColumn="0"/>
            <w:tcW w:w="8693" w:type="dxa"/>
            <w:gridSpan w:val="7"/>
          </w:tcPr>
          <w:p w:rsidR="003478FC" w:rsidRPr="003478FC" w:rsidRDefault="003478FC" w:rsidP="003478FC">
            <w:r>
              <w:rPr>
                <w:rStyle w:val="Strong"/>
              </w:rPr>
              <w:t>Ergon Energy</w:t>
            </w:r>
            <w:r w:rsidRPr="003478FC">
              <w:rPr>
                <w:rStyle w:val="Strong"/>
              </w:rPr>
              <w:t xml:space="preserve"> </w:t>
            </w:r>
            <w:proofErr w:type="spellStart"/>
            <w:r w:rsidRPr="003478FC">
              <w:rPr>
                <w:rStyle w:val="Strong"/>
              </w:rPr>
              <w:t>proposal</w:t>
            </w:r>
            <w:r w:rsidR="00C53DEA" w:rsidRPr="008F7439">
              <w:rPr>
                <w:rStyle w:val="AERsuperscript"/>
              </w:rPr>
              <w:t>a</w:t>
            </w:r>
            <w:proofErr w:type="spellEnd"/>
          </w:p>
        </w:tc>
      </w:tr>
      <w:tr w:rsidR="003478FC" w:rsidTr="001006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790C92">
              <w:t xml:space="preserve">Residential annual </w:t>
            </w:r>
            <w:proofErr w:type="spellStart"/>
            <w:r w:rsidRPr="00790C92">
              <w:t>bill</w:t>
            </w:r>
            <w:r>
              <w:rPr>
                <w:rStyle w:val="AERsuperscript"/>
              </w:rPr>
              <w:t>b</w:t>
            </w:r>
            <w:proofErr w:type="spellEnd"/>
          </w:p>
        </w:tc>
        <w:tc>
          <w:tcPr>
            <w:tcW w:w="850"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1914</w:t>
            </w:r>
          </w:p>
        </w:tc>
        <w:tc>
          <w:tcPr>
            <w:tcW w:w="1121"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1935</w:t>
            </w:r>
          </w:p>
        </w:tc>
        <w:tc>
          <w:tcPr>
            <w:tcW w:w="1122"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1958</w:t>
            </w:r>
          </w:p>
        </w:tc>
        <w:tc>
          <w:tcPr>
            <w:tcW w:w="1121"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1974</w:t>
            </w:r>
          </w:p>
        </w:tc>
        <w:tc>
          <w:tcPr>
            <w:tcW w:w="1122"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1989</w:t>
            </w:r>
          </w:p>
        </w:tc>
        <w:tc>
          <w:tcPr>
            <w:tcW w:w="1122"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2001</w:t>
            </w:r>
          </w:p>
        </w:tc>
      </w:tr>
      <w:tr w:rsidR="003478FC" w:rsidTr="0010065A">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790C92">
              <w:t>Annual change</w:t>
            </w:r>
          </w:p>
        </w:tc>
        <w:tc>
          <w:tcPr>
            <w:tcW w:w="850" w:type="dxa"/>
            <w:vAlign w:val="top"/>
          </w:tcPr>
          <w:p w:rsidR="003478FC" w:rsidRPr="00790C92" w:rsidRDefault="003478FC" w:rsidP="003478FC">
            <w:pPr>
              <w:cnfStyle w:val="000000000000" w:firstRow="0" w:lastRow="0" w:firstColumn="0" w:lastColumn="0" w:oddVBand="0" w:evenVBand="0" w:oddHBand="0" w:evenHBand="0" w:firstRowFirstColumn="0" w:firstRowLastColumn="0" w:lastRowFirstColumn="0" w:lastRowLastColumn="0"/>
            </w:pPr>
          </w:p>
        </w:tc>
        <w:tc>
          <w:tcPr>
            <w:tcW w:w="1121"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21 (1.1%)</w:t>
            </w:r>
          </w:p>
        </w:tc>
        <w:tc>
          <w:tcPr>
            <w:tcW w:w="1122"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24 (1.2%)</w:t>
            </w:r>
          </w:p>
        </w:tc>
        <w:tc>
          <w:tcPr>
            <w:tcW w:w="1121"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16 (0.8%)</w:t>
            </w:r>
          </w:p>
        </w:tc>
        <w:tc>
          <w:tcPr>
            <w:tcW w:w="1122"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15 (0.8%)</w:t>
            </w:r>
          </w:p>
        </w:tc>
        <w:tc>
          <w:tcPr>
            <w:tcW w:w="1122"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12 (0.6%)</w:t>
            </w:r>
          </w:p>
        </w:tc>
      </w:tr>
      <w:tr w:rsidR="003478FC" w:rsidTr="001006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790C92">
              <w:t xml:space="preserve">Small business annual </w:t>
            </w:r>
            <w:proofErr w:type="spellStart"/>
            <w:r w:rsidRPr="00790C92">
              <w:t>bill</w:t>
            </w:r>
            <w:r>
              <w:rPr>
                <w:rStyle w:val="AERsuperscript"/>
              </w:rPr>
              <w:t>c</w:t>
            </w:r>
            <w:proofErr w:type="spellEnd"/>
          </w:p>
        </w:tc>
        <w:tc>
          <w:tcPr>
            <w:tcW w:w="850"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2973</w:t>
            </w:r>
          </w:p>
        </w:tc>
        <w:tc>
          <w:tcPr>
            <w:tcW w:w="1121"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3005</w:t>
            </w:r>
          </w:p>
        </w:tc>
        <w:tc>
          <w:tcPr>
            <w:tcW w:w="1122"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3041</w:t>
            </w:r>
          </w:p>
        </w:tc>
        <w:tc>
          <w:tcPr>
            <w:tcW w:w="1121"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3066</w:t>
            </w:r>
          </w:p>
        </w:tc>
        <w:tc>
          <w:tcPr>
            <w:tcW w:w="1122"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3090</w:t>
            </w:r>
          </w:p>
        </w:tc>
        <w:tc>
          <w:tcPr>
            <w:tcW w:w="1122" w:type="dxa"/>
            <w:vAlign w:val="top"/>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rsidRPr="00790C92">
              <w:t>3108</w:t>
            </w:r>
          </w:p>
        </w:tc>
      </w:tr>
      <w:tr w:rsidR="003478FC" w:rsidTr="0010065A">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790C92">
              <w:t>Annual change</w:t>
            </w:r>
          </w:p>
        </w:tc>
        <w:tc>
          <w:tcPr>
            <w:tcW w:w="850" w:type="dxa"/>
            <w:vAlign w:val="top"/>
          </w:tcPr>
          <w:p w:rsidR="003478FC" w:rsidRPr="00790C92" w:rsidRDefault="003478FC" w:rsidP="003478FC">
            <w:pPr>
              <w:cnfStyle w:val="000000000000" w:firstRow="0" w:lastRow="0" w:firstColumn="0" w:lastColumn="0" w:oddVBand="0" w:evenVBand="0" w:oddHBand="0" w:evenHBand="0" w:firstRowFirstColumn="0" w:firstRowLastColumn="0" w:lastRowFirstColumn="0" w:lastRowLastColumn="0"/>
            </w:pPr>
          </w:p>
        </w:tc>
        <w:tc>
          <w:tcPr>
            <w:tcW w:w="1121"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32 (1.1%)</w:t>
            </w:r>
          </w:p>
        </w:tc>
        <w:tc>
          <w:tcPr>
            <w:tcW w:w="1122"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37 (1.2%)</w:t>
            </w:r>
          </w:p>
        </w:tc>
        <w:tc>
          <w:tcPr>
            <w:tcW w:w="1121"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25 (0.8%)</w:t>
            </w:r>
          </w:p>
        </w:tc>
        <w:tc>
          <w:tcPr>
            <w:tcW w:w="1122"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23 (0.8%)</w:t>
            </w:r>
          </w:p>
        </w:tc>
        <w:tc>
          <w:tcPr>
            <w:tcW w:w="1122"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790C92">
              <w:t>18 (0.6%)</w:t>
            </w:r>
          </w:p>
        </w:tc>
      </w:tr>
      <w:tr w:rsidR="003478FC" w:rsidTr="001006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693" w:type="dxa"/>
            <w:gridSpan w:val="7"/>
          </w:tcPr>
          <w:p w:rsidR="003478FC" w:rsidRPr="003478FC" w:rsidRDefault="003478FC" w:rsidP="003478FC">
            <w:r w:rsidRPr="00790C92">
              <w:rPr>
                <w:rStyle w:val="Strong"/>
              </w:rPr>
              <w:t xml:space="preserve">AER </w:t>
            </w:r>
            <w:r w:rsidRPr="003478FC">
              <w:rPr>
                <w:rStyle w:val="Strong"/>
              </w:rPr>
              <w:t xml:space="preserve">preliminary </w:t>
            </w:r>
            <w:proofErr w:type="spellStart"/>
            <w:r w:rsidRPr="003478FC">
              <w:rPr>
                <w:rStyle w:val="Strong"/>
              </w:rPr>
              <w:t>decision</w:t>
            </w:r>
            <w:r w:rsidR="00C53DEA" w:rsidRPr="008F7439">
              <w:rPr>
                <w:rStyle w:val="AERsuperscript"/>
              </w:rPr>
              <w:t>a</w:t>
            </w:r>
            <w:proofErr w:type="spellEnd"/>
          </w:p>
        </w:tc>
      </w:tr>
      <w:tr w:rsidR="003478FC" w:rsidTr="0010065A">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BC07C3">
              <w:t xml:space="preserve">Residential annual </w:t>
            </w:r>
            <w:proofErr w:type="spellStart"/>
            <w:r w:rsidRPr="00BC07C3">
              <w:t>bill</w:t>
            </w:r>
            <w:r>
              <w:rPr>
                <w:rStyle w:val="AERsuperscript"/>
              </w:rPr>
              <w:t>b</w:t>
            </w:r>
            <w:proofErr w:type="spellEnd"/>
          </w:p>
        </w:tc>
        <w:tc>
          <w:tcPr>
            <w:tcW w:w="850"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1914</w:t>
            </w:r>
          </w:p>
        </w:tc>
        <w:tc>
          <w:tcPr>
            <w:tcW w:w="1121"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1880</w:t>
            </w:r>
          </w:p>
        </w:tc>
        <w:tc>
          <w:tcPr>
            <w:tcW w:w="1122"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1836</w:t>
            </w:r>
          </w:p>
        </w:tc>
        <w:tc>
          <w:tcPr>
            <w:tcW w:w="1121"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1820</w:t>
            </w:r>
          </w:p>
        </w:tc>
        <w:tc>
          <w:tcPr>
            <w:tcW w:w="1122"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1799</w:t>
            </w:r>
          </w:p>
        </w:tc>
        <w:tc>
          <w:tcPr>
            <w:tcW w:w="1122"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1782</w:t>
            </w:r>
          </w:p>
        </w:tc>
      </w:tr>
      <w:tr w:rsidR="003478FC" w:rsidTr="001006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BC07C3">
              <w:t>Annual change</w:t>
            </w:r>
          </w:p>
        </w:tc>
        <w:tc>
          <w:tcPr>
            <w:tcW w:w="850" w:type="dxa"/>
            <w:vAlign w:val="top"/>
          </w:tcPr>
          <w:p w:rsidR="003478FC" w:rsidRPr="00BC07C3" w:rsidRDefault="003478FC" w:rsidP="003478FC">
            <w:pPr>
              <w:cnfStyle w:val="000000010000" w:firstRow="0" w:lastRow="0" w:firstColumn="0" w:lastColumn="0" w:oddVBand="0" w:evenVBand="0" w:oddHBand="0" w:evenHBand="1" w:firstRowFirstColumn="0" w:firstRowLastColumn="0" w:lastRowFirstColumn="0" w:lastRowLastColumn="0"/>
            </w:pPr>
          </w:p>
        </w:tc>
        <w:tc>
          <w:tcPr>
            <w:tcW w:w="1121"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34 (–1.8%)</w:t>
            </w:r>
          </w:p>
        </w:tc>
        <w:tc>
          <w:tcPr>
            <w:tcW w:w="1122"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44 (–2.4%)</w:t>
            </w:r>
          </w:p>
        </w:tc>
        <w:tc>
          <w:tcPr>
            <w:tcW w:w="1121"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16 (–0.9%)</w:t>
            </w:r>
          </w:p>
        </w:tc>
        <w:tc>
          <w:tcPr>
            <w:tcW w:w="1122"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21 (–1.1%)</w:t>
            </w:r>
          </w:p>
        </w:tc>
        <w:tc>
          <w:tcPr>
            <w:tcW w:w="1122"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17 (–0.9%)</w:t>
            </w:r>
          </w:p>
        </w:tc>
      </w:tr>
      <w:tr w:rsidR="003478FC" w:rsidTr="0010065A">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BC07C3">
              <w:t xml:space="preserve">Small business annual </w:t>
            </w:r>
            <w:proofErr w:type="spellStart"/>
            <w:r w:rsidRPr="00BC07C3">
              <w:t>bill</w:t>
            </w:r>
            <w:r>
              <w:rPr>
                <w:rStyle w:val="AERsuperscript"/>
              </w:rPr>
              <w:t>c</w:t>
            </w:r>
            <w:proofErr w:type="spellEnd"/>
          </w:p>
        </w:tc>
        <w:tc>
          <w:tcPr>
            <w:tcW w:w="850" w:type="dxa"/>
            <w:vAlign w:val="top"/>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2973</w:t>
            </w:r>
          </w:p>
        </w:tc>
        <w:tc>
          <w:tcPr>
            <w:tcW w:w="1121"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2920</w:t>
            </w:r>
          </w:p>
        </w:tc>
        <w:tc>
          <w:tcPr>
            <w:tcW w:w="1122"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2851</w:t>
            </w:r>
          </w:p>
        </w:tc>
        <w:tc>
          <w:tcPr>
            <w:tcW w:w="1121"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2826</w:t>
            </w:r>
          </w:p>
        </w:tc>
        <w:tc>
          <w:tcPr>
            <w:tcW w:w="1122"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2794</w:t>
            </w:r>
          </w:p>
        </w:tc>
        <w:tc>
          <w:tcPr>
            <w:tcW w:w="1122" w:type="dxa"/>
            <w:vAlign w:val="bottom"/>
          </w:tcPr>
          <w:p w:rsidR="003478FC" w:rsidRPr="003478FC" w:rsidRDefault="003478FC" w:rsidP="003478FC">
            <w:pPr>
              <w:cnfStyle w:val="000000000000" w:firstRow="0" w:lastRow="0" w:firstColumn="0" w:lastColumn="0" w:oddVBand="0" w:evenVBand="0" w:oddHBand="0" w:evenHBand="0" w:firstRowFirstColumn="0" w:firstRowLastColumn="0" w:lastRowFirstColumn="0" w:lastRowLastColumn="0"/>
            </w:pPr>
            <w:r w:rsidRPr="00BC07C3">
              <w:t>2768</w:t>
            </w:r>
          </w:p>
        </w:tc>
      </w:tr>
      <w:tr w:rsidR="003478FC" w:rsidTr="001006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rsidR="003478FC" w:rsidRPr="003478FC" w:rsidRDefault="003478FC" w:rsidP="003478FC">
            <w:r w:rsidRPr="00BC07C3">
              <w:t>Annual change</w:t>
            </w:r>
          </w:p>
        </w:tc>
        <w:tc>
          <w:tcPr>
            <w:tcW w:w="850" w:type="dxa"/>
            <w:vAlign w:val="top"/>
          </w:tcPr>
          <w:p w:rsidR="003478FC" w:rsidRPr="00BC07C3" w:rsidRDefault="003478FC" w:rsidP="003478FC">
            <w:pPr>
              <w:cnfStyle w:val="000000010000" w:firstRow="0" w:lastRow="0" w:firstColumn="0" w:lastColumn="0" w:oddVBand="0" w:evenVBand="0" w:oddHBand="0" w:evenHBand="1" w:firstRowFirstColumn="0" w:firstRowLastColumn="0" w:lastRowFirstColumn="0" w:lastRowLastColumn="0"/>
            </w:pPr>
          </w:p>
        </w:tc>
        <w:tc>
          <w:tcPr>
            <w:tcW w:w="1121"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53 (–1.8%)</w:t>
            </w:r>
          </w:p>
        </w:tc>
        <w:tc>
          <w:tcPr>
            <w:tcW w:w="1122"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69 (–2.4%)</w:t>
            </w:r>
          </w:p>
        </w:tc>
        <w:tc>
          <w:tcPr>
            <w:tcW w:w="1121"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25 (–0.9%)</w:t>
            </w:r>
          </w:p>
        </w:tc>
        <w:tc>
          <w:tcPr>
            <w:tcW w:w="1122"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32 (–1.1%)</w:t>
            </w:r>
          </w:p>
        </w:tc>
        <w:tc>
          <w:tcPr>
            <w:tcW w:w="1122" w:type="dxa"/>
            <w:vAlign w:val="bottom"/>
          </w:tcPr>
          <w:p w:rsidR="003478FC" w:rsidRPr="003478FC" w:rsidRDefault="003478FC" w:rsidP="003478FC">
            <w:pPr>
              <w:cnfStyle w:val="000000010000" w:firstRow="0" w:lastRow="0" w:firstColumn="0" w:lastColumn="0" w:oddVBand="0" w:evenVBand="0" w:oddHBand="0" w:evenHBand="1" w:firstRowFirstColumn="0" w:firstRowLastColumn="0" w:lastRowFirstColumn="0" w:lastRowLastColumn="0"/>
            </w:pPr>
            <w:r>
              <w:t>–</w:t>
            </w:r>
            <w:r w:rsidRPr="003478FC">
              <w:t>26 (–0.9%)</w:t>
            </w:r>
          </w:p>
        </w:tc>
      </w:tr>
    </w:tbl>
    <w:p w:rsidR="00323635" w:rsidRPr="00323635" w:rsidRDefault="00D44A58" w:rsidP="00323635">
      <w:pPr>
        <w:pStyle w:val="AERtablesource"/>
      </w:pPr>
      <w:r>
        <w:t xml:space="preserve">Source: </w:t>
      </w:r>
      <w:r w:rsidR="00D92C04">
        <w:tab/>
      </w:r>
      <w:r>
        <w:t>AER analysis</w:t>
      </w:r>
      <w:r w:rsidR="00323635" w:rsidRPr="00323635">
        <w:t xml:space="preserve">; QCA, Price comparator; QCA, </w:t>
      </w:r>
      <w:r w:rsidR="00323635" w:rsidRPr="00555E9F">
        <w:rPr>
          <w:rStyle w:val="AERtextitalic"/>
        </w:rPr>
        <w:t>Final determination, Regulated retail electricity prices 2014–15</w:t>
      </w:r>
      <w:r w:rsidR="00323635" w:rsidRPr="00323635">
        <w:t>, May 2014, p.4.</w:t>
      </w:r>
    </w:p>
    <w:p w:rsidR="00606EEF" w:rsidRDefault="00606EEF" w:rsidP="00606EEF">
      <w:pPr>
        <w:pStyle w:val="AERtablesource"/>
      </w:pPr>
      <w:r>
        <w:t>(a</w:t>
      </w:r>
      <w:r w:rsidRPr="00323635">
        <w:t>)</w:t>
      </w:r>
      <w:r w:rsidRPr="00323635">
        <w:tab/>
      </w:r>
      <w:r>
        <w:t>Energex</w:t>
      </w:r>
      <w:r w:rsidR="00C53DEA">
        <w:t>'s bill impacts are used for this table</w:t>
      </w:r>
      <w:r w:rsidRPr="00323635">
        <w:t>.</w:t>
      </w:r>
    </w:p>
    <w:p w:rsidR="00323635" w:rsidRPr="00323635" w:rsidRDefault="00323635" w:rsidP="00606EEF">
      <w:pPr>
        <w:pStyle w:val="AERtablesource"/>
      </w:pPr>
      <w:r w:rsidRPr="00323635">
        <w:t>(</w:t>
      </w:r>
      <w:r w:rsidR="00606EEF">
        <w:t>b</w:t>
      </w:r>
      <w:r w:rsidRPr="00323635">
        <w:t>)</w:t>
      </w:r>
      <w:r w:rsidRPr="00323635">
        <w:tab/>
        <w:t>Based on annual bill for typical consumption of</w:t>
      </w:r>
      <w:r w:rsidR="00555E9F">
        <w:t xml:space="preserve"> 4100 kW</w:t>
      </w:r>
      <w:r w:rsidRPr="00323635">
        <w:t>h per year during the period 1 July 201</w:t>
      </w:r>
      <w:r w:rsidR="00316C1C">
        <w:t>4</w:t>
      </w:r>
      <w:r w:rsidRPr="00323635">
        <w:t xml:space="preserve"> to 30 June 201</w:t>
      </w:r>
      <w:r w:rsidR="00316C1C">
        <w:t>5</w:t>
      </w:r>
      <w:r w:rsidRPr="00323635">
        <w:t>.</w:t>
      </w:r>
    </w:p>
    <w:p w:rsidR="00D44A58" w:rsidRDefault="00323635" w:rsidP="00323635">
      <w:pPr>
        <w:pStyle w:val="AERtablesource"/>
      </w:pPr>
      <w:r w:rsidRPr="00323635">
        <w:t>(</w:t>
      </w:r>
      <w:r w:rsidR="00606EEF">
        <w:t>c</w:t>
      </w:r>
      <w:r w:rsidRPr="00323635">
        <w:t>)</w:t>
      </w:r>
      <w:r w:rsidRPr="00323635">
        <w:tab/>
        <w:t>Based on the annual bill sourced from Energy Made Easy for a typical consumption of 10000 kWh per year during the period 1 July 201</w:t>
      </w:r>
      <w:r w:rsidR="00316C1C">
        <w:t>4</w:t>
      </w:r>
      <w:r w:rsidRPr="00323635">
        <w:t xml:space="preserve"> to 30 June 201</w:t>
      </w:r>
      <w:r w:rsidR="00316C1C">
        <w:t>5</w:t>
      </w:r>
      <w:r w:rsidRPr="00323635">
        <w:t>.</w:t>
      </w:r>
    </w:p>
    <w:p w:rsidR="004A440A" w:rsidRDefault="00B738B6" w:rsidP="004A440A">
      <w:r>
        <w:t>Within the figures presented above we have included</w:t>
      </w:r>
      <w:r w:rsidR="00AE54BC">
        <w:t xml:space="preserve"> a number of adjustments including</w:t>
      </w:r>
      <w:r>
        <w:t xml:space="preserve"> </w:t>
      </w:r>
      <w:r w:rsidR="008D01E1">
        <w:t xml:space="preserve">forecast costs of </w:t>
      </w:r>
      <w:r>
        <w:t xml:space="preserve">the </w:t>
      </w:r>
      <w:r w:rsidR="00C30ACC">
        <w:t>Queensland Solar Bonus Scheme</w:t>
      </w:r>
      <w:r w:rsidR="00AE54BC">
        <w:t xml:space="preserve"> </w:t>
      </w:r>
      <w:proofErr w:type="spellStart"/>
      <w:r w:rsidR="00AE54BC">
        <w:t>FiT</w:t>
      </w:r>
      <w:proofErr w:type="spellEnd"/>
      <w:r w:rsidR="008D01E1">
        <w:t xml:space="preserve"> (and under</w:t>
      </w:r>
      <w:r w:rsidR="0053522B">
        <w:t xml:space="preserve"> </w:t>
      </w:r>
      <w:r w:rsidR="008D01E1">
        <w:t xml:space="preserve">recoveries related to this scheme from the 2010–15 regulatory control </w:t>
      </w:r>
      <w:proofErr w:type="gramStart"/>
      <w:r w:rsidR="008D01E1">
        <w:t>period</w:t>
      </w:r>
      <w:proofErr w:type="gramEnd"/>
      <w:r w:rsidR="008D01E1">
        <w:t>)</w:t>
      </w:r>
      <w:r w:rsidR="003478FC">
        <w:t>. These include</w:t>
      </w:r>
      <w:r w:rsidR="008D01E1">
        <w:t xml:space="preserve"> </w:t>
      </w:r>
      <w:r w:rsidR="003478FC">
        <w:t xml:space="preserve">expected </w:t>
      </w:r>
      <w:proofErr w:type="spellStart"/>
      <w:r w:rsidR="003478FC">
        <w:t>DUoS</w:t>
      </w:r>
      <w:proofErr w:type="spellEnd"/>
      <w:r w:rsidR="003478FC">
        <w:t xml:space="preserve"> under recoveries in 2013–14 (which will be recovered in 2015–16)</w:t>
      </w:r>
      <w:proofErr w:type="gramStart"/>
      <w:r w:rsidR="003478FC">
        <w:t>,</w:t>
      </w:r>
      <w:proofErr w:type="gramEnd"/>
      <w:r w:rsidR="003478FC">
        <w:t xml:space="preserve"> expected capital contributions pass throughs in 2015–16 and 2016–17, </w:t>
      </w:r>
      <w:r w:rsidR="003478FC" w:rsidRPr="000412C3">
        <w:t xml:space="preserve">and </w:t>
      </w:r>
      <w:r w:rsidR="008D01E1">
        <w:t>a STPIS allowance whose recovery was deferred</w:t>
      </w:r>
      <w:r w:rsidR="00AE54BC">
        <w:t xml:space="preserve">. </w:t>
      </w:r>
      <w:r w:rsidR="003478FC">
        <w:t xml:space="preserve">The most significant of these </w:t>
      </w:r>
      <w:proofErr w:type="spellStart"/>
      <w:r w:rsidR="003478FC">
        <w:t>additionals</w:t>
      </w:r>
      <w:proofErr w:type="spellEnd"/>
      <w:r w:rsidR="003478FC">
        <w:t xml:space="preserve"> is the Solar Bonus Scheme </w:t>
      </w:r>
      <w:proofErr w:type="spellStart"/>
      <w:r w:rsidR="003478FC">
        <w:t>FiT</w:t>
      </w:r>
      <w:proofErr w:type="spellEnd"/>
      <w:r w:rsidR="003478FC">
        <w:t xml:space="preserve">. </w:t>
      </w:r>
      <w:r w:rsidR="004A440A">
        <w:t>The Scheme</w:t>
      </w:r>
      <w:r w:rsidR="004A440A" w:rsidRPr="00B738B6">
        <w:t xml:space="preserve"> </w:t>
      </w:r>
      <w:r w:rsidR="004A440A">
        <w:t>pays</w:t>
      </w:r>
      <w:r w:rsidR="004A440A" w:rsidRPr="00B738B6">
        <w:t xml:space="preserve"> a government-mandated </w:t>
      </w:r>
      <w:proofErr w:type="spellStart"/>
      <w:r w:rsidR="004A440A">
        <w:t>FiT</w:t>
      </w:r>
      <w:proofErr w:type="spellEnd"/>
      <w:r w:rsidR="004A440A">
        <w:t xml:space="preserve"> to </w:t>
      </w:r>
      <w:r w:rsidR="004A440A" w:rsidRPr="00B738B6">
        <w:t>eligible customers for the electricity generated from solar photovoltaic (PV) systems and exported to the Queensland electricity grid.</w:t>
      </w:r>
      <w:r w:rsidR="004A440A">
        <w:rPr>
          <w:rStyle w:val="FootnoteReference"/>
        </w:rPr>
        <w:footnoteReference w:id="7"/>
      </w:r>
      <w:r w:rsidR="004A440A" w:rsidRPr="00B738B6">
        <w:t xml:space="preserve"> </w:t>
      </w:r>
      <w:r w:rsidR="004A440A" w:rsidRPr="00C30ACC">
        <w:t xml:space="preserve">While payments to PV </w:t>
      </w:r>
      <w:r w:rsidR="004A440A" w:rsidRPr="00C30ACC">
        <w:lastRenderedPageBreak/>
        <w:t>owners are made by retailers, those costs are passed</w:t>
      </w:r>
      <w:r w:rsidR="004A440A">
        <w:t xml:space="preserve"> </w:t>
      </w:r>
      <w:r w:rsidR="004A440A" w:rsidRPr="00C30ACC">
        <w:t>on to the distributors who then recover the costs through their network charges (</w:t>
      </w:r>
      <w:proofErr w:type="spellStart"/>
      <w:r w:rsidR="004A440A" w:rsidRPr="00C30ACC">
        <w:t>DU</w:t>
      </w:r>
      <w:r w:rsidR="004A440A">
        <w:t>o</w:t>
      </w:r>
      <w:r w:rsidR="004A440A" w:rsidRPr="00C30ACC">
        <w:t>S</w:t>
      </w:r>
      <w:proofErr w:type="spellEnd"/>
      <w:r w:rsidR="004A440A" w:rsidRPr="00C30ACC">
        <w:t>)</w:t>
      </w:r>
      <w:r w:rsidR="004A440A">
        <w:t xml:space="preserve"> paid by all customers</w:t>
      </w:r>
      <w:r w:rsidR="004A440A" w:rsidRPr="00C30ACC">
        <w:t xml:space="preserve">. Neither </w:t>
      </w:r>
      <w:r w:rsidR="00606EEF">
        <w:t>the Queensland distributors</w:t>
      </w:r>
      <w:r w:rsidR="004A440A" w:rsidRPr="00C30ACC">
        <w:t xml:space="preserve"> nor</w:t>
      </w:r>
      <w:r w:rsidR="004A440A">
        <w:t xml:space="preserve"> the AER</w:t>
      </w:r>
      <w:r w:rsidR="004A440A" w:rsidRPr="00C30ACC">
        <w:t xml:space="preserve"> are able to affect the amount of the costs to be recovered from </w:t>
      </w:r>
      <w:r w:rsidR="004A440A">
        <w:t>network charges</w:t>
      </w:r>
      <w:r w:rsidR="004A440A" w:rsidRPr="00C30ACC">
        <w:t>. However, we are able</w:t>
      </w:r>
      <w:r w:rsidR="004A440A">
        <w:t xml:space="preserve"> </w:t>
      </w:r>
      <w:r w:rsidR="004A440A" w:rsidRPr="00C30ACC">
        <w:t>to smooth the impacts to avoid price fluctuations.</w:t>
      </w:r>
      <w:r w:rsidR="004A440A">
        <w:t xml:space="preserve"> The Solar Bonus Scheme is now closed to new customers. The costs of the scheme are expected to peak in 2015–16 and decline steadily until the scheme ends in 2028.</w:t>
      </w:r>
    </w:p>
    <w:p w:rsidR="00D44A58" w:rsidRDefault="00732121" w:rsidP="00D44A58">
      <w:pPr>
        <w:pStyle w:val="Heading2"/>
      </w:pPr>
      <w:bookmarkStart w:id="14" w:name="_Toc418685495"/>
      <w:r>
        <w:t>Contribution to the achievement of the NEO</w:t>
      </w:r>
      <w:bookmarkEnd w:id="14"/>
    </w:p>
    <w:p w:rsidR="00211F3B" w:rsidRDefault="00211F3B" w:rsidP="00211F3B">
      <w:pPr>
        <w:rPr>
          <w:rStyle w:val="AERbody"/>
        </w:rPr>
      </w:pPr>
      <w:r>
        <w:rPr>
          <w:rStyle w:val="AERbody"/>
        </w:rPr>
        <w:t xml:space="preserve">We are satisfied that the total revenue approved in our preliminary decision contributes to the achievement of the NEO to the greatest degree. This is because our total revenue reflects the efficient, sustainable costs of providing network services in Ergon Energy's operating environment and the key drivers of </w:t>
      </w:r>
      <w:r w:rsidR="00732121">
        <w:rPr>
          <w:rStyle w:val="AERbody"/>
        </w:rPr>
        <w:t xml:space="preserve">efficient </w:t>
      </w:r>
      <w:r>
        <w:rPr>
          <w:rStyle w:val="AERbody"/>
        </w:rPr>
        <w:t>costs facing Ergon Energy.</w:t>
      </w:r>
      <w:r w:rsidRPr="00865F85">
        <w:rPr>
          <w:rStyle w:val="AERbody"/>
        </w:rPr>
        <w:t xml:space="preserve"> </w:t>
      </w:r>
      <w:r>
        <w:rPr>
          <w:rStyle w:val="AERbody"/>
        </w:rPr>
        <w:t xml:space="preserve">Our </w:t>
      </w:r>
      <w:r w:rsidR="007C2102">
        <w:rPr>
          <w:rStyle w:val="AERbody"/>
        </w:rPr>
        <w:t xml:space="preserve">preliminary </w:t>
      </w:r>
      <w:r>
        <w:rPr>
          <w:rStyle w:val="AERbody"/>
        </w:rPr>
        <w:t>decision will promote the efficient investment in, and efficient operation and use of, electricity services for the long term interests of consumers, as required by the NEO.</w:t>
      </w:r>
      <w:r w:rsidR="00E47CF8">
        <w:rPr>
          <w:rStyle w:val="AERbody"/>
        </w:rPr>
        <w:t xml:space="preserve"> </w:t>
      </w:r>
      <w:r w:rsidR="00E47CF8">
        <w:t>We set out our reasons below and in our attachments.</w:t>
      </w:r>
    </w:p>
    <w:p w:rsidR="00211F3B" w:rsidRDefault="00211F3B" w:rsidP="00211F3B">
      <w:pPr>
        <w:rPr>
          <w:rStyle w:val="AERbody"/>
        </w:rPr>
      </w:pPr>
      <w:r>
        <w:rPr>
          <w:rStyle w:val="AERbody"/>
        </w:rPr>
        <w:t>The key drivers of costs facing a network service provider are:</w:t>
      </w:r>
      <w:r>
        <w:rPr>
          <w:rStyle w:val="FootnoteReference"/>
        </w:rPr>
        <w:footnoteReference w:id="8"/>
      </w:r>
    </w:p>
    <w:p w:rsidR="00211F3B" w:rsidRDefault="00211F3B" w:rsidP="00211F3B">
      <w:pPr>
        <w:pStyle w:val="AERbulletlistfirststyle"/>
        <w:rPr>
          <w:rStyle w:val="AERbody"/>
        </w:rPr>
      </w:pPr>
      <w:r>
        <w:rPr>
          <w:rStyle w:val="AERbody"/>
        </w:rPr>
        <w:t>its accumulated network investment (reflected in the size of its Regulatory Asset Base, or RAB)</w:t>
      </w:r>
    </w:p>
    <w:p w:rsidR="00211F3B" w:rsidRDefault="00211F3B" w:rsidP="00211F3B">
      <w:pPr>
        <w:pStyle w:val="AERbulletlistfirststyle"/>
        <w:rPr>
          <w:rStyle w:val="AERbody"/>
        </w:rPr>
      </w:pPr>
      <w:r>
        <w:rPr>
          <w:rStyle w:val="AERbody"/>
        </w:rPr>
        <w:t xml:space="preserve">its expected growth in network investment (reflected in its </w:t>
      </w:r>
      <w:r w:rsidR="00A774E1">
        <w:rPr>
          <w:rStyle w:val="AERbody"/>
        </w:rPr>
        <w:t xml:space="preserve">capital expenditure </w:t>
      </w:r>
      <w:r w:rsidR="00732121">
        <w:rPr>
          <w:rStyle w:val="AERbody"/>
        </w:rPr>
        <w:t>(</w:t>
      </w:r>
      <w:r>
        <w:rPr>
          <w:rStyle w:val="AERbody"/>
        </w:rPr>
        <w:t>capex</w:t>
      </w:r>
      <w:r w:rsidR="00732121">
        <w:rPr>
          <w:rStyle w:val="AERbody"/>
        </w:rPr>
        <w:t>)</w:t>
      </w:r>
      <w:r>
        <w:rPr>
          <w:rStyle w:val="AERbody"/>
        </w:rPr>
        <w:t xml:space="preserve"> program </w:t>
      </w:r>
      <w:r w:rsidRPr="00596FF6">
        <w:rPr>
          <w:rStyle w:val="AERbody"/>
        </w:rPr>
        <w:t>net of capital returned to the shareholders through depreciation</w:t>
      </w:r>
      <w:r>
        <w:rPr>
          <w:rStyle w:val="AERbody"/>
        </w:rPr>
        <w:t>)</w:t>
      </w:r>
    </w:p>
    <w:p w:rsidR="00211F3B" w:rsidRDefault="00211F3B" w:rsidP="00211F3B">
      <w:pPr>
        <w:pStyle w:val="AERbulletlistfirststyle"/>
        <w:rPr>
          <w:rStyle w:val="AERbody"/>
        </w:rPr>
      </w:pPr>
      <w:r>
        <w:rPr>
          <w:rStyle w:val="AERbody"/>
        </w:rPr>
        <w:t xml:space="preserve">its financing costs (interest on borrowings and a return on equity to shareholders) </w:t>
      </w:r>
    </w:p>
    <w:p w:rsidR="00211F3B" w:rsidRDefault="00211F3B" w:rsidP="00211F3B">
      <w:pPr>
        <w:pStyle w:val="AERbulletlistfirststyle"/>
        <w:rPr>
          <w:rStyle w:val="AERbody"/>
        </w:rPr>
      </w:pPr>
      <w:r>
        <w:rPr>
          <w:rStyle w:val="AERbody"/>
        </w:rPr>
        <w:t>its operating expenditure (</w:t>
      </w:r>
      <w:proofErr w:type="spellStart"/>
      <w:r>
        <w:rPr>
          <w:rStyle w:val="AERbody"/>
        </w:rPr>
        <w:t>opex</w:t>
      </w:r>
      <w:proofErr w:type="spellEnd"/>
      <w:r>
        <w:rPr>
          <w:rStyle w:val="AERbody"/>
        </w:rPr>
        <w:t>) program (the cost of operating and maintaining its network)</w:t>
      </w:r>
    </w:p>
    <w:p w:rsidR="002E40B0" w:rsidRDefault="002E40B0" w:rsidP="00211F3B">
      <w:pPr>
        <w:pStyle w:val="AERbulletlistfirststyle"/>
        <w:rPr>
          <w:rStyle w:val="AERbody"/>
        </w:rPr>
      </w:pPr>
      <w:proofErr w:type="gramStart"/>
      <w:r>
        <w:rPr>
          <w:rStyle w:val="AERbody"/>
        </w:rPr>
        <w:t>its</w:t>
      </w:r>
      <w:proofErr w:type="gramEnd"/>
      <w:r>
        <w:rPr>
          <w:rStyle w:val="AERbody"/>
        </w:rPr>
        <w:t xml:space="preserve"> taxation cost (taxable income at the corporate tax rate adjusted for the value of imputation credits).</w:t>
      </w:r>
    </w:p>
    <w:p w:rsidR="00211F3B" w:rsidRPr="00211F3B" w:rsidRDefault="00211F3B" w:rsidP="00211F3B">
      <w:pPr>
        <w:rPr>
          <w:rStyle w:val="AERbody"/>
        </w:rPr>
      </w:pPr>
      <w:r>
        <w:rPr>
          <w:rStyle w:val="AERbody"/>
        </w:rPr>
        <w:t xml:space="preserve">From one regulatory </w:t>
      </w:r>
      <w:r w:rsidR="007C2102">
        <w:rPr>
          <w:rStyle w:val="AERbody"/>
        </w:rPr>
        <w:t xml:space="preserve">control </w:t>
      </w:r>
      <w:r>
        <w:rPr>
          <w:rStyle w:val="AERbody"/>
        </w:rPr>
        <w:t>period to the next, the pressure</w:t>
      </w:r>
      <w:r w:rsidRPr="00211F3B">
        <w:rPr>
          <w:rStyle w:val="AERbody"/>
        </w:rPr>
        <w:t xml:space="preserve">s on each of these drivers may change. For example, in periods </w:t>
      </w:r>
      <w:r w:rsidR="007C2102">
        <w:rPr>
          <w:rStyle w:val="AERbody"/>
        </w:rPr>
        <w:t xml:space="preserve">of high demand growth, a </w:t>
      </w:r>
      <w:r w:rsidRPr="00211F3B">
        <w:rPr>
          <w:rStyle w:val="AERbody"/>
        </w:rPr>
        <w:t>service provider would expect to need a larger capex program. Similarly, during periods of high interest rates, a service provider would expect to pay more in financing costs</w:t>
      </w:r>
      <w:r w:rsidR="00E47CF8">
        <w:rPr>
          <w:rStyle w:val="AERbody"/>
        </w:rPr>
        <w:t xml:space="preserve">. </w:t>
      </w:r>
    </w:p>
    <w:p w:rsidR="00211F3B" w:rsidRPr="00211F3B" w:rsidRDefault="00211F3B" w:rsidP="00211F3B">
      <w:pPr>
        <w:rPr>
          <w:rStyle w:val="AERbody"/>
        </w:rPr>
      </w:pPr>
      <w:r>
        <w:rPr>
          <w:rStyle w:val="AERbody"/>
        </w:rPr>
        <w:t xml:space="preserve">The </w:t>
      </w:r>
      <w:r w:rsidRPr="00211F3B">
        <w:rPr>
          <w:rStyle w:val="AERbody"/>
        </w:rPr>
        <w:t xml:space="preserve">most important factors we see impacting on </w:t>
      </w:r>
      <w:r>
        <w:rPr>
          <w:rStyle w:val="AERbody"/>
        </w:rPr>
        <w:t>Ergon Energy</w:t>
      </w:r>
      <w:r w:rsidRPr="00211F3B">
        <w:rPr>
          <w:rStyle w:val="AERbody"/>
        </w:rPr>
        <w:t>'s costs in the 2015–</w:t>
      </w:r>
      <w:r w:rsidR="007C2102">
        <w:rPr>
          <w:rStyle w:val="AERbody"/>
        </w:rPr>
        <w:t>20</w:t>
      </w:r>
      <w:r w:rsidRPr="00211F3B">
        <w:rPr>
          <w:rStyle w:val="AERbody"/>
        </w:rPr>
        <w:t xml:space="preserve"> </w:t>
      </w:r>
      <w:r>
        <w:rPr>
          <w:rStyle w:val="AERbody"/>
        </w:rPr>
        <w:t xml:space="preserve">regulatory control </w:t>
      </w:r>
      <w:proofErr w:type="gramStart"/>
      <w:r w:rsidR="007C2102">
        <w:rPr>
          <w:rStyle w:val="AERbody"/>
        </w:rPr>
        <w:t>period</w:t>
      </w:r>
      <w:proofErr w:type="gramEnd"/>
      <w:r w:rsidR="007C2102">
        <w:rPr>
          <w:rStyle w:val="AERbody"/>
        </w:rPr>
        <w:t xml:space="preserve"> are</w:t>
      </w:r>
      <w:r w:rsidRPr="00211F3B">
        <w:rPr>
          <w:rStyle w:val="AERbody"/>
        </w:rPr>
        <w:t>:</w:t>
      </w:r>
    </w:p>
    <w:p w:rsidR="00211F3B" w:rsidRPr="003424EA" w:rsidRDefault="00211F3B" w:rsidP="00211F3B">
      <w:pPr>
        <w:pStyle w:val="AERbulletlistfirststyle"/>
        <w:rPr>
          <w:rStyle w:val="AERbody"/>
        </w:rPr>
      </w:pPr>
      <w:proofErr w:type="gramStart"/>
      <w:r w:rsidRPr="003424EA">
        <w:rPr>
          <w:rStyle w:val="AERbody"/>
        </w:rPr>
        <w:t>an</w:t>
      </w:r>
      <w:proofErr w:type="gramEnd"/>
      <w:r w:rsidRPr="003424EA">
        <w:rPr>
          <w:rStyle w:val="AERbody"/>
        </w:rPr>
        <w:t xml:space="preserve"> improved investment environment</w:t>
      </w:r>
      <w:r>
        <w:rPr>
          <w:rStyle w:val="AERbody"/>
        </w:rPr>
        <w:t xml:space="preserve"> compared to our 2010</w:t>
      </w:r>
      <w:r w:rsidR="007C2102">
        <w:rPr>
          <w:rStyle w:val="AERbody"/>
          <w:rFonts w:cs="Arial"/>
        </w:rPr>
        <w:t>−</w:t>
      </w:r>
      <w:r w:rsidR="007C2102">
        <w:rPr>
          <w:rStyle w:val="AERbody"/>
        </w:rPr>
        <w:t>15</w:t>
      </w:r>
      <w:r>
        <w:rPr>
          <w:rStyle w:val="AERbody"/>
        </w:rPr>
        <w:t xml:space="preserve"> decision, which translates to lower financing costs necessary to attract efficient investment.</w:t>
      </w:r>
    </w:p>
    <w:p w:rsidR="00211F3B" w:rsidRDefault="00211F3B" w:rsidP="00211F3B">
      <w:pPr>
        <w:pStyle w:val="AERbulletlistfirststyle"/>
        <w:rPr>
          <w:rStyle w:val="AERbody"/>
        </w:rPr>
      </w:pPr>
      <w:proofErr w:type="gramStart"/>
      <w:r w:rsidRPr="003424EA">
        <w:rPr>
          <w:rStyle w:val="AERbody"/>
        </w:rPr>
        <w:t>a</w:t>
      </w:r>
      <w:proofErr w:type="gramEnd"/>
      <w:r w:rsidRPr="003424EA">
        <w:rPr>
          <w:rStyle w:val="AERbody"/>
        </w:rPr>
        <w:t xml:space="preserve"> consistent body of evidence demonstrating </w:t>
      </w:r>
      <w:r>
        <w:rPr>
          <w:rStyle w:val="AERbody"/>
        </w:rPr>
        <w:t xml:space="preserve">that Ergon Energy's past expenditure has been higher than necessary to maintain its network safely and reliably. This </w:t>
      </w:r>
      <w:r>
        <w:rPr>
          <w:rStyle w:val="AERbody"/>
        </w:rPr>
        <w:lastRenderedPageBreak/>
        <w:t xml:space="preserve">evidence has been confirmed by our own </w:t>
      </w:r>
      <w:proofErr w:type="spellStart"/>
      <w:r>
        <w:rPr>
          <w:rStyle w:val="AERbody"/>
        </w:rPr>
        <w:t>opex</w:t>
      </w:r>
      <w:proofErr w:type="spellEnd"/>
      <w:r>
        <w:rPr>
          <w:rStyle w:val="AERbody"/>
        </w:rPr>
        <w:t xml:space="preserve"> and capex analysis, including our benchmarking analysis.</w:t>
      </w:r>
    </w:p>
    <w:p w:rsidR="00211F3B" w:rsidRDefault="00211F3B" w:rsidP="00211F3B">
      <w:pPr>
        <w:pStyle w:val="AERbulletlistfirststyle"/>
        <w:rPr>
          <w:rStyle w:val="AERbody"/>
        </w:rPr>
      </w:pPr>
      <w:proofErr w:type="gramStart"/>
      <w:r>
        <w:rPr>
          <w:rStyle w:val="AERbody"/>
        </w:rPr>
        <w:t>forecast</w:t>
      </w:r>
      <w:proofErr w:type="gramEnd"/>
      <w:r>
        <w:rPr>
          <w:rStyle w:val="AERbody"/>
        </w:rPr>
        <w:t xml:space="preserve"> </w:t>
      </w:r>
      <w:r w:rsidRPr="003424EA">
        <w:rPr>
          <w:rStyle w:val="AERbody"/>
        </w:rPr>
        <w:t>demand</w:t>
      </w:r>
      <w:r>
        <w:rPr>
          <w:rStyle w:val="AERbody"/>
        </w:rPr>
        <w:t xml:space="preserve">, which is expected to remain </w:t>
      </w:r>
      <w:r w:rsidR="00857F5C">
        <w:rPr>
          <w:rStyle w:val="AERbody"/>
        </w:rPr>
        <w:t>reasonably flat over the 2015–</w:t>
      </w:r>
      <w:r w:rsidR="007C2102">
        <w:rPr>
          <w:rStyle w:val="AERbody"/>
        </w:rPr>
        <w:t>20</w:t>
      </w:r>
      <w:r>
        <w:rPr>
          <w:rStyle w:val="AERbody"/>
        </w:rPr>
        <w:t xml:space="preserve"> regulatory control period. This means that Ergon Energy is under less pressure to expand its network than in the previous regulatory control period to meet the needs of additional customers or any increased demand from existing customers</w:t>
      </w:r>
      <w:r w:rsidR="00732517">
        <w:rPr>
          <w:rStyle w:val="AERbody"/>
        </w:rPr>
        <w:t>.</w:t>
      </w:r>
    </w:p>
    <w:p w:rsidR="00393804" w:rsidRDefault="00393804" w:rsidP="00393804">
      <w:pPr>
        <w:pStyle w:val="AERbulletlistfirststyle"/>
        <w:rPr>
          <w:rStyle w:val="AERbody"/>
        </w:rPr>
      </w:pPr>
      <w:proofErr w:type="gramStart"/>
      <w:r>
        <w:t>changes</w:t>
      </w:r>
      <w:proofErr w:type="gramEnd"/>
      <w:r>
        <w:t xml:space="preserve"> to the Queensland Government's </w:t>
      </w:r>
      <w:r>
        <w:rPr>
          <w:rStyle w:val="AERbody"/>
        </w:rPr>
        <w:t xml:space="preserve"> reliability standards. From 1 July 2014 the reliability standards, amongst other things, reduce the need to build new infrastructure for reliability purposes.</w:t>
      </w:r>
      <w:r w:rsidR="00535FC7">
        <w:rPr>
          <w:rStyle w:val="FootnoteReference"/>
        </w:rPr>
        <w:footnoteReference w:id="9"/>
      </w:r>
      <w:r>
        <w:rPr>
          <w:rStyle w:val="AERbody"/>
        </w:rPr>
        <w:t xml:space="preserve"> </w:t>
      </w:r>
    </w:p>
    <w:p w:rsidR="0001599B" w:rsidRDefault="00732517" w:rsidP="00732517">
      <w:pPr>
        <w:pStyle w:val="AERbulletlistfirststyle"/>
        <w:rPr>
          <w:rStyle w:val="AERbody"/>
        </w:rPr>
      </w:pPr>
      <w:r>
        <w:rPr>
          <w:rStyle w:val="AERbody"/>
        </w:rPr>
        <w:t>improvements in efficiency in how Ergon Energy operates its business</w:t>
      </w:r>
    </w:p>
    <w:p w:rsidR="00732517" w:rsidRPr="003424EA" w:rsidRDefault="0001599B" w:rsidP="00732517">
      <w:pPr>
        <w:pStyle w:val="AERbulletlistfirststyle"/>
        <w:rPr>
          <w:rStyle w:val="AERbody"/>
        </w:rPr>
      </w:pPr>
      <w:proofErr w:type="gramStart"/>
      <w:r>
        <w:rPr>
          <w:rStyle w:val="AERbody"/>
        </w:rPr>
        <w:t>its</w:t>
      </w:r>
      <w:proofErr w:type="gramEnd"/>
      <w:r>
        <w:rPr>
          <w:rStyle w:val="AERbody"/>
        </w:rPr>
        <w:t xml:space="preserve"> taxation costs (taxable income at the corporate tax rate adjusted for the value of the imputation credits)</w:t>
      </w:r>
      <w:r w:rsidR="00732517">
        <w:rPr>
          <w:rStyle w:val="AERbody"/>
        </w:rPr>
        <w:t>.</w:t>
      </w:r>
    </w:p>
    <w:p w:rsidR="00393804" w:rsidRPr="00393804" w:rsidRDefault="00393804" w:rsidP="00393804">
      <w:r w:rsidRPr="00393804">
        <w:t>These</w:t>
      </w:r>
      <w:r w:rsidR="005E6F7B">
        <w:t xml:space="preserve"> factors are reflected throughout our preliminary decision and</w:t>
      </w:r>
      <w:r w:rsidRPr="00393804">
        <w:t xml:space="preserve"> impact the different constituent components of our decision to varying degrees</w:t>
      </w:r>
      <w:r w:rsidR="005E6F7B">
        <w:t xml:space="preserve">. At the </w:t>
      </w:r>
      <w:r w:rsidRPr="00393804">
        <w:t>total revenue level, they provide a consistent picture. The dr</w:t>
      </w:r>
      <w:r w:rsidR="00857F5C">
        <w:t>ivers of revenue for the 2015−</w:t>
      </w:r>
      <w:r w:rsidR="007C2102">
        <w:t>20</w:t>
      </w:r>
      <w:r w:rsidRPr="00393804">
        <w:t xml:space="preserve"> regulatory control period indicate that </w:t>
      </w:r>
      <w:r w:rsidR="007C2102">
        <w:t>a prudent and efficient service provider</w:t>
      </w:r>
      <w:r w:rsidRPr="00393804">
        <w:t xml:space="preserve"> could provide safe and reliable distribution services with</w:t>
      </w:r>
      <w:r w:rsidR="007C2102">
        <w:t xml:space="preserve"> materially less revenue than Ergon Energy</w:t>
      </w:r>
      <w:r w:rsidRPr="00393804">
        <w:t xml:space="preserve"> has proposed. We come to these views as a result of the detailed analysis for each constituent component of our preliminary decision.</w:t>
      </w:r>
    </w:p>
    <w:p w:rsidR="00211F3B" w:rsidRDefault="00211F3B" w:rsidP="00211F3B">
      <w:pPr>
        <w:rPr>
          <w:rStyle w:val="AERbody"/>
        </w:rPr>
      </w:pPr>
      <w:r>
        <w:rPr>
          <w:rStyle w:val="AERbody"/>
        </w:rPr>
        <w:t xml:space="preserve">In </w:t>
      </w:r>
      <w:r w:rsidR="00393804">
        <w:rPr>
          <w:rStyle w:val="AERbody"/>
        </w:rPr>
        <w:t>our preliminary</w:t>
      </w:r>
      <w:r>
        <w:rPr>
          <w:rStyle w:val="AERbody"/>
        </w:rPr>
        <w:t xml:space="preserve"> decision we </w:t>
      </w:r>
      <w:r w:rsidR="00861A32">
        <w:rPr>
          <w:rStyle w:val="AERbody"/>
        </w:rPr>
        <w:t>consider</w:t>
      </w:r>
      <w:r>
        <w:rPr>
          <w:rStyle w:val="AERbody"/>
        </w:rPr>
        <w:t xml:space="preserve"> that </w:t>
      </w:r>
      <w:r w:rsidR="00393804">
        <w:rPr>
          <w:rStyle w:val="AERbody"/>
        </w:rPr>
        <w:t>Ergon Energy's</w:t>
      </w:r>
      <w:r>
        <w:rPr>
          <w:rStyle w:val="AERbody"/>
        </w:rPr>
        <w:t xml:space="preserve"> proposal does not reflect the factors impacting on its cost drivers to a satisfactory extent. As a consequence, we </w:t>
      </w:r>
      <w:r w:rsidR="00E47CF8">
        <w:rPr>
          <w:rStyle w:val="AERbody"/>
        </w:rPr>
        <w:t xml:space="preserve">also </w:t>
      </w:r>
      <w:r>
        <w:rPr>
          <w:rStyle w:val="AERbody"/>
        </w:rPr>
        <w:t xml:space="preserve">conclude that </w:t>
      </w:r>
      <w:r w:rsidR="00393804">
        <w:rPr>
          <w:rStyle w:val="AERbody"/>
        </w:rPr>
        <w:t>Ergon Energy</w:t>
      </w:r>
      <w:r>
        <w:rPr>
          <w:rStyle w:val="AERbody"/>
        </w:rPr>
        <w:t xml:space="preserve"> has proposed to recover more revenue from its customers than is necessary</w:t>
      </w:r>
      <w:r w:rsidR="00E47CF8">
        <w:rPr>
          <w:rStyle w:val="AERbody"/>
        </w:rPr>
        <w:t xml:space="preserve"> </w:t>
      </w:r>
      <w:r w:rsidR="00861A32">
        <w:rPr>
          <w:rStyle w:val="AERbody"/>
        </w:rPr>
        <w:t>for the safe and reliable operation of its network</w:t>
      </w:r>
      <w:r>
        <w:rPr>
          <w:rStyle w:val="AERbody"/>
        </w:rPr>
        <w:t>.</w:t>
      </w:r>
      <w:r w:rsidR="005E6F7B">
        <w:rPr>
          <w:rStyle w:val="AERbody"/>
        </w:rPr>
        <w:t xml:space="preserve"> It follows that we consider that Ergon Energy's proposal does not contribute to the achievement of the NEO to a satisfactory degree.</w:t>
      </w:r>
    </w:p>
    <w:p w:rsidR="00D44A58" w:rsidRDefault="007C2102" w:rsidP="00D44A58">
      <w:r>
        <w:t>The t</w:t>
      </w:r>
      <w:r w:rsidR="00672DF7">
        <w:t>wo</w:t>
      </w:r>
      <w:r w:rsidR="00D44A58">
        <w:t xml:space="preserve"> constituent component</w:t>
      </w:r>
      <w:r w:rsidR="00672DF7">
        <w:t>s of our decision that drive</w:t>
      </w:r>
      <w:r w:rsidR="00D44A58">
        <w:t xml:space="preserve"> most of the differen</w:t>
      </w:r>
      <w:r w:rsidR="007D53A4">
        <w:t>ce</w:t>
      </w:r>
      <w:r w:rsidR="00D44A58">
        <w:t xml:space="preserve"> </w:t>
      </w:r>
      <w:r w:rsidR="00672DF7">
        <w:t xml:space="preserve">between </w:t>
      </w:r>
      <w:r w:rsidR="00D44A58">
        <w:t>E</w:t>
      </w:r>
      <w:r w:rsidR="00995FA9">
        <w:t xml:space="preserve">rgon </w:t>
      </w:r>
      <w:r w:rsidR="00175066">
        <w:t>Energy's</w:t>
      </w:r>
      <w:r w:rsidR="00D44A58">
        <w:t xml:space="preserve"> regulatory proposal</w:t>
      </w:r>
      <w:r w:rsidR="00672DF7">
        <w:t xml:space="preserve"> and our preliminary decision are the </w:t>
      </w:r>
      <w:r w:rsidR="00D44A58">
        <w:t>allowed rate of return</w:t>
      </w:r>
      <w:r w:rsidR="00672DF7">
        <w:t xml:space="preserve"> and </w:t>
      </w:r>
      <w:proofErr w:type="spellStart"/>
      <w:r w:rsidR="00672DF7">
        <w:t>opex</w:t>
      </w:r>
      <w:proofErr w:type="spellEnd"/>
      <w:r w:rsidR="00D44A58">
        <w:t xml:space="preserve">. </w:t>
      </w:r>
      <w:r w:rsidR="00553A0E">
        <w:t xml:space="preserve">Changes to the allowed rate of return also flow on to impact the corporate tax allowance given the reduction in overall revenue requirements. </w:t>
      </w:r>
      <w:r w:rsidR="00672DF7">
        <w:t xml:space="preserve">We discuss these further below. </w:t>
      </w:r>
      <w:r w:rsidR="00D44A58">
        <w:t xml:space="preserve">Figure 2 illustrates </w:t>
      </w:r>
      <w:r w:rsidR="00672DF7">
        <w:t xml:space="preserve">the key differences (in terms of </w:t>
      </w:r>
      <w:r w:rsidR="00D44A58">
        <w:t>consti</w:t>
      </w:r>
      <w:r w:rsidR="00672DF7">
        <w:t>tuent components, or building blocks, making up total revenue</w:t>
      </w:r>
      <w:r w:rsidR="00467A03">
        <w:t xml:space="preserve">) </w:t>
      </w:r>
      <w:r w:rsidR="00672DF7">
        <w:t xml:space="preserve">between our </w:t>
      </w:r>
      <w:r>
        <w:t xml:space="preserve">preliminary </w:t>
      </w:r>
      <w:r w:rsidR="00672DF7">
        <w:t xml:space="preserve">decision and Ergon Energy's regulatory proposal. </w:t>
      </w:r>
    </w:p>
    <w:p w:rsidR="00D44A58" w:rsidRDefault="00D44A58" w:rsidP="00D44A58">
      <w:pPr>
        <w:pStyle w:val="Caption"/>
      </w:pPr>
      <w:r>
        <w:lastRenderedPageBreak/>
        <w:t xml:space="preserve">Figure 2 AER's preliminary decision and </w:t>
      </w:r>
      <w:r w:rsidR="00995FA9">
        <w:t>Ergon Energy</w:t>
      </w:r>
      <w:r>
        <w:t>'s propos</w:t>
      </w:r>
      <w:r w:rsidR="00995FA9">
        <w:t>ed</w:t>
      </w:r>
      <w:r>
        <w:t xml:space="preserve"> annual building block costs ($ million 2014</w:t>
      </w:r>
      <w:r w:rsidRPr="00D44A58">
        <w:t>−</w:t>
      </w:r>
      <w:r>
        <w:t>15)</w:t>
      </w:r>
    </w:p>
    <w:p w:rsidR="00DB48AA" w:rsidRDefault="00272D97" w:rsidP="00203032">
      <w:r w:rsidRPr="00272D97">
        <w:rPr>
          <w:noProof/>
          <w:lang w:eastAsia="en-AU"/>
        </w:rPr>
        <w:drawing>
          <wp:inline distT="0" distB="0" distL="0" distR="0" wp14:anchorId="5EB66E03" wp14:editId="17A76433">
            <wp:extent cx="5382895" cy="3221643"/>
            <wp:effectExtent l="0" t="0" r="825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82895" cy="3221643"/>
                    </a:xfrm>
                    <a:prstGeom prst="rect">
                      <a:avLst/>
                    </a:prstGeom>
                    <a:noFill/>
                    <a:ln>
                      <a:noFill/>
                    </a:ln>
                  </pic:spPr>
                </pic:pic>
              </a:graphicData>
            </a:graphic>
          </wp:inline>
        </w:drawing>
      </w:r>
    </w:p>
    <w:p w:rsidR="00316C1C" w:rsidRPr="00203032" w:rsidRDefault="00316C1C" w:rsidP="00316C1C">
      <w:pPr>
        <w:pStyle w:val="AERtablesource"/>
      </w:pPr>
      <w:r>
        <w:t>Source:</w:t>
      </w:r>
      <w:r>
        <w:tab/>
        <w:t>AER analysis.</w:t>
      </w:r>
    </w:p>
    <w:p w:rsidR="00D44A58" w:rsidRPr="00DE5EE5" w:rsidRDefault="00D44A58" w:rsidP="00D44A58">
      <w:pPr>
        <w:pStyle w:val="Heading3"/>
      </w:pPr>
      <w:bookmarkStart w:id="15" w:name="_Toc414977512"/>
      <w:bookmarkStart w:id="16" w:name="_Toc415837317"/>
      <w:bookmarkStart w:id="17" w:name="_Toc418685496"/>
      <w:r w:rsidRPr="00DE5EE5">
        <w:t>Rate of return</w:t>
      </w:r>
      <w:bookmarkEnd w:id="15"/>
      <w:bookmarkEnd w:id="16"/>
      <w:bookmarkEnd w:id="17"/>
    </w:p>
    <w:p w:rsidR="00552236" w:rsidRDefault="00552236" w:rsidP="00552236">
      <w:r w:rsidRPr="00EC14A5">
        <w:t xml:space="preserve">The rate of return provides a </w:t>
      </w:r>
      <w:r>
        <w:t>distributor</w:t>
      </w:r>
      <w:r w:rsidRPr="00EC14A5">
        <w:t xml:space="preserve"> with revenue to service the interest on its loans and to give a return on equity to shareholders.</w:t>
      </w:r>
      <w:r w:rsidR="00176FDA">
        <w:t xml:space="preserve"> The allowed rate of return is a key determinant of allowed revenue.</w:t>
      </w:r>
    </w:p>
    <w:p w:rsidR="00552236" w:rsidRPr="00EC14A5" w:rsidRDefault="00552236" w:rsidP="00552236">
      <w:r w:rsidRPr="00EC14A5">
        <w:t xml:space="preserve">The rate of return must be commensurate with the efficient financing costs of a benchmark efficient entity with a similar degree of risk as that which applies to the </w:t>
      </w:r>
      <w:r w:rsidRPr="00812C7D">
        <w:t>distributor</w:t>
      </w:r>
      <w:r w:rsidRPr="00EC14A5">
        <w:t xml:space="preserve"> in respect of the provision of </w:t>
      </w:r>
      <w:r w:rsidRPr="00812C7D">
        <w:t>distribution services</w:t>
      </w:r>
      <w:r w:rsidRPr="000B49AC">
        <w:t>.</w:t>
      </w:r>
      <w:r w:rsidRPr="00812C7D">
        <w:rPr>
          <w:rStyle w:val="AERsuperscript"/>
        </w:rPr>
        <w:footnoteReference w:id="10"/>
      </w:r>
      <w:r w:rsidRPr="00812C7D">
        <w:rPr>
          <w:rStyle w:val="AERsuperscript"/>
        </w:rPr>
        <w:t xml:space="preserve"> </w:t>
      </w:r>
      <w:r w:rsidRPr="00EC14A5">
        <w:t xml:space="preserve">The </w:t>
      </w:r>
      <w:r w:rsidRPr="00812C7D">
        <w:t>NER</w:t>
      </w:r>
      <w:r w:rsidRPr="000B49AC">
        <w:t xml:space="preserve"> </w:t>
      </w:r>
      <w:r w:rsidRPr="00EC14A5">
        <w:t>refers to this requirement as the</w:t>
      </w:r>
      <w:r w:rsidR="00176FDA">
        <w:t xml:space="preserve"> a</w:t>
      </w:r>
      <w:r w:rsidRPr="00EC14A5">
        <w:t xml:space="preserve">llowed </w:t>
      </w:r>
      <w:r w:rsidR="00176FDA">
        <w:t>r</w:t>
      </w:r>
      <w:r w:rsidRPr="00EC14A5">
        <w:t xml:space="preserve">ate of </w:t>
      </w:r>
      <w:r w:rsidR="00176FDA">
        <w:t>r</w:t>
      </w:r>
      <w:r w:rsidRPr="00EC14A5">
        <w:t xml:space="preserve">eturn </w:t>
      </w:r>
      <w:r w:rsidR="00176FDA">
        <w:t>o</w:t>
      </w:r>
      <w:r w:rsidRPr="00EC14A5">
        <w:t xml:space="preserve">bjective. </w:t>
      </w:r>
    </w:p>
    <w:p w:rsidR="00552236" w:rsidRPr="00EC14A5" w:rsidRDefault="00552236" w:rsidP="00552236">
      <w:r w:rsidRPr="00EC14A5">
        <w:t xml:space="preserve">Our </w:t>
      </w:r>
      <w:r>
        <w:t>preliminary</w:t>
      </w:r>
      <w:r w:rsidRPr="00EC14A5">
        <w:t xml:space="preserve"> decision is for a rate of return of </w:t>
      </w:r>
      <w:r w:rsidR="006F5B64" w:rsidRPr="00FD11E3">
        <w:rPr>
          <w:rStyle w:val="AERbodytextChar"/>
          <w:rFonts w:eastAsiaTheme="minorHAnsi"/>
        </w:rPr>
        <w:t xml:space="preserve">5.85 </w:t>
      </w:r>
      <w:r w:rsidRPr="00FD11E3">
        <w:rPr>
          <w:rStyle w:val="AERbodytextChar"/>
          <w:rFonts w:eastAsiaTheme="minorHAnsi"/>
        </w:rPr>
        <w:t>per</w:t>
      </w:r>
      <w:r w:rsidRPr="00EC14A5">
        <w:t xml:space="preserve"> cent compared to </w:t>
      </w:r>
      <w:r>
        <w:t>8.02</w:t>
      </w:r>
      <w:r w:rsidRPr="00EC14A5">
        <w:t xml:space="preserve"> per cent put forward by </w:t>
      </w:r>
      <w:r>
        <w:t xml:space="preserve">Ergon Energy </w:t>
      </w:r>
      <w:r w:rsidRPr="00EC14A5">
        <w:t>in its r</w:t>
      </w:r>
      <w:r>
        <w:t xml:space="preserve">egulatory </w:t>
      </w:r>
      <w:r w:rsidRPr="00EC14A5">
        <w:t>proposal.</w:t>
      </w:r>
      <w:r w:rsidR="0074351E">
        <w:rPr>
          <w:rStyle w:val="FootnoteReference"/>
        </w:rPr>
        <w:footnoteReference w:id="11"/>
      </w:r>
      <w:r w:rsidRPr="00EC14A5">
        <w:t xml:space="preserve"> </w:t>
      </w:r>
    </w:p>
    <w:p w:rsidR="00552236" w:rsidRPr="00EC14A5" w:rsidRDefault="00552236" w:rsidP="00552236">
      <w:r w:rsidRPr="00EC14A5">
        <w:t xml:space="preserve">We set out our approach to determining the </w:t>
      </w:r>
      <w:r w:rsidR="000E26C1">
        <w:t>R</w:t>
      </w:r>
      <w:r w:rsidRPr="00EC14A5">
        <w:t xml:space="preserve">ate of </w:t>
      </w:r>
      <w:r w:rsidR="000E26C1">
        <w:t>R</w:t>
      </w:r>
      <w:r w:rsidRPr="00EC14A5">
        <w:t xml:space="preserve">eturn in a </w:t>
      </w:r>
      <w:r w:rsidR="000E26C1">
        <w:t>G</w:t>
      </w:r>
      <w:r w:rsidRPr="00EC14A5">
        <w:t>uideline we published in December 2013.</w:t>
      </w:r>
      <w:r>
        <w:rPr>
          <w:rStyle w:val="FootnoteReference"/>
        </w:rPr>
        <w:footnoteReference w:id="12"/>
      </w:r>
      <w:r w:rsidRPr="00EC14A5">
        <w:t xml:space="preserve"> This </w:t>
      </w:r>
      <w:r w:rsidR="000E26C1">
        <w:t>G</w:t>
      </w:r>
      <w:r w:rsidRPr="00EC14A5">
        <w:t xml:space="preserve">uideline is not binding. However, a </w:t>
      </w:r>
      <w:r w:rsidR="00176FDA">
        <w:t xml:space="preserve">distributor </w:t>
      </w:r>
      <w:r w:rsidRPr="00EC14A5">
        <w:t xml:space="preserve">must provide reasons to justify any departure from the </w:t>
      </w:r>
      <w:r w:rsidR="000E26C1">
        <w:t>G</w:t>
      </w:r>
      <w:r w:rsidRPr="00EC14A5">
        <w:t xml:space="preserve">uideline. </w:t>
      </w:r>
      <w:r>
        <w:t>Ergon Energy</w:t>
      </w:r>
      <w:r w:rsidRPr="00EC14A5">
        <w:t xml:space="preserve"> has proposed we </w:t>
      </w:r>
      <w:r w:rsidRPr="00EC14A5">
        <w:lastRenderedPageBreak/>
        <w:t xml:space="preserve">depart from the </w:t>
      </w:r>
      <w:r w:rsidR="000E26C1">
        <w:t>G</w:t>
      </w:r>
      <w:r w:rsidR="00ED7111">
        <w:t xml:space="preserve">uideline. We are not satisfied there are sufficient grounds to justify doing so. </w:t>
      </w:r>
    </w:p>
    <w:p w:rsidR="00552236" w:rsidRPr="00EC14A5" w:rsidRDefault="00552236" w:rsidP="00552236">
      <w:r w:rsidRPr="00EC14A5">
        <w:t xml:space="preserve">Prevailing market conditions for debt and equity heavily influence the rate of return. </w:t>
      </w:r>
      <w:r>
        <w:t xml:space="preserve">Since </w:t>
      </w:r>
      <w:r w:rsidR="00884EF4">
        <w:t>Ergon Energy</w:t>
      </w:r>
      <w:r>
        <w:t xml:space="preserve"> submitted its regulatory proposal in October 2014</w:t>
      </w:r>
      <w:r w:rsidRPr="00EC14A5">
        <w:t xml:space="preserve">, interest rates have fallen further and financial market conditions have continued to ease. This means that the cost of debt and the returns required to attract equity are lower than when </w:t>
      </w:r>
      <w:r w:rsidR="00884EF4">
        <w:t>Ergon Energy</w:t>
      </w:r>
      <w:r>
        <w:t xml:space="preserve"> submitted its proposal</w:t>
      </w:r>
      <w:r w:rsidRPr="00EC14A5">
        <w:t xml:space="preserve">. We consider these factors should be reflected in the rate of return.  </w:t>
      </w:r>
    </w:p>
    <w:p w:rsidR="00552236" w:rsidRDefault="00552236" w:rsidP="00732517">
      <w:r>
        <w:t xml:space="preserve">On a more technical level, </w:t>
      </w:r>
      <w:r w:rsidR="00732517">
        <w:t>the</w:t>
      </w:r>
      <w:r>
        <w:t xml:space="preserve"> key difference between our preliminary decision and </w:t>
      </w:r>
      <w:r w:rsidR="00884EF4">
        <w:t>Ergon Energy</w:t>
      </w:r>
      <w:r>
        <w:t>'s regulatory proposal in relation to rate of return</w:t>
      </w:r>
      <w:r w:rsidR="00ED7111">
        <w:t xml:space="preserve"> </w:t>
      </w:r>
      <w:proofErr w:type="gramStart"/>
      <w:r w:rsidR="00ED7111">
        <w:t>is,</w:t>
      </w:r>
      <w:proofErr w:type="gramEnd"/>
      <w:r w:rsidR="00ED7111">
        <w:t xml:space="preserve"> that while Ergon Energy gives weight to other indicators on the return on equity and consider them informative, we do not consider them to be robust and other regulators do not use them. </w:t>
      </w:r>
    </w:p>
    <w:p w:rsidR="00552236" w:rsidRDefault="00732121" w:rsidP="00552236">
      <w:r>
        <w:t>T</w:t>
      </w:r>
      <w:r w:rsidR="00176FDA">
        <w:t xml:space="preserve">he Guideline, </w:t>
      </w:r>
      <w:r>
        <w:t xml:space="preserve">(and indeed, </w:t>
      </w:r>
      <w:r w:rsidR="00552236" w:rsidRPr="00EC14A5">
        <w:t>this decision</w:t>
      </w:r>
      <w:r>
        <w:t>)</w:t>
      </w:r>
      <w:r w:rsidR="00552236" w:rsidRPr="00EC14A5">
        <w:t xml:space="preserve">, </w:t>
      </w:r>
      <w:r>
        <w:t xml:space="preserve">marks a departure </w:t>
      </w:r>
      <w:r w:rsidR="00176FDA">
        <w:t xml:space="preserve">from our previous approach to estimating the return on debt and the return on equity. </w:t>
      </w:r>
      <w:r w:rsidR="00552236">
        <w:t>For the return on debt, w</w:t>
      </w:r>
      <w:r w:rsidR="00552236" w:rsidRPr="00EC14A5">
        <w:t>e have used a grad</w:t>
      </w:r>
      <w:r w:rsidR="00ED7111">
        <w:t>ual, forward looking transition</w:t>
      </w:r>
      <w:r w:rsidR="00552236" w:rsidRPr="00EC14A5">
        <w:t xml:space="preserve">. We set out this transition in the </w:t>
      </w:r>
      <w:r w:rsidR="000E26C1">
        <w:t>G</w:t>
      </w:r>
      <w:r w:rsidR="00552236" w:rsidRPr="00EC14A5">
        <w:t xml:space="preserve">uideline. </w:t>
      </w:r>
      <w:r w:rsidR="00176FDA">
        <w:t>Our approach to setting the return on debt</w:t>
      </w:r>
      <w:r w:rsidR="00552236" w:rsidRPr="00EC14A5">
        <w:t xml:space="preserve"> received broad support </w:t>
      </w:r>
      <w:r w:rsidR="00ED7111">
        <w:t>from</w:t>
      </w:r>
      <w:r w:rsidR="00552236" w:rsidRPr="00EC14A5">
        <w:t xml:space="preserve"> many stakeholders, including </w:t>
      </w:r>
      <w:r>
        <w:t xml:space="preserve">some </w:t>
      </w:r>
      <w:r w:rsidR="00552236">
        <w:t>service providers</w:t>
      </w:r>
      <w:r w:rsidR="00552236" w:rsidRPr="00EC14A5">
        <w:t>.</w:t>
      </w:r>
      <w:r w:rsidR="00552236" w:rsidRPr="00EC14A5">
        <w:rPr>
          <w:rStyle w:val="FootnoteReference"/>
        </w:rPr>
        <w:footnoteReference w:id="13"/>
      </w:r>
      <w:r w:rsidR="00552236" w:rsidRPr="00EC14A5">
        <w:t xml:space="preserve"> </w:t>
      </w:r>
      <w:r>
        <w:t xml:space="preserve">Ergon Energy </w:t>
      </w:r>
      <w:r w:rsidR="00E050E3">
        <w:t xml:space="preserve">and </w:t>
      </w:r>
      <w:proofErr w:type="gramStart"/>
      <w:r w:rsidR="00E050E3">
        <w:t>us</w:t>
      </w:r>
      <w:proofErr w:type="gramEnd"/>
      <w:r w:rsidR="00E050E3">
        <w:t xml:space="preserve"> agree on how to transition from the previous on-the-day regulatory approach to the new trailing average approach for the return on debt</w:t>
      </w:r>
      <w:r w:rsidR="00552236" w:rsidRPr="00EC14A5">
        <w:t>.</w:t>
      </w:r>
      <w:r w:rsidR="00552236">
        <w:t xml:space="preserve"> </w:t>
      </w:r>
      <w:r w:rsidR="00176FDA">
        <w:t xml:space="preserve">For the return on equity, the expert evidence before us indicates that </w:t>
      </w:r>
      <w:r>
        <w:t xml:space="preserve">on balance </w:t>
      </w:r>
      <w:r w:rsidR="00176FDA">
        <w:t>employing our approach is expected to lead to a rate of return that achieves the allowed rate of return objective.</w:t>
      </w:r>
    </w:p>
    <w:p w:rsidR="00672DF7" w:rsidRDefault="00672DF7" w:rsidP="00672DF7">
      <w:pPr>
        <w:pStyle w:val="Heading3"/>
      </w:pPr>
      <w:bookmarkStart w:id="18" w:name="_Toc418685497"/>
      <w:r>
        <w:t>Operating expenditure</w:t>
      </w:r>
      <w:bookmarkEnd w:id="18"/>
    </w:p>
    <w:p w:rsidR="00B87D8C" w:rsidRDefault="00882AA3" w:rsidP="00B87D8C">
      <w:bookmarkStart w:id="19" w:name="_Toc415837318"/>
      <w:proofErr w:type="spellStart"/>
      <w:r>
        <w:t>O</w:t>
      </w:r>
      <w:r w:rsidR="00B87D8C">
        <w:t>pex</w:t>
      </w:r>
      <w:proofErr w:type="spellEnd"/>
      <w:r w:rsidR="00B87D8C">
        <w:t xml:space="preserve"> is required to operate and maintain the distributor's network. Similar to rate of return it is a key driver of total revenue. Whether we should use Ergon Energy's historical costs as the starting point for forecasting its future costs is a key difference between our preliminary decision and Ergon Energy's regulatory proposal. </w:t>
      </w:r>
    </w:p>
    <w:p w:rsidR="00B87D8C" w:rsidRDefault="00B87D8C" w:rsidP="00B87D8C">
      <w:r>
        <w:t xml:space="preserve">Under the NER, a distributor's proposal must include the forecast of total </w:t>
      </w:r>
      <w:proofErr w:type="spellStart"/>
      <w:r>
        <w:t>opex</w:t>
      </w:r>
      <w:proofErr w:type="spellEnd"/>
      <w:r>
        <w:t xml:space="preserve"> which the distributor considers is required in order to achieve each of the following (</w:t>
      </w:r>
      <w:proofErr w:type="spellStart"/>
      <w:r>
        <w:t>opex</w:t>
      </w:r>
      <w:proofErr w:type="spellEnd"/>
      <w:r>
        <w:t>) objectives:</w:t>
      </w:r>
    </w:p>
    <w:p w:rsidR="00B87D8C" w:rsidRDefault="00B87D8C" w:rsidP="00B87D8C">
      <w:pPr>
        <w:pStyle w:val="AERbulletlistfirststyle"/>
      </w:pPr>
      <w:r>
        <w:t>meet or manage expected demand</w:t>
      </w:r>
    </w:p>
    <w:p w:rsidR="00B87D8C" w:rsidRDefault="00B87D8C" w:rsidP="00B87D8C">
      <w:pPr>
        <w:pStyle w:val="AERbulletlistfirststyle"/>
      </w:pPr>
      <w:r>
        <w:t>comply with certain obligations and service standards</w:t>
      </w:r>
    </w:p>
    <w:p w:rsidR="00B87D8C" w:rsidRDefault="00B87D8C" w:rsidP="00B87D8C">
      <w:pPr>
        <w:pStyle w:val="AERbulletlistfirststyle"/>
      </w:pPr>
      <w:proofErr w:type="gramStart"/>
      <w:r>
        <w:t>maintain</w:t>
      </w:r>
      <w:proofErr w:type="gramEnd"/>
      <w:r>
        <w:t xml:space="preserve"> the safety of the distribution system.</w:t>
      </w:r>
      <w:r>
        <w:rPr>
          <w:rStyle w:val="FootnoteReference"/>
        </w:rPr>
        <w:footnoteReference w:id="14"/>
      </w:r>
    </w:p>
    <w:p w:rsidR="00B87D8C" w:rsidRDefault="00B87D8C" w:rsidP="00B87D8C">
      <w:r>
        <w:t>Under the NER, we must assess Ergon Energy's proposal against certain criteria and decide whether to accept it.</w:t>
      </w:r>
      <w:r>
        <w:rPr>
          <w:rStyle w:val="FootnoteReference"/>
        </w:rPr>
        <w:footnoteReference w:id="15"/>
      </w:r>
      <w:r>
        <w:t xml:space="preserve"> That is, we must be satisfied that the level of </w:t>
      </w:r>
      <w:proofErr w:type="spellStart"/>
      <w:r>
        <w:t>opex</w:t>
      </w:r>
      <w:proofErr w:type="spellEnd"/>
      <w:r>
        <w:t xml:space="preserve"> </w:t>
      </w:r>
      <w:r>
        <w:lastRenderedPageBreak/>
        <w:t>reasonably reflects the costs that a prudent</w:t>
      </w:r>
      <w:r w:rsidR="00882AA3">
        <w:t xml:space="preserve"> and efficient</w:t>
      </w:r>
      <w:r>
        <w:t xml:space="preserve"> operator would require</w:t>
      </w:r>
      <w:r w:rsidR="00882AA3">
        <w:t xml:space="preserve"> using a realistic expectation of demand and cost inputs, would require</w:t>
      </w:r>
      <w:r>
        <w:t xml:space="preserve"> to achieve the </w:t>
      </w:r>
      <w:proofErr w:type="spellStart"/>
      <w:r>
        <w:t>opex</w:t>
      </w:r>
      <w:proofErr w:type="spellEnd"/>
      <w:r>
        <w:t xml:space="preserve"> objectives.</w:t>
      </w:r>
      <w:r>
        <w:rPr>
          <w:rStyle w:val="FootnoteReference"/>
        </w:rPr>
        <w:footnoteReference w:id="16"/>
      </w:r>
      <w:r>
        <w:t xml:space="preserve"> This means that it is not Ergon Energy's </w:t>
      </w:r>
      <w:r w:rsidRPr="005D6754">
        <w:rPr>
          <w:rStyle w:val="AERtextitalic"/>
        </w:rPr>
        <w:t>actual</w:t>
      </w:r>
      <w:r>
        <w:t xml:space="preserve"> costs that are the central consideration. Rather, it is the costs Ergon Energy would incur, if it were a prudent </w:t>
      </w:r>
      <w:r w:rsidR="00882AA3">
        <w:t xml:space="preserve">and efficient </w:t>
      </w:r>
      <w:r>
        <w:t xml:space="preserve">operator, with efficient costs and </w:t>
      </w:r>
      <w:r w:rsidR="001B6025">
        <w:t xml:space="preserve">a </w:t>
      </w:r>
      <w:r>
        <w:t xml:space="preserve">realistic </w:t>
      </w:r>
      <w:r w:rsidR="001B6025">
        <w:t xml:space="preserve">expectation of demand and </w:t>
      </w:r>
      <w:r>
        <w:t xml:space="preserve">cost inputs. </w:t>
      </w:r>
    </w:p>
    <w:p w:rsidR="0001599B" w:rsidRDefault="0001599B" w:rsidP="00B87D8C">
      <w:r>
        <w:t xml:space="preserve">We recognise that Ergon Energy may continue to incur costs above efficient levels. They may have contracts (such as enterprise bargaining agreements) and practices in place that </w:t>
      </w:r>
      <w:r w:rsidR="0074351E">
        <w:t>affect how they reduce costs</w:t>
      </w:r>
      <w:r>
        <w:t>.</w:t>
      </w:r>
      <w:r w:rsidR="0074351E">
        <w:t xml:space="preserve"> We consider that, in accordance with the NEO,</w:t>
      </w:r>
      <w:r>
        <w:t xml:space="preserve"> shareholders should bear the costs of inefficiencies</w:t>
      </w:r>
      <w:r w:rsidR="0074351E">
        <w:t xml:space="preserve"> not</w:t>
      </w:r>
      <w:r>
        <w:t xml:space="preserve"> consumers. Consumers should pay no more than necessary for safe and reliable electricity services. </w:t>
      </w:r>
    </w:p>
    <w:p w:rsidR="00B87D8C" w:rsidRDefault="00B87D8C" w:rsidP="00B87D8C">
      <w:r>
        <w:t xml:space="preserve">This is the second time we have set an </w:t>
      </w:r>
      <w:proofErr w:type="spellStart"/>
      <w:r>
        <w:t>opex</w:t>
      </w:r>
      <w:proofErr w:type="spellEnd"/>
      <w:r>
        <w:t xml:space="preserve"> forecast for Ergon Energy. For the 2015</w:t>
      </w:r>
      <w:r w:rsidRPr="00B87D8C">
        <w:t>−</w:t>
      </w:r>
      <w:r w:rsidR="00882AA3">
        <w:t>20</w:t>
      </w:r>
      <w:r>
        <w:t xml:space="preserve"> regulatory control period we have access to a consistent body of evidence that indicates that Ergon Energy's historical costs are above a level that would reasonably reflect the </w:t>
      </w:r>
      <w:proofErr w:type="spellStart"/>
      <w:r>
        <w:t>opex</w:t>
      </w:r>
      <w:proofErr w:type="spellEnd"/>
      <w:r>
        <w:t xml:space="preserve"> criteria going forward. This evidence includes:</w:t>
      </w:r>
    </w:p>
    <w:p w:rsidR="00B87D8C" w:rsidRDefault="00B87D8C" w:rsidP="00B87D8C">
      <w:pPr>
        <w:pStyle w:val="AERbulletlistfirststyle"/>
      </w:pPr>
      <w:r>
        <w:t>various forms of benchmarking</w:t>
      </w:r>
      <w:r>
        <w:rPr>
          <w:rStyle w:val="FootnoteReference"/>
        </w:rPr>
        <w:footnoteReference w:id="17"/>
      </w:r>
    </w:p>
    <w:p w:rsidR="00B87D8C" w:rsidRDefault="00B87D8C" w:rsidP="00B87D8C">
      <w:pPr>
        <w:pStyle w:val="AERbulletlistfirststyle"/>
      </w:pPr>
      <w:r>
        <w:t>analysis of specific expenditure categories</w:t>
      </w:r>
      <w:r>
        <w:rPr>
          <w:rStyle w:val="FootnoteReference"/>
        </w:rPr>
        <w:footnoteReference w:id="18"/>
      </w:r>
    </w:p>
    <w:p w:rsidR="00B87D8C" w:rsidRDefault="00B87D8C" w:rsidP="00B87D8C">
      <w:pPr>
        <w:pStyle w:val="AERbulletlistfirststyle"/>
      </w:pPr>
      <w:proofErr w:type="gramStart"/>
      <w:r>
        <w:t>detailed</w:t>
      </w:r>
      <w:proofErr w:type="gramEnd"/>
      <w:r>
        <w:t xml:space="preserve"> review by Deloitte Access Economic of the extent to which Ergon Energy's base </w:t>
      </w:r>
      <w:proofErr w:type="spellStart"/>
      <w:r>
        <w:t>opex</w:t>
      </w:r>
      <w:proofErr w:type="spellEnd"/>
      <w:r>
        <w:t xml:space="preserve"> included inefficiencies identified by the Independent Review Panel (IRP) in 2012.</w:t>
      </w:r>
      <w:r w:rsidRPr="00885C90">
        <w:rPr>
          <w:rStyle w:val="FootnoteReference"/>
        </w:rPr>
        <w:t xml:space="preserve"> </w:t>
      </w:r>
      <w:r>
        <w:rPr>
          <w:rStyle w:val="FootnoteReference"/>
        </w:rPr>
        <w:footnoteReference w:id="19"/>
      </w:r>
    </w:p>
    <w:p w:rsidR="00B87D8C" w:rsidRDefault="00882AA3" w:rsidP="00B87D8C">
      <w:r>
        <w:t>These</w:t>
      </w:r>
      <w:r w:rsidR="00B87D8C" w:rsidRPr="00091BD2">
        <w:t xml:space="preserve"> </w:t>
      </w:r>
      <w:r w:rsidR="00B87D8C">
        <w:t>analys</w:t>
      </w:r>
      <w:r>
        <w:t>e</w:t>
      </w:r>
      <w:r w:rsidR="00B87D8C">
        <w:t xml:space="preserve">s </w:t>
      </w:r>
      <w:r w:rsidR="00B87D8C" w:rsidRPr="00091BD2">
        <w:t>indicate that Ergon Energy's distribution services can be provided at substantially lower</w:t>
      </w:r>
      <w:r w:rsidR="00B87D8C">
        <w:t xml:space="preserve"> cost while still maintaining safety and complying with reliability obligations. </w:t>
      </w:r>
    </w:p>
    <w:p w:rsidR="00B87D8C" w:rsidRDefault="00B87D8C" w:rsidP="00B87D8C">
      <w:r>
        <w:t xml:space="preserve">In its regulatory proposal, Ergon Energy based its </w:t>
      </w:r>
      <w:proofErr w:type="spellStart"/>
      <w:r>
        <w:t>opex</w:t>
      </w:r>
      <w:proofErr w:type="spellEnd"/>
      <w:r>
        <w:t xml:space="preserve"> forecast on its historical costs. Given the evidence outlined above, we are not satisfied that those forecasts are the appropriate starting point for forecasting its </w:t>
      </w:r>
      <w:proofErr w:type="spellStart"/>
      <w:r>
        <w:t>opex</w:t>
      </w:r>
      <w:proofErr w:type="spellEnd"/>
      <w:r>
        <w:t xml:space="preserve"> for 2015</w:t>
      </w:r>
      <w:r w:rsidRPr="00B87D8C">
        <w:t>−</w:t>
      </w:r>
      <w:r w:rsidR="00882AA3">
        <w:t>20</w:t>
      </w:r>
      <w:r>
        <w:t>20.</w:t>
      </w:r>
    </w:p>
    <w:p w:rsidR="005E6F7B" w:rsidRDefault="00B87D8C" w:rsidP="00B87D8C">
      <w:r>
        <w:t xml:space="preserve">Instead, we have used </w:t>
      </w:r>
      <w:r w:rsidR="00882AA3">
        <w:t xml:space="preserve">a </w:t>
      </w:r>
      <w:r>
        <w:t xml:space="preserve">benchmarking analysis as the starting point for assessing Ergon Energy's base level of </w:t>
      </w:r>
      <w:proofErr w:type="spellStart"/>
      <w:r>
        <w:t>opex</w:t>
      </w:r>
      <w:proofErr w:type="spellEnd"/>
      <w:r>
        <w:t xml:space="preserve">. We </w:t>
      </w:r>
      <w:r w:rsidR="005E6F7B">
        <w:t xml:space="preserve">are satisfied </w:t>
      </w:r>
      <w:r>
        <w:t xml:space="preserve">that our resulting </w:t>
      </w:r>
      <w:proofErr w:type="spellStart"/>
      <w:r>
        <w:t>opex</w:t>
      </w:r>
      <w:proofErr w:type="spellEnd"/>
      <w:r>
        <w:t xml:space="preserve"> forecast reasonably reflects the </w:t>
      </w:r>
      <w:proofErr w:type="spellStart"/>
      <w:r>
        <w:t>opex</w:t>
      </w:r>
      <w:proofErr w:type="spellEnd"/>
      <w:r>
        <w:t xml:space="preserve"> criteria</w:t>
      </w:r>
      <w:r w:rsidR="005E6F7B">
        <w:t>.</w:t>
      </w:r>
      <w:r>
        <w:t xml:space="preserve"> </w:t>
      </w:r>
    </w:p>
    <w:p w:rsidR="00882AA3" w:rsidRDefault="00B87D8C" w:rsidP="00B87D8C">
      <w:r>
        <w:lastRenderedPageBreak/>
        <w:t xml:space="preserve">Our preliminary decision is for a forecast of total </w:t>
      </w:r>
      <w:proofErr w:type="spellStart"/>
      <w:r>
        <w:t>opex</w:t>
      </w:r>
      <w:proofErr w:type="spellEnd"/>
      <w:r>
        <w:t xml:space="preserve"> of $</w:t>
      </w:r>
      <w:r w:rsidR="006C7D9C">
        <w:t>1629.9</w:t>
      </w:r>
      <w:r w:rsidR="006D55D6">
        <w:t xml:space="preserve"> </w:t>
      </w:r>
      <w:r>
        <w:t xml:space="preserve">million </w:t>
      </w:r>
      <w:r w:rsidR="00882AA3">
        <w:t>which is 10.5 per cent lower than the</w:t>
      </w:r>
      <w:r>
        <w:t xml:space="preserve"> $</w:t>
      </w:r>
      <w:r w:rsidRPr="006C6CA7">
        <w:rPr>
          <w:rStyle w:val="AERbodytextChar"/>
          <w:rFonts w:eastAsiaTheme="minorHAnsi"/>
        </w:rPr>
        <w:t>1821.1 m</w:t>
      </w:r>
      <w:r>
        <w:t xml:space="preserve">illion put forward by Ergon Energy in its regulatory proposal. </w:t>
      </w:r>
    </w:p>
    <w:p w:rsidR="00B87D8C" w:rsidRDefault="00B87D8C" w:rsidP="00B87D8C">
      <w:r>
        <w:t>When we applied our benchmarking analysis we made a number of adjustments to account for the particular exogenous characteristics of Ergon Energy's network that may influence its costs and, therefore, affect its benchmarking performance.</w:t>
      </w:r>
      <w:r>
        <w:rPr>
          <w:rStyle w:val="FootnoteReference"/>
        </w:rPr>
        <w:footnoteReference w:id="20"/>
      </w:r>
      <w:r>
        <w:t xml:space="preserve"> While our preferred benchmarking model accounts for several key network characteristics, others, such as the impact of cyclones, are better considered outside of the model because they may be particular to Ergon Energy.</w:t>
      </w:r>
    </w:p>
    <w:p w:rsidR="00B87D8C" w:rsidRDefault="00B87D8C" w:rsidP="00B87D8C">
      <w:r>
        <w:t xml:space="preserve">However, even after incorporating these additional adjustments we found that other distributors in the </w:t>
      </w:r>
      <w:r w:rsidR="000803BF">
        <w:t>National Electricity Market (</w:t>
      </w:r>
      <w:r>
        <w:t>NEM</w:t>
      </w:r>
      <w:r w:rsidR="000803BF">
        <w:t>)</w:t>
      </w:r>
      <w:r>
        <w:t xml:space="preserve"> provide safe and reliable distribution services at substantially lower cost levels than </w:t>
      </w:r>
      <w:r w:rsidR="009806CA">
        <w:t xml:space="preserve">what </w:t>
      </w:r>
      <w:r>
        <w:t>Ergon Energy</w:t>
      </w:r>
      <w:r w:rsidR="009806CA">
        <w:t xml:space="preserve"> has proposed</w:t>
      </w:r>
      <w:r>
        <w:t xml:space="preserve">. This </w:t>
      </w:r>
      <w:r w:rsidR="00882AA3">
        <w:t>i</w:t>
      </w:r>
      <w:r w:rsidR="009806CA">
        <w:t>mplies that the costs incurred by these distributors are a better reflection of the costs that a prudent operator of Ergon Energy's network</w:t>
      </w:r>
      <w:r w:rsidR="009806CA">
        <w:rPr>
          <w:rFonts w:cs="Arial"/>
        </w:rPr>
        <w:t>─</w:t>
      </w:r>
      <w:r w:rsidR="009806CA">
        <w:t xml:space="preserve"> with efficient costs and realistic expectations of demand and cost inputs</w:t>
      </w:r>
      <w:r w:rsidR="009806CA">
        <w:rPr>
          <w:rFonts w:cs="Arial"/>
        </w:rPr>
        <w:t>─</w:t>
      </w:r>
      <w:r w:rsidR="009806CA">
        <w:t xml:space="preserve"> would need to achieve the </w:t>
      </w:r>
      <w:proofErr w:type="spellStart"/>
      <w:r w:rsidR="009806CA">
        <w:t>opex</w:t>
      </w:r>
      <w:proofErr w:type="spellEnd"/>
      <w:r w:rsidR="009806CA">
        <w:t xml:space="preserve"> objective. </w:t>
      </w:r>
    </w:p>
    <w:p w:rsidR="00D44A58" w:rsidRDefault="00861A32" w:rsidP="00D44A58">
      <w:pPr>
        <w:pStyle w:val="Heading2"/>
      </w:pPr>
      <w:bookmarkStart w:id="20" w:name="_Toc418685498"/>
      <w:r>
        <w:t>Assessment of options under</w:t>
      </w:r>
      <w:r w:rsidR="00D44A58">
        <w:t xml:space="preserve"> the NEO</w:t>
      </w:r>
      <w:bookmarkEnd w:id="19"/>
      <w:bookmarkEnd w:id="20"/>
    </w:p>
    <w:p w:rsidR="00FA32F9" w:rsidRDefault="00FA32F9" w:rsidP="00FA32F9">
      <w:pPr>
        <w:numPr>
          <w:ilvl w:val="0"/>
          <w:numId w:val="25"/>
        </w:numPr>
      </w:pPr>
      <w:r>
        <w:t>The NER recognises that there may be several</w:t>
      </w:r>
      <w:r w:rsidR="00882AA3">
        <w:t xml:space="preserve"> potential</w:t>
      </w:r>
      <w:r>
        <w:t xml:space="preserve"> decisions that contribute to the achievement of the NEO. Our role is to make a decision that we are satisfied contributes to the achievement of the NEO to the </w:t>
      </w:r>
      <w:r w:rsidRPr="000803BF">
        <w:rPr>
          <w:rStyle w:val="AERtextitalic"/>
        </w:rPr>
        <w:t>greatest</w:t>
      </w:r>
      <w:r>
        <w:t xml:space="preserve"> degree</w:t>
      </w:r>
      <w:r w:rsidRPr="00815882">
        <w:t>.</w:t>
      </w:r>
      <w:r>
        <w:rPr>
          <w:rStyle w:val="FootnoteReference"/>
        </w:rPr>
        <w:footnoteReference w:id="21"/>
      </w:r>
      <w:r w:rsidRPr="00815882">
        <w:t xml:space="preserve"> </w:t>
      </w:r>
    </w:p>
    <w:p w:rsidR="00B72BBA" w:rsidRDefault="00FA32F9" w:rsidP="00B72BBA">
      <w:pPr>
        <w:numPr>
          <w:ilvl w:val="0"/>
          <w:numId w:val="25"/>
        </w:numPr>
      </w:pPr>
      <w:r>
        <w:t xml:space="preserve">For at least two reasons, we consider that there will almost always be several decisions that contribute to the achievement of the NEO. First, the NER requires us to make forecasts, which are predictions about unknown future circumstances. As a result, there will </w:t>
      </w:r>
      <w:r w:rsidR="00732121">
        <w:t xml:space="preserve">likely </w:t>
      </w:r>
      <w:r>
        <w:t>always be more than one plausible forecast. Second, there is substantial debate amongst stakeholders about the costs we must forecast, with both sides often supported by expert opinion. As a result, f</w:t>
      </w:r>
      <w:r w:rsidRPr="00815882">
        <w:t xml:space="preserve">or several components of our decision </w:t>
      </w:r>
      <w:r>
        <w:t xml:space="preserve">there </w:t>
      </w:r>
      <w:r w:rsidR="00732121">
        <w:t>may be</w:t>
      </w:r>
      <w:r>
        <w:t xml:space="preserve"> several plausible answers or </w:t>
      </w:r>
      <w:r w:rsidRPr="00815882">
        <w:t xml:space="preserve">several point estimates from within a range. </w:t>
      </w:r>
      <w:r>
        <w:t>T</w:t>
      </w:r>
      <w:r w:rsidRPr="00815882">
        <w:t xml:space="preserve">his </w:t>
      </w:r>
      <w:r w:rsidR="00732121">
        <w:t xml:space="preserve">has the potential to </w:t>
      </w:r>
      <w:r>
        <w:t xml:space="preserve">create a multitude of potential </w:t>
      </w:r>
      <w:r w:rsidRPr="00815882">
        <w:t xml:space="preserve">overall </w:t>
      </w:r>
      <w:r>
        <w:t>decisions</w:t>
      </w:r>
      <w:r w:rsidRPr="00815882">
        <w:t xml:space="preserve">. </w:t>
      </w:r>
      <w:r w:rsidR="005E6F7B">
        <w:t xml:space="preserve">In this </w:t>
      </w:r>
      <w:r w:rsidR="0074351E">
        <w:t>decision</w:t>
      </w:r>
      <w:r w:rsidR="005E6F7B">
        <w:t xml:space="preserve"> we have approached this from a practical perspective, accepting that it is not possible to consider every possible permutation specifically. </w:t>
      </w:r>
      <w:r w:rsidR="00B72BBA">
        <w:t>Where there are several plausible answers, we have selected what we are satisfied is the best outcome, under the NEL and NER.</w:t>
      </w:r>
    </w:p>
    <w:p w:rsidR="00B72BBA" w:rsidRDefault="00B72BBA" w:rsidP="00B72BBA">
      <w:pPr>
        <w:numPr>
          <w:ilvl w:val="0"/>
          <w:numId w:val="25"/>
        </w:numPr>
      </w:pPr>
      <w:r>
        <w:t xml:space="preserve">In many cases, our approach results in an outcome towards the end of the range of options materially favourable to Ergon Energy (for example, our choice of equity beta). While it can be difficult to quantify the exact revenue impact of these individual decisions, we have identified where we have done so in our attachments. Some of these decisions include: </w:t>
      </w:r>
    </w:p>
    <w:p w:rsidR="00B72BBA" w:rsidRPr="00B72BBA" w:rsidRDefault="00B72BBA" w:rsidP="00B72BBA">
      <w:pPr>
        <w:pStyle w:val="AERbulletlistfirststyle"/>
      </w:pPr>
      <w:r w:rsidRPr="00B72BBA">
        <w:lastRenderedPageBreak/>
        <w:t>selecting at the top of the range for the equity beta</w:t>
      </w:r>
    </w:p>
    <w:p w:rsidR="00B72BBA" w:rsidRPr="00337983" w:rsidRDefault="00B72BBA" w:rsidP="00B72BBA">
      <w:pPr>
        <w:pStyle w:val="AERbulletlistfirststyle"/>
      </w:pPr>
      <w:r w:rsidRPr="00B851EA">
        <w:t>setting the return on debt by reference to data for a BBB broad band credit rating, when the benchmark is BBB+</w:t>
      </w:r>
    </w:p>
    <w:p w:rsidR="00B72BBA" w:rsidRPr="00337983" w:rsidRDefault="00B72BBA" w:rsidP="00B72BBA">
      <w:pPr>
        <w:pStyle w:val="AERbulletlistfirststyle"/>
      </w:pPr>
      <w:r w:rsidRPr="00337983">
        <w:t>the cash flow timing assumptions in the post-tax revenue model</w:t>
      </w:r>
    </w:p>
    <w:p w:rsidR="00B72BBA" w:rsidRPr="00B738B6" w:rsidRDefault="00B72BBA" w:rsidP="00B72BBA">
      <w:pPr>
        <w:pStyle w:val="AERbulletlistfirststyle"/>
      </w:pPr>
      <w:r w:rsidRPr="00B738B6">
        <w:t xml:space="preserve">the point at which we have set the benchmark for </w:t>
      </w:r>
      <w:proofErr w:type="spellStart"/>
      <w:r w:rsidRPr="00B738B6">
        <w:t>opex</w:t>
      </w:r>
      <w:proofErr w:type="spellEnd"/>
    </w:p>
    <w:p w:rsidR="00B72BBA" w:rsidRPr="000E14A1" w:rsidRDefault="00B72BBA" w:rsidP="00B72BBA">
      <w:pPr>
        <w:pStyle w:val="AERbulletlistfirststyle"/>
      </w:pPr>
      <w:proofErr w:type="gramStart"/>
      <w:r w:rsidRPr="00A7499C">
        <w:t>the</w:t>
      </w:r>
      <w:proofErr w:type="gramEnd"/>
      <w:r w:rsidRPr="00A7499C">
        <w:t xml:space="preserve"> allowanc</w:t>
      </w:r>
      <w:r w:rsidRPr="000E14A1">
        <w:t>es we have made for environmental operating factors in our benchmarking analysis.</w:t>
      </w:r>
    </w:p>
    <w:p w:rsidR="00D44A58" w:rsidRDefault="00931488" w:rsidP="00D44A58">
      <w:r>
        <w:t xml:space="preserve">We set out our </w:t>
      </w:r>
      <w:r w:rsidR="00732121">
        <w:t xml:space="preserve">detailed </w:t>
      </w:r>
      <w:r>
        <w:t xml:space="preserve">reasons in the attachments. They </w:t>
      </w:r>
      <w:r w:rsidR="00D44A58">
        <w:t>demonstrate that the constituent components of our decision comply with the NER's requirements</w:t>
      </w:r>
      <w:r w:rsidR="000803BF">
        <w:t xml:space="preserve">. At an overall level our decision </w:t>
      </w:r>
      <w:r w:rsidR="00D44A58">
        <w:t>reflect</w:t>
      </w:r>
      <w:r w:rsidR="000803BF">
        <w:t>s</w:t>
      </w:r>
      <w:r w:rsidR="00D44A58">
        <w:t xml:space="preserve"> the key </w:t>
      </w:r>
      <w:r w:rsidR="000803BF">
        <w:t xml:space="preserve">reasons </w:t>
      </w:r>
      <w:r>
        <w:t>set out</w:t>
      </w:r>
      <w:r w:rsidR="00D44A58">
        <w:t xml:space="preserve"> above</w:t>
      </w:r>
      <w:r w:rsidR="000803BF">
        <w:t>, which indicate that Ergon Energy should recover less revenue than it has proposed or recovered in recent years</w:t>
      </w:r>
      <w:r w:rsidR="00D44A58">
        <w:t xml:space="preserve">. Our decision reflects these at both the constituent component and overall revenue levels. </w:t>
      </w:r>
    </w:p>
    <w:p w:rsidR="00D44A58" w:rsidRDefault="00D44A58" w:rsidP="00D44A58">
      <w:r>
        <w:t xml:space="preserve">Given </w:t>
      </w:r>
      <w:r w:rsidR="00B72BBA">
        <w:t xml:space="preserve">our </w:t>
      </w:r>
      <w:r>
        <w:t xml:space="preserve">approach, we are satisfied that </w:t>
      </w:r>
      <w:r w:rsidR="00B851EA">
        <w:t>o</w:t>
      </w:r>
      <w:r w:rsidR="00B72BBA">
        <w:t>ur decision will or is likely to contribute to the achievement of the NEO to the greatest degree.</w:t>
      </w:r>
    </w:p>
    <w:p w:rsidR="00D44A58" w:rsidRDefault="00D44A58" w:rsidP="00D44A58">
      <w:pPr>
        <w:pStyle w:val="Heading2"/>
      </w:pPr>
      <w:bookmarkStart w:id="21" w:name="_Toc415837319"/>
      <w:bookmarkStart w:id="22" w:name="_Toc418685499"/>
      <w:r>
        <w:t>Structure of the overview</w:t>
      </w:r>
      <w:bookmarkEnd w:id="21"/>
      <w:bookmarkEnd w:id="22"/>
    </w:p>
    <w:p w:rsidR="00D44A58" w:rsidRDefault="00D44A58" w:rsidP="00D44A58">
      <w:r>
        <w:t>The remainder of this overview discusses the overarching issues in this decision, including those above in more detail. It is structured as follows:</w:t>
      </w:r>
    </w:p>
    <w:p w:rsidR="00D44A58" w:rsidRDefault="00D44A58" w:rsidP="00D44A58">
      <w:pPr>
        <w:pStyle w:val="AERbulletlistfirststyle"/>
      </w:pPr>
      <w:r>
        <w:t>Section 2 sets out the key constituent components making up our preliminary decision</w:t>
      </w:r>
    </w:p>
    <w:p w:rsidR="00DF598E" w:rsidRDefault="00D44A58" w:rsidP="00D44A58">
      <w:pPr>
        <w:pStyle w:val="AERbulletlistfirststyle"/>
      </w:pPr>
      <w:r>
        <w:t xml:space="preserve">Section 3 </w:t>
      </w:r>
      <w:r w:rsidR="00DF598E">
        <w:t>set out our preliminary decision on classification of services, control mechanisms and incentive schemes</w:t>
      </w:r>
    </w:p>
    <w:p w:rsidR="00D44A58" w:rsidRDefault="00DF598E" w:rsidP="00D44A58">
      <w:pPr>
        <w:pStyle w:val="AERbulletlistfirststyle"/>
      </w:pPr>
      <w:r>
        <w:t xml:space="preserve">Section 4 </w:t>
      </w:r>
      <w:r w:rsidR="00D44A58">
        <w:t>explains our views on the regulatory framework</w:t>
      </w:r>
    </w:p>
    <w:p w:rsidR="00D44A58" w:rsidRPr="00F42262" w:rsidRDefault="00DF598E" w:rsidP="00D44A58">
      <w:pPr>
        <w:pStyle w:val="AERbulletlistfirststyle"/>
      </w:pPr>
      <w:r>
        <w:t>Section 5</w:t>
      </w:r>
      <w:r w:rsidR="00D44A58">
        <w:t xml:space="preserve"> outlines the process we undertook in reaching our preliminary decision. </w:t>
      </w:r>
    </w:p>
    <w:p w:rsidR="00D44A58" w:rsidRDefault="00D44A58" w:rsidP="00D44A58">
      <w:pPr>
        <w:pStyle w:val="Heading1"/>
      </w:pPr>
      <w:bookmarkStart w:id="23" w:name="_Toc415837320"/>
      <w:bookmarkStart w:id="24" w:name="_Toc418685500"/>
      <w:r>
        <w:lastRenderedPageBreak/>
        <w:t>Key elements of the building blocks</w:t>
      </w:r>
      <w:bookmarkEnd w:id="23"/>
      <w:bookmarkEnd w:id="24"/>
    </w:p>
    <w:p w:rsidR="00184F43" w:rsidRPr="00184F43" w:rsidRDefault="00184F43" w:rsidP="00184F43">
      <w:r w:rsidRPr="00184F43">
        <w:t>The constituent components of our</w:t>
      </w:r>
      <w:r w:rsidR="00882AA3">
        <w:t xml:space="preserve"> preliminary</w:t>
      </w:r>
      <w:r w:rsidRPr="00184F43">
        <w:t xml:space="preserve"> decision include the building blocks we use to determine the revenue E</w:t>
      </w:r>
      <w:r>
        <w:t>rgon Energy</w:t>
      </w:r>
      <w:r w:rsidRPr="00184F43">
        <w:t xml:space="preserve"> may </w:t>
      </w:r>
      <w:r w:rsidR="00B47B6C">
        <w:t>recover from its customers</w:t>
      </w:r>
      <w:r w:rsidRPr="00184F43">
        <w:t>.</w:t>
      </w:r>
    </w:p>
    <w:p w:rsidR="00184F43" w:rsidRPr="00184F43" w:rsidRDefault="00280BBB" w:rsidP="00184F43">
      <w:r>
        <w:t>In</w:t>
      </w:r>
      <w:r w:rsidR="00184F43" w:rsidRPr="00184F43">
        <w:rPr>
          <w:rStyle w:val="AERbody"/>
        </w:rPr>
        <w:t xml:space="preserve"> setting our total revenue allowance for </w:t>
      </w:r>
      <w:r w:rsidR="00184F43">
        <w:rPr>
          <w:rStyle w:val="AERbody"/>
        </w:rPr>
        <w:t>Ergon Energy</w:t>
      </w:r>
      <w:r w:rsidR="00184F43" w:rsidRPr="00184F43">
        <w:rPr>
          <w:rStyle w:val="AERbody"/>
        </w:rPr>
        <w:t xml:space="preserve"> of $</w:t>
      </w:r>
      <w:r w:rsidR="00493049">
        <w:rPr>
          <w:rStyle w:val="AERbodytextChar"/>
          <w:rFonts w:eastAsiaTheme="minorHAnsi"/>
        </w:rPr>
        <w:t>6</w:t>
      </w:r>
      <w:r w:rsidR="00A61E93">
        <w:rPr>
          <w:rStyle w:val="AERbodytextChar"/>
          <w:rFonts w:eastAsiaTheme="minorHAnsi"/>
        </w:rPr>
        <w:t>021.5</w:t>
      </w:r>
      <w:r w:rsidR="008A4F48" w:rsidRPr="00184F43">
        <w:t xml:space="preserve"> </w:t>
      </w:r>
      <w:r w:rsidR="00493049">
        <w:t>m</w:t>
      </w:r>
      <w:r w:rsidR="00184F43" w:rsidRPr="00184F43">
        <w:t xml:space="preserve">illion ($nominal) for the 2015–20 regulatory control period </w:t>
      </w:r>
      <w:proofErr w:type="gramStart"/>
      <w:r w:rsidR="00184F43" w:rsidRPr="00184F43">
        <w:t>we</w:t>
      </w:r>
      <w:proofErr w:type="gramEnd"/>
      <w:r w:rsidR="00184F43" w:rsidRPr="00184F43">
        <w:t>:</w:t>
      </w:r>
    </w:p>
    <w:p w:rsidR="00184F43" w:rsidRPr="00184F43" w:rsidRDefault="00184F43" w:rsidP="00184F43">
      <w:pPr>
        <w:pStyle w:val="AERbulletlistfirststyle"/>
        <w:rPr>
          <w:rStyle w:val="AERbody"/>
        </w:rPr>
      </w:pPr>
      <w:proofErr w:type="gramStart"/>
      <w:r w:rsidRPr="00184F43">
        <w:rPr>
          <w:rStyle w:val="AERbody"/>
        </w:rPr>
        <w:t>apply</w:t>
      </w:r>
      <w:proofErr w:type="gramEnd"/>
      <w:r w:rsidRPr="00184F43">
        <w:rPr>
          <w:rStyle w:val="AERbody"/>
        </w:rPr>
        <w:t xml:space="preserve"> relevant tests under the NER, the assessment methods and tools developed as part of our Better Regulation </w:t>
      </w:r>
      <w:r w:rsidR="000E26C1">
        <w:rPr>
          <w:rStyle w:val="AERbody"/>
        </w:rPr>
        <w:t>G</w:t>
      </w:r>
      <w:r w:rsidRPr="00184F43">
        <w:rPr>
          <w:rStyle w:val="AERbody"/>
        </w:rPr>
        <w:t>uidelines</w:t>
      </w:r>
      <w:r w:rsidR="00732121">
        <w:rPr>
          <w:rStyle w:val="AERbody"/>
        </w:rPr>
        <w:t xml:space="preserve">. We also </w:t>
      </w:r>
      <w:r w:rsidRPr="00184F43">
        <w:rPr>
          <w:rStyle w:val="AERbody"/>
        </w:rPr>
        <w:t>consider information provided by E</w:t>
      </w:r>
      <w:r>
        <w:rPr>
          <w:rStyle w:val="AERbody"/>
        </w:rPr>
        <w:t>rgon Energy</w:t>
      </w:r>
      <w:r w:rsidRPr="00184F43">
        <w:rPr>
          <w:rStyle w:val="AERbody"/>
        </w:rPr>
        <w:t xml:space="preserve">, the </w:t>
      </w:r>
      <w:r w:rsidR="00280BBB">
        <w:rPr>
          <w:rStyle w:val="AERbody"/>
        </w:rPr>
        <w:t>Consumer Challenge Panel (</w:t>
      </w:r>
      <w:r w:rsidRPr="00184F43">
        <w:rPr>
          <w:rStyle w:val="AERbody"/>
        </w:rPr>
        <w:t>CCP</w:t>
      </w:r>
      <w:r w:rsidR="00280BBB">
        <w:rPr>
          <w:rStyle w:val="AERbody"/>
        </w:rPr>
        <w:t>)</w:t>
      </w:r>
      <w:r w:rsidRPr="00184F43">
        <w:rPr>
          <w:rStyle w:val="AERbody"/>
        </w:rPr>
        <w:t>, consultants and stakeholder submissions</w:t>
      </w:r>
    </w:p>
    <w:p w:rsidR="00184F43" w:rsidRPr="00184F43" w:rsidRDefault="00184F43" w:rsidP="00184F43">
      <w:pPr>
        <w:pStyle w:val="AERbulletlistfirststyle"/>
        <w:rPr>
          <w:rStyle w:val="AERbody"/>
        </w:rPr>
      </w:pPr>
      <w:proofErr w:type="gramStart"/>
      <w:r w:rsidRPr="00184F43">
        <w:rPr>
          <w:rStyle w:val="AERbody"/>
        </w:rPr>
        <w:t>consider</w:t>
      </w:r>
      <w:proofErr w:type="gramEnd"/>
      <w:r w:rsidRPr="00184F43">
        <w:rPr>
          <w:rStyle w:val="AERbody"/>
        </w:rPr>
        <w:t xml:space="preserve"> our allowed</w:t>
      </w:r>
      <w:r w:rsidR="00882AA3">
        <w:rPr>
          <w:rStyle w:val="AERbody"/>
        </w:rPr>
        <w:t xml:space="preserve"> </w:t>
      </w:r>
      <w:r w:rsidRPr="00184F43">
        <w:rPr>
          <w:rStyle w:val="AERbody"/>
        </w:rPr>
        <w:t>revenue against section 16 of the NEL, including the constituent decisions and the interrelationships we discussed in section 4.</w:t>
      </w:r>
    </w:p>
    <w:p w:rsidR="00184F43" w:rsidRPr="00184F43" w:rsidRDefault="00184F43" w:rsidP="00184F43">
      <w:pPr>
        <w:rPr>
          <w:rStyle w:val="AERbody"/>
        </w:rPr>
      </w:pPr>
      <w:r w:rsidRPr="00184F43">
        <w:t>Figure 3</w:t>
      </w:r>
      <w:r w:rsidRPr="00184F43">
        <w:rPr>
          <w:rStyle w:val="AERbody"/>
        </w:rPr>
        <w:t xml:space="preserve"> and </w:t>
      </w:r>
      <w:r w:rsidRPr="00184F43">
        <w:t>table 2</w:t>
      </w:r>
      <w:r w:rsidRPr="00184F43">
        <w:rPr>
          <w:rStyle w:val="AERbody"/>
        </w:rPr>
        <w:t xml:space="preserve"> show our preliminary decision on </w:t>
      </w:r>
      <w:r>
        <w:rPr>
          <w:rStyle w:val="AERbody"/>
        </w:rPr>
        <w:t>Ergon Energy</w:t>
      </w:r>
      <w:r w:rsidRPr="00184F43">
        <w:rPr>
          <w:rStyle w:val="AERbody"/>
        </w:rPr>
        <w:t xml:space="preserve">'s </w:t>
      </w:r>
      <w:r w:rsidR="006B32D8">
        <w:rPr>
          <w:rStyle w:val="AERbody"/>
        </w:rPr>
        <w:t xml:space="preserve">revenues. </w:t>
      </w:r>
    </w:p>
    <w:p w:rsidR="00A01B03" w:rsidRPr="00272D97" w:rsidRDefault="00D44A58" w:rsidP="00272D97">
      <w:pPr>
        <w:pStyle w:val="Caption"/>
        <w:rPr>
          <w:rStyle w:val="AERbody"/>
          <w:color w:val="076A92" w:themeColor="text1"/>
          <w:sz w:val="24"/>
        </w:rPr>
      </w:pPr>
      <w:r w:rsidRPr="000043D8">
        <w:t>Figure 3</w:t>
      </w:r>
      <w:r w:rsidRPr="000043D8">
        <w:tab/>
        <w:t>AER's preliminary decision on constituent components of total revenue ($ million 2014−15)</w:t>
      </w:r>
    </w:p>
    <w:p w:rsidR="00272D97" w:rsidRDefault="00272D97" w:rsidP="000043D8">
      <w:pPr>
        <w:pStyle w:val="AERtablesource"/>
        <w:rPr>
          <w:rStyle w:val="AERbody"/>
        </w:rPr>
      </w:pPr>
      <w:r w:rsidRPr="00272D97">
        <w:rPr>
          <w:noProof/>
          <w:lang w:eastAsia="en-AU"/>
        </w:rPr>
        <w:drawing>
          <wp:inline distT="0" distB="0" distL="0" distR="0" wp14:anchorId="0BBBBCB7" wp14:editId="3C437732">
            <wp:extent cx="5382895" cy="3227330"/>
            <wp:effectExtent l="0" t="0" r="825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382895" cy="3227330"/>
                    </a:xfrm>
                    <a:prstGeom prst="rect">
                      <a:avLst/>
                    </a:prstGeom>
                    <a:noFill/>
                    <a:ln>
                      <a:noFill/>
                    </a:ln>
                  </pic:spPr>
                </pic:pic>
              </a:graphicData>
            </a:graphic>
          </wp:inline>
        </w:drawing>
      </w:r>
    </w:p>
    <w:p w:rsidR="00D44A58" w:rsidRDefault="00D44A58" w:rsidP="000043D8">
      <w:pPr>
        <w:pStyle w:val="AERtablesource"/>
        <w:rPr>
          <w:rStyle w:val="AERbody"/>
        </w:rPr>
      </w:pPr>
      <w:r w:rsidRPr="000043D8">
        <w:rPr>
          <w:rStyle w:val="AERbody"/>
          <w:sz w:val="16"/>
        </w:rPr>
        <w:t xml:space="preserve">Source: </w:t>
      </w:r>
      <w:r w:rsidR="004F6243">
        <w:rPr>
          <w:rStyle w:val="AERbody"/>
        </w:rPr>
        <w:tab/>
      </w:r>
      <w:r w:rsidRPr="000043D8">
        <w:rPr>
          <w:rStyle w:val="AERbody"/>
          <w:sz w:val="16"/>
        </w:rPr>
        <w:t>AER analysis.</w:t>
      </w:r>
    </w:p>
    <w:p w:rsidR="004F6243" w:rsidRPr="004F6243" w:rsidRDefault="004F6243" w:rsidP="004F6243">
      <w:pPr>
        <w:pStyle w:val="AERtablesource"/>
      </w:pPr>
      <w:r>
        <w:t>Note:</w:t>
      </w:r>
      <w:r>
        <w:tab/>
      </w:r>
      <w:r w:rsidRPr="004F6243">
        <w:rPr>
          <w:rStyle w:val="AERbody"/>
          <w:sz w:val="16"/>
        </w:rPr>
        <w:t>The 'Other' category in the 'Allowed average' for 2010–15 is a revenue adjustment related largely to customer contributions. Because customer contributions were included in the RAB during those years, an offsetting revenue adjustment was made to prevent Ergon Energy earning a return on these contributions.</w:t>
      </w:r>
      <w:r w:rsidR="00F35F61">
        <w:rPr>
          <w:rStyle w:val="AERbody"/>
        </w:rPr>
        <w:t xml:space="preserve"> </w:t>
      </w:r>
      <w:r w:rsidR="00F35F61">
        <w:t xml:space="preserve">The 'Revenue adjustments' is the closing balance of the </w:t>
      </w:r>
      <w:proofErr w:type="spellStart"/>
      <w:r w:rsidR="00F35F61">
        <w:t>DUoS</w:t>
      </w:r>
      <w:proofErr w:type="spellEnd"/>
      <w:r w:rsidR="00F35F61">
        <w:t xml:space="preserve"> </w:t>
      </w:r>
      <w:proofErr w:type="spellStart"/>
      <w:r w:rsidR="00F35F61">
        <w:t>unders</w:t>
      </w:r>
      <w:proofErr w:type="spellEnd"/>
      <w:r w:rsidR="00F35F61">
        <w:t>/overs account as at 30 June 2015 plus the EBSS penalties/rewards related to the 2010–15 regulatory control period.</w:t>
      </w:r>
    </w:p>
    <w:p w:rsidR="00DB48AA" w:rsidRPr="00DB48AA" w:rsidRDefault="00DB48AA" w:rsidP="00DB48AA"/>
    <w:p w:rsidR="00D44A58" w:rsidRPr="000D667E" w:rsidRDefault="00D44A58" w:rsidP="00D44A58">
      <w:pPr>
        <w:pStyle w:val="Caption"/>
      </w:pPr>
      <w:r>
        <w:lastRenderedPageBreak/>
        <w:t>Table 2</w:t>
      </w:r>
      <w:r>
        <w:tab/>
        <w:t xml:space="preserve">AER's preliminary decision on </w:t>
      </w:r>
      <w:r w:rsidR="000043D8">
        <w:t>Ergon Energy</w:t>
      </w:r>
      <w:r>
        <w:t>'s revenues ($</w:t>
      </w:r>
      <w:r w:rsidR="003222CA">
        <w:t> </w:t>
      </w:r>
      <w:r>
        <w:t>million, nominal)</w:t>
      </w:r>
    </w:p>
    <w:tbl>
      <w:tblPr>
        <w:tblStyle w:val="AERtable-numbers"/>
        <w:tblW w:w="0" w:type="auto"/>
        <w:tblLook w:val="04A0" w:firstRow="1" w:lastRow="0" w:firstColumn="1" w:lastColumn="0" w:noHBand="0" w:noVBand="1"/>
      </w:tblPr>
      <w:tblGrid>
        <w:gridCol w:w="2518"/>
        <w:gridCol w:w="1029"/>
        <w:gridCol w:w="1029"/>
        <w:gridCol w:w="1029"/>
        <w:gridCol w:w="1029"/>
        <w:gridCol w:w="1029"/>
        <w:gridCol w:w="1030"/>
      </w:tblGrid>
      <w:tr w:rsidR="003222CA" w:rsidTr="00316C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D44A58" w:rsidRPr="00012781" w:rsidRDefault="00D44A58" w:rsidP="00D44A58"/>
        </w:tc>
        <w:tc>
          <w:tcPr>
            <w:tcW w:w="1029" w:type="dxa"/>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012781">
              <w:t>201</w:t>
            </w:r>
            <w:r w:rsidRPr="00D44A58">
              <w:t>5–16</w:t>
            </w:r>
          </w:p>
        </w:tc>
        <w:tc>
          <w:tcPr>
            <w:tcW w:w="1029" w:type="dxa"/>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012781">
              <w:t>201</w:t>
            </w:r>
            <w:r w:rsidRPr="00D44A58">
              <w:t>6–17</w:t>
            </w:r>
          </w:p>
        </w:tc>
        <w:tc>
          <w:tcPr>
            <w:tcW w:w="1029" w:type="dxa"/>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012781">
              <w:t>201</w:t>
            </w:r>
            <w:r w:rsidRPr="00D44A58">
              <w:t>7–18</w:t>
            </w:r>
          </w:p>
        </w:tc>
        <w:tc>
          <w:tcPr>
            <w:tcW w:w="1029" w:type="dxa"/>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012781">
              <w:t>201</w:t>
            </w:r>
            <w:r w:rsidRPr="00D44A58">
              <w:t>8–19</w:t>
            </w:r>
          </w:p>
        </w:tc>
        <w:tc>
          <w:tcPr>
            <w:tcW w:w="1029" w:type="dxa"/>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012781">
              <w:t>201</w:t>
            </w:r>
            <w:r w:rsidRPr="00D44A58">
              <w:t>9–20</w:t>
            </w:r>
          </w:p>
        </w:tc>
        <w:tc>
          <w:tcPr>
            <w:tcW w:w="1030" w:type="dxa"/>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012781">
              <w:t>Total</w:t>
            </w:r>
          </w:p>
        </w:tc>
      </w:tr>
      <w:tr w:rsidR="003222CA" w:rsidTr="00316C1C">
        <w:trPr>
          <w:trHeight w:val="373"/>
        </w:trPr>
        <w:tc>
          <w:tcPr>
            <w:cnfStyle w:val="001000000000" w:firstRow="0" w:lastRow="0" w:firstColumn="1" w:lastColumn="0" w:oddVBand="0" w:evenVBand="0" w:oddHBand="0" w:evenHBand="0" w:firstRowFirstColumn="0" w:firstRowLastColumn="0" w:lastRowFirstColumn="0" w:lastRowLastColumn="0"/>
            <w:tcW w:w="2518" w:type="dxa"/>
          </w:tcPr>
          <w:p w:rsidR="00A01B03" w:rsidRPr="00A01B03" w:rsidRDefault="00A01B03" w:rsidP="00A01B03">
            <w:r w:rsidRPr="00A01B03">
              <w:t>Return on capital</w:t>
            </w:r>
          </w:p>
        </w:tc>
        <w:tc>
          <w:tcPr>
            <w:tcW w:w="1029" w:type="dxa"/>
          </w:tcPr>
          <w:p w:rsidR="00A01B03" w:rsidRPr="00A01B03" w:rsidRDefault="00A01B03" w:rsidP="003222CA">
            <w:pPr>
              <w:cnfStyle w:val="000000000000" w:firstRow="0" w:lastRow="0" w:firstColumn="0" w:lastColumn="0" w:oddVBand="0" w:evenVBand="0" w:oddHBand="0" w:evenHBand="0" w:firstRowFirstColumn="0" w:firstRowLastColumn="0" w:lastRowFirstColumn="0" w:lastRowLastColumn="0"/>
            </w:pPr>
            <w:r w:rsidRPr="00A01B03">
              <w:t>59</w:t>
            </w:r>
            <w:r w:rsidR="003222CA">
              <w:t>0</w:t>
            </w:r>
            <w:r w:rsidRPr="00A01B03">
              <w:t>.</w:t>
            </w:r>
            <w:r w:rsidR="003222CA">
              <w:t>8</w:t>
            </w:r>
          </w:p>
        </w:tc>
        <w:tc>
          <w:tcPr>
            <w:tcW w:w="1029" w:type="dxa"/>
          </w:tcPr>
          <w:p w:rsidR="00A01B03" w:rsidRPr="00A01B03" w:rsidRDefault="00A01B03" w:rsidP="003222CA">
            <w:pPr>
              <w:cnfStyle w:val="000000000000" w:firstRow="0" w:lastRow="0" w:firstColumn="0" w:lastColumn="0" w:oddVBand="0" w:evenVBand="0" w:oddHBand="0" w:evenHBand="0" w:firstRowFirstColumn="0" w:firstRowLastColumn="0" w:lastRowFirstColumn="0" w:lastRowLastColumn="0"/>
            </w:pPr>
            <w:r w:rsidRPr="00A01B03">
              <w:t>61</w:t>
            </w:r>
            <w:r w:rsidR="003222CA">
              <w:t>7</w:t>
            </w:r>
            <w:r w:rsidRPr="00A01B03">
              <w:t>.1</w:t>
            </w:r>
          </w:p>
        </w:tc>
        <w:tc>
          <w:tcPr>
            <w:tcW w:w="1029" w:type="dxa"/>
          </w:tcPr>
          <w:p w:rsidR="00A01B03" w:rsidRPr="00A01B03" w:rsidRDefault="00A01B03" w:rsidP="002E40B0">
            <w:pPr>
              <w:cnfStyle w:val="000000000000" w:firstRow="0" w:lastRow="0" w:firstColumn="0" w:lastColumn="0" w:oddVBand="0" w:evenVBand="0" w:oddHBand="0" w:evenHBand="0" w:firstRowFirstColumn="0" w:firstRowLastColumn="0" w:lastRowFirstColumn="0" w:lastRowLastColumn="0"/>
            </w:pPr>
            <w:r w:rsidRPr="00A01B03">
              <w:t>6</w:t>
            </w:r>
            <w:r w:rsidR="002E40B0">
              <w:t>40.4</w:t>
            </w:r>
          </w:p>
        </w:tc>
        <w:tc>
          <w:tcPr>
            <w:tcW w:w="1029" w:type="dxa"/>
          </w:tcPr>
          <w:p w:rsidR="00A01B03" w:rsidRPr="00A01B03" w:rsidRDefault="00A01B03" w:rsidP="002E40B0">
            <w:pPr>
              <w:cnfStyle w:val="000000000000" w:firstRow="0" w:lastRow="0" w:firstColumn="0" w:lastColumn="0" w:oddVBand="0" w:evenVBand="0" w:oddHBand="0" w:evenHBand="0" w:firstRowFirstColumn="0" w:firstRowLastColumn="0" w:lastRowFirstColumn="0" w:lastRowLastColumn="0"/>
            </w:pPr>
            <w:r w:rsidRPr="00A01B03">
              <w:t>6</w:t>
            </w:r>
            <w:r w:rsidR="003222CA">
              <w:t>5</w:t>
            </w:r>
            <w:r w:rsidR="002E40B0">
              <w:t>8</w:t>
            </w:r>
            <w:r w:rsidRPr="00A01B03">
              <w:t>.</w:t>
            </w:r>
            <w:r w:rsidR="002E40B0">
              <w:t>9</w:t>
            </w:r>
          </w:p>
        </w:tc>
        <w:tc>
          <w:tcPr>
            <w:tcW w:w="1029" w:type="dxa"/>
          </w:tcPr>
          <w:p w:rsidR="00A01B03" w:rsidRPr="00A01B03" w:rsidRDefault="00A01B03" w:rsidP="002E40B0">
            <w:pPr>
              <w:cnfStyle w:val="000000000000" w:firstRow="0" w:lastRow="0" w:firstColumn="0" w:lastColumn="0" w:oddVBand="0" w:evenVBand="0" w:oddHBand="0" w:evenHBand="0" w:firstRowFirstColumn="0" w:firstRowLastColumn="0" w:lastRowFirstColumn="0" w:lastRowLastColumn="0"/>
            </w:pPr>
            <w:r w:rsidRPr="00A01B03">
              <w:t>6</w:t>
            </w:r>
            <w:r w:rsidR="002E40B0">
              <w:t>74.6</w:t>
            </w:r>
          </w:p>
        </w:tc>
        <w:tc>
          <w:tcPr>
            <w:tcW w:w="1030" w:type="dxa"/>
          </w:tcPr>
          <w:p w:rsidR="00A01B03" w:rsidRPr="00A01B03" w:rsidRDefault="00A01B03" w:rsidP="002E40B0">
            <w:pPr>
              <w:cnfStyle w:val="000000000000" w:firstRow="0" w:lastRow="0" w:firstColumn="0" w:lastColumn="0" w:oddVBand="0" w:evenVBand="0" w:oddHBand="0" w:evenHBand="0" w:firstRowFirstColumn="0" w:firstRowLastColumn="0" w:lastRowFirstColumn="0" w:lastRowLastColumn="0"/>
            </w:pPr>
            <w:r w:rsidRPr="00A01B03">
              <w:t>31</w:t>
            </w:r>
            <w:r w:rsidR="002E40B0">
              <w:t>8</w:t>
            </w:r>
            <w:r w:rsidR="003222CA">
              <w:t>1</w:t>
            </w:r>
            <w:r w:rsidRPr="00A01B03">
              <w:t>.</w:t>
            </w:r>
            <w:r w:rsidR="002E40B0">
              <w:t>7</w:t>
            </w:r>
            <w:r w:rsidRPr="00A01B03">
              <w:t xml:space="preserve"> </w:t>
            </w:r>
          </w:p>
        </w:tc>
      </w:tr>
      <w:tr w:rsidR="003222CA" w:rsidTr="00316C1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A01B03" w:rsidRPr="00A01B03" w:rsidRDefault="00A01B03" w:rsidP="00A01B03">
            <w:r w:rsidRPr="00A01B03">
              <w:t xml:space="preserve">Regulatory </w:t>
            </w:r>
            <w:proofErr w:type="spellStart"/>
            <w:r w:rsidRPr="00A01B03">
              <w:t>depreciation</w:t>
            </w:r>
            <w:r w:rsidRPr="00A01B03">
              <w:rPr>
                <w:rStyle w:val="AERsuperscript"/>
              </w:rPr>
              <w:t>a</w:t>
            </w:r>
            <w:proofErr w:type="spellEnd"/>
          </w:p>
        </w:tc>
        <w:tc>
          <w:tcPr>
            <w:tcW w:w="1029" w:type="dxa"/>
          </w:tcPr>
          <w:p w:rsidR="00A01B03" w:rsidRPr="00A01B03" w:rsidRDefault="00A01B03" w:rsidP="002E40B0">
            <w:pPr>
              <w:cnfStyle w:val="000000010000" w:firstRow="0" w:lastRow="0" w:firstColumn="0" w:lastColumn="0" w:oddVBand="0" w:evenVBand="0" w:oddHBand="0" w:evenHBand="1" w:firstRowFirstColumn="0" w:firstRowLastColumn="0" w:lastRowFirstColumn="0" w:lastRowLastColumn="0"/>
            </w:pPr>
            <w:r w:rsidRPr="00A01B03">
              <w:t>106.</w:t>
            </w:r>
            <w:r w:rsidR="002E40B0">
              <w:t>7</w:t>
            </w:r>
          </w:p>
        </w:tc>
        <w:tc>
          <w:tcPr>
            <w:tcW w:w="1029" w:type="dxa"/>
          </w:tcPr>
          <w:p w:rsidR="00A01B03" w:rsidRPr="00A01B03" w:rsidRDefault="002E40B0" w:rsidP="002E40B0">
            <w:pPr>
              <w:cnfStyle w:val="000000010000" w:firstRow="0" w:lastRow="0" w:firstColumn="0" w:lastColumn="0" w:oddVBand="0" w:evenVBand="0" w:oddHBand="0" w:evenHBand="1" w:firstRowFirstColumn="0" w:firstRowLastColumn="0" w:lastRowFirstColumn="0" w:lastRowLastColumn="0"/>
            </w:pPr>
            <w:r>
              <w:t>1</w:t>
            </w:r>
            <w:r w:rsidR="003222CA">
              <w:t>2</w:t>
            </w:r>
            <w:r>
              <w:t>1</w:t>
            </w:r>
            <w:r w:rsidR="00A01B03" w:rsidRPr="00A01B03">
              <w:t>.</w:t>
            </w:r>
            <w:r>
              <w:t>2</w:t>
            </w:r>
          </w:p>
        </w:tc>
        <w:tc>
          <w:tcPr>
            <w:tcW w:w="1029" w:type="dxa"/>
          </w:tcPr>
          <w:p w:rsidR="00A01B03" w:rsidRPr="00A01B03" w:rsidRDefault="00A01B03" w:rsidP="002E40B0">
            <w:pPr>
              <w:cnfStyle w:val="000000010000" w:firstRow="0" w:lastRow="0" w:firstColumn="0" w:lastColumn="0" w:oddVBand="0" w:evenVBand="0" w:oddHBand="0" w:evenHBand="1" w:firstRowFirstColumn="0" w:firstRowLastColumn="0" w:lastRowFirstColumn="0" w:lastRowLastColumn="0"/>
            </w:pPr>
            <w:r w:rsidRPr="00A01B03">
              <w:t>1</w:t>
            </w:r>
            <w:r w:rsidR="002E40B0">
              <w:t>3</w:t>
            </w:r>
            <w:r w:rsidRPr="00A01B03">
              <w:t>7.</w:t>
            </w:r>
            <w:r w:rsidR="003222CA">
              <w:t>3</w:t>
            </w:r>
          </w:p>
        </w:tc>
        <w:tc>
          <w:tcPr>
            <w:tcW w:w="1029" w:type="dxa"/>
          </w:tcPr>
          <w:p w:rsidR="00A01B03" w:rsidRPr="00A01B03" w:rsidRDefault="00A01B03" w:rsidP="002E40B0">
            <w:pPr>
              <w:cnfStyle w:val="000000010000" w:firstRow="0" w:lastRow="0" w:firstColumn="0" w:lastColumn="0" w:oddVBand="0" w:evenVBand="0" w:oddHBand="0" w:evenHBand="1" w:firstRowFirstColumn="0" w:firstRowLastColumn="0" w:lastRowFirstColumn="0" w:lastRowLastColumn="0"/>
            </w:pPr>
            <w:r w:rsidRPr="00A01B03">
              <w:t>1</w:t>
            </w:r>
            <w:r w:rsidR="002E40B0">
              <w:t>47.2</w:t>
            </w:r>
          </w:p>
        </w:tc>
        <w:tc>
          <w:tcPr>
            <w:tcW w:w="1029" w:type="dxa"/>
          </w:tcPr>
          <w:p w:rsidR="00A01B03" w:rsidRPr="00A01B03" w:rsidRDefault="00A01B03" w:rsidP="002E40B0">
            <w:pPr>
              <w:cnfStyle w:val="000000010000" w:firstRow="0" w:lastRow="0" w:firstColumn="0" w:lastColumn="0" w:oddVBand="0" w:evenVBand="0" w:oddHBand="0" w:evenHBand="1" w:firstRowFirstColumn="0" w:firstRowLastColumn="0" w:lastRowFirstColumn="0" w:lastRowLastColumn="0"/>
            </w:pPr>
            <w:r w:rsidRPr="00A01B03">
              <w:t>1</w:t>
            </w:r>
            <w:r w:rsidR="002E40B0">
              <w:t>42.3</w:t>
            </w:r>
          </w:p>
        </w:tc>
        <w:tc>
          <w:tcPr>
            <w:tcW w:w="1030" w:type="dxa"/>
          </w:tcPr>
          <w:p w:rsidR="00A01B03" w:rsidRPr="00A01B03" w:rsidRDefault="002E40B0" w:rsidP="002E40B0">
            <w:pPr>
              <w:cnfStyle w:val="000000010000" w:firstRow="0" w:lastRow="0" w:firstColumn="0" w:lastColumn="0" w:oddVBand="0" w:evenVBand="0" w:oddHBand="0" w:evenHBand="1" w:firstRowFirstColumn="0" w:firstRowLastColumn="0" w:lastRowFirstColumn="0" w:lastRowLastColumn="0"/>
            </w:pPr>
            <w:r>
              <w:t>654.6</w:t>
            </w:r>
            <w:r w:rsidR="00A01B03" w:rsidRPr="00A01B03">
              <w:t xml:space="preserve"> </w:t>
            </w:r>
          </w:p>
        </w:tc>
      </w:tr>
      <w:tr w:rsidR="003222CA" w:rsidTr="00316C1C">
        <w:tc>
          <w:tcPr>
            <w:cnfStyle w:val="001000000000" w:firstRow="0" w:lastRow="0" w:firstColumn="1" w:lastColumn="0" w:oddVBand="0" w:evenVBand="0" w:oddHBand="0" w:evenHBand="0" w:firstRowFirstColumn="0" w:firstRowLastColumn="0" w:lastRowFirstColumn="0" w:lastRowLastColumn="0"/>
            <w:tcW w:w="2518" w:type="dxa"/>
          </w:tcPr>
          <w:p w:rsidR="00A01B03" w:rsidRPr="00A01B03" w:rsidRDefault="00A01B03" w:rsidP="00A01B03">
            <w:r w:rsidRPr="00A01B03">
              <w:t>Operating expenditure</w:t>
            </w:r>
          </w:p>
        </w:tc>
        <w:tc>
          <w:tcPr>
            <w:tcW w:w="1029" w:type="dxa"/>
          </w:tcPr>
          <w:p w:rsidR="00A01B03" w:rsidRPr="00A01B03" w:rsidRDefault="003222CA" w:rsidP="00A947F5">
            <w:pPr>
              <w:cnfStyle w:val="000000000000" w:firstRow="0" w:lastRow="0" w:firstColumn="0" w:lastColumn="0" w:oddVBand="0" w:evenVBand="0" w:oddHBand="0" w:evenHBand="0" w:firstRowFirstColumn="0" w:firstRowLastColumn="0" w:lastRowFirstColumn="0" w:lastRowLastColumn="0"/>
            </w:pPr>
            <w:r>
              <w:t>3</w:t>
            </w:r>
            <w:r w:rsidR="00A947F5">
              <w:t>27.5</w:t>
            </w:r>
          </w:p>
        </w:tc>
        <w:tc>
          <w:tcPr>
            <w:tcW w:w="1029" w:type="dxa"/>
          </w:tcPr>
          <w:p w:rsidR="00A01B03" w:rsidRPr="00A01B03" w:rsidRDefault="00A01B03" w:rsidP="00A947F5">
            <w:pPr>
              <w:cnfStyle w:val="000000000000" w:firstRow="0" w:lastRow="0" w:firstColumn="0" w:lastColumn="0" w:oddVBand="0" w:evenVBand="0" w:oddHBand="0" w:evenHBand="0" w:firstRowFirstColumn="0" w:firstRowLastColumn="0" w:lastRowFirstColumn="0" w:lastRowLastColumn="0"/>
            </w:pPr>
            <w:r w:rsidRPr="00A01B03">
              <w:t>3</w:t>
            </w:r>
            <w:r w:rsidR="00A947F5">
              <w:t>42.1</w:t>
            </w:r>
          </w:p>
        </w:tc>
        <w:tc>
          <w:tcPr>
            <w:tcW w:w="1029" w:type="dxa"/>
          </w:tcPr>
          <w:p w:rsidR="00A01B03" w:rsidRPr="00A01B03" w:rsidRDefault="00A01B03" w:rsidP="00A947F5">
            <w:pPr>
              <w:cnfStyle w:val="000000000000" w:firstRow="0" w:lastRow="0" w:firstColumn="0" w:lastColumn="0" w:oddVBand="0" w:evenVBand="0" w:oddHBand="0" w:evenHBand="0" w:firstRowFirstColumn="0" w:firstRowLastColumn="0" w:lastRowFirstColumn="0" w:lastRowLastColumn="0"/>
            </w:pPr>
            <w:r w:rsidRPr="00A01B03">
              <w:t>3</w:t>
            </w:r>
            <w:r w:rsidR="00A947F5">
              <w:t>56.4</w:t>
            </w:r>
          </w:p>
        </w:tc>
        <w:tc>
          <w:tcPr>
            <w:tcW w:w="1029" w:type="dxa"/>
          </w:tcPr>
          <w:p w:rsidR="00A01B03" w:rsidRPr="00A01B03" w:rsidRDefault="00A01B03" w:rsidP="00A947F5">
            <w:pPr>
              <w:cnfStyle w:val="000000000000" w:firstRow="0" w:lastRow="0" w:firstColumn="0" w:lastColumn="0" w:oddVBand="0" w:evenVBand="0" w:oddHBand="0" w:evenHBand="0" w:firstRowFirstColumn="0" w:firstRowLastColumn="0" w:lastRowFirstColumn="0" w:lastRowLastColumn="0"/>
            </w:pPr>
            <w:r w:rsidRPr="00A01B03">
              <w:t>3</w:t>
            </w:r>
            <w:r w:rsidR="00A947F5">
              <w:t>72.9</w:t>
            </w:r>
          </w:p>
        </w:tc>
        <w:tc>
          <w:tcPr>
            <w:tcW w:w="1029" w:type="dxa"/>
          </w:tcPr>
          <w:p w:rsidR="00A01B03" w:rsidRPr="00A01B03" w:rsidRDefault="00A01B03" w:rsidP="00A947F5">
            <w:pPr>
              <w:cnfStyle w:val="000000000000" w:firstRow="0" w:lastRow="0" w:firstColumn="0" w:lastColumn="0" w:oddVBand="0" w:evenVBand="0" w:oddHBand="0" w:evenHBand="0" w:firstRowFirstColumn="0" w:firstRowLastColumn="0" w:lastRowFirstColumn="0" w:lastRowLastColumn="0"/>
            </w:pPr>
            <w:r w:rsidRPr="00A01B03">
              <w:t>3</w:t>
            </w:r>
            <w:r w:rsidR="00A947F5">
              <w:t>8</w:t>
            </w:r>
            <w:r w:rsidR="003222CA">
              <w:t>9</w:t>
            </w:r>
            <w:r w:rsidRPr="00A01B03">
              <w:t>.</w:t>
            </w:r>
            <w:r w:rsidR="00A947F5">
              <w:t>0</w:t>
            </w:r>
          </w:p>
        </w:tc>
        <w:tc>
          <w:tcPr>
            <w:tcW w:w="1030" w:type="dxa"/>
          </w:tcPr>
          <w:p w:rsidR="00A01B03" w:rsidRPr="00A01B03" w:rsidRDefault="003222CA" w:rsidP="00A947F5">
            <w:pPr>
              <w:cnfStyle w:val="000000000000" w:firstRow="0" w:lastRow="0" w:firstColumn="0" w:lastColumn="0" w:oddVBand="0" w:evenVBand="0" w:oddHBand="0" w:evenHBand="0" w:firstRowFirstColumn="0" w:firstRowLastColumn="0" w:lastRowFirstColumn="0" w:lastRowLastColumn="0"/>
            </w:pPr>
            <w:r>
              <w:t>17</w:t>
            </w:r>
            <w:r w:rsidR="00A947F5">
              <w:t>87.9</w:t>
            </w:r>
            <w:r w:rsidR="00A01B03" w:rsidRPr="00A01B03">
              <w:t xml:space="preserve"> </w:t>
            </w:r>
          </w:p>
        </w:tc>
      </w:tr>
      <w:tr w:rsidR="003222CA" w:rsidTr="00316C1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A01B03" w:rsidRPr="00A01B03" w:rsidRDefault="00A01B03" w:rsidP="00A01B03">
            <w:r w:rsidRPr="00A01B03">
              <w:t xml:space="preserve">Revenue </w:t>
            </w:r>
            <w:proofErr w:type="spellStart"/>
            <w:r w:rsidRPr="00A01B03">
              <w:t>adjustments</w:t>
            </w:r>
            <w:r w:rsidR="00BC109C" w:rsidRPr="006C6CA7">
              <w:rPr>
                <w:rStyle w:val="AERsuperscript"/>
              </w:rPr>
              <w:t>b</w:t>
            </w:r>
            <w:proofErr w:type="spellEnd"/>
          </w:p>
        </w:tc>
        <w:tc>
          <w:tcPr>
            <w:tcW w:w="1029" w:type="dxa"/>
          </w:tcPr>
          <w:p w:rsidR="00A01B03" w:rsidRPr="00A01B03" w:rsidRDefault="003222CA" w:rsidP="003222CA">
            <w:pPr>
              <w:cnfStyle w:val="000000010000" w:firstRow="0" w:lastRow="0" w:firstColumn="0" w:lastColumn="0" w:oddVBand="0" w:evenVBand="0" w:oddHBand="0" w:evenHBand="1" w:firstRowFirstColumn="0" w:firstRowLastColumn="0" w:lastRowFirstColumn="0" w:lastRowLastColumn="0"/>
            </w:pPr>
            <w:r>
              <w:t>91.9</w:t>
            </w:r>
          </w:p>
        </w:tc>
        <w:tc>
          <w:tcPr>
            <w:tcW w:w="1029" w:type="dxa"/>
          </w:tcPr>
          <w:p w:rsidR="00A01B03" w:rsidRPr="00A01B03" w:rsidRDefault="003222CA" w:rsidP="003222CA">
            <w:pPr>
              <w:cnfStyle w:val="000000010000" w:firstRow="0" w:lastRow="0" w:firstColumn="0" w:lastColumn="0" w:oddVBand="0" w:evenVBand="0" w:oddHBand="0" w:evenHBand="1" w:firstRowFirstColumn="0" w:firstRowLastColumn="0" w:lastRowFirstColumn="0" w:lastRowLastColumn="0"/>
            </w:pPr>
            <w:r>
              <w:t>49</w:t>
            </w:r>
            <w:r w:rsidR="00A01B03" w:rsidRPr="00A01B03">
              <w:t>.</w:t>
            </w:r>
            <w:r>
              <w:t>1</w:t>
            </w:r>
          </w:p>
        </w:tc>
        <w:tc>
          <w:tcPr>
            <w:tcW w:w="1029" w:type="dxa"/>
          </w:tcPr>
          <w:p w:rsidR="00A01B03" w:rsidRPr="00A01B03" w:rsidRDefault="00A01B03" w:rsidP="003222CA">
            <w:pPr>
              <w:cnfStyle w:val="000000010000" w:firstRow="0" w:lastRow="0" w:firstColumn="0" w:lastColumn="0" w:oddVBand="0" w:evenVBand="0" w:oddHBand="0" w:evenHBand="1" w:firstRowFirstColumn="0" w:firstRowLastColumn="0" w:lastRowFirstColumn="0" w:lastRowLastColumn="0"/>
            </w:pPr>
            <w:r w:rsidRPr="00A01B03">
              <w:t>6</w:t>
            </w:r>
            <w:r w:rsidR="003222CA">
              <w:t>6</w:t>
            </w:r>
            <w:r w:rsidRPr="00A01B03">
              <w:t>.</w:t>
            </w:r>
            <w:r w:rsidR="003222CA">
              <w:t>9</w:t>
            </w:r>
          </w:p>
        </w:tc>
        <w:tc>
          <w:tcPr>
            <w:tcW w:w="1029" w:type="dxa"/>
          </w:tcPr>
          <w:p w:rsidR="00A01B03" w:rsidRPr="00A01B03" w:rsidRDefault="00D06839" w:rsidP="003222CA">
            <w:pPr>
              <w:cnfStyle w:val="000000010000" w:firstRow="0" w:lastRow="0" w:firstColumn="0" w:lastColumn="0" w:oddVBand="0" w:evenVBand="0" w:oddHBand="0" w:evenHBand="1" w:firstRowFirstColumn="0" w:firstRowLastColumn="0" w:lastRowFirstColumn="0" w:lastRowLastColumn="0"/>
            </w:pPr>
            <w:r>
              <w:t>–</w:t>
            </w:r>
            <w:r w:rsidR="00A01B03" w:rsidRPr="00A01B03">
              <w:t>2</w:t>
            </w:r>
            <w:r w:rsidR="003222CA">
              <w:t>1</w:t>
            </w:r>
            <w:r w:rsidR="00A01B03" w:rsidRPr="00A01B03">
              <w:t>.</w:t>
            </w:r>
            <w:r w:rsidR="003222CA">
              <w:t>4</w:t>
            </w:r>
          </w:p>
        </w:tc>
        <w:tc>
          <w:tcPr>
            <w:tcW w:w="1029" w:type="dxa"/>
          </w:tcPr>
          <w:p w:rsidR="00A01B03" w:rsidRPr="00A01B03" w:rsidRDefault="00D06839" w:rsidP="003222CA">
            <w:pPr>
              <w:cnfStyle w:val="000000010000" w:firstRow="0" w:lastRow="0" w:firstColumn="0" w:lastColumn="0" w:oddVBand="0" w:evenVBand="0" w:oddHBand="0" w:evenHBand="1" w:firstRowFirstColumn="0" w:firstRowLastColumn="0" w:lastRowFirstColumn="0" w:lastRowLastColumn="0"/>
            </w:pPr>
            <w:r>
              <w:t>–</w:t>
            </w:r>
            <w:r w:rsidR="003222CA">
              <w:t>2.3</w:t>
            </w:r>
          </w:p>
        </w:tc>
        <w:tc>
          <w:tcPr>
            <w:tcW w:w="1030" w:type="dxa"/>
          </w:tcPr>
          <w:p w:rsidR="00A01B03" w:rsidRPr="00A01B03" w:rsidRDefault="00A01B03" w:rsidP="003222CA">
            <w:pPr>
              <w:cnfStyle w:val="000000010000" w:firstRow="0" w:lastRow="0" w:firstColumn="0" w:lastColumn="0" w:oddVBand="0" w:evenVBand="0" w:oddHBand="0" w:evenHBand="1" w:firstRowFirstColumn="0" w:firstRowLastColumn="0" w:lastRowFirstColumn="0" w:lastRowLastColumn="0"/>
            </w:pPr>
            <w:r w:rsidRPr="00A01B03">
              <w:t>1</w:t>
            </w:r>
            <w:r w:rsidR="003222CA">
              <w:t>84.2</w:t>
            </w:r>
            <w:r w:rsidRPr="00A01B03">
              <w:t xml:space="preserve"> </w:t>
            </w:r>
          </w:p>
        </w:tc>
      </w:tr>
      <w:tr w:rsidR="003222CA" w:rsidTr="00316C1C">
        <w:tc>
          <w:tcPr>
            <w:cnfStyle w:val="001000000000" w:firstRow="0" w:lastRow="0" w:firstColumn="1" w:lastColumn="0" w:oddVBand="0" w:evenVBand="0" w:oddHBand="0" w:evenHBand="0" w:firstRowFirstColumn="0" w:firstRowLastColumn="0" w:lastRowFirstColumn="0" w:lastRowLastColumn="0"/>
            <w:tcW w:w="2518" w:type="dxa"/>
          </w:tcPr>
          <w:p w:rsidR="00A01B03" w:rsidRPr="00A01B03" w:rsidRDefault="00A01B03" w:rsidP="00A01B03">
            <w:r w:rsidRPr="00A01B03">
              <w:t>Corporate tax allowance</w:t>
            </w:r>
          </w:p>
        </w:tc>
        <w:tc>
          <w:tcPr>
            <w:tcW w:w="1029" w:type="dxa"/>
          </w:tcPr>
          <w:p w:rsidR="00A01B03" w:rsidRPr="00A01B03" w:rsidRDefault="00A01B03" w:rsidP="00A947F5">
            <w:pPr>
              <w:cnfStyle w:val="000000000000" w:firstRow="0" w:lastRow="0" w:firstColumn="0" w:lastColumn="0" w:oddVBand="0" w:evenVBand="0" w:oddHBand="0" w:evenHBand="0" w:firstRowFirstColumn="0" w:firstRowLastColumn="0" w:lastRowFirstColumn="0" w:lastRowLastColumn="0"/>
            </w:pPr>
            <w:r w:rsidRPr="00A01B03">
              <w:t>36.</w:t>
            </w:r>
            <w:r w:rsidR="00A947F5">
              <w:t>3</w:t>
            </w:r>
          </w:p>
        </w:tc>
        <w:tc>
          <w:tcPr>
            <w:tcW w:w="1029" w:type="dxa"/>
          </w:tcPr>
          <w:p w:rsidR="00A01B03" w:rsidRPr="00A01B03" w:rsidRDefault="00A947F5" w:rsidP="00A947F5">
            <w:pPr>
              <w:cnfStyle w:val="000000000000" w:firstRow="0" w:lastRow="0" w:firstColumn="0" w:lastColumn="0" w:oddVBand="0" w:evenVBand="0" w:oddHBand="0" w:evenHBand="0" w:firstRowFirstColumn="0" w:firstRowLastColumn="0" w:lastRowFirstColumn="0" w:lastRowLastColumn="0"/>
            </w:pPr>
            <w:r>
              <w:t>38.8</w:t>
            </w:r>
          </w:p>
        </w:tc>
        <w:tc>
          <w:tcPr>
            <w:tcW w:w="1029" w:type="dxa"/>
          </w:tcPr>
          <w:p w:rsidR="00A01B03" w:rsidRPr="00A01B03" w:rsidRDefault="00A01B03" w:rsidP="00A947F5">
            <w:pPr>
              <w:cnfStyle w:val="000000000000" w:firstRow="0" w:lastRow="0" w:firstColumn="0" w:lastColumn="0" w:oddVBand="0" w:evenVBand="0" w:oddHBand="0" w:evenHBand="0" w:firstRowFirstColumn="0" w:firstRowLastColumn="0" w:lastRowFirstColumn="0" w:lastRowLastColumn="0"/>
            </w:pPr>
            <w:r w:rsidRPr="00A01B03">
              <w:t>4</w:t>
            </w:r>
            <w:r w:rsidR="00A947F5">
              <w:t>1</w:t>
            </w:r>
            <w:r w:rsidRPr="00A01B03">
              <w:t>.</w:t>
            </w:r>
            <w:r w:rsidR="00A947F5">
              <w:t>2</w:t>
            </w:r>
          </w:p>
        </w:tc>
        <w:tc>
          <w:tcPr>
            <w:tcW w:w="1029" w:type="dxa"/>
          </w:tcPr>
          <w:p w:rsidR="00A01B03" w:rsidRPr="00A01B03" w:rsidRDefault="00A947F5" w:rsidP="00A947F5">
            <w:pPr>
              <w:cnfStyle w:val="000000000000" w:firstRow="0" w:lastRow="0" w:firstColumn="0" w:lastColumn="0" w:oddVBand="0" w:evenVBand="0" w:oddHBand="0" w:evenHBand="0" w:firstRowFirstColumn="0" w:firstRowLastColumn="0" w:lastRowFirstColumn="0" w:lastRowLastColumn="0"/>
            </w:pPr>
            <w:r>
              <w:t>44.8</w:t>
            </w:r>
          </w:p>
        </w:tc>
        <w:tc>
          <w:tcPr>
            <w:tcW w:w="1029" w:type="dxa"/>
          </w:tcPr>
          <w:p w:rsidR="00A01B03" w:rsidRPr="00A01B03" w:rsidRDefault="00A947F5" w:rsidP="00A947F5">
            <w:pPr>
              <w:cnfStyle w:val="000000000000" w:firstRow="0" w:lastRow="0" w:firstColumn="0" w:lastColumn="0" w:oddVBand="0" w:evenVBand="0" w:oddHBand="0" w:evenHBand="0" w:firstRowFirstColumn="0" w:firstRowLastColumn="0" w:lastRowFirstColumn="0" w:lastRowLastColumn="0"/>
            </w:pPr>
            <w:r>
              <w:t>43</w:t>
            </w:r>
            <w:r w:rsidR="00A01B03" w:rsidRPr="00A01B03">
              <w:t>.</w:t>
            </w:r>
            <w:r>
              <w:t>1</w:t>
            </w:r>
          </w:p>
        </w:tc>
        <w:tc>
          <w:tcPr>
            <w:tcW w:w="1030" w:type="dxa"/>
          </w:tcPr>
          <w:p w:rsidR="00A01B03" w:rsidRPr="00A01B03" w:rsidRDefault="00A01B03" w:rsidP="00A947F5">
            <w:pPr>
              <w:cnfStyle w:val="000000000000" w:firstRow="0" w:lastRow="0" w:firstColumn="0" w:lastColumn="0" w:oddVBand="0" w:evenVBand="0" w:oddHBand="0" w:evenHBand="0" w:firstRowFirstColumn="0" w:firstRowLastColumn="0" w:lastRowFirstColumn="0" w:lastRowLastColumn="0"/>
            </w:pPr>
            <w:r w:rsidRPr="00A01B03">
              <w:t>2</w:t>
            </w:r>
            <w:r w:rsidR="00A947F5">
              <w:t>0</w:t>
            </w:r>
            <w:r w:rsidR="003222CA">
              <w:t>4</w:t>
            </w:r>
            <w:r w:rsidR="00A947F5">
              <w:t>.</w:t>
            </w:r>
            <w:r w:rsidR="003222CA">
              <w:t>2</w:t>
            </w:r>
            <w:r w:rsidRPr="00A01B03">
              <w:t xml:space="preserve"> </w:t>
            </w:r>
          </w:p>
        </w:tc>
      </w:tr>
      <w:tr w:rsidR="003222CA" w:rsidTr="00316C1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A01B03" w:rsidRPr="00A01B03" w:rsidRDefault="00A01B03" w:rsidP="00A01B03">
            <w:r w:rsidRPr="00A01B03">
              <w:t>Annual revenue requirement (unsmoothed)</w:t>
            </w:r>
          </w:p>
        </w:tc>
        <w:tc>
          <w:tcPr>
            <w:tcW w:w="1029" w:type="dxa"/>
          </w:tcPr>
          <w:p w:rsidR="00A01B03" w:rsidRPr="00A01B03" w:rsidRDefault="00A01B03" w:rsidP="00A947F5">
            <w:pPr>
              <w:cnfStyle w:val="000000010000" w:firstRow="0" w:lastRow="0" w:firstColumn="0" w:lastColumn="0" w:oddVBand="0" w:evenVBand="0" w:oddHBand="0" w:evenHBand="1" w:firstRowFirstColumn="0" w:firstRowLastColumn="0" w:lastRowFirstColumn="0" w:lastRowLastColumn="0"/>
            </w:pPr>
            <w:r w:rsidRPr="00A01B03">
              <w:t>11</w:t>
            </w:r>
            <w:r w:rsidR="00A947F5">
              <w:t>53</w:t>
            </w:r>
            <w:r w:rsidRPr="00A01B03">
              <w:t>.</w:t>
            </w:r>
            <w:r w:rsidR="00A947F5">
              <w:t>1</w:t>
            </w:r>
          </w:p>
        </w:tc>
        <w:tc>
          <w:tcPr>
            <w:tcW w:w="1029" w:type="dxa"/>
          </w:tcPr>
          <w:p w:rsidR="00A01B03" w:rsidRPr="00A01B03" w:rsidRDefault="00A01B03" w:rsidP="00A947F5">
            <w:pPr>
              <w:cnfStyle w:val="000000010000" w:firstRow="0" w:lastRow="0" w:firstColumn="0" w:lastColumn="0" w:oddVBand="0" w:evenVBand="0" w:oddHBand="0" w:evenHBand="1" w:firstRowFirstColumn="0" w:firstRowLastColumn="0" w:lastRowFirstColumn="0" w:lastRowLastColumn="0"/>
            </w:pPr>
            <w:r w:rsidRPr="00A01B03">
              <w:t>11</w:t>
            </w:r>
            <w:r w:rsidR="00A947F5">
              <w:t>6</w:t>
            </w:r>
            <w:r w:rsidR="003222CA">
              <w:t>8</w:t>
            </w:r>
            <w:r w:rsidRPr="00A01B03">
              <w:t>.</w:t>
            </w:r>
            <w:r w:rsidR="00A947F5">
              <w:t>2</w:t>
            </w:r>
          </w:p>
        </w:tc>
        <w:tc>
          <w:tcPr>
            <w:tcW w:w="1029" w:type="dxa"/>
          </w:tcPr>
          <w:p w:rsidR="00A01B03" w:rsidRPr="00A01B03" w:rsidRDefault="00A01B03" w:rsidP="00A947F5">
            <w:pPr>
              <w:cnfStyle w:val="000000010000" w:firstRow="0" w:lastRow="0" w:firstColumn="0" w:lastColumn="0" w:oddVBand="0" w:evenVBand="0" w:oddHBand="0" w:evenHBand="1" w:firstRowFirstColumn="0" w:firstRowLastColumn="0" w:lastRowFirstColumn="0" w:lastRowLastColumn="0"/>
            </w:pPr>
            <w:r w:rsidRPr="00A01B03">
              <w:t>12</w:t>
            </w:r>
            <w:r w:rsidR="00A947F5">
              <w:t>42</w:t>
            </w:r>
            <w:r w:rsidRPr="00A01B03">
              <w:t>.</w:t>
            </w:r>
            <w:r w:rsidR="003222CA">
              <w:t>3</w:t>
            </w:r>
          </w:p>
        </w:tc>
        <w:tc>
          <w:tcPr>
            <w:tcW w:w="1029" w:type="dxa"/>
          </w:tcPr>
          <w:p w:rsidR="00A01B03" w:rsidRPr="00A01B03" w:rsidRDefault="00A01B03" w:rsidP="00A947F5">
            <w:pPr>
              <w:cnfStyle w:val="000000010000" w:firstRow="0" w:lastRow="0" w:firstColumn="0" w:lastColumn="0" w:oddVBand="0" w:evenVBand="0" w:oddHBand="0" w:evenHBand="1" w:firstRowFirstColumn="0" w:firstRowLastColumn="0" w:lastRowFirstColumn="0" w:lastRowLastColumn="0"/>
            </w:pPr>
            <w:r w:rsidRPr="00A01B03">
              <w:t>12</w:t>
            </w:r>
            <w:r w:rsidR="00A947F5">
              <w:t>02.3</w:t>
            </w:r>
          </w:p>
        </w:tc>
        <w:tc>
          <w:tcPr>
            <w:tcW w:w="1029" w:type="dxa"/>
          </w:tcPr>
          <w:p w:rsidR="00A01B03" w:rsidRPr="00A01B03" w:rsidRDefault="00A01B03" w:rsidP="00A947F5">
            <w:pPr>
              <w:cnfStyle w:val="000000010000" w:firstRow="0" w:lastRow="0" w:firstColumn="0" w:lastColumn="0" w:oddVBand="0" w:evenVBand="0" w:oddHBand="0" w:evenHBand="1" w:firstRowFirstColumn="0" w:firstRowLastColumn="0" w:lastRowFirstColumn="0" w:lastRowLastColumn="0"/>
            </w:pPr>
            <w:r w:rsidRPr="00A01B03">
              <w:t>1</w:t>
            </w:r>
            <w:r w:rsidR="00A947F5">
              <w:t>246.7</w:t>
            </w:r>
          </w:p>
        </w:tc>
        <w:tc>
          <w:tcPr>
            <w:tcW w:w="1030" w:type="dxa"/>
          </w:tcPr>
          <w:p w:rsidR="00A01B03" w:rsidRPr="00A01B03" w:rsidRDefault="00A01B03" w:rsidP="00A947F5">
            <w:pPr>
              <w:cnfStyle w:val="000000010000" w:firstRow="0" w:lastRow="0" w:firstColumn="0" w:lastColumn="0" w:oddVBand="0" w:evenVBand="0" w:oddHBand="0" w:evenHBand="1" w:firstRowFirstColumn="0" w:firstRowLastColumn="0" w:lastRowFirstColumn="0" w:lastRowLastColumn="0"/>
            </w:pPr>
            <w:r w:rsidRPr="00A01B03">
              <w:t>6</w:t>
            </w:r>
            <w:r w:rsidR="00A947F5">
              <w:t>012</w:t>
            </w:r>
            <w:r w:rsidR="003222CA">
              <w:t>.</w:t>
            </w:r>
            <w:r w:rsidR="00A947F5">
              <w:t>6</w:t>
            </w:r>
            <w:r w:rsidRPr="00A01B03">
              <w:t xml:space="preserve"> </w:t>
            </w:r>
          </w:p>
        </w:tc>
      </w:tr>
      <w:tr w:rsidR="003222CA" w:rsidRPr="00C62A33" w:rsidTr="00316C1C">
        <w:tc>
          <w:tcPr>
            <w:cnfStyle w:val="001000000000" w:firstRow="0" w:lastRow="0" w:firstColumn="1" w:lastColumn="0" w:oddVBand="0" w:evenVBand="0" w:oddHBand="0" w:evenHBand="0" w:firstRowFirstColumn="0" w:firstRowLastColumn="0" w:lastRowFirstColumn="0" w:lastRowLastColumn="0"/>
            <w:tcW w:w="2518" w:type="dxa"/>
          </w:tcPr>
          <w:p w:rsidR="00A01B03" w:rsidRPr="00C62A33" w:rsidRDefault="00A01B03" w:rsidP="00316C1C">
            <w:pPr>
              <w:rPr>
                <w:rStyle w:val="Strong"/>
              </w:rPr>
            </w:pPr>
            <w:r w:rsidRPr="00C62A33">
              <w:rPr>
                <w:rStyle w:val="Strong"/>
              </w:rPr>
              <w:t xml:space="preserve">Annual expected revenue </w:t>
            </w:r>
            <w:r w:rsidR="00316C1C">
              <w:rPr>
                <w:rStyle w:val="Strong"/>
              </w:rPr>
              <w:br/>
            </w:r>
            <w:r w:rsidRPr="00C62A33">
              <w:rPr>
                <w:rStyle w:val="Strong"/>
              </w:rPr>
              <w:t>(</w:t>
            </w:r>
            <w:r w:rsidR="003222CA" w:rsidRPr="00C62A33">
              <w:rPr>
                <w:rStyle w:val="Strong"/>
              </w:rPr>
              <w:t xml:space="preserve">exc. </w:t>
            </w:r>
            <w:proofErr w:type="spellStart"/>
            <w:r w:rsidR="00316C1C">
              <w:rPr>
                <w:rStyle w:val="Strong"/>
              </w:rPr>
              <w:t>additionals</w:t>
            </w:r>
            <w:proofErr w:type="spellEnd"/>
            <w:r w:rsidRPr="00C62A33">
              <w:rPr>
                <w:rStyle w:val="Strong"/>
              </w:rPr>
              <w:t>)</w:t>
            </w:r>
          </w:p>
        </w:tc>
        <w:tc>
          <w:tcPr>
            <w:tcW w:w="1029" w:type="dxa"/>
          </w:tcPr>
          <w:p w:rsidR="00A01B03" w:rsidRPr="00C62A33" w:rsidRDefault="00A01B03" w:rsidP="00A947F5">
            <w:pPr>
              <w:cnfStyle w:val="000000000000" w:firstRow="0" w:lastRow="0" w:firstColumn="0" w:lastColumn="0" w:oddVBand="0" w:evenVBand="0" w:oddHBand="0" w:evenHBand="0" w:firstRowFirstColumn="0" w:firstRowLastColumn="0" w:lastRowFirstColumn="0" w:lastRowLastColumn="0"/>
              <w:rPr>
                <w:rStyle w:val="Strong"/>
              </w:rPr>
            </w:pPr>
            <w:r w:rsidRPr="00C62A33">
              <w:rPr>
                <w:rStyle w:val="Strong"/>
              </w:rPr>
              <w:t xml:space="preserve"> 11</w:t>
            </w:r>
            <w:r w:rsidR="00A947F5">
              <w:rPr>
                <w:rStyle w:val="Strong"/>
              </w:rPr>
              <w:t>37</w:t>
            </w:r>
            <w:r w:rsidRPr="00C62A33">
              <w:rPr>
                <w:rStyle w:val="Strong"/>
              </w:rPr>
              <w:t>.</w:t>
            </w:r>
            <w:r w:rsidR="00A947F5">
              <w:rPr>
                <w:rStyle w:val="Strong"/>
              </w:rPr>
              <w:t>7</w:t>
            </w:r>
            <w:r w:rsidRPr="00C62A33">
              <w:rPr>
                <w:rStyle w:val="Strong"/>
              </w:rPr>
              <w:t xml:space="preserve"> </w:t>
            </w:r>
          </w:p>
        </w:tc>
        <w:tc>
          <w:tcPr>
            <w:tcW w:w="1029" w:type="dxa"/>
          </w:tcPr>
          <w:p w:rsidR="00A01B03" w:rsidRPr="00C62A33" w:rsidRDefault="00A01B03" w:rsidP="00A947F5">
            <w:pPr>
              <w:cnfStyle w:val="000000000000" w:firstRow="0" w:lastRow="0" w:firstColumn="0" w:lastColumn="0" w:oddVBand="0" w:evenVBand="0" w:oddHBand="0" w:evenHBand="0" w:firstRowFirstColumn="0" w:firstRowLastColumn="0" w:lastRowFirstColumn="0" w:lastRowLastColumn="0"/>
              <w:rPr>
                <w:rStyle w:val="Strong"/>
              </w:rPr>
            </w:pPr>
            <w:r w:rsidRPr="00C62A33">
              <w:rPr>
                <w:rStyle w:val="Strong"/>
              </w:rPr>
              <w:t xml:space="preserve"> 1</w:t>
            </w:r>
            <w:r w:rsidR="00A947F5">
              <w:rPr>
                <w:rStyle w:val="Strong"/>
              </w:rPr>
              <w:t>096.7</w:t>
            </w:r>
            <w:r w:rsidRPr="00C62A33">
              <w:rPr>
                <w:rStyle w:val="Strong"/>
              </w:rPr>
              <w:t xml:space="preserve"> </w:t>
            </w:r>
          </w:p>
        </w:tc>
        <w:tc>
          <w:tcPr>
            <w:tcW w:w="1029" w:type="dxa"/>
          </w:tcPr>
          <w:p w:rsidR="00A01B03" w:rsidRPr="00C62A33" w:rsidRDefault="00A01B03" w:rsidP="00A947F5">
            <w:pPr>
              <w:cnfStyle w:val="000000000000" w:firstRow="0" w:lastRow="0" w:firstColumn="0" w:lastColumn="0" w:oddVBand="0" w:evenVBand="0" w:oddHBand="0" w:evenHBand="0" w:firstRowFirstColumn="0" w:firstRowLastColumn="0" w:lastRowFirstColumn="0" w:lastRowLastColumn="0"/>
              <w:rPr>
                <w:rStyle w:val="Strong"/>
              </w:rPr>
            </w:pPr>
            <w:r w:rsidRPr="00C62A33">
              <w:rPr>
                <w:rStyle w:val="Strong"/>
              </w:rPr>
              <w:t xml:space="preserve"> 1</w:t>
            </w:r>
            <w:r w:rsidR="00A947F5">
              <w:rPr>
                <w:rStyle w:val="Strong"/>
              </w:rPr>
              <w:t>282</w:t>
            </w:r>
            <w:r w:rsidRPr="00C62A33">
              <w:rPr>
                <w:rStyle w:val="Strong"/>
              </w:rPr>
              <w:t>.</w:t>
            </w:r>
            <w:r w:rsidR="00A947F5">
              <w:rPr>
                <w:rStyle w:val="Strong"/>
              </w:rPr>
              <w:t>1</w:t>
            </w:r>
            <w:r w:rsidRPr="00C62A33">
              <w:rPr>
                <w:rStyle w:val="Strong"/>
              </w:rPr>
              <w:t xml:space="preserve"> </w:t>
            </w:r>
          </w:p>
        </w:tc>
        <w:tc>
          <w:tcPr>
            <w:tcW w:w="1029" w:type="dxa"/>
          </w:tcPr>
          <w:p w:rsidR="00A01B03" w:rsidRPr="00C62A33" w:rsidRDefault="00A01B03" w:rsidP="00A947F5">
            <w:pPr>
              <w:cnfStyle w:val="000000000000" w:firstRow="0" w:lastRow="0" w:firstColumn="0" w:lastColumn="0" w:oddVBand="0" w:evenVBand="0" w:oddHBand="0" w:evenHBand="0" w:firstRowFirstColumn="0" w:firstRowLastColumn="0" w:lastRowFirstColumn="0" w:lastRowLastColumn="0"/>
              <w:rPr>
                <w:rStyle w:val="Strong"/>
              </w:rPr>
            </w:pPr>
            <w:r w:rsidRPr="00C62A33">
              <w:rPr>
                <w:rStyle w:val="Strong"/>
              </w:rPr>
              <w:t xml:space="preserve"> 12</w:t>
            </w:r>
            <w:r w:rsidR="00A947F5">
              <w:rPr>
                <w:rStyle w:val="Strong"/>
              </w:rPr>
              <w:t>6</w:t>
            </w:r>
            <w:r w:rsidR="003222CA" w:rsidRPr="00C62A33">
              <w:rPr>
                <w:rStyle w:val="Strong"/>
              </w:rPr>
              <w:t>2</w:t>
            </w:r>
            <w:r w:rsidR="00A947F5">
              <w:rPr>
                <w:rStyle w:val="Strong"/>
              </w:rPr>
              <w:t>.2</w:t>
            </w:r>
          </w:p>
        </w:tc>
        <w:tc>
          <w:tcPr>
            <w:tcW w:w="1029" w:type="dxa"/>
          </w:tcPr>
          <w:p w:rsidR="00A01B03" w:rsidRPr="00C62A33" w:rsidRDefault="00A01B03" w:rsidP="00A947F5">
            <w:pPr>
              <w:cnfStyle w:val="000000000000" w:firstRow="0" w:lastRow="0" w:firstColumn="0" w:lastColumn="0" w:oddVBand="0" w:evenVBand="0" w:oddHBand="0" w:evenHBand="0" w:firstRowFirstColumn="0" w:firstRowLastColumn="0" w:lastRowFirstColumn="0" w:lastRowLastColumn="0"/>
              <w:rPr>
                <w:rStyle w:val="Strong"/>
              </w:rPr>
            </w:pPr>
            <w:r w:rsidRPr="00C62A33">
              <w:rPr>
                <w:rStyle w:val="Strong"/>
              </w:rPr>
              <w:t xml:space="preserve"> 12</w:t>
            </w:r>
            <w:r w:rsidR="00A947F5">
              <w:rPr>
                <w:rStyle w:val="Strong"/>
              </w:rPr>
              <w:t>42</w:t>
            </w:r>
            <w:r w:rsidRPr="00C62A33">
              <w:rPr>
                <w:rStyle w:val="Strong"/>
              </w:rPr>
              <w:t>.</w:t>
            </w:r>
            <w:r w:rsidR="00A947F5">
              <w:rPr>
                <w:rStyle w:val="Strong"/>
              </w:rPr>
              <w:t>7</w:t>
            </w:r>
            <w:r w:rsidRPr="00C62A33">
              <w:rPr>
                <w:rStyle w:val="Strong"/>
              </w:rPr>
              <w:t xml:space="preserve"> </w:t>
            </w:r>
          </w:p>
        </w:tc>
        <w:tc>
          <w:tcPr>
            <w:tcW w:w="1030" w:type="dxa"/>
          </w:tcPr>
          <w:p w:rsidR="00A01B03" w:rsidRPr="00C62A33" w:rsidRDefault="003222CA" w:rsidP="00A947F5">
            <w:pPr>
              <w:cnfStyle w:val="000000000000" w:firstRow="0" w:lastRow="0" w:firstColumn="0" w:lastColumn="0" w:oddVBand="0" w:evenVBand="0" w:oddHBand="0" w:evenHBand="0" w:firstRowFirstColumn="0" w:firstRowLastColumn="0" w:lastRowFirstColumn="0" w:lastRowLastColumn="0"/>
              <w:rPr>
                <w:rStyle w:val="Strong"/>
              </w:rPr>
            </w:pPr>
            <w:r w:rsidRPr="00C62A33">
              <w:rPr>
                <w:rStyle w:val="Strong"/>
              </w:rPr>
              <w:t>6</w:t>
            </w:r>
            <w:r w:rsidR="00A947F5">
              <w:rPr>
                <w:rStyle w:val="Strong"/>
              </w:rPr>
              <w:t>021</w:t>
            </w:r>
            <w:r w:rsidR="00A01B03" w:rsidRPr="00C62A33">
              <w:rPr>
                <w:rStyle w:val="Strong"/>
              </w:rPr>
              <w:t>.</w:t>
            </w:r>
            <w:r w:rsidR="00A947F5">
              <w:rPr>
                <w:rStyle w:val="Strong"/>
              </w:rPr>
              <w:t>5</w:t>
            </w:r>
          </w:p>
        </w:tc>
      </w:tr>
      <w:tr w:rsidR="003222CA" w:rsidTr="00316C1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A01B03" w:rsidRPr="00A01B03" w:rsidRDefault="00A01B03" w:rsidP="00295A13">
            <w:r w:rsidRPr="00A01B03">
              <w:t xml:space="preserve">X </w:t>
            </w:r>
            <w:proofErr w:type="spellStart"/>
            <w:r w:rsidRPr="00A01B03">
              <w:t>factor</w:t>
            </w:r>
            <w:r w:rsidR="00BC109C" w:rsidRPr="006C6CA7">
              <w:rPr>
                <w:rStyle w:val="AERsuperscript"/>
              </w:rPr>
              <w:t>c</w:t>
            </w:r>
            <w:proofErr w:type="spellEnd"/>
          </w:p>
        </w:tc>
        <w:tc>
          <w:tcPr>
            <w:tcW w:w="1029" w:type="dxa"/>
          </w:tcPr>
          <w:p w:rsidR="00A01B03" w:rsidRPr="00A01B03" w:rsidRDefault="003222CA" w:rsidP="00A947F5">
            <w:pPr>
              <w:cnfStyle w:val="000000010000" w:firstRow="0" w:lastRow="0" w:firstColumn="0" w:lastColumn="0" w:oddVBand="0" w:evenVBand="0" w:oddHBand="0" w:evenHBand="1" w:firstRowFirstColumn="0" w:firstRowLastColumn="0" w:lastRowFirstColumn="0" w:lastRowLastColumn="0"/>
            </w:pPr>
            <w:r>
              <w:t>3</w:t>
            </w:r>
            <w:r w:rsidR="00A947F5">
              <w:t>6</w:t>
            </w:r>
            <w:r w:rsidR="00A01B03" w:rsidRPr="00A01B03">
              <w:t>.</w:t>
            </w:r>
            <w:r w:rsidR="00A947F5">
              <w:t>63</w:t>
            </w:r>
            <w:r w:rsidR="00A01B03" w:rsidRPr="00A01B03">
              <w:t>%</w:t>
            </w:r>
          </w:p>
        </w:tc>
        <w:tc>
          <w:tcPr>
            <w:tcW w:w="1029" w:type="dxa"/>
          </w:tcPr>
          <w:p w:rsidR="00A01B03" w:rsidRPr="00A01B03" w:rsidRDefault="003222CA" w:rsidP="003222CA">
            <w:pPr>
              <w:cnfStyle w:val="000000010000" w:firstRow="0" w:lastRow="0" w:firstColumn="0" w:lastColumn="0" w:oddVBand="0" w:evenVBand="0" w:oddHBand="0" w:evenHBand="1" w:firstRowFirstColumn="0" w:firstRowLastColumn="0" w:lastRowFirstColumn="0" w:lastRowLastColumn="0"/>
            </w:pPr>
            <w:r>
              <w:t>6</w:t>
            </w:r>
            <w:r w:rsidR="00A01B03" w:rsidRPr="00A01B03">
              <w:t>.00%</w:t>
            </w:r>
          </w:p>
        </w:tc>
        <w:tc>
          <w:tcPr>
            <w:tcW w:w="1029" w:type="dxa"/>
          </w:tcPr>
          <w:p w:rsidR="00A01B03" w:rsidRPr="00A01B03" w:rsidRDefault="00295A13" w:rsidP="003222CA">
            <w:pPr>
              <w:cnfStyle w:val="000000010000" w:firstRow="0" w:lastRow="0" w:firstColumn="0" w:lastColumn="0" w:oddVBand="0" w:evenVBand="0" w:oddHBand="0" w:evenHBand="1" w:firstRowFirstColumn="0" w:firstRowLastColumn="0" w:lastRowFirstColumn="0" w:lastRowLastColumn="0"/>
            </w:pPr>
            <w:r>
              <w:t>–</w:t>
            </w:r>
            <w:r w:rsidR="00A01B03" w:rsidRPr="00A01B03">
              <w:t>1</w:t>
            </w:r>
            <w:r w:rsidR="003222CA">
              <w:t>4</w:t>
            </w:r>
            <w:r w:rsidR="00A01B03" w:rsidRPr="00A01B03">
              <w:t>.00%</w:t>
            </w:r>
          </w:p>
        </w:tc>
        <w:tc>
          <w:tcPr>
            <w:tcW w:w="1029" w:type="dxa"/>
          </w:tcPr>
          <w:p w:rsidR="00A01B03" w:rsidRPr="00A01B03" w:rsidRDefault="003222CA" w:rsidP="003222CA">
            <w:pPr>
              <w:cnfStyle w:val="000000010000" w:firstRow="0" w:lastRow="0" w:firstColumn="0" w:lastColumn="0" w:oddVBand="0" w:evenVBand="0" w:oddHBand="0" w:evenHBand="1" w:firstRowFirstColumn="0" w:firstRowLastColumn="0" w:lastRowFirstColumn="0" w:lastRowLastColumn="0"/>
            </w:pPr>
            <w:r>
              <w:t>4</w:t>
            </w:r>
            <w:r w:rsidR="00A01B03" w:rsidRPr="00A01B03">
              <w:t>.00%</w:t>
            </w:r>
          </w:p>
        </w:tc>
        <w:tc>
          <w:tcPr>
            <w:tcW w:w="1029" w:type="dxa"/>
          </w:tcPr>
          <w:p w:rsidR="00A01B03" w:rsidRPr="00A01B03" w:rsidRDefault="003222CA" w:rsidP="003222CA">
            <w:pPr>
              <w:cnfStyle w:val="000000010000" w:firstRow="0" w:lastRow="0" w:firstColumn="0" w:lastColumn="0" w:oddVBand="0" w:evenVBand="0" w:oddHBand="0" w:evenHBand="1" w:firstRowFirstColumn="0" w:firstRowLastColumn="0" w:lastRowFirstColumn="0" w:lastRowLastColumn="0"/>
            </w:pPr>
            <w:r>
              <w:t>4</w:t>
            </w:r>
            <w:r w:rsidR="00A01B03" w:rsidRPr="00A01B03">
              <w:t>.00%</w:t>
            </w:r>
          </w:p>
        </w:tc>
        <w:tc>
          <w:tcPr>
            <w:tcW w:w="1030" w:type="dxa"/>
          </w:tcPr>
          <w:p w:rsidR="00A01B03" w:rsidRPr="00A01B03" w:rsidRDefault="00A01B03" w:rsidP="00A01B03">
            <w:pPr>
              <w:cnfStyle w:val="000000010000" w:firstRow="0" w:lastRow="0" w:firstColumn="0" w:lastColumn="0" w:oddVBand="0" w:evenVBand="0" w:oddHBand="0" w:evenHBand="1" w:firstRowFirstColumn="0" w:firstRowLastColumn="0" w:lastRowFirstColumn="0" w:lastRowLastColumn="0"/>
            </w:pPr>
            <w:r>
              <w:t>n/a</w:t>
            </w:r>
          </w:p>
        </w:tc>
      </w:tr>
      <w:tr w:rsidR="00C62A33" w:rsidTr="00316C1C">
        <w:tc>
          <w:tcPr>
            <w:cnfStyle w:val="001000000000" w:firstRow="0" w:lastRow="0" w:firstColumn="1" w:lastColumn="0" w:oddVBand="0" w:evenVBand="0" w:oddHBand="0" w:evenHBand="0" w:firstRowFirstColumn="0" w:firstRowLastColumn="0" w:lastRowFirstColumn="0" w:lastRowLastColumn="0"/>
            <w:tcW w:w="2518" w:type="dxa"/>
          </w:tcPr>
          <w:p w:rsidR="00C62A33" w:rsidRPr="002B5EB8" w:rsidRDefault="00C62A33" w:rsidP="002B5EB8">
            <w:r>
              <w:t xml:space="preserve">Additional amounts in </w:t>
            </w:r>
            <w:proofErr w:type="spellStart"/>
            <w:r>
              <w:t>DUoS</w:t>
            </w:r>
            <w:r w:rsidR="00116B93" w:rsidRPr="00116B93">
              <w:rPr>
                <w:rStyle w:val="AERsuperscript"/>
              </w:rPr>
              <w:t>d</w:t>
            </w:r>
            <w:proofErr w:type="spellEnd"/>
          </w:p>
        </w:tc>
        <w:tc>
          <w:tcPr>
            <w:tcW w:w="1029" w:type="dxa"/>
          </w:tcPr>
          <w:p w:rsidR="00C62A33" w:rsidRDefault="00A947F5" w:rsidP="00A947F5">
            <w:pPr>
              <w:cnfStyle w:val="000000000000" w:firstRow="0" w:lastRow="0" w:firstColumn="0" w:lastColumn="0" w:oddVBand="0" w:evenVBand="0" w:oddHBand="0" w:evenHBand="0" w:firstRowFirstColumn="0" w:firstRowLastColumn="0" w:lastRowFirstColumn="0" w:lastRowLastColumn="0"/>
            </w:pPr>
            <w:r>
              <w:t>424.3</w:t>
            </w:r>
          </w:p>
        </w:tc>
        <w:tc>
          <w:tcPr>
            <w:tcW w:w="1029" w:type="dxa"/>
          </w:tcPr>
          <w:p w:rsidR="00C62A33" w:rsidRDefault="00C62A33" w:rsidP="003222CA">
            <w:pPr>
              <w:cnfStyle w:val="000000000000" w:firstRow="0" w:lastRow="0" w:firstColumn="0" w:lastColumn="0" w:oddVBand="0" w:evenVBand="0" w:oddHBand="0" w:evenHBand="0" w:firstRowFirstColumn="0" w:firstRowLastColumn="0" w:lastRowFirstColumn="0" w:lastRowLastColumn="0"/>
            </w:pPr>
            <w:r>
              <w:t>331.7</w:t>
            </w:r>
          </w:p>
        </w:tc>
        <w:tc>
          <w:tcPr>
            <w:tcW w:w="1029" w:type="dxa"/>
          </w:tcPr>
          <w:p w:rsidR="00C62A33" w:rsidRDefault="00C62A33" w:rsidP="003222CA">
            <w:pPr>
              <w:cnfStyle w:val="000000000000" w:firstRow="0" w:lastRow="0" w:firstColumn="0" w:lastColumn="0" w:oddVBand="0" w:evenVBand="0" w:oddHBand="0" w:evenHBand="0" w:firstRowFirstColumn="0" w:firstRowLastColumn="0" w:lastRowFirstColumn="0" w:lastRowLastColumn="0"/>
            </w:pPr>
            <w:r>
              <w:t>104.9</w:t>
            </w:r>
          </w:p>
        </w:tc>
        <w:tc>
          <w:tcPr>
            <w:tcW w:w="1029" w:type="dxa"/>
          </w:tcPr>
          <w:p w:rsidR="00C62A33" w:rsidRDefault="00C62A33" w:rsidP="003222CA">
            <w:pPr>
              <w:cnfStyle w:val="000000000000" w:firstRow="0" w:lastRow="0" w:firstColumn="0" w:lastColumn="0" w:oddVBand="0" w:evenVBand="0" w:oddHBand="0" w:evenHBand="0" w:firstRowFirstColumn="0" w:firstRowLastColumn="0" w:lastRowFirstColumn="0" w:lastRowLastColumn="0"/>
            </w:pPr>
            <w:r>
              <w:t>102.1</w:t>
            </w:r>
          </w:p>
        </w:tc>
        <w:tc>
          <w:tcPr>
            <w:tcW w:w="1029" w:type="dxa"/>
          </w:tcPr>
          <w:p w:rsidR="00C62A33" w:rsidRDefault="00C62A33" w:rsidP="003222CA">
            <w:pPr>
              <w:cnfStyle w:val="000000000000" w:firstRow="0" w:lastRow="0" w:firstColumn="0" w:lastColumn="0" w:oddVBand="0" w:evenVBand="0" w:oddHBand="0" w:evenHBand="0" w:firstRowFirstColumn="0" w:firstRowLastColumn="0" w:lastRowFirstColumn="0" w:lastRowLastColumn="0"/>
            </w:pPr>
            <w:r>
              <w:t>99.2</w:t>
            </w:r>
          </w:p>
        </w:tc>
        <w:tc>
          <w:tcPr>
            <w:tcW w:w="1030" w:type="dxa"/>
          </w:tcPr>
          <w:p w:rsidR="00C62A33" w:rsidRDefault="00A947F5" w:rsidP="00A947F5">
            <w:pPr>
              <w:cnfStyle w:val="000000000000" w:firstRow="0" w:lastRow="0" w:firstColumn="0" w:lastColumn="0" w:oddVBand="0" w:evenVBand="0" w:oddHBand="0" w:evenHBand="0" w:firstRowFirstColumn="0" w:firstRowLastColumn="0" w:lastRowFirstColumn="0" w:lastRowLastColumn="0"/>
            </w:pPr>
            <w:r>
              <w:t>106</w:t>
            </w:r>
            <w:r w:rsidR="00C62A33">
              <w:t>2.</w:t>
            </w:r>
            <w:r>
              <w:t>2</w:t>
            </w:r>
          </w:p>
        </w:tc>
      </w:tr>
      <w:tr w:rsidR="003222CA" w:rsidRPr="00C62A33" w:rsidTr="00316C1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2B5EB8" w:rsidRPr="00C62A33" w:rsidRDefault="002B5EB8" w:rsidP="00316C1C">
            <w:pPr>
              <w:rPr>
                <w:rStyle w:val="Strong"/>
              </w:rPr>
            </w:pPr>
            <w:r w:rsidRPr="00C62A33">
              <w:rPr>
                <w:rStyle w:val="Strong"/>
              </w:rPr>
              <w:t xml:space="preserve">Annual expected revenue </w:t>
            </w:r>
            <w:r w:rsidRPr="00C62A33">
              <w:rPr>
                <w:rStyle w:val="Strong"/>
              </w:rPr>
              <w:br/>
              <w:t xml:space="preserve">(smoothed – </w:t>
            </w:r>
            <w:proofErr w:type="spellStart"/>
            <w:r w:rsidRPr="00C62A33">
              <w:rPr>
                <w:rStyle w:val="Strong"/>
              </w:rPr>
              <w:t>inc</w:t>
            </w:r>
            <w:r w:rsidR="003222CA" w:rsidRPr="00C62A33">
              <w:rPr>
                <w:rStyle w:val="Strong"/>
              </w:rPr>
              <w:t>.</w:t>
            </w:r>
            <w:proofErr w:type="spellEnd"/>
            <w:r w:rsidRPr="00C62A33">
              <w:rPr>
                <w:rStyle w:val="Strong"/>
              </w:rPr>
              <w:t xml:space="preserve"> </w:t>
            </w:r>
            <w:proofErr w:type="spellStart"/>
            <w:r w:rsidR="00316C1C">
              <w:rPr>
                <w:rStyle w:val="Strong"/>
              </w:rPr>
              <w:t>additionals</w:t>
            </w:r>
            <w:proofErr w:type="spellEnd"/>
            <w:r w:rsidRPr="00C62A33">
              <w:rPr>
                <w:rStyle w:val="Strong"/>
              </w:rPr>
              <w:t>)</w:t>
            </w:r>
          </w:p>
        </w:tc>
        <w:tc>
          <w:tcPr>
            <w:tcW w:w="1029" w:type="dxa"/>
          </w:tcPr>
          <w:p w:rsidR="002B5EB8" w:rsidRPr="00C62A33" w:rsidRDefault="002B5EB8" w:rsidP="00A947F5">
            <w:pPr>
              <w:cnfStyle w:val="000000010000" w:firstRow="0" w:lastRow="0" w:firstColumn="0" w:lastColumn="0" w:oddVBand="0" w:evenVBand="0" w:oddHBand="0" w:evenHBand="1" w:firstRowFirstColumn="0" w:firstRowLastColumn="0" w:lastRowFirstColumn="0" w:lastRowLastColumn="0"/>
              <w:rPr>
                <w:rStyle w:val="Strong"/>
              </w:rPr>
            </w:pPr>
            <w:r w:rsidRPr="00C62A33">
              <w:rPr>
                <w:rStyle w:val="Strong"/>
              </w:rPr>
              <w:t xml:space="preserve"> 15</w:t>
            </w:r>
            <w:r w:rsidR="00A947F5">
              <w:rPr>
                <w:rStyle w:val="Strong"/>
              </w:rPr>
              <w:t>62</w:t>
            </w:r>
            <w:r w:rsidRPr="00C62A33">
              <w:rPr>
                <w:rStyle w:val="Strong"/>
              </w:rPr>
              <w:t>.</w:t>
            </w:r>
            <w:r w:rsidR="00A947F5">
              <w:rPr>
                <w:rStyle w:val="Strong"/>
              </w:rPr>
              <w:t>0</w:t>
            </w:r>
            <w:r w:rsidRPr="00C62A33">
              <w:rPr>
                <w:rStyle w:val="Strong"/>
              </w:rPr>
              <w:t xml:space="preserve"> </w:t>
            </w:r>
          </w:p>
        </w:tc>
        <w:tc>
          <w:tcPr>
            <w:tcW w:w="1029" w:type="dxa"/>
          </w:tcPr>
          <w:p w:rsidR="002B5EB8" w:rsidRPr="00C62A33" w:rsidRDefault="003222CA" w:rsidP="00A947F5">
            <w:pPr>
              <w:cnfStyle w:val="000000010000" w:firstRow="0" w:lastRow="0" w:firstColumn="0" w:lastColumn="0" w:oddVBand="0" w:evenVBand="0" w:oddHBand="0" w:evenHBand="1" w:firstRowFirstColumn="0" w:firstRowLastColumn="0" w:lastRowFirstColumn="0" w:lastRowLastColumn="0"/>
              <w:rPr>
                <w:rStyle w:val="Strong"/>
              </w:rPr>
            </w:pPr>
            <w:r w:rsidRPr="00C62A33">
              <w:rPr>
                <w:rStyle w:val="Strong"/>
              </w:rPr>
              <w:t xml:space="preserve"> 1</w:t>
            </w:r>
            <w:r w:rsidR="002B5EB8" w:rsidRPr="00C62A33">
              <w:rPr>
                <w:rStyle w:val="Strong"/>
              </w:rPr>
              <w:t>4</w:t>
            </w:r>
            <w:r w:rsidR="00A947F5">
              <w:rPr>
                <w:rStyle w:val="Strong"/>
              </w:rPr>
              <w:t>28</w:t>
            </w:r>
            <w:r w:rsidR="002B5EB8" w:rsidRPr="00C62A33">
              <w:rPr>
                <w:rStyle w:val="Strong"/>
              </w:rPr>
              <w:t>.</w:t>
            </w:r>
            <w:r w:rsidR="00A947F5">
              <w:rPr>
                <w:rStyle w:val="Strong"/>
              </w:rPr>
              <w:t>4</w:t>
            </w:r>
            <w:r w:rsidR="002B5EB8" w:rsidRPr="00C62A33">
              <w:rPr>
                <w:rStyle w:val="Strong"/>
              </w:rPr>
              <w:t xml:space="preserve"> </w:t>
            </w:r>
          </w:p>
        </w:tc>
        <w:tc>
          <w:tcPr>
            <w:tcW w:w="1029" w:type="dxa"/>
          </w:tcPr>
          <w:p w:rsidR="002B5EB8" w:rsidRPr="00C62A33" w:rsidRDefault="003222CA" w:rsidP="00A947F5">
            <w:pPr>
              <w:cnfStyle w:val="000000010000" w:firstRow="0" w:lastRow="0" w:firstColumn="0" w:lastColumn="0" w:oddVBand="0" w:evenVBand="0" w:oddHBand="0" w:evenHBand="1" w:firstRowFirstColumn="0" w:firstRowLastColumn="0" w:lastRowFirstColumn="0" w:lastRowLastColumn="0"/>
              <w:rPr>
                <w:rStyle w:val="Strong"/>
              </w:rPr>
            </w:pPr>
            <w:r w:rsidRPr="00C62A33">
              <w:rPr>
                <w:rStyle w:val="Strong"/>
              </w:rPr>
              <w:t xml:space="preserve"> 1</w:t>
            </w:r>
            <w:r w:rsidR="00A947F5">
              <w:rPr>
                <w:rStyle w:val="Strong"/>
              </w:rPr>
              <w:t>387</w:t>
            </w:r>
            <w:r w:rsidR="002B5EB8" w:rsidRPr="00C62A33">
              <w:rPr>
                <w:rStyle w:val="Strong"/>
              </w:rPr>
              <w:t>.</w:t>
            </w:r>
            <w:r w:rsidR="00A947F5">
              <w:rPr>
                <w:rStyle w:val="Strong"/>
              </w:rPr>
              <w:t>0</w:t>
            </w:r>
            <w:r w:rsidR="002B5EB8" w:rsidRPr="00C62A33">
              <w:rPr>
                <w:rStyle w:val="Strong"/>
              </w:rPr>
              <w:t xml:space="preserve"> </w:t>
            </w:r>
          </w:p>
        </w:tc>
        <w:tc>
          <w:tcPr>
            <w:tcW w:w="1029" w:type="dxa"/>
          </w:tcPr>
          <w:p w:rsidR="002B5EB8" w:rsidRPr="00C62A33" w:rsidRDefault="003222CA" w:rsidP="00A947F5">
            <w:pPr>
              <w:cnfStyle w:val="000000010000" w:firstRow="0" w:lastRow="0" w:firstColumn="0" w:lastColumn="0" w:oddVBand="0" w:evenVBand="0" w:oddHBand="0" w:evenHBand="1" w:firstRowFirstColumn="0" w:firstRowLastColumn="0" w:lastRowFirstColumn="0" w:lastRowLastColumn="0"/>
              <w:rPr>
                <w:rStyle w:val="Strong"/>
              </w:rPr>
            </w:pPr>
            <w:r w:rsidRPr="00C62A33">
              <w:rPr>
                <w:rStyle w:val="Strong"/>
              </w:rPr>
              <w:t xml:space="preserve"> 1</w:t>
            </w:r>
            <w:r w:rsidR="002B5EB8" w:rsidRPr="00C62A33">
              <w:rPr>
                <w:rStyle w:val="Strong"/>
              </w:rPr>
              <w:t>3</w:t>
            </w:r>
            <w:r w:rsidR="00A947F5">
              <w:rPr>
                <w:rStyle w:val="Strong"/>
              </w:rPr>
              <w:t>64</w:t>
            </w:r>
            <w:r w:rsidR="002B5EB8" w:rsidRPr="00C62A33">
              <w:rPr>
                <w:rStyle w:val="Strong"/>
              </w:rPr>
              <w:t>.</w:t>
            </w:r>
            <w:r w:rsidR="00A947F5">
              <w:rPr>
                <w:rStyle w:val="Strong"/>
              </w:rPr>
              <w:t>3</w:t>
            </w:r>
            <w:r w:rsidR="002B5EB8" w:rsidRPr="00C62A33">
              <w:rPr>
                <w:rStyle w:val="Strong"/>
              </w:rPr>
              <w:t xml:space="preserve"> </w:t>
            </w:r>
          </w:p>
        </w:tc>
        <w:tc>
          <w:tcPr>
            <w:tcW w:w="1029" w:type="dxa"/>
          </w:tcPr>
          <w:p w:rsidR="002B5EB8" w:rsidRPr="00C62A33" w:rsidRDefault="003222CA" w:rsidP="00A947F5">
            <w:pPr>
              <w:cnfStyle w:val="000000010000" w:firstRow="0" w:lastRow="0" w:firstColumn="0" w:lastColumn="0" w:oddVBand="0" w:evenVBand="0" w:oddHBand="0" w:evenHBand="1" w:firstRowFirstColumn="0" w:firstRowLastColumn="0" w:lastRowFirstColumn="0" w:lastRowLastColumn="0"/>
              <w:rPr>
                <w:rStyle w:val="Strong"/>
              </w:rPr>
            </w:pPr>
            <w:r w:rsidRPr="00C62A33">
              <w:rPr>
                <w:rStyle w:val="Strong"/>
              </w:rPr>
              <w:t xml:space="preserve"> 1</w:t>
            </w:r>
            <w:r w:rsidR="002B5EB8" w:rsidRPr="00C62A33">
              <w:rPr>
                <w:rStyle w:val="Strong"/>
              </w:rPr>
              <w:t>3</w:t>
            </w:r>
            <w:r w:rsidR="00A947F5">
              <w:rPr>
                <w:rStyle w:val="Strong"/>
              </w:rPr>
              <w:t>4</w:t>
            </w:r>
            <w:r w:rsidRPr="00C62A33">
              <w:rPr>
                <w:rStyle w:val="Strong"/>
              </w:rPr>
              <w:t>1</w:t>
            </w:r>
            <w:r w:rsidR="002B5EB8" w:rsidRPr="00C62A33">
              <w:rPr>
                <w:rStyle w:val="Strong"/>
              </w:rPr>
              <w:t>.</w:t>
            </w:r>
            <w:r w:rsidR="00A947F5">
              <w:rPr>
                <w:rStyle w:val="Strong"/>
              </w:rPr>
              <w:t>9</w:t>
            </w:r>
            <w:r w:rsidR="002B5EB8" w:rsidRPr="00C62A33">
              <w:rPr>
                <w:rStyle w:val="Strong"/>
              </w:rPr>
              <w:t xml:space="preserve"> </w:t>
            </w:r>
          </w:p>
        </w:tc>
        <w:tc>
          <w:tcPr>
            <w:tcW w:w="1030" w:type="dxa"/>
          </w:tcPr>
          <w:p w:rsidR="002B5EB8" w:rsidRPr="00C62A33" w:rsidRDefault="002B5EB8" w:rsidP="00A947F5">
            <w:pPr>
              <w:cnfStyle w:val="000000010000" w:firstRow="0" w:lastRow="0" w:firstColumn="0" w:lastColumn="0" w:oddVBand="0" w:evenVBand="0" w:oddHBand="0" w:evenHBand="1" w:firstRowFirstColumn="0" w:firstRowLastColumn="0" w:lastRowFirstColumn="0" w:lastRowLastColumn="0"/>
              <w:rPr>
                <w:rStyle w:val="Strong"/>
              </w:rPr>
            </w:pPr>
            <w:r w:rsidRPr="00C62A33">
              <w:rPr>
                <w:rStyle w:val="Strong"/>
              </w:rPr>
              <w:t xml:space="preserve"> </w:t>
            </w:r>
            <w:r w:rsidR="003222CA" w:rsidRPr="00C62A33">
              <w:rPr>
                <w:rStyle w:val="Strong"/>
              </w:rPr>
              <w:t>7</w:t>
            </w:r>
            <w:r w:rsidR="00A947F5">
              <w:rPr>
                <w:rStyle w:val="Strong"/>
              </w:rPr>
              <w:t>083.7</w:t>
            </w:r>
            <w:r w:rsidRPr="00C62A33">
              <w:rPr>
                <w:rStyle w:val="Strong"/>
              </w:rPr>
              <w:t xml:space="preserve"> </w:t>
            </w:r>
          </w:p>
        </w:tc>
      </w:tr>
      <w:tr w:rsidR="003222CA" w:rsidTr="00316C1C">
        <w:tc>
          <w:tcPr>
            <w:cnfStyle w:val="001000000000" w:firstRow="0" w:lastRow="0" w:firstColumn="1" w:lastColumn="0" w:oddVBand="0" w:evenVBand="0" w:oddHBand="0" w:evenHBand="0" w:firstRowFirstColumn="0" w:firstRowLastColumn="0" w:lastRowFirstColumn="0" w:lastRowLastColumn="0"/>
            <w:tcW w:w="2518" w:type="dxa"/>
          </w:tcPr>
          <w:p w:rsidR="002B5EB8" w:rsidRPr="002B5EB8" w:rsidRDefault="002B5EB8" w:rsidP="00316C1C">
            <w:r w:rsidRPr="002B5EB8">
              <w:t xml:space="preserve">Annual change in revenue – </w:t>
            </w:r>
            <w:proofErr w:type="spellStart"/>
            <w:r w:rsidRPr="002B5EB8">
              <w:t>inc</w:t>
            </w:r>
            <w:r w:rsidR="003222CA">
              <w:t>.</w:t>
            </w:r>
            <w:proofErr w:type="spellEnd"/>
            <w:r w:rsidRPr="002B5EB8">
              <w:t xml:space="preserve"> </w:t>
            </w:r>
            <w:proofErr w:type="spellStart"/>
            <w:r w:rsidR="00316C1C">
              <w:t>additionals</w:t>
            </w:r>
            <w:proofErr w:type="spellEnd"/>
          </w:p>
        </w:tc>
        <w:tc>
          <w:tcPr>
            <w:tcW w:w="1029" w:type="dxa"/>
          </w:tcPr>
          <w:p w:rsidR="002B5EB8" w:rsidRPr="002B5EB8" w:rsidRDefault="003222CA" w:rsidP="00A947F5">
            <w:pPr>
              <w:cnfStyle w:val="000000000000" w:firstRow="0" w:lastRow="0" w:firstColumn="0" w:lastColumn="0" w:oddVBand="0" w:evenVBand="0" w:oddHBand="0" w:evenHBand="0" w:firstRowFirstColumn="0" w:firstRowLastColumn="0" w:lastRowFirstColumn="0" w:lastRowLastColumn="0"/>
            </w:pPr>
            <w:r>
              <w:t>–10</w:t>
            </w:r>
            <w:r w:rsidR="002B5EB8" w:rsidRPr="002B5EB8">
              <w:t>.</w:t>
            </w:r>
            <w:r w:rsidR="00554895">
              <w:t>8</w:t>
            </w:r>
            <w:r w:rsidR="002B5EB8" w:rsidRPr="002B5EB8">
              <w:t>%</w:t>
            </w:r>
          </w:p>
        </w:tc>
        <w:tc>
          <w:tcPr>
            <w:tcW w:w="1029" w:type="dxa"/>
          </w:tcPr>
          <w:p w:rsidR="002B5EB8" w:rsidRPr="002B5EB8" w:rsidRDefault="003222CA" w:rsidP="00554895">
            <w:pPr>
              <w:cnfStyle w:val="000000000000" w:firstRow="0" w:lastRow="0" w:firstColumn="0" w:lastColumn="0" w:oddVBand="0" w:evenVBand="0" w:oddHBand="0" w:evenHBand="0" w:firstRowFirstColumn="0" w:firstRowLastColumn="0" w:lastRowFirstColumn="0" w:lastRowLastColumn="0"/>
            </w:pPr>
            <w:r>
              <w:t>–</w:t>
            </w:r>
            <w:r w:rsidR="00A947F5">
              <w:t>8</w:t>
            </w:r>
            <w:r w:rsidR="002B5EB8" w:rsidRPr="002B5EB8">
              <w:t>.</w:t>
            </w:r>
            <w:r w:rsidR="00554895">
              <w:t>6</w:t>
            </w:r>
            <w:r w:rsidR="002B5EB8" w:rsidRPr="002B5EB8">
              <w:t>%</w:t>
            </w:r>
          </w:p>
        </w:tc>
        <w:tc>
          <w:tcPr>
            <w:tcW w:w="1029" w:type="dxa"/>
          </w:tcPr>
          <w:p w:rsidR="002B5EB8" w:rsidRPr="002B5EB8" w:rsidRDefault="003222CA" w:rsidP="00554895">
            <w:pPr>
              <w:cnfStyle w:val="000000000000" w:firstRow="0" w:lastRow="0" w:firstColumn="0" w:lastColumn="0" w:oddVBand="0" w:evenVBand="0" w:oddHBand="0" w:evenHBand="0" w:firstRowFirstColumn="0" w:firstRowLastColumn="0" w:lastRowFirstColumn="0" w:lastRowLastColumn="0"/>
            </w:pPr>
            <w:r>
              <w:t>–2</w:t>
            </w:r>
            <w:r w:rsidR="002B5EB8" w:rsidRPr="002B5EB8">
              <w:t>.</w:t>
            </w:r>
            <w:r w:rsidR="00A947F5">
              <w:t>9</w:t>
            </w:r>
            <w:r w:rsidR="002B5EB8" w:rsidRPr="002B5EB8">
              <w:t>%</w:t>
            </w:r>
          </w:p>
        </w:tc>
        <w:tc>
          <w:tcPr>
            <w:tcW w:w="1029" w:type="dxa"/>
          </w:tcPr>
          <w:p w:rsidR="002B5EB8" w:rsidRPr="002B5EB8" w:rsidRDefault="003222CA" w:rsidP="00A947F5">
            <w:pPr>
              <w:cnfStyle w:val="000000000000" w:firstRow="0" w:lastRow="0" w:firstColumn="0" w:lastColumn="0" w:oddVBand="0" w:evenVBand="0" w:oddHBand="0" w:evenHBand="0" w:firstRowFirstColumn="0" w:firstRowLastColumn="0" w:lastRowFirstColumn="0" w:lastRowLastColumn="0"/>
            </w:pPr>
            <w:r>
              <w:t>–1</w:t>
            </w:r>
            <w:r w:rsidR="002B5EB8" w:rsidRPr="002B5EB8">
              <w:t>.</w:t>
            </w:r>
            <w:r>
              <w:t>6</w:t>
            </w:r>
            <w:r w:rsidR="002B5EB8" w:rsidRPr="002B5EB8">
              <w:t>%</w:t>
            </w:r>
          </w:p>
        </w:tc>
        <w:tc>
          <w:tcPr>
            <w:tcW w:w="1029" w:type="dxa"/>
          </w:tcPr>
          <w:p w:rsidR="002B5EB8" w:rsidRPr="002B5EB8" w:rsidRDefault="003222CA" w:rsidP="003222CA">
            <w:pPr>
              <w:cnfStyle w:val="000000000000" w:firstRow="0" w:lastRow="0" w:firstColumn="0" w:lastColumn="0" w:oddVBand="0" w:evenVBand="0" w:oddHBand="0" w:evenHBand="0" w:firstRowFirstColumn="0" w:firstRowLastColumn="0" w:lastRowFirstColumn="0" w:lastRowLastColumn="0"/>
            </w:pPr>
            <w:r>
              <w:t>–1</w:t>
            </w:r>
            <w:r w:rsidR="002B5EB8" w:rsidRPr="002B5EB8">
              <w:t>.</w:t>
            </w:r>
            <w:r w:rsidR="00554895">
              <w:t>6</w:t>
            </w:r>
            <w:r w:rsidR="002B5EB8" w:rsidRPr="002B5EB8">
              <w:t>%</w:t>
            </w:r>
          </w:p>
        </w:tc>
        <w:tc>
          <w:tcPr>
            <w:tcW w:w="1030" w:type="dxa"/>
          </w:tcPr>
          <w:p w:rsidR="002B5EB8" w:rsidRPr="002B5EB8" w:rsidRDefault="002B5EB8" w:rsidP="002B5EB8">
            <w:pPr>
              <w:cnfStyle w:val="000000000000" w:firstRow="0" w:lastRow="0" w:firstColumn="0" w:lastColumn="0" w:oddVBand="0" w:evenVBand="0" w:oddHBand="0" w:evenHBand="0" w:firstRowFirstColumn="0" w:firstRowLastColumn="0" w:lastRowFirstColumn="0" w:lastRowLastColumn="0"/>
            </w:pPr>
            <w:r w:rsidRPr="002B5EB8">
              <w:t>n/a</w:t>
            </w:r>
          </w:p>
        </w:tc>
      </w:tr>
    </w:tbl>
    <w:p w:rsidR="00D44A58" w:rsidRPr="00012781" w:rsidRDefault="00D44A58" w:rsidP="00D44A58">
      <w:pPr>
        <w:pStyle w:val="AERtablesource"/>
      </w:pPr>
      <w:r w:rsidRPr="00012781">
        <w:t xml:space="preserve">Source: </w:t>
      </w:r>
      <w:r w:rsidRPr="00012781">
        <w:tab/>
        <w:t>AER analysis.</w:t>
      </w:r>
    </w:p>
    <w:p w:rsidR="00D44A58" w:rsidRPr="00012781" w:rsidRDefault="00D44A58" w:rsidP="00D44A58">
      <w:pPr>
        <w:pStyle w:val="AERtablesource"/>
      </w:pPr>
      <w:r w:rsidRPr="00012781">
        <w:t xml:space="preserve">(a) </w:t>
      </w:r>
      <w:r w:rsidRPr="00012781">
        <w:tab/>
        <w:t xml:space="preserve">Regulatory depreciation is straight-line depreciation net of the inflation indexation on the opening RAB. </w:t>
      </w:r>
    </w:p>
    <w:p w:rsidR="00BC109C" w:rsidRDefault="00D44A58" w:rsidP="00D44A58">
      <w:pPr>
        <w:pStyle w:val="AERtablesource"/>
      </w:pPr>
      <w:r w:rsidRPr="00012781">
        <w:t>(b)</w:t>
      </w:r>
      <w:r w:rsidRPr="00012781">
        <w:tab/>
      </w:r>
      <w:r w:rsidR="00BC109C">
        <w:t xml:space="preserve">Revenue adjustments include efficiency benefit sharing scheme </w:t>
      </w:r>
      <w:r w:rsidR="003222CA">
        <w:t>carry-over</w:t>
      </w:r>
      <w:r w:rsidR="00BC109C">
        <w:t xml:space="preserve">s, forecast DMIA and </w:t>
      </w:r>
      <w:proofErr w:type="spellStart"/>
      <w:r w:rsidR="00BC109C">
        <w:t>DUoS</w:t>
      </w:r>
      <w:proofErr w:type="spellEnd"/>
      <w:r w:rsidR="00BC109C">
        <w:t xml:space="preserve"> under recoveries. </w:t>
      </w:r>
    </w:p>
    <w:p w:rsidR="00116B93" w:rsidRDefault="00BC109C" w:rsidP="00D44A58">
      <w:pPr>
        <w:pStyle w:val="AERtablesource"/>
      </w:pPr>
      <w:r>
        <w:t>(c)</w:t>
      </w:r>
      <w:r>
        <w:tab/>
      </w:r>
      <w:r w:rsidRPr="00266E3C">
        <w:t xml:space="preserve">The X factor </w:t>
      </w:r>
      <w:r>
        <w:t xml:space="preserve">from 2016–17 to 2019–20 </w:t>
      </w:r>
      <w:r w:rsidRPr="00266E3C">
        <w:t xml:space="preserve">will be revised </w:t>
      </w:r>
      <w:r>
        <w:t>t</w:t>
      </w:r>
      <w:r w:rsidRPr="00266E3C">
        <w:t>o reflect the annual return on debt update.</w:t>
      </w:r>
      <w:r w:rsidR="00116B93">
        <w:t xml:space="preserve"> </w:t>
      </w:r>
    </w:p>
    <w:p w:rsidR="00D44A58" w:rsidRPr="00012781" w:rsidRDefault="00116B93" w:rsidP="00D44A58">
      <w:pPr>
        <w:pStyle w:val="AERtablesource"/>
      </w:pPr>
      <w:r>
        <w:t>(d)</w:t>
      </w:r>
      <w:r>
        <w:tab/>
        <w:t xml:space="preserve">Additional amounts in </w:t>
      </w:r>
      <w:proofErr w:type="spellStart"/>
      <w:r>
        <w:t>DUoS</w:t>
      </w:r>
      <w:proofErr w:type="spellEnd"/>
      <w:r>
        <w:t xml:space="preserve"> include s</w:t>
      </w:r>
      <w:r w:rsidRPr="00355EBC">
        <w:t>olar bonus scheme forecasts (jurisdictional scheme</w:t>
      </w:r>
      <w:r>
        <w:t xml:space="preserve"> obligation for </w:t>
      </w:r>
      <w:proofErr w:type="spellStart"/>
      <w:r>
        <w:t>FiT</w:t>
      </w:r>
      <w:proofErr w:type="spellEnd"/>
      <w:r>
        <w:t>) for 2015–20, e</w:t>
      </w:r>
      <w:r w:rsidRPr="00355EBC">
        <w:t>stimated solar bonus scheme pass throughs for 2015–16 and 2016–</w:t>
      </w:r>
      <w:r>
        <w:t>1</w:t>
      </w:r>
      <w:r w:rsidRPr="00355EBC">
        <w:t>7 relating to under-recoveries in 2013–14 and 2014–15</w:t>
      </w:r>
      <w:r>
        <w:t>,</w:t>
      </w:r>
      <w:r w:rsidRPr="00BF2F5F">
        <w:t xml:space="preserve"> </w:t>
      </w:r>
      <w:r>
        <w:t>e</w:t>
      </w:r>
      <w:r w:rsidRPr="00BF2F5F">
        <w:t xml:space="preserve">stimated </w:t>
      </w:r>
      <w:proofErr w:type="spellStart"/>
      <w:r w:rsidRPr="00BF2F5F">
        <w:t>DUoS</w:t>
      </w:r>
      <w:proofErr w:type="spellEnd"/>
      <w:r w:rsidRPr="00BF2F5F">
        <w:t xml:space="preserve"> under recovery for 2013–14</w:t>
      </w:r>
      <w:r>
        <w:t>, t</w:t>
      </w:r>
      <w:r w:rsidRPr="00BF2F5F">
        <w:t xml:space="preserve">ransitional capital contribution </w:t>
      </w:r>
      <w:r>
        <w:t xml:space="preserve">and shared assets </w:t>
      </w:r>
      <w:r w:rsidRPr="00BF2F5F">
        <w:t>under/over recovery from 2010–15</w:t>
      </w:r>
      <w:r>
        <w:t xml:space="preserve">, </w:t>
      </w:r>
      <w:r w:rsidRPr="00BF2F5F">
        <w:t>STPIS allowance from 2010–15</w:t>
      </w:r>
      <w:r>
        <w:t xml:space="preserve"> and </w:t>
      </w:r>
      <w:r w:rsidRPr="00BF2F5F">
        <w:t>DMIA over recovery from 2010–15</w:t>
      </w:r>
      <w:r>
        <w:t>.</w:t>
      </w:r>
    </w:p>
    <w:p w:rsidR="00D44A58" w:rsidRPr="00AA0CA5" w:rsidRDefault="00D44A58" w:rsidP="00D44A58">
      <w:pPr>
        <w:pStyle w:val="Heading2"/>
      </w:pPr>
      <w:bookmarkStart w:id="25" w:name="_Toc415837321"/>
      <w:bookmarkStart w:id="26" w:name="_Toc418685501"/>
      <w:r>
        <w:t xml:space="preserve">The building block </w:t>
      </w:r>
      <w:r w:rsidRPr="00AA0CA5">
        <w:t>approach</w:t>
      </w:r>
      <w:bookmarkEnd w:id="25"/>
      <w:bookmarkEnd w:id="26"/>
    </w:p>
    <w:p w:rsidR="00D44A58" w:rsidRPr="00112BF8" w:rsidRDefault="00D44A58" w:rsidP="00D44A58">
      <w:pPr>
        <w:numPr>
          <w:ilvl w:val="0"/>
          <w:numId w:val="25"/>
        </w:numPr>
      </w:pPr>
      <w:r w:rsidRPr="00112BF8">
        <w:t xml:space="preserve">We have employed the building block approach to determine </w:t>
      </w:r>
      <w:r w:rsidR="00847333">
        <w:t>Ergon Energy</w:t>
      </w:r>
      <w:r w:rsidRPr="00112BF8">
        <w:t>'s annual revenue requirement</w:t>
      </w:r>
      <w:r>
        <w:t xml:space="preserve"> </w:t>
      </w:r>
      <w:r w:rsidRPr="00112BF8">
        <w:t>The building block costs</w:t>
      </w:r>
      <w:r w:rsidR="00A774E1">
        <w:t xml:space="preserve">, as illustrated in figure 4, </w:t>
      </w:r>
      <w:r w:rsidRPr="00112BF8">
        <w:t>include:</w:t>
      </w:r>
      <w:r w:rsidR="00706E1F">
        <w:rPr>
          <w:rStyle w:val="FootnoteReference"/>
        </w:rPr>
        <w:footnoteReference w:id="22"/>
      </w:r>
    </w:p>
    <w:p w:rsidR="00D44A58" w:rsidRPr="00112BF8" w:rsidRDefault="00D44A58" w:rsidP="00D44A58">
      <w:pPr>
        <w:pStyle w:val="AERbulletlistfirststyle"/>
      </w:pPr>
      <w:r w:rsidRPr="00112BF8">
        <w:t>a return on the Regulatory Asset Base (RAB) (return on capital)</w:t>
      </w:r>
    </w:p>
    <w:p w:rsidR="00D44A58" w:rsidRPr="00112BF8" w:rsidRDefault="00D44A58" w:rsidP="00D44A58">
      <w:pPr>
        <w:pStyle w:val="AERbulletlistfirststyle"/>
      </w:pPr>
      <w:r w:rsidRPr="00112BF8">
        <w:t>depreciation of the RAB (return of capital)</w:t>
      </w:r>
    </w:p>
    <w:p w:rsidR="00D44A58" w:rsidRPr="00112BF8" w:rsidRDefault="00D44A58" w:rsidP="00D44A58">
      <w:pPr>
        <w:pStyle w:val="AERbulletlistfirststyle"/>
      </w:pPr>
      <w:r w:rsidRPr="00112BF8">
        <w:lastRenderedPageBreak/>
        <w:t xml:space="preserve">forecast </w:t>
      </w:r>
      <w:proofErr w:type="spellStart"/>
      <w:r w:rsidRPr="00112BF8">
        <w:t>opex</w:t>
      </w:r>
      <w:proofErr w:type="spellEnd"/>
    </w:p>
    <w:p w:rsidR="00D44A58" w:rsidRPr="00112BF8" w:rsidRDefault="00D44A58" w:rsidP="00D44A58">
      <w:pPr>
        <w:pStyle w:val="AERbulletlistfirststyle"/>
      </w:pPr>
      <w:r w:rsidRPr="00112BF8">
        <w:t>increments or decrements resulting from incentive schemes such as the efficiency benefit sharing scheme (EBSS)</w:t>
      </w:r>
    </w:p>
    <w:p w:rsidR="00D44A58" w:rsidRPr="00112BF8" w:rsidRDefault="00D44A58" w:rsidP="00D44A58">
      <w:pPr>
        <w:pStyle w:val="AERbulletlistfirststyle"/>
      </w:pPr>
      <w:proofErr w:type="gramStart"/>
      <w:r w:rsidRPr="00112BF8">
        <w:t>the</w:t>
      </w:r>
      <w:proofErr w:type="gramEnd"/>
      <w:r w:rsidRPr="00112BF8">
        <w:t xml:space="preserve"> estimated cost of corporate income tax. </w:t>
      </w:r>
    </w:p>
    <w:p w:rsidR="00D44A58" w:rsidRPr="00112BF8" w:rsidRDefault="00D44A58" w:rsidP="00D44A58">
      <w:pPr>
        <w:numPr>
          <w:ilvl w:val="0"/>
          <w:numId w:val="25"/>
        </w:numPr>
      </w:pPr>
      <w:r w:rsidRPr="00112BF8">
        <w:t xml:space="preserve">Our assessment of capex directly affects the size of the RAB and therefore, the revenue generated from the return on capital and return of capital building blocks. </w:t>
      </w:r>
    </w:p>
    <w:p w:rsidR="00D44A58" w:rsidRPr="00112BF8" w:rsidRDefault="00D44A58" w:rsidP="00D44A58">
      <w:pPr>
        <w:pStyle w:val="Caption"/>
      </w:pPr>
      <w:r w:rsidRPr="00112BF8">
        <w:t xml:space="preserve">Figure </w:t>
      </w:r>
      <w:r>
        <w:t>4</w:t>
      </w:r>
      <w:r w:rsidRPr="00112BF8">
        <w:tab/>
        <w:t>The building block approach for determining total revenue</w:t>
      </w:r>
    </w:p>
    <w:p w:rsidR="00D44A58" w:rsidRPr="00112BF8" w:rsidRDefault="00D44A58" w:rsidP="00D44A58">
      <w:r w:rsidRPr="00D44A58">
        <w:rPr>
          <w:noProof/>
          <w:lang w:eastAsia="en-AU"/>
        </w:rPr>
        <mc:AlternateContent>
          <mc:Choice Requires="wpc">
            <w:drawing>
              <wp:inline distT="0" distB="0" distL="0" distR="0" wp14:anchorId="03409448" wp14:editId="5F853CD6">
                <wp:extent cx="5410200" cy="3391535"/>
                <wp:effectExtent l="0" t="0" r="19050" b="56515"/>
                <wp:docPr id="35" name="Canvas 35" descr="Image outlining the bulding block model. The table's contents were described in the previous paragraph."/>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Text Box 34"/>
                        <wps:cNvSpPr txBox="1">
                          <a:spLocks noChangeArrowheads="1"/>
                        </wps:cNvSpPr>
                        <wps:spPr bwMode="auto">
                          <a:xfrm>
                            <a:off x="1491615" y="0"/>
                            <a:ext cx="2470150" cy="633730"/>
                          </a:xfrm>
                          <a:prstGeom prst="rect">
                            <a:avLst/>
                          </a:prstGeom>
                          <a:gradFill rotWithShape="0">
                            <a:gsLst>
                              <a:gs pos="0">
                                <a:srgbClr val="C00000">
                                  <a:alpha val="50000"/>
                                </a:srgbClr>
                              </a:gs>
                              <a:gs pos="100000">
                                <a:srgbClr val="C00000">
                                  <a:gamma/>
                                  <a:tint val="88235"/>
                                  <a:invGamma/>
                                </a:srgbClr>
                              </a:gs>
                            </a:gsLst>
                            <a:path path="shape">
                              <a:fillToRect l="50000" t="50000" r="50000" b="50000"/>
                            </a:path>
                          </a:gradFill>
                          <a:ln w="0">
                            <a:solidFill>
                              <a:srgbClr val="C00000"/>
                            </a:solidFill>
                            <a:miter lim="800000"/>
                            <a:headEnd/>
                            <a:tailEnd/>
                          </a:ln>
                          <a:effectLst>
                            <a:outerShdw dist="28398" dir="3806097" algn="ctr" rotWithShape="0">
                              <a:srgbClr val="622423"/>
                            </a:outerShdw>
                          </a:effectLst>
                        </wps:spPr>
                        <wps:txbx>
                          <w:txbxContent>
                            <w:p w:rsidR="00EE7E7C" w:rsidRPr="001C2CD9" w:rsidRDefault="00EE7E7C" w:rsidP="00D44A58">
                              <w:pPr>
                                <w:shd w:val="clear" w:color="auto" w:fill="C00000"/>
                                <w:rPr>
                                  <w:rFonts w:ascii="Calibri" w:hAnsi="Calibri"/>
                                  <w:b/>
                                  <w:color w:val="FFFFFF"/>
                                </w:rPr>
                              </w:pPr>
                              <w:r w:rsidRPr="00E4098A">
                                <w:rPr>
                                  <w:rFonts w:ascii="Calibri" w:hAnsi="Calibri"/>
                                  <w:color w:val="FFFFFF"/>
                                </w:rPr>
                                <w:t xml:space="preserve">Return on capital </w:t>
                              </w:r>
                              <w:r>
                                <w:rPr>
                                  <w:rFonts w:ascii="Calibri" w:hAnsi="Calibri"/>
                                  <w:color w:val="FFFFFF"/>
                                </w:rPr>
                                <w:t xml:space="preserve">(forecast RAB </w:t>
                              </w:r>
                              <w:r w:rsidRPr="00E4098A">
                                <w:rPr>
                                  <w:rFonts w:ascii="Calibri" w:hAnsi="Calibri"/>
                                  <w:color w:val="FFFFFF"/>
                                </w:rPr>
                                <w:t>× cost of capital)</w:t>
                              </w:r>
                            </w:p>
                          </w:txbxContent>
                        </wps:txbx>
                        <wps:bodyPr rot="0" vert="horz" wrap="square" lIns="91440" tIns="45720" rIns="91440" bIns="45720" anchor="t" anchorCtr="0" upright="1">
                          <a:noAutofit/>
                        </wps:bodyPr>
                      </wps:wsp>
                      <wps:wsp>
                        <wps:cNvPr id="4" name="Text Box 35"/>
                        <wps:cNvSpPr txBox="1">
                          <a:spLocks noChangeArrowheads="1"/>
                        </wps:cNvSpPr>
                        <wps:spPr bwMode="auto">
                          <a:xfrm>
                            <a:off x="1491615" y="688975"/>
                            <a:ext cx="2470150" cy="633730"/>
                          </a:xfrm>
                          <a:prstGeom prst="rect">
                            <a:avLst/>
                          </a:prstGeom>
                          <a:gradFill rotWithShape="0">
                            <a:gsLst>
                              <a:gs pos="0">
                                <a:srgbClr val="C0504D"/>
                              </a:gs>
                              <a:gs pos="50000">
                                <a:srgbClr val="C0504D">
                                  <a:gamma/>
                                  <a:tint val="97647"/>
                                  <a:invGamma/>
                                </a:srgbClr>
                              </a:gs>
                              <a:gs pos="100000">
                                <a:srgbClr val="C0504D"/>
                              </a:gs>
                            </a:gsLst>
                            <a:lin ang="5400000" scaled="1"/>
                          </a:gradFill>
                          <a:ln w="12700">
                            <a:solidFill>
                              <a:srgbClr val="D99594"/>
                            </a:solidFill>
                            <a:miter lim="800000"/>
                            <a:headEnd/>
                            <a:tailEnd/>
                          </a:ln>
                          <a:effectLst>
                            <a:outerShdw dist="28398" dir="3806097" algn="ctr" rotWithShape="0">
                              <a:srgbClr val="622423"/>
                            </a:outerShdw>
                          </a:effectLst>
                        </wps:spPr>
                        <wps:txbx>
                          <w:txbxContent>
                            <w:p w:rsidR="00EE7E7C" w:rsidRPr="00E4098A" w:rsidRDefault="00EE7E7C" w:rsidP="00D44A58">
                              <w:pPr>
                                <w:rPr>
                                  <w:rFonts w:ascii="Calibri" w:hAnsi="Calibri"/>
                                  <w:color w:val="FFFFFF"/>
                                </w:rPr>
                              </w:pPr>
                              <w:r w:rsidRPr="00E4098A">
                                <w:rPr>
                                  <w:rFonts w:ascii="Calibri" w:hAnsi="Calibri"/>
                                  <w:color w:val="FFFFFF"/>
                                </w:rPr>
                                <w:t>Regulatory depreciation (depreciation net of indexation</w:t>
                              </w:r>
                              <w:r>
                                <w:t xml:space="preserve"> </w:t>
                              </w:r>
                              <w:r w:rsidRPr="00E4098A">
                                <w:rPr>
                                  <w:rFonts w:ascii="Calibri" w:hAnsi="Calibri"/>
                                  <w:color w:val="FFFFFF"/>
                                </w:rPr>
                                <w:t xml:space="preserve">applied </w:t>
                              </w:r>
                              <w:r w:rsidRPr="005C20A9">
                                <w:rPr>
                                  <w:color w:val="FFFFFF" w:themeColor="background1"/>
                                </w:rPr>
                                <w:t xml:space="preserve">to </w:t>
                              </w:r>
                              <w:r>
                                <w:rPr>
                                  <w:rFonts w:ascii="Calibri" w:hAnsi="Calibri"/>
                                  <w:color w:val="FFFFFF"/>
                                </w:rPr>
                                <w:t>RAB</w:t>
                              </w:r>
                              <w:r w:rsidRPr="00E4098A">
                                <w:rPr>
                                  <w:rFonts w:ascii="Calibri" w:hAnsi="Calibri"/>
                                  <w:color w:val="FFFFFF"/>
                                </w:rPr>
                                <w:t>)</w:t>
                              </w:r>
                            </w:p>
                          </w:txbxContent>
                        </wps:txbx>
                        <wps:bodyPr rot="0" vert="horz" wrap="square" lIns="91440" tIns="45720" rIns="91440" bIns="45720" anchor="t" anchorCtr="0" upright="1">
                          <a:noAutofit/>
                        </wps:bodyPr>
                      </wps:wsp>
                      <wps:wsp>
                        <wps:cNvPr id="5" name="Text Box 36"/>
                        <wps:cNvSpPr txBox="1">
                          <a:spLocks noChangeArrowheads="1"/>
                        </wps:cNvSpPr>
                        <wps:spPr bwMode="auto">
                          <a:xfrm>
                            <a:off x="1491615" y="2757805"/>
                            <a:ext cx="2470150" cy="633730"/>
                          </a:xfrm>
                          <a:prstGeom prst="rect">
                            <a:avLst/>
                          </a:prstGeom>
                          <a:gradFill rotWithShape="0">
                            <a:gsLst>
                              <a:gs pos="0">
                                <a:srgbClr val="76923C"/>
                              </a:gs>
                              <a:gs pos="100000">
                                <a:srgbClr val="76923C">
                                  <a:gamma/>
                                  <a:shade val="97647"/>
                                  <a:invGamma/>
                                </a:srgbClr>
                              </a:gs>
                            </a:gsLst>
                            <a:lin ang="5400000" scaled="1"/>
                          </a:gradFill>
                          <a:ln w="12700">
                            <a:solidFill>
                              <a:srgbClr val="548DD4"/>
                            </a:solidFill>
                            <a:miter lim="800000"/>
                            <a:headEnd/>
                            <a:tailEnd/>
                          </a:ln>
                          <a:effectLst>
                            <a:outerShdw dist="28398" dir="3806097" algn="ctr" rotWithShape="0">
                              <a:srgbClr val="622423">
                                <a:alpha val="50000"/>
                              </a:srgbClr>
                            </a:outerShdw>
                          </a:effectLst>
                        </wps:spPr>
                        <wps:txbx>
                          <w:txbxContent>
                            <w:p w:rsidR="00EE7E7C" w:rsidRDefault="00EE7E7C" w:rsidP="00D44A58">
                              <w:pPr>
                                <w:spacing w:after="200"/>
                                <w:rPr>
                                  <w:rStyle w:val="AERbody"/>
                                </w:rPr>
                              </w:pPr>
                              <w:r w:rsidRPr="007F7192">
                                <w:rPr>
                                  <w:rStyle w:val="AERbody"/>
                                  <w:color w:val="FFFFFF"/>
                                </w:rPr>
                                <w:t>Corporate income tax (net of value of imputation credits)</w:t>
                              </w:r>
                            </w:p>
                            <w:p w:rsidR="00EE7E7C" w:rsidRPr="007F7192" w:rsidRDefault="00EE7E7C" w:rsidP="00D44A58">
                              <w:pPr>
                                <w:spacing w:after="200"/>
                                <w:rPr>
                                  <w:rStyle w:val="AERbody"/>
                                  <w:color w:val="FFFFFF"/>
                                </w:rPr>
                              </w:pPr>
                              <w:r w:rsidRPr="007F7192">
                                <w:rPr>
                                  <w:rStyle w:val="AERbody"/>
                                  <w:color w:val="FFFFFF"/>
                                </w:rPr>
                                <w:br/>
                              </w:r>
                            </w:p>
                          </w:txbxContent>
                        </wps:txbx>
                        <wps:bodyPr rot="0" vert="horz" wrap="square" lIns="91440" tIns="45720" rIns="91440" bIns="45720" anchor="t" anchorCtr="0" upright="1">
                          <a:noAutofit/>
                        </wps:bodyPr>
                      </wps:wsp>
                      <wps:wsp>
                        <wps:cNvPr id="7" name="Line 37"/>
                        <wps:cNvCnPr/>
                        <wps:spPr bwMode="auto">
                          <a:xfrm>
                            <a:off x="4051935" y="0"/>
                            <a:ext cx="34480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Line 38"/>
                        <wps:cNvCnPr/>
                        <wps:spPr bwMode="auto">
                          <a:xfrm>
                            <a:off x="4051935" y="3332480"/>
                            <a:ext cx="34480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 name="Line 39"/>
                        <wps:cNvCnPr/>
                        <wps:spPr bwMode="auto">
                          <a:xfrm>
                            <a:off x="4396740" y="0"/>
                            <a:ext cx="0" cy="33331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Line 40"/>
                        <wps:cNvCnPr/>
                        <wps:spPr bwMode="auto">
                          <a:xfrm flipH="1">
                            <a:off x="1063625" y="0"/>
                            <a:ext cx="34480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Line 41"/>
                        <wps:cNvCnPr/>
                        <wps:spPr bwMode="auto">
                          <a:xfrm flipH="1">
                            <a:off x="1063625" y="1379220"/>
                            <a:ext cx="34480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Line 42"/>
                        <wps:cNvCnPr/>
                        <wps:spPr bwMode="auto">
                          <a:xfrm>
                            <a:off x="1063625" y="0"/>
                            <a:ext cx="0" cy="13792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Text Box 43"/>
                        <wps:cNvSpPr txBox="1">
                          <a:spLocks noChangeArrowheads="1"/>
                        </wps:cNvSpPr>
                        <wps:spPr bwMode="auto">
                          <a:xfrm>
                            <a:off x="0" y="407034"/>
                            <a:ext cx="1026795" cy="488315"/>
                          </a:xfrm>
                          <a:prstGeom prst="rect">
                            <a:avLst/>
                          </a:prstGeom>
                          <a:solidFill>
                            <a:srgbClr val="FFFFFF"/>
                          </a:solidFill>
                          <a:ln w="9525">
                            <a:solidFill>
                              <a:srgbClr val="FFFFFF"/>
                            </a:solidFill>
                            <a:miter lim="800000"/>
                            <a:headEnd/>
                            <a:tailEnd/>
                          </a:ln>
                        </wps:spPr>
                        <wps:txbx>
                          <w:txbxContent>
                            <w:p w:rsidR="00EE7E7C" w:rsidRPr="002569F7" w:rsidRDefault="00EE7E7C" w:rsidP="00D44A58">
                              <w:pPr>
                                <w:rPr>
                                  <w:rFonts w:ascii="Calibri" w:hAnsi="Calibri"/>
                                </w:rPr>
                              </w:pPr>
                              <w:r w:rsidRPr="002569F7">
                                <w:rPr>
                                  <w:rFonts w:ascii="Calibri" w:hAnsi="Calibri"/>
                                </w:rPr>
                                <w:t>Capital costs</w:t>
                              </w:r>
                            </w:p>
                          </w:txbxContent>
                        </wps:txbx>
                        <wps:bodyPr rot="0" vert="horz" wrap="square" lIns="91440" tIns="45720" rIns="91440" bIns="45720" anchor="t" anchorCtr="0" upright="1">
                          <a:noAutofit/>
                        </wps:bodyPr>
                      </wps:wsp>
                      <wps:wsp>
                        <wps:cNvPr id="25" name="Text Box 44"/>
                        <wps:cNvSpPr txBox="1">
                          <a:spLocks noChangeArrowheads="1"/>
                        </wps:cNvSpPr>
                        <wps:spPr bwMode="auto">
                          <a:xfrm>
                            <a:off x="1491615" y="1379855"/>
                            <a:ext cx="2470150" cy="633730"/>
                          </a:xfrm>
                          <a:prstGeom prst="rect">
                            <a:avLst/>
                          </a:prstGeom>
                          <a:gradFill rotWithShape="0">
                            <a:gsLst>
                              <a:gs pos="0">
                                <a:srgbClr val="365F91"/>
                              </a:gs>
                              <a:gs pos="100000">
                                <a:srgbClr val="365F91"/>
                              </a:gs>
                            </a:gsLst>
                            <a:lin ang="5400000" scaled="1"/>
                          </a:gradFill>
                          <a:ln w="12700">
                            <a:solidFill>
                              <a:srgbClr val="365F91"/>
                            </a:solidFill>
                            <a:miter lim="800000"/>
                            <a:headEnd/>
                            <a:tailEnd/>
                          </a:ln>
                          <a:effectLst>
                            <a:outerShdw dist="28398" dir="3806097" algn="ctr" rotWithShape="0">
                              <a:srgbClr val="3F3151">
                                <a:alpha val="50000"/>
                              </a:srgbClr>
                            </a:outerShdw>
                          </a:effectLst>
                        </wps:spPr>
                        <wps:txbx>
                          <w:txbxContent>
                            <w:p w:rsidR="00EE7E7C" w:rsidRPr="008D2606" w:rsidRDefault="00EE7E7C" w:rsidP="00D44A58">
                              <w:pPr>
                                <w:spacing w:after="200"/>
                                <w:rPr>
                                  <w:rFonts w:ascii="Calibri" w:hAnsi="Calibri"/>
                                  <w:color w:val="FFFFFF"/>
                                </w:rPr>
                              </w:pPr>
                              <w:r w:rsidRPr="008D2606">
                                <w:rPr>
                                  <w:rFonts w:ascii="Calibri" w:hAnsi="Calibri"/>
                                  <w:color w:val="FFFFFF"/>
                                </w:rPr>
                                <w:t xml:space="preserve">Operating </w:t>
                              </w:r>
                              <w:r w:rsidRPr="00664FB1">
                                <w:rPr>
                                  <w:rFonts w:ascii="Calibri" w:hAnsi="Calibri"/>
                                  <w:color w:val="FFFFFF"/>
                                </w:rPr>
                                <w:t>expenditure (</w:t>
                              </w:r>
                              <w:proofErr w:type="spellStart"/>
                              <w:r w:rsidRPr="00664FB1">
                                <w:rPr>
                                  <w:rFonts w:ascii="Calibri" w:hAnsi="Calibri"/>
                                  <w:color w:val="FFFFFF"/>
                                </w:rPr>
                                <w:t>opex</w:t>
                              </w:r>
                              <w:proofErr w:type="spellEnd"/>
                              <w:r w:rsidRPr="00664FB1">
                                <w:rPr>
                                  <w:rFonts w:ascii="Calibri" w:hAnsi="Calibri"/>
                                  <w:color w:val="FFFFFF"/>
                                </w:rPr>
                                <w:t>)</w:t>
                              </w:r>
                              <w:r>
                                <w:t xml:space="preserve"> </w:t>
                              </w:r>
                            </w:p>
                            <w:p w:rsidR="00EE7E7C" w:rsidRPr="004414F4" w:rsidRDefault="00EE7E7C" w:rsidP="00D44A58">
                              <w:pPr>
                                <w:rPr>
                                  <w:color w:val="FFFFFF"/>
                                </w:rPr>
                              </w:pPr>
                            </w:p>
                          </w:txbxContent>
                        </wps:txbx>
                        <wps:bodyPr rot="0" vert="horz" wrap="square" lIns="91440" tIns="45720" rIns="91440" bIns="45720" anchor="t" anchorCtr="0" upright="1">
                          <a:noAutofit/>
                        </wps:bodyPr>
                      </wps:wsp>
                      <wps:wsp>
                        <wps:cNvPr id="26" name="Text Box 45"/>
                        <wps:cNvSpPr txBox="1">
                          <a:spLocks noChangeArrowheads="1"/>
                        </wps:cNvSpPr>
                        <wps:spPr bwMode="auto">
                          <a:xfrm>
                            <a:off x="1491615" y="2075815"/>
                            <a:ext cx="2470150" cy="633730"/>
                          </a:xfrm>
                          <a:prstGeom prst="rect">
                            <a:avLst/>
                          </a:prstGeom>
                          <a:gradFill rotWithShape="0">
                            <a:gsLst>
                              <a:gs pos="0">
                                <a:srgbClr val="548DD4"/>
                              </a:gs>
                              <a:gs pos="100000">
                                <a:srgbClr val="548DD4"/>
                              </a:gs>
                            </a:gsLst>
                            <a:lin ang="5400000" scaled="1"/>
                          </a:gradFill>
                          <a:ln w="12700">
                            <a:solidFill>
                              <a:srgbClr val="76923C"/>
                            </a:solidFill>
                            <a:miter lim="800000"/>
                            <a:headEnd/>
                            <a:tailEnd/>
                          </a:ln>
                          <a:effectLst>
                            <a:outerShdw dist="28398" dir="3806097" algn="ctr" rotWithShape="0">
                              <a:srgbClr val="205867">
                                <a:alpha val="50000"/>
                              </a:srgbClr>
                            </a:outerShdw>
                          </a:effectLst>
                        </wps:spPr>
                        <wps:txbx>
                          <w:txbxContent>
                            <w:p w:rsidR="00EE7E7C" w:rsidRPr="008D2606" w:rsidRDefault="00EE7E7C" w:rsidP="00D44A58">
                              <w:pPr>
                                <w:spacing w:after="200"/>
                                <w:rPr>
                                  <w:rFonts w:ascii="Calibri" w:hAnsi="Calibri"/>
                                  <w:color w:val="FFFFFF"/>
                                </w:rPr>
                              </w:pPr>
                              <w:r w:rsidRPr="008D2606">
                                <w:rPr>
                                  <w:rFonts w:ascii="Calibri" w:hAnsi="Calibri"/>
                                  <w:color w:val="FFFFFF"/>
                                </w:rPr>
                                <w:t>Efficiency benefit sharing scheme</w:t>
                              </w:r>
                              <w:r>
                                <w:rPr>
                                  <w:rFonts w:ascii="Calibri" w:hAnsi="Calibri"/>
                                  <w:color w:val="FFFFFF"/>
                                </w:rPr>
                                <w:t xml:space="preserve"> (EBSS)</w:t>
                              </w:r>
                              <w:r>
                                <w:t xml:space="preserve"> </w:t>
                              </w:r>
                              <w:r w:rsidRPr="008D2606">
                                <w:rPr>
                                  <w:rFonts w:ascii="Calibri" w:hAnsi="Calibri"/>
                                  <w:color w:val="FFFFFF"/>
                                </w:rPr>
                                <w:t>(increment or decrement)</w:t>
                              </w:r>
                            </w:p>
                            <w:p w:rsidR="00EE7E7C" w:rsidRPr="00F51767" w:rsidRDefault="00EE7E7C" w:rsidP="00D44A58"/>
                          </w:txbxContent>
                        </wps:txbx>
                        <wps:bodyPr rot="0" vert="horz" wrap="square" lIns="91440" tIns="45720" rIns="91440" bIns="45720" anchor="t" anchorCtr="0" upright="1">
                          <a:noAutofit/>
                        </wps:bodyPr>
                      </wps:wsp>
                      <wps:wsp>
                        <wps:cNvPr id="27" name="Text Box 46"/>
                        <wps:cNvSpPr txBox="1">
                          <a:spLocks noChangeArrowheads="1"/>
                        </wps:cNvSpPr>
                        <wps:spPr bwMode="auto">
                          <a:xfrm>
                            <a:off x="4514850" y="1579880"/>
                            <a:ext cx="895350" cy="314325"/>
                          </a:xfrm>
                          <a:prstGeom prst="rect">
                            <a:avLst/>
                          </a:prstGeom>
                          <a:solidFill>
                            <a:srgbClr val="FFFFFF"/>
                          </a:solidFill>
                          <a:ln w="9525">
                            <a:solidFill>
                              <a:schemeClr val="bg1">
                                <a:lumMod val="100000"/>
                                <a:lumOff val="0"/>
                              </a:schemeClr>
                            </a:solidFill>
                            <a:miter lim="800000"/>
                            <a:headEnd/>
                            <a:tailEnd/>
                          </a:ln>
                        </wps:spPr>
                        <wps:txbx>
                          <w:txbxContent>
                            <w:p w:rsidR="00EE7E7C" w:rsidRPr="00E91FF0" w:rsidRDefault="00EE7E7C" w:rsidP="00D44A58">
                              <w:pPr>
                                <w:pStyle w:val="AERtabletextleft"/>
                              </w:pPr>
                              <w:r w:rsidRPr="00E91FF0">
                                <w:t xml:space="preserve">Total </w:t>
                              </w:r>
                              <w:r>
                                <w:t>r</w:t>
                              </w:r>
                              <w:r w:rsidRPr="00E91FF0">
                                <w:t>evenue</w:t>
                              </w:r>
                            </w:p>
                            <w:p w:rsidR="00EE7E7C" w:rsidRDefault="00EE7E7C" w:rsidP="00D44A58"/>
                          </w:txbxContent>
                        </wps:txbx>
                        <wps:bodyPr rot="0" vert="horz" wrap="square" lIns="91440" tIns="45720" rIns="91440" bIns="45720" anchor="t" anchorCtr="0" upright="1">
                          <a:noAutofit/>
                        </wps:bodyPr>
                      </wps:wsp>
                    </wpc:wpc>
                  </a:graphicData>
                </a:graphic>
              </wp:inline>
            </w:drawing>
          </mc:Choice>
          <mc:Fallback>
            <w:pict>
              <v:group id="Canvas 35" o:spid="_x0000_s1026" editas="canvas" alt="Image outlining the bulding block model. The table's contents were described in the previous paragraph." style="width:426pt;height:267.05pt;mso-position-horizontal-relative:char;mso-position-vertical-relative:line" coordsize="54102,33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Image outlining the bulding block model. The table's contents were described in the previous paragraph." style="position:absolute;width:54102;height:33915;visibility:visible;mso-wrap-style:square">
                  <v:fill o:detectmouseclick="t"/>
                  <v:path o:connecttype="none"/>
                </v:shape>
                <v:shapetype id="_x0000_t202" coordsize="21600,21600" o:spt="202" path="m,l,21600r21600,l21600,xe">
                  <v:stroke joinstyle="miter"/>
                  <v:path gradientshapeok="t" o:connecttype="rect"/>
                </v:shapetype>
                <v:shape id="Text Box 34" o:spid="_x0000_s1028" type="#_x0000_t202" style="position:absolute;left:14916;width:24701;height:63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v4p8QA&#10;AADaAAAADwAAAGRycy9kb3ducmV2LnhtbESPQWsCMRCF74L/IYzQi9RsbStlNYoIQqFYrJaCt2Ez&#10;bmI3k2WTrtt/bwTB0zC89715M1t0rhItNcF6VvA0ykAQF15bLhV879ePbyBCRNZYeSYF/xRgMe/3&#10;Zphrf+YvanexFCmEQ44KTIx1LmUoDDkMI18TJ+3oG4cxrU0pdYPnFO4qOc6yiXRoOV0wWNPKUPG7&#10;+3Opxut22R5WJuBw8/P88nmyFD+sUg+DbjkFEamLd/ONfteJg+sr1ynn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8b+KfEAAAA2gAAAA8AAAAAAAAAAAAAAAAAmAIAAGRycy9k&#10;b3ducmV2LnhtbFBLBQYAAAAABAAEAPUAAACJAwAAAAA=&#10;" fillcolor="#c00000" strokecolor="#c00000" strokeweight="0">
                  <v:fill opacity=".5" color2="#c71e1e" focusposition=".5,.5" focussize="" focus="100%" type="gradientRadial"/>
                  <v:shadow on="t" color="#622423" offset="1pt"/>
                  <v:textbox>
                    <w:txbxContent>
                      <w:p w:rsidR="00EE7E7C" w:rsidRPr="001C2CD9" w:rsidRDefault="00EE7E7C" w:rsidP="00D44A58">
                        <w:pPr>
                          <w:shd w:val="clear" w:color="auto" w:fill="C00000"/>
                          <w:rPr>
                            <w:rFonts w:ascii="Calibri" w:hAnsi="Calibri"/>
                            <w:b/>
                            <w:color w:val="FFFFFF"/>
                          </w:rPr>
                        </w:pPr>
                        <w:r w:rsidRPr="00E4098A">
                          <w:rPr>
                            <w:rFonts w:ascii="Calibri" w:hAnsi="Calibri"/>
                            <w:color w:val="FFFFFF"/>
                          </w:rPr>
                          <w:t xml:space="preserve">Return on capital </w:t>
                        </w:r>
                        <w:r>
                          <w:rPr>
                            <w:rFonts w:ascii="Calibri" w:hAnsi="Calibri"/>
                            <w:color w:val="FFFFFF"/>
                          </w:rPr>
                          <w:t xml:space="preserve">(forecast RAB </w:t>
                        </w:r>
                        <w:r w:rsidRPr="00E4098A">
                          <w:rPr>
                            <w:rFonts w:ascii="Calibri" w:hAnsi="Calibri"/>
                            <w:color w:val="FFFFFF"/>
                          </w:rPr>
                          <w:t>× cost of capital)</w:t>
                        </w:r>
                      </w:p>
                    </w:txbxContent>
                  </v:textbox>
                </v:shape>
                <v:shape id="Text Box 35" o:spid="_x0000_s1029" type="#_x0000_t202" style="position:absolute;left:14916;top:6889;width:24701;height:63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25lcQA&#10;AADaAAAADwAAAGRycy9kb3ducmV2LnhtbESPQWvCQBSE7wX/w/IK3urGIlWjq1il1EsFo+D1kX1m&#10;Y7NvQ3Y1qb++KxR6HGbmG2a+7GwlbtT40rGC4SABQZw7XXKh4Hj4eJmA8AFZY+WYFPyQh+Wi9zTH&#10;VLuW93TLQiEihH2KCkwIdSqlzw1Z9ANXE0fv7BqLIcqmkLrBNsJtJV+T5E1aLDkuGKxpbSj/zq5W&#10;wXV8TIb5ZfNlpqfP3SjjbnNv35XqP3erGYhAXfgP/7W3WsEIHlfiDZC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f9uZXEAAAA2gAAAA8AAAAAAAAAAAAAAAAAmAIAAGRycy9k&#10;b3ducmV2LnhtbFBLBQYAAAAABAAEAPUAAACJAwAAAAA=&#10;" fillcolor="#c0504d" strokecolor="#d99594" strokeweight="1pt">
                  <v:fill color2="#c15451" focus="50%" type="gradient"/>
                  <v:shadow on="t" color="#622423" offset="1pt"/>
                  <v:textbox>
                    <w:txbxContent>
                      <w:p w:rsidR="00EE7E7C" w:rsidRPr="00E4098A" w:rsidRDefault="00EE7E7C" w:rsidP="00D44A58">
                        <w:pPr>
                          <w:rPr>
                            <w:rFonts w:ascii="Calibri" w:hAnsi="Calibri"/>
                            <w:color w:val="FFFFFF"/>
                          </w:rPr>
                        </w:pPr>
                        <w:r w:rsidRPr="00E4098A">
                          <w:rPr>
                            <w:rFonts w:ascii="Calibri" w:hAnsi="Calibri"/>
                            <w:color w:val="FFFFFF"/>
                          </w:rPr>
                          <w:t>Regulatory depreciation (depreciation net of indexation</w:t>
                        </w:r>
                        <w:r>
                          <w:t xml:space="preserve"> </w:t>
                        </w:r>
                        <w:r w:rsidRPr="00E4098A">
                          <w:rPr>
                            <w:rFonts w:ascii="Calibri" w:hAnsi="Calibri"/>
                            <w:color w:val="FFFFFF"/>
                          </w:rPr>
                          <w:t xml:space="preserve">applied </w:t>
                        </w:r>
                        <w:r w:rsidRPr="005C20A9">
                          <w:rPr>
                            <w:color w:val="FFFFFF" w:themeColor="background1"/>
                          </w:rPr>
                          <w:t xml:space="preserve">to </w:t>
                        </w:r>
                        <w:r>
                          <w:rPr>
                            <w:rFonts w:ascii="Calibri" w:hAnsi="Calibri"/>
                            <w:color w:val="FFFFFF"/>
                          </w:rPr>
                          <w:t>RAB</w:t>
                        </w:r>
                        <w:r w:rsidRPr="00E4098A">
                          <w:rPr>
                            <w:rFonts w:ascii="Calibri" w:hAnsi="Calibri"/>
                            <w:color w:val="FFFFFF"/>
                          </w:rPr>
                          <w:t>)</w:t>
                        </w:r>
                      </w:p>
                    </w:txbxContent>
                  </v:textbox>
                </v:shape>
                <v:shape id="Text Box 36" o:spid="_x0000_s1030" type="#_x0000_t202" style="position:absolute;left:14916;top:27578;width:24701;height:63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eBfcYA&#10;AADaAAAADwAAAGRycy9kb3ducmV2LnhtbESPQWsCMRSE74X+h/AKvRTNWluV1SilICzWS22LHp+b&#10;525087Jsoq7+elMo9DjMzDfMZNbaSpyo8caxgl43AUGcO224UPD9Ne+MQPiArLFyTAou5GE2vb+b&#10;YKrdmT/ptAqFiBD2KSooQ6hTKX1ekkXfdTVx9HausRiibAqpGzxHuK3kc5IMpEXDcaHEmt5Lyg+r&#10;o1VwfcqGHyZbbF9qOTfr/m6/+VnulXp8aN/GIAK14T/81860glf4vRJvgJ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1eBfcYAAADaAAAADwAAAAAAAAAAAAAAAACYAgAAZHJz&#10;L2Rvd25yZXYueG1sUEsFBgAAAAAEAAQA9QAAAIsDAAAAAA==&#10;" fillcolor="#76923c" strokecolor="#548dd4" strokeweight="1pt">
                  <v:fill color2="#738f3b" focus="100%" type="gradient"/>
                  <v:shadow on="t" color="#622423" opacity=".5" offset="1pt"/>
                  <v:textbox>
                    <w:txbxContent>
                      <w:p w:rsidR="00EE7E7C" w:rsidRDefault="00EE7E7C" w:rsidP="00D44A58">
                        <w:pPr>
                          <w:spacing w:after="200"/>
                          <w:rPr>
                            <w:rStyle w:val="AERbody"/>
                          </w:rPr>
                        </w:pPr>
                        <w:r w:rsidRPr="007F7192">
                          <w:rPr>
                            <w:rStyle w:val="AERbody"/>
                            <w:color w:val="FFFFFF"/>
                          </w:rPr>
                          <w:t>Corporate income tax (net of value of imputation credits)</w:t>
                        </w:r>
                      </w:p>
                      <w:p w:rsidR="00EE7E7C" w:rsidRPr="007F7192" w:rsidRDefault="00EE7E7C" w:rsidP="00D44A58">
                        <w:pPr>
                          <w:spacing w:after="200"/>
                          <w:rPr>
                            <w:rStyle w:val="AERbody"/>
                            <w:color w:val="FFFFFF"/>
                          </w:rPr>
                        </w:pPr>
                        <w:r w:rsidRPr="007F7192">
                          <w:rPr>
                            <w:rStyle w:val="AERbody"/>
                            <w:color w:val="FFFFFF"/>
                          </w:rPr>
                          <w:br/>
                        </w:r>
                      </w:p>
                    </w:txbxContent>
                  </v:textbox>
                </v:shape>
                <v:line id="Line 37" o:spid="_x0000_s1031" style="position:absolute;visibility:visible;mso-wrap-style:square" from="40519,0" to="439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line id="Line 38" o:spid="_x0000_s1032" style="position:absolute;visibility:visible;mso-wrap-style:square" from="40519,33324" to="43967,33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ELiMYAAADbAAAADwAAAGRycy9kb3ducmV2LnhtbESPQUvDQBCF74L/YRmhN7vRQiix21IU&#10;oe2h2CrocZodk2h2Nuxuk/TfO4eCtxnem/e+WaxG16qeQmw8G3iYZqCIS28brgx8vL/ez0HFhGyx&#10;9UwGLhRhtby9WWBh/cAH6o+pUhLCsUADdUpdoXUsa3IYp74jFu3bB4dJ1lBpG3CQcNfqxyzLtcOG&#10;paHGjp5rKn+PZ2dgP3vL+/V2txk/t/mpfDmcvn6GYMzkblw/gUo0pn/z9XpjBV/o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shC4jGAAAA2wAAAA8AAAAAAAAA&#10;AAAAAAAAoQIAAGRycy9kb3ducmV2LnhtbFBLBQYAAAAABAAEAPkAAACUAwAAAAA=&#10;"/>
                <v:line id="Line 39" o:spid="_x0000_s1033" style="position:absolute;visibility:visible;mso-wrap-style:square" from="43967,0" to="43967,33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8wZMMAAADbAAAADwAAAGRycy9kb3ducmV2LnhtbERPTWvCQBC9C/6HZYTedKOFUKKriFLQ&#10;Hkq1gh7H7JhEs7Nhd5uk/75bKPQ2j/c5i1VvatGS85VlBdNJAoI4t7riQsHp83X8AsIHZI21ZVLw&#10;TR5Wy+FggZm2HR+oPYZCxBD2GSooQ2gyKX1ekkE/sQ1x5G7WGQwRukJqh10MN7WcJUkqDVYcG0ps&#10;aFNS/jh+GQXv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S/MGTDAAAA2wAAAA8AAAAAAAAAAAAA&#10;AAAAoQIAAGRycy9kb3ducmV2LnhtbFBLBQYAAAAABAAEAPkAAACRAwAAAAA=&#10;"/>
                <v:line id="Line 40" o:spid="_x0000_s1034" style="position:absolute;flip:x;visibility:visible;mso-wrap-style:square" from="10636,0" to="1408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5G8FMMAAADbAAAADwAAAGRycy9kb3ducmV2LnhtbERPTWsCMRC9F/wPYYReSs3aFrGrUUQQ&#10;PHipykpv0824WXYzWZOo23/fFAq9zeN9znzZ21bcyIfasYLxKANBXDpdc6XgeNg8T0GEiKyxdUwK&#10;vinAcjF4mGOu3Z0/6LaPlUghHHJUYGLscilDachiGLmOOHFn5y3GBH0ltcd7CretfMmyibRYc2ow&#10;2NHaUNnsr1aBnO6eLn719dYUzen0boqy6D53Sj0O+9UMRKQ+/ov/3Fud5r/C7y/pALn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eRvBTDAAAA2wAAAA8AAAAAAAAAAAAA&#10;AAAAoQIAAGRycy9kb3ducmV2LnhtbFBLBQYAAAAABAAEAPkAAACRAwAAAAA=&#10;"/>
                <v:line id="Line 41" o:spid="_x0000_s1035" style="position:absolute;flip:x;visibility:visible;mso-wrap-style:square" from="10636,13792" to="14084,137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Kq6F8MAAADbAAAADwAAAGRycy9kb3ducmV2LnhtbERPTWsCMRC9F/wPYYReSs1aSrWrUUQQ&#10;PHipykpv0824WXYzWZOo23/fFAq9zeN9znzZ21bcyIfasYLxKANBXDpdc6XgeNg8T0GEiKyxdUwK&#10;vinAcjF4mGOu3Z0/6LaPlUghHHJUYGLscilDachiGLmOOHFn5y3GBH0ltcd7CretfMmyN2mx5tRg&#10;sKO1obLZX60COd09Xfzq67UpmtPp3RRl0X3ulHoc9qsZiEh9/Bf/ubc6zZ/A7y/pALn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iquhfDAAAA2wAAAA8AAAAAAAAAAAAA&#10;AAAAoQIAAGRycy9kb3ducmV2LnhtbFBLBQYAAAAABAAEAPkAAACRAwAAAAA=&#10;"/>
                <v:line id="Line 42" o:spid="_x0000_s1036" style="position:absolute;visibility:visible;mso-wrap-style:square" from="10636,0" to="10636,137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shape id="Text Box 43" o:spid="_x0000_s1037" type="#_x0000_t202" style="position:absolute;top:4070;width:10267;height:48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oKiMMA&#10;AADbAAAADwAAAGRycy9kb3ducmV2LnhtbESPQWvCQBSE74X+h+UJXkrdNJQiqWsIUtFrrBdvj+wz&#10;CWbfJtmtSfz1bkHwOMzMN8wqHU0jrtS72rKCj0UEgriwuuZSwfF3+74E4TyyxsYyKZjIQbp+fVlh&#10;ou3AOV0PvhQBwi5BBZX3bSKlKyoy6Ba2JQ7e2fYGfZB9KXWPQ4CbRsZR9CUN1hwWKmxpU1FxOfwZ&#10;BXb4mYylLorfTjez22Rdfo47peazMfsG4Wn0z/CjvdcK4k/4/xJ+gF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qoKiMMAAADbAAAADwAAAAAAAAAAAAAAAACYAgAAZHJzL2Rv&#10;d25yZXYueG1sUEsFBgAAAAAEAAQA9QAAAIgDAAAAAA==&#10;" strokecolor="white">
                  <v:textbox>
                    <w:txbxContent>
                      <w:p w:rsidR="00EE7E7C" w:rsidRPr="002569F7" w:rsidRDefault="00EE7E7C" w:rsidP="00D44A58">
                        <w:pPr>
                          <w:rPr>
                            <w:rFonts w:ascii="Calibri" w:hAnsi="Calibri"/>
                          </w:rPr>
                        </w:pPr>
                        <w:r w:rsidRPr="002569F7">
                          <w:rPr>
                            <w:rFonts w:ascii="Calibri" w:hAnsi="Calibri"/>
                          </w:rPr>
                          <w:t>Capital costs</w:t>
                        </w:r>
                      </w:p>
                    </w:txbxContent>
                  </v:textbox>
                </v:shape>
                <v:shape id="Text Box 44" o:spid="_x0000_s1038" type="#_x0000_t202" style="position:absolute;left:14916;top:13798;width:24701;height:63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FtlcUA&#10;AADbAAAADwAAAGRycy9kb3ducmV2LnhtbESPT2vCQBTE7wW/w/IEL6VuFKwSXSUKQnuR+gfa3h7Z&#10;ZxLMvg27q4nf3hUKPQ4z8xtmsepMLW7kfGVZwWiYgCDOra64UHA6bt9mIHxA1lhbJgV38rBa9l4W&#10;mGrb8p5uh1CICGGfooIyhCaV0uclGfRD2xBH72ydwRClK6R22Ea4qeU4Sd6lwYrjQokNbUrKL4er&#10;UTCbbo7fzW6tv1o3+cx/fdb9vGZKDfpdNgcRqAv/4b/2h1YwnsDzS/wBcvk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cW2VxQAAANsAAAAPAAAAAAAAAAAAAAAAAJgCAABkcnMv&#10;ZG93bnJldi54bWxQSwUGAAAAAAQABAD1AAAAigMAAAAA&#10;" fillcolor="#365f91" strokecolor="#365f91" strokeweight="1pt">
                  <v:fill color2="#365f91" focus="100%" type="gradient"/>
                  <v:shadow on="t" color="#3f3151" opacity=".5" offset="1pt"/>
                  <v:textbox>
                    <w:txbxContent>
                      <w:p w:rsidR="00EE7E7C" w:rsidRPr="008D2606" w:rsidRDefault="00EE7E7C" w:rsidP="00D44A58">
                        <w:pPr>
                          <w:spacing w:after="200"/>
                          <w:rPr>
                            <w:rFonts w:ascii="Calibri" w:hAnsi="Calibri"/>
                            <w:color w:val="FFFFFF"/>
                          </w:rPr>
                        </w:pPr>
                        <w:r w:rsidRPr="008D2606">
                          <w:rPr>
                            <w:rFonts w:ascii="Calibri" w:hAnsi="Calibri"/>
                            <w:color w:val="FFFFFF"/>
                          </w:rPr>
                          <w:t xml:space="preserve">Operating </w:t>
                        </w:r>
                        <w:r w:rsidRPr="00664FB1">
                          <w:rPr>
                            <w:rFonts w:ascii="Calibri" w:hAnsi="Calibri"/>
                            <w:color w:val="FFFFFF"/>
                          </w:rPr>
                          <w:t>expenditure (</w:t>
                        </w:r>
                        <w:proofErr w:type="spellStart"/>
                        <w:r w:rsidRPr="00664FB1">
                          <w:rPr>
                            <w:rFonts w:ascii="Calibri" w:hAnsi="Calibri"/>
                            <w:color w:val="FFFFFF"/>
                          </w:rPr>
                          <w:t>opex</w:t>
                        </w:r>
                        <w:proofErr w:type="spellEnd"/>
                        <w:r w:rsidRPr="00664FB1">
                          <w:rPr>
                            <w:rFonts w:ascii="Calibri" w:hAnsi="Calibri"/>
                            <w:color w:val="FFFFFF"/>
                          </w:rPr>
                          <w:t>)</w:t>
                        </w:r>
                        <w:r>
                          <w:t xml:space="preserve"> </w:t>
                        </w:r>
                      </w:p>
                      <w:p w:rsidR="00EE7E7C" w:rsidRPr="004414F4" w:rsidRDefault="00EE7E7C" w:rsidP="00D44A58">
                        <w:pPr>
                          <w:rPr>
                            <w:color w:val="FFFFFF"/>
                          </w:rPr>
                        </w:pPr>
                      </w:p>
                    </w:txbxContent>
                  </v:textbox>
                </v:shape>
                <v:shape id="Text Box 45" o:spid="_x0000_s1039" type="#_x0000_t202" style="position:absolute;left:14916;top:20758;width:24701;height:63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bXtcUA&#10;AADbAAAADwAAAGRycy9kb3ducmV2LnhtbESPQWvCQBSE74X+h+UVvOmmgmmJrqG0iiK9NC3i8ZF9&#10;ZoPZtyG7xuiv7xaEHoeZ+YZZ5INtRE+drx0reJ4kIIhLp2uuFPx8r8evIHxA1tg4JgVX8pAvHx8W&#10;mGl34S/qi1CJCGGfoQITQptJ6UtDFv3EtcTRO7rOYoiyq6Tu8BLhtpHTJEmlxZrjgsGW3g2Vp+Js&#10;FRw21/2nO3+0q2K2NS9ul1a3w06p0dPwNgcRaAj/4Xt7qxVMU/j7En+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lte1xQAAANsAAAAPAAAAAAAAAAAAAAAAAJgCAABkcnMv&#10;ZG93bnJldi54bWxQSwUGAAAAAAQABAD1AAAAigMAAAAA&#10;" fillcolor="#548dd4" strokecolor="#76923c" strokeweight="1pt">
                  <v:fill color2="#548dd4" focus="100%" type="gradient"/>
                  <v:shadow on="t" color="#205867" opacity=".5" offset="1pt"/>
                  <v:textbox>
                    <w:txbxContent>
                      <w:p w:rsidR="00EE7E7C" w:rsidRPr="008D2606" w:rsidRDefault="00EE7E7C" w:rsidP="00D44A58">
                        <w:pPr>
                          <w:spacing w:after="200"/>
                          <w:rPr>
                            <w:rFonts w:ascii="Calibri" w:hAnsi="Calibri"/>
                            <w:color w:val="FFFFFF"/>
                          </w:rPr>
                        </w:pPr>
                        <w:r w:rsidRPr="008D2606">
                          <w:rPr>
                            <w:rFonts w:ascii="Calibri" w:hAnsi="Calibri"/>
                            <w:color w:val="FFFFFF"/>
                          </w:rPr>
                          <w:t>Efficiency benefit sharing scheme</w:t>
                        </w:r>
                        <w:r>
                          <w:rPr>
                            <w:rFonts w:ascii="Calibri" w:hAnsi="Calibri"/>
                            <w:color w:val="FFFFFF"/>
                          </w:rPr>
                          <w:t xml:space="preserve"> (EBSS)</w:t>
                        </w:r>
                        <w:r>
                          <w:t xml:space="preserve"> </w:t>
                        </w:r>
                        <w:r w:rsidRPr="008D2606">
                          <w:rPr>
                            <w:rFonts w:ascii="Calibri" w:hAnsi="Calibri"/>
                            <w:color w:val="FFFFFF"/>
                          </w:rPr>
                          <w:t>(increment or decrement)</w:t>
                        </w:r>
                      </w:p>
                      <w:p w:rsidR="00EE7E7C" w:rsidRPr="00F51767" w:rsidRDefault="00EE7E7C" w:rsidP="00D44A58"/>
                    </w:txbxContent>
                  </v:textbox>
                </v:shape>
                <v:shape id="Text Box 46" o:spid="_x0000_s1040" type="#_x0000_t202" style="position:absolute;left:45148;top:15798;width:8954;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j+XsQA&#10;AADbAAAADwAAAGRycy9kb3ducmV2LnhtbESPT2vCQBTE7wW/w/IK3uqmIv5JXUUUxUsR06I9PrPP&#10;JJh9G7Krpn56VxA8DjPzG2Y8bUwpLlS7wrKCz04Egji1uuBMwe/P8mMIwnlkjaVlUvBPDqaT1tsY&#10;Y22vvKVL4jMRIOxiVJB7X8VSujQng65jK+LgHW1t0AdZZ1LXeA1wU8puFPWlwYLDQo4VzXNKT8nZ&#10;KHBp1N9tesluf5Aruo20XvytvpVqvzezLxCeGv8KP9trraA7gMeX8APk5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I/l7EAAAA2wAAAA8AAAAAAAAAAAAAAAAAmAIAAGRycy9k&#10;b3ducmV2LnhtbFBLBQYAAAAABAAEAPUAAACJAwAAAAA=&#10;" strokecolor="white [3212]">
                  <v:textbox>
                    <w:txbxContent>
                      <w:p w:rsidR="00EE7E7C" w:rsidRPr="00E91FF0" w:rsidRDefault="00EE7E7C" w:rsidP="00D44A58">
                        <w:pPr>
                          <w:pStyle w:val="AERtabletextleft"/>
                        </w:pPr>
                        <w:r w:rsidRPr="00E91FF0">
                          <w:t xml:space="preserve">Total </w:t>
                        </w:r>
                        <w:r>
                          <w:t>r</w:t>
                        </w:r>
                        <w:r w:rsidRPr="00E91FF0">
                          <w:t>evenue</w:t>
                        </w:r>
                      </w:p>
                      <w:p w:rsidR="00EE7E7C" w:rsidRDefault="00EE7E7C" w:rsidP="00D44A58"/>
                    </w:txbxContent>
                  </v:textbox>
                </v:shape>
                <w10:anchorlock/>
              </v:group>
            </w:pict>
          </mc:Fallback>
        </mc:AlternateContent>
      </w:r>
    </w:p>
    <w:p w:rsidR="00D44A58" w:rsidRPr="00112BF8" w:rsidRDefault="00D44A58" w:rsidP="00D44A58">
      <w:pPr>
        <w:rPr>
          <w:rStyle w:val="AERbody"/>
        </w:rPr>
      </w:pPr>
      <w:r w:rsidRPr="00112BF8">
        <w:t xml:space="preserve">The following section summarises our </w:t>
      </w:r>
      <w:r w:rsidR="00882AA3">
        <w:t xml:space="preserve">preliminary </w:t>
      </w:r>
      <w:r w:rsidRPr="00112BF8">
        <w:t xml:space="preserve">decision </w:t>
      </w:r>
      <w:r w:rsidR="00882AA3">
        <w:t>in relation to each</w:t>
      </w:r>
      <w:r w:rsidRPr="00112BF8">
        <w:t xml:space="preserve"> building block and provides our high level reasons and analysis. </w:t>
      </w:r>
      <w:r w:rsidR="00B47B6C">
        <w:t>The attachments provide a more detailed explanation of our analysis and findings.</w:t>
      </w:r>
    </w:p>
    <w:p w:rsidR="00D44A58" w:rsidRDefault="00D44A58" w:rsidP="00D44A58">
      <w:pPr>
        <w:pStyle w:val="Heading2"/>
      </w:pPr>
      <w:bookmarkStart w:id="27" w:name="_Toc415837322"/>
      <w:bookmarkStart w:id="28" w:name="_Toc418685502"/>
      <w:r>
        <w:t>Regulatory asset base</w:t>
      </w:r>
      <w:bookmarkEnd w:id="27"/>
      <w:bookmarkEnd w:id="28"/>
    </w:p>
    <w:p w:rsidR="00D44A58" w:rsidRDefault="00D44A58" w:rsidP="00D44A58">
      <w:pPr>
        <w:numPr>
          <w:ilvl w:val="0"/>
          <w:numId w:val="25"/>
        </w:numPr>
      </w:pPr>
      <w:r w:rsidRPr="009F4C42">
        <w:t xml:space="preserve">The RAB is the value of </w:t>
      </w:r>
      <w:r w:rsidR="00847333">
        <w:t>Ergon Energy'</w:t>
      </w:r>
      <w:r>
        <w:t>s</w:t>
      </w:r>
      <w:r w:rsidRPr="009F4C42">
        <w:t xml:space="preserve"> assets used to provide </w:t>
      </w:r>
      <w:r>
        <w:t xml:space="preserve">distribution </w:t>
      </w:r>
      <w:r w:rsidRPr="009F4C42">
        <w:t xml:space="preserve">network services. </w:t>
      </w:r>
      <w:r>
        <w:t xml:space="preserve">It </w:t>
      </w:r>
      <w:r w:rsidRPr="009F4C42">
        <w:t xml:space="preserve">is the value on which </w:t>
      </w:r>
      <w:r w:rsidR="00847333">
        <w:t xml:space="preserve">Ergon Energy </w:t>
      </w:r>
      <w:r w:rsidRPr="009F4C42">
        <w:t>earns a return on capital</w:t>
      </w:r>
      <w:r>
        <w:t xml:space="preserve">, and </w:t>
      </w:r>
      <w:r w:rsidRPr="009F4C42">
        <w:t>a depreciation allowance (return of capital)</w:t>
      </w:r>
      <w:r w:rsidR="0095062B">
        <w:t xml:space="preserve"> on assets in its RAB</w:t>
      </w:r>
      <w:r w:rsidRPr="009F4C42">
        <w:t>.</w:t>
      </w:r>
      <w:r w:rsidR="00F87E7F">
        <w:t xml:space="preserve"> We are required to assess Ergon Energy's proposed open</w:t>
      </w:r>
      <w:r w:rsidR="00EC5051">
        <w:t>ing</w:t>
      </w:r>
      <w:r w:rsidR="00F87E7F">
        <w:t xml:space="preserve"> value for the RAB for each year of the 2015</w:t>
      </w:r>
      <w:r w:rsidR="00F87E7F">
        <w:rPr>
          <w:rFonts w:cs="Arial"/>
        </w:rPr>
        <w:t>−</w:t>
      </w:r>
      <w:r w:rsidR="00F87E7F">
        <w:t>20</w:t>
      </w:r>
      <w:r w:rsidR="00882AA3">
        <w:t>20</w:t>
      </w:r>
      <w:r w:rsidR="00F87E7F">
        <w:t xml:space="preserve"> regulatory control period.</w:t>
      </w:r>
      <w:r w:rsidR="00F87E7F">
        <w:rPr>
          <w:rStyle w:val="FootnoteReference"/>
        </w:rPr>
        <w:footnoteReference w:id="23"/>
      </w:r>
    </w:p>
    <w:p w:rsidR="00D44A58" w:rsidRPr="00112BF8" w:rsidRDefault="00D44A58" w:rsidP="0095062B">
      <w:pPr>
        <w:rPr>
          <w:rStyle w:val="AERbody"/>
        </w:rPr>
      </w:pPr>
      <w:r w:rsidRPr="00112BF8">
        <w:rPr>
          <w:rStyle w:val="AERbody"/>
        </w:rPr>
        <w:t xml:space="preserve">Our </w:t>
      </w:r>
      <w:r>
        <w:rPr>
          <w:rStyle w:val="AERbody"/>
        </w:rPr>
        <w:t xml:space="preserve">preliminary </w:t>
      </w:r>
      <w:r w:rsidRPr="00112BF8">
        <w:rPr>
          <w:rStyle w:val="AERbody"/>
        </w:rPr>
        <w:t xml:space="preserve">decision is to set </w:t>
      </w:r>
      <w:r w:rsidR="00847333">
        <w:rPr>
          <w:rStyle w:val="AERbody"/>
        </w:rPr>
        <w:t>Ergon Energy'</w:t>
      </w:r>
      <w:r w:rsidRPr="00112BF8">
        <w:rPr>
          <w:rStyle w:val="AERbody"/>
        </w:rPr>
        <w:t>s opening RAB at $</w:t>
      </w:r>
      <w:r w:rsidR="00847333" w:rsidRPr="00FD11E3">
        <w:rPr>
          <w:rStyle w:val="AERbodytextChar"/>
          <w:rFonts w:eastAsiaTheme="minorHAnsi"/>
        </w:rPr>
        <w:t>10</w:t>
      </w:r>
      <w:r w:rsidR="00554895">
        <w:rPr>
          <w:rStyle w:val="AERbodytextChar"/>
          <w:rFonts w:eastAsiaTheme="minorHAnsi"/>
        </w:rPr>
        <w:t> </w:t>
      </w:r>
      <w:r w:rsidR="00847333" w:rsidRPr="00FD11E3">
        <w:rPr>
          <w:rStyle w:val="AERbodytextChar"/>
          <w:rFonts w:eastAsiaTheme="minorHAnsi"/>
        </w:rPr>
        <w:t>102.</w:t>
      </w:r>
      <w:r w:rsidR="009908E6">
        <w:rPr>
          <w:rStyle w:val="AERbodytextChar"/>
          <w:rFonts w:eastAsiaTheme="minorHAnsi"/>
        </w:rPr>
        <w:t>2</w:t>
      </w:r>
      <w:r w:rsidR="00847333" w:rsidRPr="00500715">
        <w:rPr>
          <w:rStyle w:val="AERbody"/>
        </w:rPr>
        <w:t> </w:t>
      </w:r>
      <w:r w:rsidR="00847333">
        <w:rPr>
          <w:rStyle w:val="AERbody"/>
        </w:rPr>
        <w:t>million</w:t>
      </w:r>
      <w:r w:rsidRPr="00112BF8">
        <w:rPr>
          <w:rStyle w:val="AERbody"/>
        </w:rPr>
        <w:t xml:space="preserve"> ($</w:t>
      </w:r>
      <w:r w:rsidR="0071214F">
        <w:rPr>
          <w:rStyle w:val="AERbody"/>
        </w:rPr>
        <w:t> </w:t>
      </w:r>
      <w:r w:rsidRPr="00112BF8">
        <w:rPr>
          <w:rStyle w:val="AERbody"/>
        </w:rPr>
        <w:t xml:space="preserve">nominal) as at 1 July 2015. </w:t>
      </w:r>
      <w:r w:rsidRPr="00112BF8">
        <w:t xml:space="preserve">We determine that the forecast depreciation approach is </w:t>
      </w:r>
      <w:r w:rsidRPr="00112BF8">
        <w:lastRenderedPageBreak/>
        <w:t xml:space="preserve">to be used to establish </w:t>
      </w:r>
      <w:r w:rsidR="00847333">
        <w:t>Ergon Energy's</w:t>
      </w:r>
      <w:r w:rsidRPr="00112BF8">
        <w:t xml:space="preserve"> opening RAB at the commencement of the 2020–25 regulatory control </w:t>
      </w:r>
      <w:proofErr w:type="gramStart"/>
      <w:r w:rsidRPr="00112BF8">
        <w:t>period</w:t>
      </w:r>
      <w:proofErr w:type="gramEnd"/>
      <w:r w:rsidRPr="00112BF8">
        <w:t xml:space="preserve">. </w:t>
      </w:r>
      <w:r w:rsidRPr="00112BF8">
        <w:rPr>
          <w:rStyle w:val="AERbody"/>
        </w:rPr>
        <w:t>We forecast a closing RAB at 30 June 2020 of $</w:t>
      </w:r>
      <w:r w:rsidR="00A01B03" w:rsidRPr="00FD11E3">
        <w:rPr>
          <w:rStyle w:val="AERbodytextChar"/>
          <w:rFonts w:eastAsiaTheme="minorHAnsi"/>
        </w:rPr>
        <w:t>11</w:t>
      </w:r>
      <w:r w:rsidR="00554895">
        <w:rPr>
          <w:rStyle w:val="AERbodytextChar"/>
          <w:rFonts w:eastAsiaTheme="minorHAnsi"/>
        </w:rPr>
        <w:t> </w:t>
      </w:r>
      <w:r w:rsidR="009908E6">
        <w:rPr>
          <w:rStyle w:val="AERbodytextChar"/>
          <w:rFonts w:eastAsiaTheme="minorHAnsi"/>
        </w:rPr>
        <w:t xml:space="preserve">773.7 </w:t>
      </w:r>
      <w:r w:rsidRPr="00112BF8">
        <w:rPr>
          <w:rStyle w:val="AERbody"/>
        </w:rPr>
        <w:t xml:space="preserve">million for </w:t>
      </w:r>
      <w:r w:rsidR="00847333">
        <w:rPr>
          <w:rStyle w:val="AERbody"/>
        </w:rPr>
        <w:t>Ergon Energy</w:t>
      </w:r>
      <w:r w:rsidRPr="00112BF8">
        <w:rPr>
          <w:rStyle w:val="AERbody"/>
        </w:rPr>
        <w:t xml:space="preserve">. </w:t>
      </w:r>
    </w:p>
    <w:p w:rsidR="00D44A58" w:rsidRDefault="00D44A58" w:rsidP="00D44A58">
      <w:pPr>
        <w:numPr>
          <w:ilvl w:val="0"/>
          <w:numId w:val="25"/>
        </w:numPr>
      </w:pPr>
      <w:r>
        <w:t>Tables 3</w:t>
      </w:r>
      <w:r w:rsidRPr="00112BF8">
        <w:t xml:space="preserve"> </w:t>
      </w:r>
      <w:r>
        <w:t xml:space="preserve">and 4 </w:t>
      </w:r>
      <w:r w:rsidRPr="00112BF8">
        <w:t xml:space="preserve">set out our preliminary decision on the roll forward of </w:t>
      </w:r>
      <w:r w:rsidR="00847333">
        <w:t>Ergon Energy's</w:t>
      </w:r>
      <w:r w:rsidRPr="00112BF8">
        <w:t xml:space="preserve"> RAB for </w:t>
      </w:r>
      <w:r w:rsidR="0071214F">
        <w:t>the 2010–15 regulatory control period</w:t>
      </w:r>
      <w:r w:rsidRPr="00112BF8">
        <w:t xml:space="preserve"> </w:t>
      </w:r>
      <w:r>
        <w:t xml:space="preserve">and the forecast RAB for </w:t>
      </w:r>
      <w:r w:rsidR="00847333">
        <w:t>Ergon Energy</w:t>
      </w:r>
      <w:r>
        <w:t xml:space="preserve"> </w:t>
      </w:r>
      <w:r w:rsidRPr="00112BF8">
        <w:t>during the 201</w:t>
      </w:r>
      <w:r w:rsidR="0071214F">
        <w:t>5</w:t>
      </w:r>
      <w:r w:rsidRPr="00112BF8">
        <w:t>–</w:t>
      </w:r>
      <w:r w:rsidR="0071214F">
        <w:t>20</w:t>
      </w:r>
      <w:r w:rsidR="00882AA3">
        <w:t>20</w:t>
      </w:r>
      <w:r w:rsidRPr="00112BF8">
        <w:t xml:space="preserve"> regulatory control period</w:t>
      </w:r>
      <w:r>
        <w:t xml:space="preserve"> respectively</w:t>
      </w:r>
      <w:r w:rsidRPr="00112BF8">
        <w:t>.</w:t>
      </w:r>
    </w:p>
    <w:p w:rsidR="00D44A58" w:rsidRDefault="00D44A58" w:rsidP="00D44A58">
      <w:pPr>
        <w:pStyle w:val="Caption"/>
      </w:pPr>
      <w:r w:rsidRPr="00112BF8">
        <w:t xml:space="preserve">Table </w:t>
      </w:r>
      <w:r>
        <w:t>3</w:t>
      </w:r>
      <w:r w:rsidRPr="00112BF8">
        <w:t xml:space="preserve"> </w:t>
      </w:r>
      <w:r w:rsidRPr="00112BF8">
        <w:tab/>
        <w:t xml:space="preserve">AER's preliminary decision on </w:t>
      </w:r>
      <w:r w:rsidR="00847333">
        <w:t>Ergon Energy'</w:t>
      </w:r>
      <w:r w:rsidRPr="00112BF8">
        <w:t>s RAB for the 2010–15 regulatory control period ($ million, nominal)</w:t>
      </w:r>
    </w:p>
    <w:tbl>
      <w:tblPr>
        <w:tblStyle w:val="AERtable-numbers"/>
        <w:tblW w:w="5000" w:type="pct"/>
        <w:tblLook w:val="04A0" w:firstRow="1" w:lastRow="0" w:firstColumn="1" w:lastColumn="0" w:noHBand="0" w:noVBand="1"/>
      </w:tblPr>
      <w:tblGrid>
        <w:gridCol w:w="3876"/>
        <w:gridCol w:w="967"/>
        <w:gridCol w:w="963"/>
        <w:gridCol w:w="963"/>
        <w:gridCol w:w="963"/>
        <w:gridCol w:w="961"/>
      </w:tblGrid>
      <w:tr w:rsidR="00847333" w:rsidRPr="00F10B24" w:rsidTr="00B63855">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29" w:type="pct"/>
            <w:noWrap/>
            <w:hideMark/>
          </w:tcPr>
          <w:p w:rsidR="00847333" w:rsidRPr="00847333" w:rsidRDefault="00847333" w:rsidP="00847333">
            <w:r w:rsidRPr="00F10B24">
              <w:t> </w:t>
            </w:r>
          </w:p>
        </w:tc>
        <w:tc>
          <w:tcPr>
            <w:tcW w:w="556" w:type="pct"/>
            <w:noWrap/>
            <w:hideMark/>
          </w:tcPr>
          <w:p w:rsidR="00847333" w:rsidRPr="00847333" w:rsidRDefault="00847333" w:rsidP="00847333">
            <w:pPr>
              <w:cnfStyle w:val="100000000000" w:firstRow="1" w:lastRow="0" w:firstColumn="0" w:lastColumn="0" w:oddVBand="0" w:evenVBand="0" w:oddHBand="0" w:evenHBand="0" w:firstRowFirstColumn="0" w:firstRowLastColumn="0" w:lastRowFirstColumn="0" w:lastRowLastColumn="0"/>
            </w:pPr>
            <w:r w:rsidRPr="00F10B24">
              <w:t>2010–11</w:t>
            </w:r>
          </w:p>
        </w:tc>
        <w:tc>
          <w:tcPr>
            <w:tcW w:w="554" w:type="pct"/>
            <w:noWrap/>
            <w:hideMark/>
          </w:tcPr>
          <w:p w:rsidR="00847333" w:rsidRPr="00847333" w:rsidRDefault="00847333" w:rsidP="00847333">
            <w:pPr>
              <w:cnfStyle w:val="100000000000" w:firstRow="1" w:lastRow="0" w:firstColumn="0" w:lastColumn="0" w:oddVBand="0" w:evenVBand="0" w:oddHBand="0" w:evenHBand="0" w:firstRowFirstColumn="0" w:firstRowLastColumn="0" w:lastRowFirstColumn="0" w:lastRowLastColumn="0"/>
            </w:pPr>
            <w:r w:rsidRPr="00F10B24">
              <w:t>2011–12</w:t>
            </w:r>
          </w:p>
        </w:tc>
        <w:tc>
          <w:tcPr>
            <w:tcW w:w="554" w:type="pct"/>
            <w:noWrap/>
            <w:hideMark/>
          </w:tcPr>
          <w:p w:rsidR="00847333" w:rsidRPr="00847333" w:rsidRDefault="00847333" w:rsidP="00847333">
            <w:pPr>
              <w:cnfStyle w:val="100000000000" w:firstRow="1" w:lastRow="0" w:firstColumn="0" w:lastColumn="0" w:oddVBand="0" w:evenVBand="0" w:oddHBand="0" w:evenHBand="0" w:firstRowFirstColumn="0" w:firstRowLastColumn="0" w:lastRowFirstColumn="0" w:lastRowLastColumn="0"/>
            </w:pPr>
            <w:r w:rsidRPr="00F10B24">
              <w:t>2012–13</w:t>
            </w:r>
          </w:p>
        </w:tc>
        <w:tc>
          <w:tcPr>
            <w:tcW w:w="554" w:type="pct"/>
            <w:noWrap/>
            <w:hideMark/>
          </w:tcPr>
          <w:p w:rsidR="00847333" w:rsidRPr="00847333" w:rsidRDefault="00847333" w:rsidP="00847333">
            <w:pPr>
              <w:cnfStyle w:val="100000000000" w:firstRow="1" w:lastRow="0" w:firstColumn="0" w:lastColumn="0" w:oddVBand="0" w:evenVBand="0" w:oddHBand="0" w:evenHBand="0" w:firstRowFirstColumn="0" w:firstRowLastColumn="0" w:lastRowFirstColumn="0" w:lastRowLastColumn="0"/>
            </w:pPr>
            <w:r w:rsidRPr="00F10B24">
              <w:t>2013–14</w:t>
            </w:r>
          </w:p>
        </w:tc>
        <w:tc>
          <w:tcPr>
            <w:tcW w:w="554" w:type="pct"/>
            <w:noWrap/>
            <w:hideMark/>
          </w:tcPr>
          <w:p w:rsidR="00847333" w:rsidRPr="00847333" w:rsidRDefault="00847333" w:rsidP="00847333">
            <w:pPr>
              <w:cnfStyle w:val="100000000000" w:firstRow="1" w:lastRow="0" w:firstColumn="0" w:lastColumn="0" w:oddVBand="0" w:evenVBand="0" w:oddHBand="0" w:evenHBand="0" w:firstRowFirstColumn="0" w:firstRowLastColumn="0" w:lastRowFirstColumn="0" w:lastRowLastColumn="0"/>
            </w:pPr>
            <w:r w:rsidRPr="00F10B24">
              <w:t>2014–15</w:t>
            </w:r>
            <w:r w:rsidRPr="00847333">
              <w:rPr>
                <w:rStyle w:val="AERsuperscript"/>
              </w:rPr>
              <w:t>a</w:t>
            </w:r>
          </w:p>
        </w:tc>
      </w:tr>
      <w:tr w:rsidR="00B63855" w:rsidRPr="00F10B24" w:rsidTr="00B63855">
        <w:trPr>
          <w:trHeight w:val="300"/>
        </w:trPr>
        <w:tc>
          <w:tcPr>
            <w:cnfStyle w:val="001000000000" w:firstRow="0" w:lastRow="0" w:firstColumn="1" w:lastColumn="0" w:oddVBand="0" w:evenVBand="0" w:oddHBand="0" w:evenHBand="0" w:firstRowFirstColumn="0" w:firstRowLastColumn="0" w:lastRowFirstColumn="0" w:lastRowLastColumn="0"/>
            <w:tcW w:w="2229" w:type="pct"/>
            <w:noWrap/>
            <w:hideMark/>
          </w:tcPr>
          <w:p w:rsidR="00B63855" w:rsidRPr="00B63855" w:rsidRDefault="00B63855" w:rsidP="00B63855">
            <w:r w:rsidRPr="00B63855">
              <w:t>Opening RAB</w:t>
            </w:r>
          </w:p>
        </w:tc>
        <w:tc>
          <w:tcPr>
            <w:tcW w:w="556"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7148.9</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7870.5</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8393.0</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9072.3</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9681.3</w:t>
            </w:r>
          </w:p>
        </w:tc>
      </w:tr>
      <w:tr w:rsidR="00B63855" w:rsidRPr="00F10B24" w:rsidTr="00B6385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29" w:type="pct"/>
            <w:noWrap/>
            <w:hideMark/>
          </w:tcPr>
          <w:p w:rsidR="00B63855" w:rsidRPr="00B63855" w:rsidRDefault="00B63855" w:rsidP="00B63855">
            <w:r w:rsidRPr="00B63855">
              <w:t xml:space="preserve">Capital </w:t>
            </w:r>
            <w:proofErr w:type="spellStart"/>
            <w:r w:rsidRPr="00B63855">
              <w:t>expenditure</w:t>
            </w:r>
            <w:r w:rsidRPr="00B63855">
              <w:rPr>
                <w:rStyle w:val="AERsuperscript"/>
              </w:rPr>
              <w:t>b</w:t>
            </w:r>
            <w:proofErr w:type="spellEnd"/>
          </w:p>
        </w:tc>
        <w:tc>
          <w:tcPr>
            <w:tcW w:w="556"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809.5</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748.3</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836.5</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743.8</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885.9</w:t>
            </w:r>
          </w:p>
        </w:tc>
      </w:tr>
      <w:tr w:rsidR="00B63855" w:rsidRPr="00F10B24" w:rsidTr="00B63855">
        <w:trPr>
          <w:trHeight w:val="300"/>
        </w:trPr>
        <w:tc>
          <w:tcPr>
            <w:cnfStyle w:val="001000000000" w:firstRow="0" w:lastRow="0" w:firstColumn="1" w:lastColumn="0" w:oddVBand="0" w:evenVBand="0" w:oddHBand="0" w:evenHBand="0" w:firstRowFirstColumn="0" w:firstRowLastColumn="0" w:lastRowFirstColumn="0" w:lastRowLastColumn="0"/>
            <w:tcW w:w="2229" w:type="pct"/>
            <w:noWrap/>
            <w:hideMark/>
          </w:tcPr>
          <w:p w:rsidR="00B63855" w:rsidRPr="00B63855" w:rsidRDefault="00B63855" w:rsidP="00B63855">
            <w:r w:rsidRPr="00B63855">
              <w:t>Inflation indexation on opening RAB</w:t>
            </w:r>
          </w:p>
        </w:tc>
        <w:tc>
          <w:tcPr>
            <w:tcW w:w="556"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238.3</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124.7</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210.0</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265.8</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217.8</w:t>
            </w:r>
          </w:p>
        </w:tc>
      </w:tr>
      <w:tr w:rsidR="00B63855" w:rsidRPr="00F10B24" w:rsidTr="00B6385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29" w:type="pct"/>
            <w:noWrap/>
            <w:hideMark/>
          </w:tcPr>
          <w:p w:rsidR="00B63855" w:rsidRPr="00B63855" w:rsidRDefault="00B63855" w:rsidP="00B63855">
            <w:r w:rsidRPr="00B63855">
              <w:rPr>
                <w:rStyle w:val="AERtextitalic"/>
              </w:rPr>
              <w:t>Less</w:t>
            </w:r>
            <w:r w:rsidRPr="00B63855">
              <w:t>: straight-line depreciation</w:t>
            </w:r>
          </w:p>
        </w:tc>
        <w:tc>
          <w:tcPr>
            <w:tcW w:w="556"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326.3</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350.5</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367.2</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400.5</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397.2</w:t>
            </w:r>
          </w:p>
        </w:tc>
      </w:tr>
      <w:tr w:rsidR="00B63855" w:rsidRPr="00F10B24" w:rsidTr="00B63855">
        <w:trPr>
          <w:trHeight w:val="300"/>
        </w:trPr>
        <w:tc>
          <w:tcPr>
            <w:cnfStyle w:val="001000000000" w:firstRow="0" w:lastRow="0" w:firstColumn="1" w:lastColumn="0" w:oddVBand="0" w:evenVBand="0" w:oddHBand="0" w:evenHBand="0" w:firstRowFirstColumn="0" w:firstRowLastColumn="0" w:lastRowFirstColumn="0" w:lastRowLastColumn="0"/>
            <w:tcW w:w="2229" w:type="pct"/>
            <w:noWrap/>
            <w:hideMark/>
          </w:tcPr>
          <w:p w:rsidR="00B63855" w:rsidRPr="00B63855" w:rsidRDefault="00B63855" w:rsidP="00B63855">
            <w:r w:rsidRPr="00B63855">
              <w:t>Closing RAB</w:t>
            </w:r>
          </w:p>
        </w:tc>
        <w:tc>
          <w:tcPr>
            <w:tcW w:w="556"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7870.5</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8393.0</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9072.3</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9681.3</w:t>
            </w: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10387.9</w:t>
            </w:r>
          </w:p>
        </w:tc>
      </w:tr>
      <w:tr w:rsidR="00B63855" w:rsidRPr="00F10B24" w:rsidTr="00B6385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29" w:type="pct"/>
            <w:hideMark/>
          </w:tcPr>
          <w:p w:rsidR="00B63855" w:rsidRPr="00B63855" w:rsidRDefault="00B63855" w:rsidP="00B63855">
            <w:r w:rsidRPr="00B63855">
              <w:t xml:space="preserve">Difference between estimated and actual capex </w:t>
            </w:r>
            <w:r w:rsidRPr="00B63855">
              <w:br/>
              <w:t>(1 July 2009 to 30 June 2010)</w:t>
            </w:r>
          </w:p>
        </w:tc>
        <w:tc>
          <w:tcPr>
            <w:tcW w:w="556"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p>
        </w:tc>
        <w:tc>
          <w:tcPr>
            <w:tcW w:w="554"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p>
        </w:tc>
        <w:tc>
          <w:tcPr>
            <w:tcW w:w="554"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 xml:space="preserve"> </w:t>
            </w:r>
          </w:p>
        </w:tc>
        <w:tc>
          <w:tcPr>
            <w:tcW w:w="554"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 xml:space="preserve"> </w:t>
            </w: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–132.8</w:t>
            </w:r>
          </w:p>
        </w:tc>
      </w:tr>
      <w:tr w:rsidR="00B63855" w:rsidRPr="00F10B24" w:rsidTr="00B63855">
        <w:trPr>
          <w:trHeight w:val="300"/>
        </w:trPr>
        <w:tc>
          <w:tcPr>
            <w:cnfStyle w:val="001000000000" w:firstRow="0" w:lastRow="0" w:firstColumn="1" w:lastColumn="0" w:oddVBand="0" w:evenVBand="0" w:oddHBand="0" w:evenHBand="0" w:firstRowFirstColumn="0" w:firstRowLastColumn="0" w:lastRowFirstColumn="0" w:lastRowLastColumn="0"/>
            <w:tcW w:w="2229" w:type="pct"/>
            <w:hideMark/>
          </w:tcPr>
          <w:p w:rsidR="00B63855" w:rsidRPr="00B63855" w:rsidRDefault="00B63855" w:rsidP="00B63855">
            <w:r w:rsidRPr="00B63855">
              <w:t>Return on difference for 2009–10 capex</w:t>
            </w:r>
          </w:p>
        </w:tc>
        <w:tc>
          <w:tcPr>
            <w:tcW w:w="556" w:type="pct"/>
            <w:noWrap/>
            <w:vAlign w:val="top"/>
            <w:hideMark/>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hideMark/>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hideMark/>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hideMark/>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–78.3</w:t>
            </w:r>
          </w:p>
        </w:tc>
      </w:tr>
      <w:tr w:rsidR="00B63855" w:rsidRPr="00F10B24" w:rsidTr="00B6385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29" w:type="pct"/>
            <w:noWrap/>
            <w:hideMark/>
          </w:tcPr>
          <w:p w:rsidR="00B63855" w:rsidRPr="00B63855" w:rsidRDefault="00B63855" w:rsidP="00B63855">
            <w:r w:rsidRPr="00B63855">
              <w:t>Closing RAB as at 30 June 2015</w:t>
            </w:r>
          </w:p>
        </w:tc>
        <w:tc>
          <w:tcPr>
            <w:tcW w:w="556"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p>
        </w:tc>
        <w:tc>
          <w:tcPr>
            <w:tcW w:w="554"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p>
        </w:tc>
        <w:tc>
          <w:tcPr>
            <w:tcW w:w="554"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p>
        </w:tc>
        <w:tc>
          <w:tcPr>
            <w:tcW w:w="554" w:type="pct"/>
            <w:noWrap/>
            <w:vAlign w:val="top"/>
            <w:hideMark/>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p>
        </w:tc>
        <w:tc>
          <w:tcPr>
            <w:tcW w:w="554" w:type="pct"/>
            <w:noWrap/>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10176.8</w:t>
            </w:r>
          </w:p>
        </w:tc>
      </w:tr>
      <w:tr w:rsidR="00B63855" w:rsidRPr="00F10B24" w:rsidTr="00B63855">
        <w:trPr>
          <w:trHeight w:val="300"/>
        </w:trPr>
        <w:tc>
          <w:tcPr>
            <w:cnfStyle w:val="001000000000" w:firstRow="0" w:lastRow="0" w:firstColumn="1" w:lastColumn="0" w:oddVBand="0" w:evenVBand="0" w:oddHBand="0" w:evenHBand="0" w:firstRowFirstColumn="0" w:firstRowLastColumn="0" w:lastRowFirstColumn="0" w:lastRowLastColumn="0"/>
            <w:tcW w:w="2229" w:type="pct"/>
            <w:noWrap/>
            <w:vAlign w:val="top"/>
          </w:tcPr>
          <w:p w:rsidR="00B63855" w:rsidRPr="00B63855" w:rsidRDefault="00B63855" w:rsidP="00B63855">
            <w:r w:rsidRPr="00B63855">
              <w:t>ACS (metering and other) assets removed</w:t>
            </w:r>
          </w:p>
        </w:tc>
        <w:tc>
          <w:tcPr>
            <w:tcW w:w="556"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p>
        </w:tc>
        <w:tc>
          <w:tcPr>
            <w:tcW w:w="554" w:type="pct"/>
            <w:noWrap/>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–74.6</w:t>
            </w:r>
          </w:p>
        </w:tc>
      </w:tr>
      <w:tr w:rsidR="00847333" w:rsidRPr="00554895" w:rsidTr="00B63855">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29" w:type="pct"/>
            <w:noWrap/>
            <w:vAlign w:val="top"/>
          </w:tcPr>
          <w:p w:rsidR="00847333" w:rsidRPr="00554895" w:rsidRDefault="00847333" w:rsidP="00C62A33">
            <w:pPr>
              <w:rPr>
                <w:rStyle w:val="Strong"/>
              </w:rPr>
            </w:pPr>
            <w:r w:rsidRPr="00554895">
              <w:rPr>
                <w:rStyle w:val="Strong"/>
              </w:rPr>
              <w:t>Opening RAB as at 1 July 2015</w:t>
            </w:r>
          </w:p>
        </w:tc>
        <w:tc>
          <w:tcPr>
            <w:tcW w:w="556" w:type="pct"/>
            <w:noWrap/>
            <w:vAlign w:val="bottom"/>
          </w:tcPr>
          <w:p w:rsidR="00847333" w:rsidRPr="00554895" w:rsidRDefault="00847333" w:rsidP="00C62A33">
            <w:pPr>
              <w:cnfStyle w:val="000000010000" w:firstRow="0" w:lastRow="0" w:firstColumn="0" w:lastColumn="0" w:oddVBand="0" w:evenVBand="0" w:oddHBand="0" w:evenHBand="1" w:firstRowFirstColumn="0" w:firstRowLastColumn="0" w:lastRowFirstColumn="0" w:lastRowLastColumn="0"/>
              <w:rPr>
                <w:rStyle w:val="Strong"/>
              </w:rPr>
            </w:pPr>
          </w:p>
        </w:tc>
        <w:tc>
          <w:tcPr>
            <w:tcW w:w="554" w:type="pct"/>
            <w:noWrap/>
            <w:vAlign w:val="bottom"/>
          </w:tcPr>
          <w:p w:rsidR="00847333" w:rsidRPr="00554895" w:rsidRDefault="00847333" w:rsidP="00C62A33">
            <w:pPr>
              <w:cnfStyle w:val="000000010000" w:firstRow="0" w:lastRow="0" w:firstColumn="0" w:lastColumn="0" w:oddVBand="0" w:evenVBand="0" w:oddHBand="0" w:evenHBand="1" w:firstRowFirstColumn="0" w:firstRowLastColumn="0" w:lastRowFirstColumn="0" w:lastRowLastColumn="0"/>
              <w:rPr>
                <w:rStyle w:val="Strong"/>
              </w:rPr>
            </w:pPr>
          </w:p>
        </w:tc>
        <w:tc>
          <w:tcPr>
            <w:tcW w:w="554" w:type="pct"/>
            <w:noWrap/>
            <w:vAlign w:val="bottom"/>
          </w:tcPr>
          <w:p w:rsidR="00847333" w:rsidRPr="00554895" w:rsidRDefault="00847333" w:rsidP="00C62A33">
            <w:pPr>
              <w:cnfStyle w:val="000000010000" w:firstRow="0" w:lastRow="0" w:firstColumn="0" w:lastColumn="0" w:oddVBand="0" w:evenVBand="0" w:oddHBand="0" w:evenHBand="1" w:firstRowFirstColumn="0" w:firstRowLastColumn="0" w:lastRowFirstColumn="0" w:lastRowLastColumn="0"/>
              <w:rPr>
                <w:rStyle w:val="Strong"/>
              </w:rPr>
            </w:pPr>
          </w:p>
        </w:tc>
        <w:tc>
          <w:tcPr>
            <w:tcW w:w="554" w:type="pct"/>
            <w:noWrap/>
            <w:vAlign w:val="bottom"/>
          </w:tcPr>
          <w:p w:rsidR="00847333" w:rsidRPr="00554895" w:rsidRDefault="00847333" w:rsidP="00C62A33">
            <w:pPr>
              <w:cnfStyle w:val="000000010000" w:firstRow="0" w:lastRow="0" w:firstColumn="0" w:lastColumn="0" w:oddVBand="0" w:evenVBand="0" w:oddHBand="0" w:evenHBand="1" w:firstRowFirstColumn="0" w:firstRowLastColumn="0" w:lastRowFirstColumn="0" w:lastRowLastColumn="0"/>
              <w:rPr>
                <w:rStyle w:val="Strong"/>
              </w:rPr>
            </w:pPr>
          </w:p>
        </w:tc>
        <w:tc>
          <w:tcPr>
            <w:tcW w:w="554" w:type="pct"/>
            <w:noWrap/>
            <w:vAlign w:val="top"/>
          </w:tcPr>
          <w:p w:rsidR="00847333" w:rsidRPr="00554895" w:rsidRDefault="00847333" w:rsidP="00C62A33">
            <w:pPr>
              <w:cnfStyle w:val="000000010000" w:firstRow="0" w:lastRow="0" w:firstColumn="0" w:lastColumn="0" w:oddVBand="0" w:evenVBand="0" w:oddHBand="0" w:evenHBand="1" w:firstRowFirstColumn="0" w:firstRowLastColumn="0" w:lastRowFirstColumn="0" w:lastRowLastColumn="0"/>
              <w:rPr>
                <w:rStyle w:val="Strong"/>
              </w:rPr>
            </w:pPr>
            <w:r w:rsidRPr="00554895">
              <w:rPr>
                <w:rStyle w:val="Strong"/>
              </w:rPr>
              <w:t>10102.</w:t>
            </w:r>
            <w:r w:rsidR="00B63855" w:rsidRPr="00554895">
              <w:rPr>
                <w:rStyle w:val="Strong"/>
              </w:rPr>
              <w:t>2</w:t>
            </w:r>
          </w:p>
        </w:tc>
      </w:tr>
    </w:tbl>
    <w:p w:rsidR="00847333" w:rsidRPr="00983648" w:rsidRDefault="00847333" w:rsidP="00847333">
      <w:pPr>
        <w:pStyle w:val="AERtablesource"/>
      </w:pPr>
      <w:r w:rsidRPr="00983648">
        <w:t>Source:</w:t>
      </w:r>
      <w:r w:rsidRPr="00983648">
        <w:tab/>
        <w:t>AER analysis.</w:t>
      </w:r>
    </w:p>
    <w:p w:rsidR="00847333" w:rsidRPr="00983648" w:rsidRDefault="00847333" w:rsidP="00847333">
      <w:pPr>
        <w:pStyle w:val="AERtablesource"/>
      </w:pPr>
      <w:r w:rsidRPr="00983648">
        <w:t>(a):</w:t>
      </w:r>
      <w:r w:rsidRPr="00983648">
        <w:tab/>
        <w:t xml:space="preserve">Based on estimated capex. We will update the RAB roll forward in the </w:t>
      </w:r>
      <w:r>
        <w:t xml:space="preserve">substitute </w:t>
      </w:r>
      <w:r w:rsidRPr="00983648">
        <w:t>decision.</w:t>
      </w:r>
    </w:p>
    <w:p w:rsidR="00847333" w:rsidRPr="00983648" w:rsidRDefault="00847333" w:rsidP="00847333">
      <w:pPr>
        <w:pStyle w:val="AERtablesource"/>
      </w:pPr>
      <w:r w:rsidRPr="00983648">
        <w:t>(b):</w:t>
      </w:r>
      <w:r w:rsidRPr="00983648">
        <w:tab/>
        <w:t>Net of disposals and adjusted for CPI.</w:t>
      </w:r>
    </w:p>
    <w:p w:rsidR="00D44A58" w:rsidRPr="00112BF8" w:rsidRDefault="00D44A58" w:rsidP="00D44A58">
      <w:pPr>
        <w:pStyle w:val="Caption"/>
      </w:pPr>
      <w:r w:rsidRPr="00112BF8">
        <w:t xml:space="preserve">Table </w:t>
      </w:r>
      <w:r>
        <w:t>4</w:t>
      </w:r>
      <w:r w:rsidRPr="00112BF8">
        <w:tab/>
        <w:t xml:space="preserve">AER's preliminary decision on </w:t>
      </w:r>
      <w:r w:rsidR="007875C1">
        <w:t>Ergon Energy</w:t>
      </w:r>
      <w:r w:rsidRPr="00112BF8">
        <w:t xml:space="preserve">'s RAB for the 2015–20 </w:t>
      </w:r>
      <w:r w:rsidR="00295A13">
        <w:t xml:space="preserve">regulatory control </w:t>
      </w:r>
      <w:r w:rsidRPr="00112BF8">
        <w:t>period ($ million, nominal)</w:t>
      </w:r>
    </w:p>
    <w:tbl>
      <w:tblPr>
        <w:tblStyle w:val="AERtable-numbers"/>
        <w:tblW w:w="5000" w:type="pct"/>
        <w:tblLook w:val="01E0" w:firstRow="1" w:lastRow="1" w:firstColumn="1" w:lastColumn="1" w:noHBand="0" w:noVBand="0"/>
      </w:tblPr>
      <w:tblGrid>
        <w:gridCol w:w="3439"/>
        <w:gridCol w:w="1052"/>
        <w:gridCol w:w="1052"/>
        <w:gridCol w:w="1050"/>
        <w:gridCol w:w="1050"/>
        <w:gridCol w:w="1050"/>
      </w:tblGrid>
      <w:tr w:rsidR="00D44A58" w:rsidRPr="00E404D2" w:rsidTr="00D44A58">
        <w:trPr>
          <w:cnfStyle w:val="100000000000" w:firstRow="1" w:lastRow="0" w:firstColumn="0" w:lastColumn="0" w:oddVBand="0" w:evenVBand="0" w:oddHBand="0" w:evenHBand="0"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1978" w:type="pct"/>
          </w:tcPr>
          <w:p w:rsidR="00D44A58" w:rsidRPr="00112BF8" w:rsidRDefault="00D44A58" w:rsidP="00D44A58"/>
        </w:tc>
        <w:tc>
          <w:tcPr>
            <w:tcW w:w="605" w:type="pct"/>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5–16</w:t>
            </w:r>
          </w:p>
        </w:tc>
        <w:tc>
          <w:tcPr>
            <w:tcW w:w="605" w:type="pct"/>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6–17</w:t>
            </w:r>
          </w:p>
        </w:tc>
        <w:tc>
          <w:tcPr>
            <w:tcW w:w="604" w:type="pct"/>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7–18</w:t>
            </w:r>
          </w:p>
        </w:tc>
        <w:tc>
          <w:tcPr>
            <w:tcW w:w="604" w:type="pct"/>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8–19</w:t>
            </w:r>
          </w:p>
        </w:tc>
        <w:tc>
          <w:tcPr>
            <w:tcW w:w="604" w:type="pct"/>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9–20</w:t>
            </w:r>
          </w:p>
        </w:tc>
      </w:tr>
      <w:tr w:rsidR="00B63855" w:rsidRPr="000B73AB" w:rsidTr="006C6CA7">
        <w:trPr>
          <w:trHeight w:val="529"/>
        </w:trPr>
        <w:tc>
          <w:tcPr>
            <w:cnfStyle w:val="001000000000" w:firstRow="0" w:lastRow="0" w:firstColumn="1" w:lastColumn="0" w:oddVBand="0" w:evenVBand="0" w:oddHBand="0" w:evenHBand="0" w:firstRowFirstColumn="0" w:firstRowLastColumn="0" w:lastRowFirstColumn="0" w:lastRowLastColumn="0"/>
            <w:tcW w:w="1978" w:type="pct"/>
          </w:tcPr>
          <w:p w:rsidR="00B63855" w:rsidRPr="00B63855" w:rsidRDefault="00B63855" w:rsidP="00B63855">
            <w:r w:rsidRPr="00B63855">
              <w:t>Opening RAB</w:t>
            </w:r>
          </w:p>
        </w:tc>
        <w:tc>
          <w:tcPr>
            <w:tcW w:w="605"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10102.2</w:t>
            </w:r>
          </w:p>
        </w:tc>
        <w:tc>
          <w:tcPr>
            <w:tcW w:w="605"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10551.0</w:t>
            </w:r>
          </w:p>
        </w:tc>
        <w:tc>
          <w:tcPr>
            <w:tcW w:w="604"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10951.5</w:t>
            </w:r>
          </w:p>
        </w:tc>
        <w:tc>
          <w:tcPr>
            <w:tcW w:w="604"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11266.7</w:t>
            </w:r>
          </w:p>
        </w:tc>
        <w:tc>
          <w:tcPr>
            <w:tcW w:w="604"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11535.2</w:t>
            </w:r>
          </w:p>
        </w:tc>
      </w:tr>
      <w:tr w:rsidR="00B63855" w:rsidRPr="000B73AB" w:rsidTr="006C6CA7">
        <w:trPr>
          <w:cnfStyle w:val="000000010000" w:firstRow="0" w:lastRow="0" w:firstColumn="0" w:lastColumn="0" w:oddVBand="0" w:evenVBand="0" w:oddHBand="0" w:evenHBand="1"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1978" w:type="pct"/>
          </w:tcPr>
          <w:p w:rsidR="00B63855" w:rsidRPr="00B63855" w:rsidRDefault="00B63855" w:rsidP="00B63855">
            <w:r w:rsidRPr="00B63855">
              <w:t xml:space="preserve">Capital </w:t>
            </w:r>
            <w:proofErr w:type="spellStart"/>
            <w:r w:rsidRPr="00B63855">
              <w:t>expenditure</w:t>
            </w:r>
            <w:r w:rsidRPr="00B63855">
              <w:rPr>
                <w:rStyle w:val="AERsuperscript"/>
              </w:rPr>
              <w:t>a</w:t>
            </w:r>
            <w:proofErr w:type="spellEnd"/>
          </w:p>
        </w:tc>
        <w:tc>
          <w:tcPr>
            <w:tcW w:w="605"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555.4</w:t>
            </w:r>
          </w:p>
        </w:tc>
        <w:tc>
          <w:tcPr>
            <w:tcW w:w="605"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521.7</w:t>
            </w:r>
          </w:p>
        </w:tc>
        <w:tc>
          <w:tcPr>
            <w:tcW w:w="604"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452.5</w:t>
            </w:r>
          </w:p>
        </w:tc>
        <w:tc>
          <w:tcPr>
            <w:tcW w:w="604"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415.7</w:t>
            </w:r>
          </w:p>
        </w:tc>
        <w:tc>
          <w:tcPr>
            <w:tcW w:w="604"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380.8</w:t>
            </w:r>
          </w:p>
        </w:tc>
      </w:tr>
      <w:tr w:rsidR="00B63855" w:rsidRPr="000B73AB" w:rsidTr="006C6CA7">
        <w:trPr>
          <w:trHeight w:val="529"/>
        </w:trPr>
        <w:tc>
          <w:tcPr>
            <w:cnfStyle w:val="001000000000" w:firstRow="0" w:lastRow="0" w:firstColumn="1" w:lastColumn="0" w:oddVBand="0" w:evenVBand="0" w:oddHBand="0" w:evenHBand="0" w:firstRowFirstColumn="0" w:firstRowLastColumn="0" w:lastRowFirstColumn="0" w:lastRowLastColumn="0"/>
            <w:tcW w:w="1978" w:type="pct"/>
          </w:tcPr>
          <w:p w:rsidR="00B63855" w:rsidRPr="00B63855" w:rsidRDefault="00B63855" w:rsidP="00B63855">
            <w:r w:rsidRPr="00B63855">
              <w:t>Inflation indexation on opening RAB</w:t>
            </w:r>
          </w:p>
        </w:tc>
        <w:tc>
          <w:tcPr>
            <w:tcW w:w="605"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257.6</w:t>
            </w:r>
          </w:p>
        </w:tc>
        <w:tc>
          <w:tcPr>
            <w:tcW w:w="605"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269.0</w:t>
            </w:r>
          </w:p>
        </w:tc>
        <w:tc>
          <w:tcPr>
            <w:tcW w:w="604"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279.3</w:t>
            </w:r>
          </w:p>
        </w:tc>
        <w:tc>
          <w:tcPr>
            <w:tcW w:w="604"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287.3</w:t>
            </w:r>
          </w:p>
        </w:tc>
        <w:tc>
          <w:tcPr>
            <w:tcW w:w="604" w:type="pct"/>
            <w:vAlign w:val="top"/>
          </w:tcPr>
          <w:p w:rsidR="00B63855" w:rsidRPr="00B63855" w:rsidRDefault="00B63855" w:rsidP="00E216DF">
            <w:pPr>
              <w:cnfStyle w:val="000000000000" w:firstRow="0" w:lastRow="0" w:firstColumn="0" w:lastColumn="0" w:oddVBand="0" w:evenVBand="0" w:oddHBand="0" w:evenHBand="0" w:firstRowFirstColumn="0" w:firstRowLastColumn="0" w:lastRowFirstColumn="0" w:lastRowLastColumn="0"/>
            </w:pPr>
            <w:r w:rsidRPr="00B63855">
              <w:t>294.1</w:t>
            </w:r>
          </w:p>
        </w:tc>
      </w:tr>
      <w:tr w:rsidR="00B63855" w:rsidRPr="000B73AB" w:rsidTr="006C6CA7">
        <w:trPr>
          <w:cnfStyle w:val="000000010000" w:firstRow="0" w:lastRow="0" w:firstColumn="0" w:lastColumn="0" w:oddVBand="0" w:evenVBand="0" w:oddHBand="0" w:evenHBand="1"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1978" w:type="pct"/>
          </w:tcPr>
          <w:p w:rsidR="00B63855" w:rsidRPr="00B63855" w:rsidRDefault="00B63855" w:rsidP="00B63855">
            <w:r w:rsidRPr="00B63855">
              <w:rPr>
                <w:rStyle w:val="AERtextitalic"/>
              </w:rPr>
              <w:t>Less</w:t>
            </w:r>
            <w:r w:rsidRPr="00B63855">
              <w:t>: Straight-line depreciation</w:t>
            </w:r>
          </w:p>
        </w:tc>
        <w:tc>
          <w:tcPr>
            <w:tcW w:w="605"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364.3</w:t>
            </w:r>
          </w:p>
        </w:tc>
        <w:tc>
          <w:tcPr>
            <w:tcW w:w="605"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390.2</w:t>
            </w:r>
          </w:p>
        </w:tc>
        <w:tc>
          <w:tcPr>
            <w:tcW w:w="604"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416.6</w:t>
            </w:r>
          </w:p>
        </w:tc>
        <w:tc>
          <w:tcPr>
            <w:tcW w:w="604"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434.5</w:t>
            </w:r>
          </w:p>
        </w:tc>
        <w:tc>
          <w:tcPr>
            <w:tcW w:w="604" w:type="pct"/>
            <w:vAlign w:val="top"/>
          </w:tcPr>
          <w:p w:rsidR="00B63855" w:rsidRPr="00B63855" w:rsidRDefault="00B63855" w:rsidP="00E216DF">
            <w:pPr>
              <w:cnfStyle w:val="000000010000" w:firstRow="0" w:lastRow="0" w:firstColumn="0" w:lastColumn="0" w:oddVBand="0" w:evenVBand="0" w:oddHBand="0" w:evenHBand="1" w:firstRowFirstColumn="0" w:firstRowLastColumn="0" w:lastRowFirstColumn="0" w:lastRowLastColumn="0"/>
            </w:pPr>
            <w:r w:rsidRPr="00B63855">
              <w:t>436.4</w:t>
            </w:r>
          </w:p>
        </w:tc>
      </w:tr>
      <w:tr w:rsidR="00B63855" w:rsidRPr="00554895" w:rsidTr="006C6CA7">
        <w:trPr>
          <w:trHeight w:val="529"/>
        </w:trPr>
        <w:tc>
          <w:tcPr>
            <w:cnfStyle w:val="001000000000" w:firstRow="0" w:lastRow="0" w:firstColumn="1" w:lastColumn="0" w:oddVBand="0" w:evenVBand="0" w:oddHBand="0" w:evenHBand="0" w:firstRowFirstColumn="0" w:firstRowLastColumn="0" w:lastRowFirstColumn="0" w:lastRowLastColumn="0"/>
            <w:tcW w:w="1978" w:type="pct"/>
          </w:tcPr>
          <w:p w:rsidR="00B63855" w:rsidRPr="00554895" w:rsidRDefault="00B63855" w:rsidP="00B63855">
            <w:pPr>
              <w:rPr>
                <w:rStyle w:val="Strong"/>
              </w:rPr>
            </w:pPr>
            <w:r w:rsidRPr="00554895">
              <w:rPr>
                <w:rStyle w:val="Strong"/>
              </w:rPr>
              <w:t>Closing RAB</w:t>
            </w:r>
          </w:p>
        </w:tc>
        <w:tc>
          <w:tcPr>
            <w:tcW w:w="605" w:type="pct"/>
            <w:vAlign w:val="top"/>
          </w:tcPr>
          <w:p w:rsidR="00B63855" w:rsidRPr="00554895" w:rsidRDefault="00B63855" w:rsidP="00E216DF">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10551.0</w:t>
            </w:r>
          </w:p>
        </w:tc>
        <w:tc>
          <w:tcPr>
            <w:tcW w:w="605" w:type="pct"/>
            <w:vAlign w:val="top"/>
          </w:tcPr>
          <w:p w:rsidR="00B63855" w:rsidRPr="00554895" w:rsidRDefault="00B63855" w:rsidP="00E216DF">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10951.5</w:t>
            </w:r>
          </w:p>
        </w:tc>
        <w:tc>
          <w:tcPr>
            <w:tcW w:w="604" w:type="pct"/>
            <w:vAlign w:val="top"/>
          </w:tcPr>
          <w:p w:rsidR="00B63855" w:rsidRPr="00554895" w:rsidRDefault="00B63855" w:rsidP="00E216DF">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11266.7</w:t>
            </w:r>
          </w:p>
        </w:tc>
        <w:tc>
          <w:tcPr>
            <w:tcW w:w="604" w:type="pct"/>
            <w:vAlign w:val="top"/>
          </w:tcPr>
          <w:p w:rsidR="00B63855" w:rsidRPr="00554895" w:rsidRDefault="00B63855" w:rsidP="00E216DF">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11535.2</w:t>
            </w:r>
          </w:p>
        </w:tc>
        <w:tc>
          <w:tcPr>
            <w:tcW w:w="604" w:type="pct"/>
            <w:vAlign w:val="top"/>
          </w:tcPr>
          <w:p w:rsidR="00B63855" w:rsidRPr="00554895" w:rsidRDefault="00B63855" w:rsidP="00E216DF">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11773.7</w:t>
            </w:r>
          </w:p>
        </w:tc>
      </w:tr>
    </w:tbl>
    <w:p w:rsidR="00D44A58" w:rsidRPr="00112BF8" w:rsidRDefault="00D44A58" w:rsidP="00D44A58">
      <w:pPr>
        <w:pStyle w:val="AERtablesource"/>
      </w:pPr>
      <w:r w:rsidRPr="00112BF8">
        <w:t>Source:</w:t>
      </w:r>
      <w:r w:rsidRPr="00112BF8">
        <w:tab/>
        <w:t>AER analysis.</w:t>
      </w:r>
    </w:p>
    <w:p w:rsidR="00D44A58" w:rsidRPr="00112BF8" w:rsidRDefault="00D44A58" w:rsidP="00D44A58">
      <w:pPr>
        <w:pStyle w:val="AERtablesource"/>
      </w:pPr>
      <w:r w:rsidRPr="00112BF8">
        <w:t xml:space="preserve">(a) </w:t>
      </w:r>
      <w:r w:rsidRPr="00112BF8">
        <w:tab/>
        <w:t>Net of forecast disposals and capital contributions.</w:t>
      </w:r>
    </w:p>
    <w:p w:rsidR="00D44A58" w:rsidRPr="00112BF8" w:rsidRDefault="00D44A58" w:rsidP="00D44A58">
      <w:pPr>
        <w:numPr>
          <w:ilvl w:val="0"/>
          <w:numId w:val="25"/>
        </w:numPr>
      </w:pPr>
      <w:r w:rsidRPr="00112BF8">
        <w:lastRenderedPageBreak/>
        <w:t xml:space="preserve">Our decision not to accept </w:t>
      </w:r>
      <w:r w:rsidR="007875C1">
        <w:t>Ergon Energy's</w:t>
      </w:r>
      <w:r w:rsidRPr="00112BF8">
        <w:t xml:space="preserve"> proposed RAB is because we amended its RAB roll forward </w:t>
      </w:r>
      <w:r w:rsidR="00882AA3">
        <w:t xml:space="preserve">to account </w:t>
      </w:r>
      <w:r w:rsidRPr="00112BF8">
        <w:t>for the following:</w:t>
      </w:r>
    </w:p>
    <w:p w:rsidR="00DA7177" w:rsidRDefault="00DA7177" w:rsidP="00DA7177">
      <w:pPr>
        <w:pStyle w:val="AERbulletlistfirststyle"/>
      </w:pPr>
      <w:r>
        <w:t>corrected input errors in the remaining asset lives as at 1 July 2010 used to roll forward the RAB and adjustments for capitalised provisions</w:t>
      </w:r>
    </w:p>
    <w:p w:rsidR="00A971D8" w:rsidRDefault="00A971D8" w:rsidP="00D44A58">
      <w:pPr>
        <w:pStyle w:val="AERbulletlistfirststyle"/>
      </w:pPr>
      <w:r>
        <w:t xml:space="preserve">corrected </w:t>
      </w:r>
      <w:r w:rsidR="006B32D8">
        <w:t xml:space="preserve">an </w:t>
      </w:r>
      <w:r>
        <w:t>input error in the allocation of equity raising costs</w:t>
      </w:r>
    </w:p>
    <w:p w:rsidR="00D44A58" w:rsidRDefault="00D44A58" w:rsidP="00D44A58">
      <w:pPr>
        <w:pStyle w:val="AERbulletlistfirststyle"/>
      </w:pPr>
      <w:r>
        <w:t xml:space="preserve">removed the updated amount of type 5 and 6 metering assets and </w:t>
      </w:r>
      <w:r w:rsidR="00A971D8">
        <w:t xml:space="preserve">shared assets </w:t>
      </w:r>
      <w:r>
        <w:t>from the RAB as at 1 July 2015</w:t>
      </w:r>
    </w:p>
    <w:p w:rsidR="006B32D8" w:rsidRDefault="006B32D8" w:rsidP="00D44A58">
      <w:pPr>
        <w:pStyle w:val="AERbulletlistfirststyle"/>
      </w:pPr>
      <w:proofErr w:type="gramStart"/>
      <w:r>
        <w:t>removed</w:t>
      </w:r>
      <w:proofErr w:type="gramEnd"/>
      <w:r>
        <w:t xml:space="preserve"> the unregulated Hayman Island undersea cable from the</w:t>
      </w:r>
      <w:r w:rsidR="002B181D">
        <w:t xml:space="preserve"> RAB</w:t>
      </w:r>
      <w:r>
        <w:t>.</w:t>
      </w:r>
    </w:p>
    <w:p w:rsidR="00DA7177" w:rsidRPr="00F566BD" w:rsidRDefault="00DA7177" w:rsidP="00DA7177">
      <w:r>
        <w:t>T</w:t>
      </w:r>
      <w:r w:rsidRPr="00F566BD">
        <w:t xml:space="preserve">he opening RAB as at 1 July 2015 </w:t>
      </w:r>
      <w:r>
        <w:t>is</w:t>
      </w:r>
      <w:r w:rsidRPr="00F566BD">
        <w:t xml:space="preserve"> $</w:t>
      </w:r>
      <w:r>
        <w:t>6</w:t>
      </w:r>
      <w:r w:rsidR="001E442E">
        <w:t xml:space="preserve">0.7 </w:t>
      </w:r>
      <w:r w:rsidRPr="00F566BD">
        <w:t xml:space="preserve">million (or </w:t>
      </w:r>
      <w:r w:rsidRPr="006C6CA7">
        <w:rPr>
          <w:rStyle w:val="AERbodytextChar"/>
          <w:rFonts w:eastAsiaTheme="minorHAnsi"/>
        </w:rPr>
        <w:t>0.</w:t>
      </w:r>
      <w:r w:rsidR="002F187E" w:rsidRPr="006C6CA7">
        <w:rPr>
          <w:rStyle w:val="AERbodytextChar"/>
          <w:rFonts w:eastAsiaTheme="minorHAnsi"/>
        </w:rPr>
        <w:t>6</w:t>
      </w:r>
      <w:r w:rsidRPr="006C6CA7">
        <w:rPr>
          <w:rStyle w:val="AERbodytextChar"/>
          <w:rFonts w:eastAsiaTheme="minorHAnsi"/>
        </w:rPr>
        <w:t xml:space="preserve"> per</w:t>
      </w:r>
      <w:r w:rsidRPr="00F566BD">
        <w:t xml:space="preserve"> cent) </w:t>
      </w:r>
      <w:r>
        <w:t>higher than the</w:t>
      </w:r>
      <w:r w:rsidRPr="00F566BD">
        <w:t xml:space="preserve"> </w:t>
      </w:r>
      <w:r>
        <w:t xml:space="preserve">opening RAB of </w:t>
      </w:r>
      <w:r w:rsidRPr="00112BF8">
        <w:t>$</w:t>
      </w:r>
      <w:r>
        <w:t>10</w:t>
      </w:r>
      <w:r w:rsidR="00554895">
        <w:t> </w:t>
      </w:r>
      <w:r>
        <w:t xml:space="preserve">041.5 </w:t>
      </w:r>
      <w:r w:rsidRPr="00112BF8">
        <w:t xml:space="preserve">million </w:t>
      </w:r>
      <w:r>
        <w:t xml:space="preserve">($ nominal) Ergon Energy </w:t>
      </w:r>
      <w:r w:rsidRPr="00F566BD">
        <w:t>proposed</w:t>
      </w:r>
      <w:r>
        <w:t>. The error in remaining asset lives as at 1 July 2010 was the most significant adjustment and caused the net increase in the RAB, all other adjustments reduced the RAB.</w:t>
      </w:r>
    </w:p>
    <w:p w:rsidR="00D44A58" w:rsidRDefault="00D44A58" w:rsidP="00D44A58">
      <w:r>
        <w:t xml:space="preserve">We forecast </w:t>
      </w:r>
      <w:r w:rsidR="00714BA4">
        <w:t xml:space="preserve">Ergon Energy's </w:t>
      </w:r>
      <w:r>
        <w:t>closing RAB value at 30 June 2020 to be $</w:t>
      </w:r>
      <w:r w:rsidR="002F187E" w:rsidRPr="006C6CA7">
        <w:rPr>
          <w:rStyle w:val="AERbodytextChar"/>
          <w:rFonts w:eastAsiaTheme="minorHAnsi"/>
        </w:rPr>
        <w:t>1</w:t>
      </w:r>
      <w:r w:rsidR="00AA165C" w:rsidRPr="006C6CA7">
        <w:rPr>
          <w:rStyle w:val="AERbodytextChar"/>
          <w:rFonts w:eastAsiaTheme="minorHAnsi"/>
        </w:rPr>
        <w:t>1</w:t>
      </w:r>
      <w:r w:rsidR="00554895">
        <w:rPr>
          <w:rStyle w:val="AERbodytextChar"/>
          <w:rFonts w:eastAsiaTheme="minorHAnsi"/>
        </w:rPr>
        <w:t> </w:t>
      </w:r>
      <w:r w:rsidR="001E442E">
        <w:rPr>
          <w:rStyle w:val="AERbodytextChar"/>
          <w:rFonts w:eastAsiaTheme="minorHAnsi"/>
        </w:rPr>
        <w:t xml:space="preserve">773.7 </w:t>
      </w:r>
      <w:r>
        <w:t xml:space="preserve">million ($ nominal). This </w:t>
      </w:r>
      <w:r w:rsidRPr="006C6CA7">
        <w:rPr>
          <w:rStyle w:val="AERbodytextChar"/>
          <w:rFonts w:eastAsiaTheme="minorHAnsi"/>
        </w:rPr>
        <w:t xml:space="preserve">represents </w:t>
      </w:r>
      <w:r w:rsidR="001E442E">
        <w:rPr>
          <w:rStyle w:val="AERbodytextChar"/>
          <w:rFonts w:eastAsiaTheme="minorHAnsi"/>
        </w:rPr>
        <w:t>92</w:t>
      </w:r>
      <w:r>
        <w:t xml:space="preserve"> per cent of what </w:t>
      </w:r>
      <w:r w:rsidR="00714BA4">
        <w:t>Ergon Energy</w:t>
      </w:r>
      <w:r>
        <w:t xml:space="preserve"> proposed or </w:t>
      </w:r>
      <w:r w:rsidRPr="006C6CA7">
        <w:rPr>
          <w:rStyle w:val="AERbodytextChar"/>
          <w:rFonts w:eastAsiaTheme="minorHAnsi"/>
        </w:rPr>
        <w:t>$</w:t>
      </w:r>
      <w:r w:rsidR="001E442E">
        <w:rPr>
          <w:rStyle w:val="AERbodytextChar"/>
          <w:rFonts w:eastAsiaTheme="minorHAnsi"/>
        </w:rPr>
        <w:t>1093.3</w:t>
      </w:r>
      <w:r w:rsidRPr="006C6CA7">
        <w:rPr>
          <w:rStyle w:val="AERbodytextChar"/>
          <w:rFonts w:eastAsiaTheme="minorHAnsi"/>
        </w:rPr>
        <w:t xml:space="preserve"> million</w:t>
      </w:r>
      <w:r>
        <w:t xml:space="preserve"> lower than the amount of $</w:t>
      </w:r>
      <w:r w:rsidR="002F187E">
        <w:t>12</w:t>
      </w:r>
      <w:r w:rsidR="00554895">
        <w:t> </w:t>
      </w:r>
      <w:r w:rsidR="002F187E">
        <w:t>867.0</w:t>
      </w:r>
      <w:r>
        <w:t xml:space="preserve"> million ($ nominal) </w:t>
      </w:r>
      <w:r w:rsidR="00714BA4">
        <w:t>Ergon Energy</w:t>
      </w:r>
      <w:r>
        <w:t xml:space="preserve"> proposed. The main reasons for these reductions are our adjustments to: </w:t>
      </w:r>
    </w:p>
    <w:p w:rsidR="00D44A58" w:rsidRPr="00112BF8" w:rsidRDefault="00D44A58" w:rsidP="00D44A58">
      <w:pPr>
        <w:pStyle w:val="AERbulletlistfirststyle"/>
      </w:pPr>
      <w:r w:rsidRPr="00112BF8">
        <w:t>forecast capex (attachment 6)</w:t>
      </w:r>
    </w:p>
    <w:p w:rsidR="00D44A58" w:rsidRDefault="00D44A58" w:rsidP="00D44A58">
      <w:pPr>
        <w:pStyle w:val="AERbulletlistfirststyle"/>
      </w:pPr>
      <w:proofErr w:type="gramStart"/>
      <w:r w:rsidRPr="00112BF8">
        <w:t>forecast</w:t>
      </w:r>
      <w:proofErr w:type="gramEnd"/>
      <w:r w:rsidRPr="00112BF8">
        <w:t xml:space="preserve"> depreciation (attachment 5). </w:t>
      </w:r>
    </w:p>
    <w:p w:rsidR="00D44A58" w:rsidRDefault="00D44A58" w:rsidP="00D44A58">
      <w:r w:rsidRPr="009F4C42">
        <w:t xml:space="preserve">Details of our </w:t>
      </w:r>
      <w:r w:rsidR="0095062B">
        <w:t>preliminary decision on the value of the RAB are</w:t>
      </w:r>
      <w:r w:rsidRPr="009F4C42">
        <w:t xml:space="preserve"> set out in attachment</w:t>
      </w:r>
      <w:r>
        <w:t xml:space="preserve"> 2</w:t>
      </w:r>
      <w:r w:rsidRPr="009F4C42">
        <w:t>.</w:t>
      </w:r>
    </w:p>
    <w:p w:rsidR="00D44A58" w:rsidRDefault="00D44A58" w:rsidP="00D44A58">
      <w:pPr>
        <w:pStyle w:val="Heading2"/>
      </w:pPr>
      <w:bookmarkStart w:id="29" w:name="_Toc415837324"/>
      <w:bookmarkStart w:id="30" w:name="_Toc418685503"/>
      <w:r>
        <w:t>Rate of return (return on capital)</w:t>
      </w:r>
      <w:bookmarkEnd w:id="29"/>
      <w:bookmarkEnd w:id="30"/>
    </w:p>
    <w:p w:rsidR="00137617" w:rsidRDefault="00137617" w:rsidP="00137617">
      <w:pPr>
        <w:numPr>
          <w:ilvl w:val="0"/>
          <w:numId w:val="25"/>
        </w:numPr>
      </w:pPr>
      <w:r>
        <w:t>The return on capital provides a distributor with revenue to service the interest on its loans and to give a return on equity to shareholders. This building block is calculated as a produc</w:t>
      </w:r>
      <w:r w:rsidR="00A774E1">
        <w:t>t</w:t>
      </w:r>
      <w:r>
        <w:t xml:space="preserve"> of the rate of return and the value of the RAB.</w:t>
      </w:r>
      <w:r w:rsidRPr="00F86A91">
        <w:rPr>
          <w:rStyle w:val="FootnoteReference"/>
        </w:rPr>
        <w:t xml:space="preserve"> </w:t>
      </w:r>
      <w:r w:rsidRPr="00112BF8">
        <w:rPr>
          <w:rStyle w:val="FootnoteReference"/>
        </w:rPr>
        <w:footnoteReference w:id="24"/>
      </w:r>
      <w:r>
        <w:t xml:space="preserve"> </w:t>
      </w:r>
    </w:p>
    <w:p w:rsidR="00137617" w:rsidRDefault="00137617" w:rsidP="00137617">
      <w:pPr>
        <w:numPr>
          <w:ilvl w:val="0"/>
          <w:numId w:val="25"/>
        </w:numPr>
      </w:pPr>
      <w:r>
        <w:t xml:space="preserve">The </w:t>
      </w:r>
      <w:r w:rsidR="00B47B6C">
        <w:t>NER set</w:t>
      </w:r>
      <w:r w:rsidR="0095062B">
        <w:t>s</w:t>
      </w:r>
      <w:r w:rsidR="00B47B6C">
        <w:t xml:space="preserve"> out that the </w:t>
      </w:r>
      <w:r>
        <w:t>allowed rate of return must be commensurate with the efficient financing costs of a benchmark efficient entity with a similar degree of risk as that which applies to the distributor in respect of the provision of distribution services.</w:t>
      </w:r>
      <w:r>
        <w:rPr>
          <w:rStyle w:val="FootnoteReference"/>
        </w:rPr>
        <w:footnoteReference w:id="25"/>
      </w:r>
      <w:r>
        <w:t xml:space="preserve"> The NER refers to this requirement as the allowed rate of return objective.</w:t>
      </w:r>
    </w:p>
    <w:p w:rsidR="00137617" w:rsidRPr="00112BF8" w:rsidRDefault="00137617" w:rsidP="00137617">
      <w:r w:rsidRPr="00112BF8">
        <w:t xml:space="preserve">We </w:t>
      </w:r>
      <w:r>
        <w:t>have determined</w:t>
      </w:r>
      <w:r w:rsidRPr="00112BF8">
        <w:t xml:space="preserve"> </w:t>
      </w:r>
      <w:r>
        <w:t>an</w:t>
      </w:r>
      <w:r w:rsidRPr="00112BF8">
        <w:t xml:space="preserve"> allowed rate of return of </w:t>
      </w:r>
      <w:r w:rsidR="0085683E" w:rsidRPr="006C6CA7">
        <w:rPr>
          <w:rStyle w:val="AERbodytextChar"/>
          <w:rFonts w:eastAsiaTheme="minorHAnsi"/>
        </w:rPr>
        <w:t>5.85</w:t>
      </w:r>
      <w:r w:rsidRPr="006C6CA7">
        <w:rPr>
          <w:rStyle w:val="AERbodytextChar"/>
          <w:rFonts w:eastAsiaTheme="minorHAnsi"/>
        </w:rPr>
        <w:t xml:space="preserve"> per</w:t>
      </w:r>
      <w:r w:rsidRPr="00112BF8">
        <w:t xml:space="preserve"> cent (nominal vanilla</w:t>
      </w:r>
      <w:r w:rsidRPr="00112BF8">
        <w:rPr>
          <w:rStyle w:val="FootnoteReference"/>
        </w:rPr>
        <w:footnoteReference w:id="26"/>
      </w:r>
      <w:r w:rsidRPr="00112BF8">
        <w:t>), subject to updating</w:t>
      </w:r>
      <w:r>
        <w:t xml:space="preserve">. </w:t>
      </w:r>
      <w:r w:rsidRPr="00112BF8">
        <w:t xml:space="preserve">We </w:t>
      </w:r>
      <w:r>
        <w:t>have not accepted</w:t>
      </w:r>
      <w:r w:rsidRPr="00112BF8">
        <w:t xml:space="preserve"> </w:t>
      </w:r>
      <w:r>
        <w:t>Ergon Energy'</w:t>
      </w:r>
      <w:r w:rsidRPr="00112BF8">
        <w:t xml:space="preserve">s proposed </w:t>
      </w:r>
      <w:r>
        <w:t>8.02</w:t>
      </w:r>
      <w:r w:rsidRPr="00112BF8">
        <w:t xml:space="preserve"> per cent</w:t>
      </w:r>
      <w:r w:rsidR="0095062B">
        <w:t xml:space="preserve"> </w:t>
      </w:r>
      <w:r w:rsidRPr="00112BF8">
        <w:t>return</w:t>
      </w:r>
      <w:r>
        <w:t>.</w:t>
      </w:r>
      <w:r w:rsidR="0074351E">
        <w:rPr>
          <w:rStyle w:val="FootnoteReference"/>
        </w:rPr>
        <w:footnoteReference w:id="27"/>
      </w:r>
      <w:r>
        <w:t xml:space="preserve"> </w:t>
      </w:r>
      <w:r w:rsidRPr="00112BF8">
        <w:t xml:space="preserve"> </w:t>
      </w:r>
      <w:r>
        <w:t>In revenue terms, this is $</w:t>
      </w:r>
      <w:r w:rsidR="002B5EB8" w:rsidRPr="00FD11E3">
        <w:rPr>
          <w:rStyle w:val="AERbodytextChar"/>
          <w:rFonts w:eastAsiaTheme="minorHAnsi"/>
        </w:rPr>
        <w:t>4</w:t>
      </w:r>
      <w:r w:rsidR="00A774E1">
        <w:rPr>
          <w:rStyle w:val="AERbodytextChar"/>
          <w:rFonts w:eastAsiaTheme="minorHAnsi"/>
        </w:rPr>
        <w:t xml:space="preserve"> </w:t>
      </w:r>
      <w:r w:rsidR="002B5EB8" w:rsidRPr="00FD11E3">
        <w:rPr>
          <w:rStyle w:val="AERbodytextChar"/>
          <w:rFonts w:eastAsiaTheme="minorHAnsi"/>
        </w:rPr>
        <w:t>49</w:t>
      </w:r>
      <w:r w:rsidR="00A774E1">
        <w:rPr>
          <w:rStyle w:val="AERbodytextChar"/>
          <w:rFonts w:eastAsiaTheme="minorHAnsi"/>
        </w:rPr>
        <w:t>0 m</w:t>
      </w:r>
      <w:r w:rsidR="002B5EB8" w:rsidRPr="00FD11E3">
        <w:rPr>
          <w:rStyle w:val="AERbodytextChar"/>
          <w:rFonts w:eastAsiaTheme="minorHAnsi"/>
        </w:rPr>
        <w:t>illion</w:t>
      </w:r>
      <w:r w:rsidRPr="00FD11E3">
        <w:rPr>
          <w:rStyle w:val="AERbodytextChar"/>
          <w:rFonts w:eastAsiaTheme="minorHAnsi"/>
        </w:rPr>
        <w:t xml:space="preserve"> (</w:t>
      </w:r>
      <w:r w:rsidR="002B5EB8" w:rsidRPr="00FD11E3">
        <w:rPr>
          <w:rStyle w:val="AERbodytextChar"/>
          <w:rFonts w:eastAsiaTheme="minorHAnsi"/>
        </w:rPr>
        <w:t>55</w:t>
      </w:r>
      <w:r w:rsidRPr="00FD11E3">
        <w:rPr>
          <w:rStyle w:val="AERbodytextChar"/>
          <w:rFonts w:eastAsiaTheme="minorHAnsi"/>
        </w:rPr>
        <w:t xml:space="preserve"> per cent)</w:t>
      </w:r>
      <w:r>
        <w:t xml:space="preserve"> of the $9</w:t>
      </w:r>
      <w:r w:rsidR="00A774E1">
        <w:t xml:space="preserve"> </w:t>
      </w:r>
      <w:r>
        <w:t>14</w:t>
      </w:r>
      <w:r w:rsidR="00A774E1">
        <w:t>0</w:t>
      </w:r>
      <w:r>
        <w:t xml:space="preserve"> </w:t>
      </w:r>
      <w:r w:rsidR="00A774E1">
        <w:t>m</w:t>
      </w:r>
      <w:r>
        <w:t xml:space="preserve">illion </w:t>
      </w:r>
      <w:r>
        <w:lastRenderedPageBreak/>
        <w:t xml:space="preserve">Ergon Energy proposed in its regulatory proposal. </w:t>
      </w:r>
      <w:r w:rsidR="00B47B6C">
        <w:t>In accordance with the Guideline, w</w:t>
      </w:r>
      <w:r w:rsidR="00E171EE">
        <w:t xml:space="preserve">e will </w:t>
      </w:r>
      <w:r w:rsidR="00E171EE" w:rsidRPr="00112BF8">
        <w:t>update</w:t>
      </w:r>
      <w:r w:rsidR="00E171EE">
        <w:t xml:space="preserve"> the rate of return </w:t>
      </w:r>
      <w:r w:rsidR="00E171EE" w:rsidRPr="00112BF8">
        <w:t>annually</w:t>
      </w:r>
      <w:r w:rsidR="00E171EE">
        <w:t>, consistent with Ergon Energy's proposal and our approach to return on debt</w:t>
      </w:r>
      <w:r w:rsidR="00E171EE" w:rsidRPr="00112BF8">
        <w:t>.</w:t>
      </w:r>
      <w:r w:rsidR="00E171EE">
        <w:rPr>
          <w:rStyle w:val="FootnoteReference"/>
        </w:rPr>
        <w:footnoteReference w:id="28"/>
      </w:r>
      <w:r w:rsidR="00E171EE" w:rsidRPr="00112BF8">
        <w:t xml:space="preserve"> </w:t>
      </w:r>
      <w:r>
        <w:t>Table 5 sets out the parameters we have used to determine the rate of return</w:t>
      </w:r>
      <w:r w:rsidRPr="00112BF8">
        <w:t>.</w:t>
      </w:r>
    </w:p>
    <w:p w:rsidR="009F4D95" w:rsidRPr="00796C00" w:rsidRDefault="009F4D95" w:rsidP="009F4D95">
      <w:pPr>
        <w:pStyle w:val="Caption"/>
      </w:pPr>
      <w:r>
        <w:t>Table 5</w:t>
      </w:r>
      <w:r>
        <w:tab/>
        <w:t>AER's preliminary decision on Ergon Energy's rate of return (nominal)</w:t>
      </w:r>
    </w:p>
    <w:tbl>
      <w:tblPr>
        <w:tblStyle w:val="AERtable-numbers"/>
        <w:tblW w:w="5000" w:type="pct"/>
        <w:tblLook w:val="04A0" w:firstRow="1" w:lastRow="0" w:firstColumn="1" w:lastColumn="0" w:noHBand="0" w:noVBand="1"/>
      </w:tblPr>
      <w:tblGrid>
        <w:gridCol w:w="3892"/>
        <w:gridCol w:w="1028"/>
        <w:gridCol w:w="1183"/>
        <w:gridCol w:w="1295"/>
        <w:gridCol w:w="1295"/>
      </w:tblGrid>
      <w:tr w:rsidR="009F4D95" w:rsidRPr="0036067E" w:rsidTr="003D3FD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9" w:type="pct"/>
          </w:tcPr>
          <w:p w:rsidR="009F4D95" w:rsidRPr="00796C00" w:rsidRDefault="009F4D95" w:rsidP="009F4D95">
            <w:pPr>
              <w:numPr>
                <w:ilvl w:val="0"/>
                <w:numId w:val="24"/>
              </w:numPr>
            </w:pPr>
          </w:p>
        </w:tc>
        <w:tc>
          <w:tcPr>
            <w:tcW w:w="614" w:type="pct"/>
          </w:tcPr>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rsidRPr="00381B0E">
              <w:t>AER decision</w:t>
            </w:r>
          </w:p>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t>2010–15</w:t>
            </w:r>
          </w:p>
        </w:tc>
        <w:tc>
          <w:tcPr>
            <w:tcW w:w="766" w:type="pct"/>
          </w:tcPr>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t>Ergon Energy's</w:t>
            </w:r>
            <w:r w:rsidRPr="009F4D95">
              <w:t xml:space="preserve"> proposal</w:t>
            </w:r>
            <w:r w:rsidRPr="009F4D95">
              <w:rPr>
                <w:rStyle w:val="AERsuperscript"/>
              </w:rPr>
              <w:t>(a)</w:t>
            </w:r>
          </w:p>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t>2015–16</w:t>
            </w:r>
          </w:p>
        </w:tc>
        <w:tc>
          <w:tcPr>
            <w:tcW w:w="615" w:type="pct"/>
          </w:tcPr>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rsidRPr="00381B0E">
              <w:t xml:space="preserve">AER </w:t>
            </w:r>
            <w:r w:rsidRPr="009F4D95">
              <w:t>preliminary decision</w:t>
            </w:r>
            <w:r w:rsidRPr="009F4D95">
              <w:rPr>
                <w:rStyle w:val="AERsuperscript"/>
              </w:rPr>
              <w:t>(b)</w:t>
            </w:r>
          </w:p>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t>2015–16</w:t>
            </w:r>
          </w:p>
        </w:tc>
        <w:tc>
          <w:tcPr>
            <w:tcW w:w="646" w:type="pct"/>
          </w:tcPr>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t xml:space="preserve">AER </w:t>
            </w:r>
            <w:r w:rsidRPr="009F4D95">
              <w:t>preliminary decision</w:t>
            </w:r>
            <w:r w:rsidRPr="009F4D95">
              <w:rPr>
                <w:rStyle w:val="AERsuperscript"/>
              </w:rPr>
              <w:t>(b)</w:t>
            </w:r>
          </w:p>
          <w:p w:rsidR="009F4D95" w:rsidRPr="009F4D95" w:rsidRDefault="009F4D95" w:rsidP="009F4D95">
            <w:pPr>
              <w:pStyle w:val="AERtabletextright"/>
              <w:cnfStyle w:val="100000000000" w:firstRow="1" w:lastRow="0" w:firstColumn="0" w:lastColumn="0" w:oddVBand="0" w:evenVBand="0" w:oddHBand="0" w:evenHBand="0" w:firstRowFirstColumn="0" w:firstRowLastColumn="0" w:lastRowFirstColumn="0" w:lastRowLastColumn="0"/>
            </w:pPr>
            <w:r>
              <w:t>2016–20</w:t>
            </w:r>
          </w:p>
        </w:tc>
      </w:tr>
      <w:tr w:rsidR="009F4D95" w:rsidRPr="00BD56F3" w:rsidTr="003D3FD6">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Nominal risk free rate (return on equity)(c)</w:t>
            </w:r>
          </w:p>
        </w:tc>
        <w:tc>
          <w:tcPr>
            <w:tcW w:w="614"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5.89%</w:t>
            </w:r>
          </w:p>
        </w:tc>
        <w:tc>
          <w:tcPr>
            <w:tcW w:w="76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3.63%</w:t>
            </w:r>
          </w:p>
        </w:tc>
        <w:tc>
          <w:tcPr>
            <w:tcW w:w="615"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2.55%</w:t>
            </w:r>
          </w:p>
        </w:tc>
        <w:tc>
          <w:tcPr>
            <w:tcW w:w="64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2.55%</w:t>
            </w:r>
          </w:p>
        </w:tc>
      </w:tr>
      <w:tr w:rsidR="009F4D95" w:rsidRPr="00BD56F3" w:rsidTr="003D3F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 xml:space="preserve">Equity risk premium </w:t>
            </w:r>
          </w:p>
        </w:tc>
        <w:tc>
          <w:tcPr>
            <w:tcW w:w="614"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5.20%</w:t>
            </w:r>
          </w:p>
        </w:tc>
        <w:tc>
          <w:tcPr>
            <w:tcW w:w="766"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6.87%</w:t>
            </w:r>
          </w:p>
        </w:tc>
        <w:tc>
          <w:tcPr>
            <w:tcW w:w="615"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4.55%</w:t>
            </w:r>
          </w:p>
        </w:tc>
        <w:tc>
          <w:tcPr>
            <w:tcW w:w="646"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4.55%</w:t>
            </w:r>
          </w:p>
        </w:tc>
      </w:tr>
      <w:tr w:rsidR="009F4D95" w:rsidRPr="00BD56F3" w:rsidTr="003D3FD6">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MRP</w:t>
            </w:r>
          </w:p>
        </w:tc>
        <w:tc>
          <w:tcPr>
            <w:tcW w:w="614"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6.50%</w:t>
            </w:r>
          </w:p>
        </w:tc>
        <w:tc>
          <w:tcPr>
            <w:tcW w:w="76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7.57%</w:t>
            </w:r>
          </w:p>
        </w:tc>
        <w:tc>
          <w:tcPr>
            <w:tcW w:w="615"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6.50%</w:t>
            </w:r>
          </w:p>
        </w:tc>
        <w:tc>
          <w:tcPr>
            <w:tcW w:w="64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6.50%</w:t>
            </w:r>
          </w:p>
        </w:tc>
      </w:tr>
      <w:tr w:rsidR="009F4D95" w:rsidRPr="00BD56F3" w:rsidTr="003D3F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Equity beta</w:t>
            </w:r>
          </w:p>
        </w:tc>
        <w:tc>
          <w:tcPr>
            <w:tcW w:w="614"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0.8</w:t>
            </w:r>
          </w:p>
        </w:tc>
        <w:tc>
          <w:tcPr>
            <w:tcW w:w="766"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0.91</w:t>
            </w:r>
          </w:p>
        </w:tc>
        <w:tc>
          <w:tcPr>
            <w:tcW w:w="615"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0.7</w:t>
            </w:r>
          </w:p>
        </w:tc>
        <w:tc>
          <w:tcPr>
            <w:tcW w:w="646"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0.7</w:t>
            </w:r>
          </w:p>
        </w:tc>
      </w:tr>
      <w:tr w:rsidR="009F4D95" w:rsidRPr="00BD56F3" w:rsidTr="003D3FD6">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 xml:space="preserve">Nominal post–tax return on equity </w:t>
            </w:r>
          </w:p>
        </w:tc>
        <w:tc>
          <w:tcPr>
            <w:tcW w:w="614"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11.09%</w:t>
            </w:r>
          </w:p>
        </w:tc>
        <w:tc>
          <w:tcPr>
            <w:tcW w:w="76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10.50%</w:t>
            </w:r>
          </w:p>
        </w:tc>
        <w:tc>
          <w:tcPr>
            <w:tcW w:w="615"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7.1%</w:t>
            </w:r>
          </w:p>
        </w:tc>
        <w:tc>
          <w:tcPr>
            <w:tcW w:w="64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7.1%</w:t>
            </w:r>
          </w:p>
        </w:tc>
      </w:tr>
      <w:tr w:rsidR="009F4D95" w:rsidRPr="00BD56F3" w:rsidTr="003D3F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Nominal pre–tax return on debt</w:t>
            </w:r>
          </w:p>
        </w:tc>
        <w:tc>
          <w:tcPr>
            <w:tcW w:w="614"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8.87%</w:t>
            </w:r>
          </w:p>
        </w:tc>
        <w:tc>
          <w:tcPr>
            <w:tcW w:w="766" w:type="pct"/>
          </w:tcPr>
          <w:p w:rsidR="009F4D95" w:rsidRPr="009F4D95" w:rsidRDefault="007E13F3"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6.36</w:t>
            </w:r>
            <w:r w:rsidR="009F4D95" w:rsidRPr="009F4D95">
              <w:rPr>
                <w:rStyle w:val="AERtextsize8"/>
              </w:rPr>
              <w:t>%</w:t>
            </w:r>
          </w:p>
        </w:tc>
        <w:tc>
          <w:tcPr>
            <w:tcW w:w="615"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5.01%</w:t>
            </w:r>
          </w:p>
        </w:tc>
        <w:tc>
          <w:tcPr>
            <w:tcW w:w="646" w:type="pct"/>
          </w:tcPr>
          <w:p w:rsidR="009F4D95" w:rsidRPr="003346D9" w:rsidRDefault="00553A0E" w:rsidP="00553A0E">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Updated annually</w:t>
            </w:r>
            <w:r w:rsidR="009F4D95" w:rsidRPr="003346D9">
              <w:rPr>
                <w:rStyle w:val="AERtextsize8"/>
              </w:rPr>
              <w:t>(d)</w:t>
            </w:r>
          </w:p>
        </w:tc>
      </w:tr>
      <w:tr w:rsidR="009F4D95" w:rsidRPr="00BD56F3" w:rsidTr="003D3FD6">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Gearing</w:t>
            </w:r>
          </w:p>
        </w:tc>
        <w:tc>
          <w:tcPr>
            <w:tcW w:w="614"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60%</w:t>
            </w:r>
          </w:p>
        </w:tc>
        <w:tc>
          <w:tcPr>
            <w:tcW w:w="76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60%</w:t>
            </w:r>
          </w:p>
        </w:tc>
        <w:tc>
          <w:tcPr>
            <w:tcW w:w="615"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60%</w:t>
            </w:r>
          </w:p>
        </w:tc>
        <w:tc>
          <w:tcPr>
            <w:tcW w:w="64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60%</w:t>
            </w:r>
          </w:p>
        </w:tc>
      </w:tr>
      <w:tr w:rsidR="009F4D95" w:rsidRPr="009F4D95" w:rsidTr="003D3F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Nominal vanilla WACC</w:t>
            </w:r>
          </w:p>
        </w:tc>
        <w:tc>
          <w:tcPr>
            <w:tcW w:w="614"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9.76%</w:t>
            </w:r>
          </w:p>
        </w:tc>
        <w:tc>
          <w:tcPr>
            <w:tcW w:w="766" w:type="pct"/>
          </w:tcPr>
          <w:p w:rsidR="009F4D95" w:rsidRPr="009F4D95" w:rsidRDefault="007E13F3"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8.02</w:t>
            </w:r>
            <w:r w:rsidR="009F4D95" w:rsidRPr="009F4D95">
              <w:rPr>
                <w:rStyle w:val="AERtextsize8"/>
              </w:rPr>
              <w:t>%</w:t>
            </w:r>
          </w:p>
        </w:tc>
        <w:tc>
          <w:tcPr>
            <w:tcW w:w="615" w:type="pct"/>
          </w:tcPr>
          <w:p w:rsidR="009F4D95" w:rsidRPr="009F4D95" w:rsidRDefault="009F4D95" w:rsidP="009F4D95">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sidRPr="009F4D95">
              <w:rPr>
                <w:rStyle w:val="AERtextsize8"/>
              </w:rPr>
              <w:t>5.85</w:t>
            </w:r>
          </w:p>
        </w:tc>
        <w:tc>
          <w:tcPr>
            <w:tcW w:w="646" w:type="pct"/>
          </w:tcPr>
          <w:p w:rsidR="009F4D95" w:rsidRPr="003346D9" w:rsidRDefault="00553A0E" w:rsidP="00553A0E">
            <w:pPr>
              <w:pStyle w:val="AERtabletextrigh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updated annually</w:t>
            </w:r>
            <w:r w:rsidR="009F4D95" w:rsidRPr="003346D9">
              <w:rPr>
                <w:rStyle w:val="AERtextsize8"/>
              </w:rPr>
              <w:t>(d)</w:t>
            </w:r>
          </w:p>
        </w:tc>
      </w:tr>
      <w:tr w:rsidR="009F4D95" w:rsidRPr="00BD56F3" w:rsidTr="003D3FD6">
        <w:tc>
          <w:tcPr>
            <w:cnfStyle w:val="001000000000" w:firstRow="0" w:lastRow="0" w:firstColumn="1" w:lastColumn="0" w:oddVBand="0" w:evenVBand="0" w:oddHBand="0" w:evenHBand="0" w:firstRowFirstColumn="0" w:firstRowLastColumn="0" w:lastRowFirstColumn="0" w:lastRowLastColumn="0"/>
            <w:tcW w:w="2359" w:type="pct"/>
          </w:tcPr>
          <w:p w:rsidR="009F4D95" w:rsidRPr="009F4D95" w:rsidRDefault="009F4D95" w:rsidP="009F4D95">
            <w:pPr>
              <w:pStyle w:val="AERtabletextleft"/>
              <w:rPr>
                <w:rStyle w:val="AERtextsize8"/>
              </w:rPr>
            </w:pPr>
            <w:r w:rsidRPr="009F4D95">
              <w:rPr>
                <w:rStyle w:val="AERtextsize8"/>
              </w:rPr>
              <w:t>Forecast inflation</w:t>
            </w:r>
          </w:p>
        </w:tc>
        <w:tc>
          <w:tcPr>
            <w:tcW w:w="614"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2.52%</w:t>
            </w:r>
          </w:p>
        </w:tc>
        <w:tc>
          <w:tcPr>
            <w:tcW w:w="766" w:type="pct"/>
          </w:tcPr>
          <w:p w:rsidR="009F4D95" w:rsidRPr="009F4D95" w:rsidRDefault="009F4D95" w:rsidP="009F4D95">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2.57%</w:t>
            </w:r>
          </w:p>
        </w:tc>
        <w:tc>
          <w:tcPr>
            <w:tcW w:w="615" w:type="pct"/>
          </w:tcPr>
          <w:p w:rsidR="009F4D95" w:rsidRPr="009F4D95" w:rsidRDefault="009F4D95" w:rsidP="001F43C0">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2.</w:t>
            </w:r>
            <w:r w:rsidR="001F43C0">
              <w:rPr>
                <w:rStyle w:val="AERtextsize8"/>
              </w:rPr>
              <w:t>55</w:t>
            </w:r>
            <w:r w:rsidRPr="009F4D95">
              <w:rPr>
                <w:rStyle w:val="AERtextsize8"/>
              </w:rPr>
              <w:t>%</w:t>
            </w:r>
          </w:p>
        </w:tc>
        <w:tc>
          <w:tcPr>
            <w:tcW w:w="646" w:type="pct"/>
          </w:tcPr>
          <w:p w:rsidR="009F4D95" w:rsidRPr="009F4D95" w:rsidRDefault="009F4D95" w:rsidP="001F43C0">
            <w:pPr>
              <w:pStyle w:val="AERtabletextright"/>
              <w:cnfStyle w:val="000000000000" w:firstRow="0" w:lastRow="0" w:firstColumn="0" w:lastColumn="0" w:oddVBand="0" w:evenVBand="0" w:oddHBand="0" w:evenHBand="0" w:firstRowFirstColumn="0" w:firstRowLastColumn="0" w:lastRowFirstColumn="0" w:lastRowLastColumn="0"/>
              <w:rPr>
                <w:rStyle w:val="AERtextsize8"/>
              </w:rPr>
            </w:pPr>
            <w:r w:rsidRPr="009F4D95">
              <w:rPr>
                <w:rStyle w:val="AERtextsize8"/>
              </w:rPr>
              <w:t>2.</w:t>
            </w:r>
            <w:r w:rsidR="001F43C0">
              <w:rPr>
                <w:rStyle w:val="AERtextsize8"/>
              </w:rPr>
              <w:t>55</w:t>
            </w:r>
            <w:r w:rsidRPr="009F4D95">
              <w:rPr>
                <w:rStyle w:val="AERtextsize8"/>
              </w:rPr>
              <w:t>%</w:t>
            </w:r>
          </w:p>
        </w:tc>
      </w:tr>
    </w:tbl>
    <w:p w:rsidR="009F4D95" w:rsidRDefault="009F4D95" w:rsidP="009F4D95">
      <w:pPr>
        <w:pStyle w:val="AERtablesource"/>
      </w:pPr>
      <w:r>
        <w:t>Source:</w:t>
      </w:r>
      <w:r>
        <w:tab/>
        <w:t xml:space="preserve">AER analysis; Ergon Energy, </w:t>
      </w:r>
      <w:r>
        <w:rPr>
          <w:rStyle w:val="AERtextitalic"/>
        </w:rPr>
        <w:t>R</w:t>
      </w:r>
      <w:r w:rsidRPr="005623BD">
        <w:rPr>
          <w:rStyle w:val="AERtextitalic"/>
        </w:rPr>
        <w:t>egulatory proposal</w:t>
      </w:r>
      <w:r w:rsidRPr="002A3876">
        <w:t xml:space="preserve">, </w:t>
      </w:r>
      <w:r>
        <w:t xml:space="preserve">October 2014; AER, </w:t>
      </w:r>
      <w:r w:rsidRPr="00740B5F">
        <w:rPr>
          <w:rStyle w:val="AERtextitalic"/>
        </w:rPr>
        <w:t xml:space="preserve">Final decision: </w:t>
      </w:r>
      <w:r>
        <w:rPr>
          <w:rStyle w:val="AERtextitalic"/>
        </w:rPr>
        <w:t>Queensland</w:t>
      </w:r>
      <w:r w:rsidRPr="00740B5F">
        <w:rPr>
          <w:rStyle w:val="AERtextitalic"/>
        </w:rPr>
        <w:t xml:space="preserve"> distribution determination 20</w:t>
      </w:r>
      <w:r>
        <w:rPr>
          <w:rStyle w:val="AERtextitalic"/>
        </w:rPr>
        <w:t>1</w:t>
      </w:r>
      <w:r w:rsidRPr="00740B5F">
        <w:rPr>
          <w:rStyle w:val="AERtextitalic"/>
        </w:rPr>
        <w:t>0–1</w:t>
      </w:r>
      <w:r>
        <w:rPr>
          <w:rStyle w:val="AERtextitalic"/>
        </w:rPr>
        <w:t>1</w:t>
      </w:r>
      <w:r w:rsidRPr="00740B5F">
        <w:rPr>
          <w:rStyle w:val="AERtextitalic"/>
        </w:rPr>
        <w:t xml:space="preserve"> to 201</w:t>
      </w:r>
      <w:r>
        <w:rPr>
          <w:rStyle w:val="AERtextitalic"/>
        </w:rPr>
        <w:t>4</w:t>
      </w:r>
      <w:r w:rsidRPr="00740B5F">
        <w:rPr>
          <w:rStyle w:val="AERtextitalic"/>
        </w:rPr>
        <w:t>–1</w:t>
      </w:r>
      <w:r>
        <w:rPr>
          <w:rStyle w:val="AERtextitalic"/>
        </w:rPr>
        <w:t>5</w:t>
      </w:r>
      <w:r>
        <w:t>, May 2010.</w:t>
      </w:r>
    </w:p>
    <w:p w:rsidR="009F4D95" w:rsidRDefault="009F4D95" w:rsidP="009F4D95">
      <w:pPr>
        <w:pStyle w:val="AERtablesource"/>
      </w:pPr>
      <w:r>
        <w:t>(a)</w:t>
      </w:r>
      <w:r>
        <w:tab/>
        <w:t>Ergon Energy used a multi-model approach to estimating return on equity. In applying this approach, Ergon Energy used single, consistent estimates of risk free rate and market risk premium but not of equity beta. However, an indicative equity beta estimate (for comparison purposes) can be calculated from Ergon Energy's proposed equity risk premium and market risk premium.</w:t>
      </w:r>
    </w:p>
    <w:p w:rsidR="009F4D95" w:rsidRPr="009B74AA" w:rsidRDefault="009F4D95" w:rsidP="009F4D95">
      <w:pPr>
        <w:pStyle w:val="AERtablesource"/>
      </w:pPr>
      <w:r w:rsidRPr="009B74AA">
        <w:t>(</w:t>
      </w:r>
      <w:r>
        <w:t>b</w:t>
      </w:r>
      <w:r w:rsidRPr="009B74AA">
        <w:t>)</w:t>
      </w:r>
      <w:r w:rsidRPr="009B74AA">
        <w:tab/>
      </w:r>
      <w:r w:rsidRPr="00854388">
        <w:t xml:space="preserve">This </w:t>
      </w:r>
      <w:r>
        <w:t xml:space="preserve">rate of return </w:t>
      </w:r>
      <w:r w:rsidRPr="00854388">
        <w:t>estimate</w:t>
      </w:r>
      <w:r>
        <w:t xml:space="preserve"> </w:t>
      </w:r>
      <w:r w:rsidRPr="00854388">
        <w:t xml:space="preserve">will be used to </w:t>
      </w:r>
      <w:r>
        <w:t>determine prices to apply in</w:t>
      </w:r>
      <w:r w:rsidRPr="00854388">
        <w:t xml:space="preserve"> the 201</w:t>
      </w:r>
      <w:r>
        <w:t>5</w:t>
      </w:r>
      <w:r w:rsidRPr="00854388">
        <w:t>–1</w:t>
      </w:r>
      <w:r>
        <w:t>6</w:t>
      </w:r>
      <w:r w:rsidRPr="00854388">
        <w:t xml:space="preserve"> regulatory year</w:t>
      </w:r>
      <w:r>
        <w:t xml:space="preserve">. The rate of return, including the rate to apply to the 2015–16 regulatory year, will be updated in our </w:t>
      </w:r>
      <w:r w:rsidR="00553A0E">
        <w:t>substitute</w:t>
      </w:r>
      <w:r>
        <w:t xml:space="preserve"> determination for Ergon Energy. </w:t>
      </w:r>
    </w:p>
    <w:p w:rsidR="009F4D95" w:rsidRPr="009B74AA" w:rsidRDefault="009F4D95" w:rsidP="009F4D95">
      <w:pPr>
        <w:pStyle w:val="AERtablesource"/>
      </w:pPr>
      <w:r w:rsidRPr="009B74AA">
        <w:t>(</w:t>
      </w:r>
      <w:r>
        <w:t>c</w:t>
      </w:r>
      <w:r w:rsidRPr="009B74AA">
        <w:t>)</w:t>
      </w:r>
      <w:r w:rsidRPr="009B74AA">
        <w:tab/>
      </w:r>
      <w:r>
        <w:t>Ergon Energy's risk free rate estimate was calculated using an averaging period 20 business days to 11 July 2014. AER preliminary decision risk free rate estimate is b</w:t>
      </w:r>
      <w:r w:rsidRPr="009B74AA">
        <w:t xml:space="preserve">ased on a 20 business day averaging period from </w:t>
      </w:r>
      <w:r>
        <w:t xml:space="preserve">9 February </w:t>
      </w:r>
      <w:r w:rsidRPr="009B74AA">
        <w:t xml:space="preserve">to </w:t>
      </w:r>
      <w:r>
        <w:t xml:space="preserve">6 March 2015. </w:t>
      </w:r>
    </w:p>
    <w:p w:rsidR="009F4D95" w:rsidRPr="009B74AA" w:rsidRDefault="009F4D95" w:rsidP="009F4D95">
      <w:pPr>
        <w:pStyle w:val="AERtablesource"/>
      </w:pPr>
      <w:r w:rsidRPr="009B74AA">
        <w:t>(</w:t>
      </w:r>
      <w:r>
        <w:t>d</w:t>
      </w:r>
      <w:r w:rsidRPr="009B74AA">
        <w:t>)</w:t>
      </w:r>
      <w:r w:rsidRPr="009B74AA">
        <w:tab/>
      </w:r>
      <w:r>
        <w:t>The allowed return on debt is to be updated annually and the nominal vanilla WACC will be updated annually to reflect the allowed return on debt. The allowed return on debt for 2015–16 has already been estimated. Return on debt allowances for subsequent years will be estimated based on the formula</w:t>
      </w:r>
      <w:r w:rsidR="00D04D3E">
        <w:t xml:space="preserve"> set out in the Return on Debt a</w:t>
      </w:r>
      <w:r>
        <w:t xml:space="preserve">ppendix to </w:t>
      </w:r>
      <w:r w:rsidR="00D04D3E">
        <w:t>attachment 3</w:t>
      </w:r>
      <w:r>
        <w:t>.</w:t>
      </w:r>
    </w:p>
    <w:p w:rsidR="00137617" w:rsidRPr="00112BF8" w:rsidRDefault="00137617" w:rsidP="00137617">
      <w:pPr>
        <w:pStyle w:val="HeadingBoldBlue"/>
        <w:numPr>
          <w:ilvl w:val="0"/>
          <w:numId w:val="25"/>
        </w:numPr>
      </w:pPr>
      <w:bookmarkStart w:id="31" w:name="_Toc414891204"/>
      <w:bookmarkStart w:id="32" w:name="_Toc416178159"/>
      <w:bookmarkStart w:id="33" w:name="_Toc416340892"/>
      <w:bookmarkStart w:id="34" w:name="_Toc416363433"/>
      <w:bookmarkStart w:id="35" w:name="_Toc414977539"/>
      <w:bookmarkStart w:id="36" w:name="_Toc415837327"/>
      <w:bookmarkStart w:id="37" w:name="_Toc415902417"/>
      <w:bookmarkStart w:id="38" w:name="_Toc416177973"/>
      <w:bookmarkStart w:id="39" w:name="_Toc418685504"/>
      <w:r w:rsidRPr="00112BF8">
        <w:lastRenderedPageBreak/>
        <w:t>Our approach</w:t>
      </w:r>
      <w:bookmarkEnd w:id="31"/>
      <w:bookmarkEnd w:id="32"/>
      <w:bookmarkEnd w:id="33"/>
      <w:bookmarkEnd w:id="34"/>
      <w:bookmarkEnd w:id="39"/>
    </w:p>
    <w:p w:rsidR="00137617" w:rsidRDefault="00137617" w:rsidP="00137617">
      <w:pPr>
        <w:numPr>
          <w:ilvl w:val="0"/>
          <w:numId w:val="25"/>
        </w:numPr>
      </w:pPr>
      <w:r>
        <w:t>All NER requirements relating to the rate of return are subject to the overall rate of return achieving the allowed rate of return objective</w:t>
      </w:r>
      <w:r w:rsidR="00B47B6C">
        <w:t>.</w:t>
      </w:r>
      <w:r>
        <w:rPr>
          <w:rStyle w:val="FootnoteReference"/>
        </w:rPr>
        <w:footnoteReference w:id="29"/>
      </w:r>
      <w:r>
        <w:t xml:space="preserve"> The NER recognises that there are several plausible answers that could achieve the allowed rate of return objective.</w:t>
      </w:r>
      <w:r w:rsidRPr="00FF1D25">
        <w:rPr>
          <w:rStyle w:val="FootnoteReference"/>
        </w:rPr>
        <w:t xml:space="preserve"> </w:t>
      </w:r>
      <w:r w:rsidRPr="00D16140">
        <w:rPr>
          <w:rStyle w:val="FootnoteReference"/>
        </w:rPr>
        <w:footnoteReference w:id="30"/>
      </w:r>
      <w:r>
        <w:t xml:space="preserve"> </w:t>
      </w:r>
      <w:r w:rsidR="00732121">
        <w:t>W</w:t>
      </w:r>
      <w:r>
        <w:t>e agree with stakeholders that predictability of outcomes in rate of return issues could materially benefit the long term interests of consumers.</w:t>
      </w:r>
      <w:r w:rsidRPr="00FF1D25">
        <w:rPr>
          <w:rStyle w:val="FootnoteReference"/>
        </w:rPr>
        <w:t xml:space="preserve"> </w:t>
      </w:r>
      <w:r w:rsidRPr="00D16140">
        <w:rPr>
          <w:rStyle w:val="FootnoteReference"/>
        </w:rPr>
        <w:footnoteReference w:id="31"/>
      </w:r>
      <w:r>
        <w:t xml:space="preserve"> </w:t>
      </w:r>
    </w:p>
    <w:p w:rsidR="00284A27" w:rsidRPr="00D16140" w:rsidRDefault="00137617" w:rsidP="00284A27">
      <w:pPr>
        <w:numPr>
          <w:ilvl w:val="0"/>
          <w:numId w:val="25"/>
        </w:numPr>
      </w:pPr>
      <w:r>
        <w:t>We developed our approach prior to the submission of this regulatory proposal</w:t>
      </w:r>
      <w:r w:rsidR="0095062B">
        <w:t>. A</w:t>
      </w:r>
      <w:r>
        <w:t>s required by the rate of return framework</w:t>
      </w:r>
      <w:r w:rsidR="0095062B">
        <w:t>, i</w:t>
      </w:r>
      <w:r>
        <w:t xml:space="preserve">n December 2013, we published the </w:t>
      </w:r>
      <w:r w:rsidR="000E26C1">
        <w:t>G</w:t>
      </w:r>
      <w:r>
        <w:t>uideline</w:t>
      </w:r>
      <w:r w:rsidRPr="00D16140">
        <w:rPr>
          <w:rStyle w:val="FootnoteReference"/>
        </w:rPr>
        <w:footnoteReference w:id="32"/>
      </w:r>
      <w:r w:rsidR="003012E3">
        <w:t xml:space="preserve"> as contemplated by the NER.</w:t>
      </w:r>
      <w:r w:rsidR="00B311B6">
        <w:rPr>
          <w:rStyle w:val="FootnoteReference"/>
        </w:rPr>
        <w:footnoteReference w:id="33"/>
      </w:r>
      <w:r w:rsidR="003012E3">
        <w:t xml:space="preserve"> </w:t>
      </w:r>
      <w:r w:rsidRPr="00D16140">
        <w:t>The Guideline was designed through extensive consultation and in</w:t>
      </w:r>
      <w:r w:rsidR="00A61FC4">
        <w:t>volved</w:t>
      </w:r>
      <w:r w:rsidRPr="00D16140">
        <w:t xml:space="preserve"> effective and inclusive consumer participation.</w:t>
      </w:r>
      <w:r w:rsidR="00284A27">
        <w:t xml:space="preserve"> </w:t>
      </w:r>
    </w:p>
    <w:p w:rsidR="00137617" w:rsidRPr="00D16140" w:rsidRDefault="00137617" w:rsidP="00137617">
      <w:pPr>
        <w:pStyle w:val="HeadingBoldBlue"/>
        <w:numPr>
          <w:ilvl w:val="0"/>
          <w:numId w:val="25"/>
        </w:numPr>
      </w:pPr>
      <w:bookmarkStart w:id="40" w:name="_Toc416363434"/>
      <w:bookmarkStart w:id="41" w:name="_Toc418685505"/>
      <w:r w:rsidRPr="00D16140">
        <w:t>Return on debt</w:t>
      </w:r>
      <w:bookmarkEnd w:id="40"/>
      <w:bookmarkEnd w:id="41"/>
    </w:p>
    <w:p w:rsidR="00284A27" w:rsidRDefault="00137617" w:rsidP="00284A27">
      <w:pPr>
        <w:numPr>
          <w:ilvl w:val="0"/>
          <w:numId w:val="25"/>
        </w:numPr>
      </w:pPr>
      <w:r>
        <w:t>Previously,</w:t>
      </w:r>
      <w:r w:rsidRPr="00D16140">
        <w:t xml:space="preserve"> </w:t>
      </w:r>
      <w:r>
        <w:t xml:space="preserve">we used </w:t>
      </w:r>
      <w:r w:rsidRPr="00D16140">
        <w:t>an on-the-day approach</w:t>
      </w:r>
      <w:r>
        <w:t xml:space="preserve"> to determine the return on debt</w:t>
      </w:r>
      <w:r w:rsidRPr="00D16140">
        <w:t>.</w:t>
      </w:r>
      <w:r>
        <w:rPr>
          <w:rStyle w:val="FootnoteReference"/>
        </w:rPr>
        <w:footnoteReference w:id="34"/>
      </w:r>
      <w:r>
        <w:t xml:space="preserve"> This is the approach that many Australian regulators continue to use.</w:t>
      </w:r>
      <w:r w:rsidRPr="00D16140">
        <w:t xml:space="preserve"> </w:t>
      </w:r>
      <w:r>
        <w:t>However, for this decision, we have determined a return on debt estimate that gradually transitions from an on-the-day approach to a trailing average approach</w:t>
      </w:r>
      <w:r w:rsidRPr="00D16140">
        <w:t>.</w:t>
      </w:r>
      <w:r>
        <w:rPr>
          <w:rStyle w:val="FootnoteReference"/>
        </w:rPr>
        <w:footnoteReference w:id="35"/>
      </w:r>
      <w:r w:rsidR="0095062B">
        <w:t xml:space="preserve"> This is consistent with the </w:t>
      </w:r>
      <w:r w:rsidR="00B311B6">
        <w:t>approach</w:t>
      </w:r>
      <w:r w:rsidR="0095062B">
        <w:t xml:space="preserve"> most stakeholders </w:t>
      </w:r>
      <w:r w:rsidR="00B311B6">
        <w:t>supported</w:t>
      </w:r>
      <w:r w:rsidR="0095062B">
        <w:t xml:space="preserve"> during the </w:t>
      </w:r>
      <w:r w:rsidR="00002F59">
        <w:t>G</w:t>
      </w:r>
      <w:r w:rsidR="0095062B">
        <w:t xml:space="preserve">uideline </w:t>
      </w:r>
      <w:r w:rsidR="00002F59">
        <w:t xml:space="preserve">development </w:t>
      </w:r>
      <w:r w:rsidR="0095062B">
        <w:t>process.</w:t>
      </w:r>
      <w:r w:rsidRPr="00D16140">
        <w:t xml:space="preserve"> </w:t>
      </w:r>
      <w:r w:rsidR="00002F59">
        <w:t>We note that</w:t>
      </w:r>
      <w:r w:rsidR="00284A27">
        <w:t xml:space="preserve"> Ergon Energy</w:t>
      </w:r>
      <w:r w:rsidR="00E050E3">
        <w:t xml:space="preserve"> </w:t>
      </w:r>
      <w:r w:rsidR="00284A27">
        <w:t>agree</w:t>
      </w:r>
      <w:r w:rsidR="00E050E3">
        <w:t>d</w:t>
      </w:r>
      <w:r w:rsidR="00284A27">
        <w:t xml:space="preserve"> on the transition to the trailing average approach.</w:t>
      </w:r>
    </w:p>
    <w:p w:rsidR="00137617" w:rsidRPr="00D16140" w:rsidRDefault="00137617" w:rsidP="00137617">
      <w:pPr>
        <w:pStyle w:val="HeadingBoldBlue"/>
        <w:numPr>
          <w:ilvl w:val="0"/>
          <w:numId w:val="25"/>
        </w:numPr>
      </w:pPr>
      <w:bookmarkStart w:id="42" w:name="_Toc416363435"/>
      <w:bookmarkStart w:id="43" w:name="_Toc418685506"/>
      <w:r w:rsidRPr="00D16140">
        <w:t>Return on equity</w:t>
      </w:r>
      <w:bookmarkEnd w:id="42"/>
      <w:bookmarkEnd w:id="43"/>
    </w:p>
    <w:p w:rsidR="00137617" w:rsidRPr="00D16140" w:rsidRDefault="00CB6BE6" w:rsidP="00137617">
      <w:pPr>
        <w:pStyle w:val="ListParagraph"/>
        <w:numPr>
          <w:ilvl w:val="0"/>
          <w:numId w:val="25"/>
        </w:numPr>
      </w:pPr>
      <w:r>
        <w:t>Ergon Energy has departed from our</w:t>
      </w:r>
      <w:r w:rsidR="00137617">
        <w:t xml:space="preserve"> approach to determining the return on equity.</w:t>
      </w:r>
      <w:r>
        <w:rPr>
          <w:rStyle w:val="FootnoteReference"/>
        </w:rPr>
        <w:footnoteReference w:id="36"/>
      </w:r>
      <w:r w:rsidR="00137617">
        <w:t xml:space="preserve"> </w:t>
      </w:r>
      <w:r>
        <w:t>Our approach</w:t>
      </w:r>
      <w:r w:rsidR="00137617">
        <w:t xml:space="preserve"> involves considering all the information before us, through a six step process as set out in the </w:t>
      </w:r>
      <w:r w:rsidR="000E26C1">
        <w:t>G</w:t>
      </w:r>
      <w:r w:rsidR="00137617">
        <w:t>uideline (foundation model approach).</w:t>
      </w:r>
      <w:r w:rsidR="00137617" w:rsidRPr="00D16140">
        <w:t xml:space="preserve"> </w:t>
      </w:r>
      <w:r w:rsidR="0001599B">
        <w:t>This includes detailed consideration of financial models for determining the return on equity.</w:t>
      </w:r>
      <w:r w:rsidR="0001599B">
        <w:rPr>
          <w:rStyle w:val="FootnoteReference"/>
        </w:rPr>
        <w:footnoteReference w:id="37"/>
      </w:r>
      <w:r w:rsidR="0001599B">
        <w:t xml:space="preserve"> </w:t>
      </w:r>
      <w:r w:rsidR="0001599B">
        <w:lastRenderedPageBreak/>
        <w:t xml:space="preserve">Considering all of this material helps inform a return on equity estimate that contributes to the achievement of the allowed rate of return objective. </w:t>
      </w:r>
    </w:p>
    <w:p w:rsidR="00137617" w:rsidRPr="00D16140" w:rsidRDefault="0026696E" w:rsidP="00137617">
      <w:pPr>
        <w:numPr>
          <w:ilvl w:val="0"/>
          <w:numId w:val="25"/>
        </w:numPr>
      </w:pPr>
      <w:r>
        <w:t xml:space="preserve">We consider </w:t>
      </w:r>
      <w:r w:rsidR="00137617" w:rsidRPr="00D16140">
        <w:t xml:space="preserve">that the </w:t>
      </w:r>
      <w:r w:rsidR="00137617">
        <w:t>Sharpe–</w:t>
      </w:r>
      <w:proofErr w:type="spellStart"/>
      <w:r w:rsidR="00137617">
        <w:t>Lintner</w:t>
      </w:r>
      <w:proofErr w:type="spellEnd"/>
      <w:r w:rsidR="00137617">
        <w:t xml:space="preserve"> capital asset pricing model (</w:t>
      </w:r>
      <w:r w:rsidR="00137617" w:rsidRPr="00D16140">
        <w:t>SLCAPM</w:t>
      </w:r>
      <w:r w:rsidR="00137617">
        <w:t>)</w:t>
      </w:r>
      <w:r w:rsidR="00137617" w:rsidRPr="00D16140">
        <w:t xml:space="preserve"> is the superior </w:t>
      </w:r>
      <w:r w:rsidR="00137617">
        <w:t xml:space="preserve">financial </w:t>
      </w:r>
      <w:r w:rsidR="00137617" w:rsidRPr="00D16140">
        <w:t>model in terms of estimating expected equity returns. We have therefore adopted this model as our foundatio</w:t>
      </w:r>
      <w:r w:rsidR="00137617">
        <w:t>n model. The expert evidence before us</w:t>
      </w:r>
      <w:r w:rsidR="00137617" w:rsidRPr="00D16140">
        <w:t xml:space="preserve"> </w:t>
      </w:r>
      <w:r w:rsidR="00137617">
        <w:t>also indicates</w:t>
      </w:r>
      <w:r w:rsidR="00137617" w:rsidRPr="00D16140">
        <w:t xml:space="preserve"> </w:t>
      </w:r>
      <w:r w:rsidR="00002F59">
        <w:t xml:space="preserve">on balance </w:t>
      </w:r>
      <w:r w:rsidR="00137617" w:rsidRPr="00D16140">
        <w:t xml:space="preserve">that employing our foundation model approach and using the SLCAPM as the foundation model is expected to lead to a rate of return that </w:t>
      </w:r>
      <w:r w:rsidR="00137617">
        <w:t>achieves</w:t>
      </w:r>
      <w:r w:rsidR="00137617" w:rsidRPr="00D16140">
        <w:t xml:space="preserve"> the </w:t>
      </w:r>
      <w:r w:rsidR="00137617">
        <w:t>allowed rate of return objective</w:t>
      </w:r>
      <w:r w:rsidR="00137617" w:rsidRPr="00D16140">
        <w:t>.</w:t>
      </w:r>
      <w:r w:rsidR="00137617" w:rsidRPr="00D16140">
        <w:rPr>
          <w:rStyle w:val="FootnoteReference"/>
        </w:rPr>
        <w:footnoteReference w:id="38"/>
      </w:r>
    </w:p>
    <w:p w:rsidR="00CF68FB" w:rsidRDefault="00137617" w:rsidP="00CF68FB">
      <w:r w:rsidRPr="00D16140">
        <w:t xml:space="preserve">We </w:t>
      </w:r>
      <w:r>
        <w:t xml:space="preserve">also </w:t>
      </w:r>
      <w:r w:rsidRPr="00D16140">
        <w:t xml:space="preserve">evaluated our point estimate </w:t>
      </w:r>
      <w:r>
        <w:t xml:space="preserve">from the SLCAPM </w:t>
      </w:r>
      <w:r w:rsidRPr="00D16140">
        <w:t>against other information. The critical allowance for an equity investor in a benchmark efficient entity is the allowed equity risk premium (ERP) over and above the estimated risk free rate at a</w:t>
      </w:r>
      <w:r w:rsidR="00711572">
        <w:t>ny</w:t>
      </w:r>
      <w:r w:rsidRPr="00D16140">
        <w:t xml:space="preserve"> given time.</w:t>
      </w:r>
      <w:r w:rsidRPr="00D16140">
        <w:rPr>
          <w:rStyle w:val="FootnoteReference"/>
        </w:rPr>
        <w:footnoteReference w:id="39"/>
      </w:r>
      <w:r w:rsidRPr="00D16140">
        <w:t xml:space="preserve"> Our estimate of the ERP for the benchmark efficient entity is 4.55 per cent</w:t>
      </w:r>
      <w:r w:rsidR="0026696E">
        <w:t xml:space="preserve"> which is within range</w:t>
      </w:r>
      <w:r w:rsidRPr="00D16140">
        <w:t xml:space="preserve"> of other information available to inform the return on equity</w:t>
      </w:r>
      <w:r w:rsidR="0026696E">
        <w:t xml:space="preserve"> (see figure 5)</w:t>
      </w:r>
      <w:r w:rsidRPr="00D16140">
        <w:t xml:space="preserve">. </w:t>
      </w:r>
      <w:bookmarkStart w:id="44" w:name="_Ref402448694"/>
      <w:r w:rsidR="00CF68FB" w:rsidRPr="00CB6BE6">
        <w:t>Instead,</w:t>
      </w:r>
      <w:r w:rsidR="00CF68FB">
        <w:t xml:space="preserve"> Ergon Energy </w:t>
      </w:r>
      <w:r w:rsidR="00CF68FB" w:rsidRPr="00CB6BE6">
        <w:t xml:space="preserve">proposed that the return on equity </w:t>
      </w:r>
      <w:r w:rsidR="00B311B6">
        <w:t>be determined</w:t>
      </w:r>
      <w:r w:rsidR="00CF68FB">
        <w:t xml:space="preserve"> </w:t>
      </w:r>
      <w:r w:rsidR="00CF68FB" w:rsidRPr="00CB6BE6">
        <w:t xml:space="preserve">by applying all relevant models (the SL CAPM, Black CAPM, Dividend Discount Model and </w:t>
      </w:r>
      <w:proofErr w:type="spellStart"/>
      <w:r w:rsidR="00CF68FB" w:rsidRPr="00CB6BE6">
        <w:t>Fama</w:t>
      </w:r>
      <w:proofErr w:type="spellEnd"/>
      <w:r w:rsidR="00CF68FB" w:rsidRPr="00CB6BE6">
        <w:t>-French model), as permitted under the NER.</w:t>
      </w:r>
      <w:r w:rsidR="00CF68FB">
        <w:rPr>
          <w:rStyle w:val="FootnoteReference"/>
        </w:rPr>
        <w:footnoteReference w:id="40"/>
      </w:r>
      <w:r w:rsidR="00CF68FB" w:rsidRPr="00CB6BE6">
        <w:t xml:space="preserve"> </w:t>
      </w:r>
    </w:p>
    <w:p w:rsidR="0026696E" w:rsidRDefault="0026696E" w:rsidP="00CF68FB">
      <w:r w:rsidRPr="00205830">
        <w:t xml:space="preserve">A detailed explanation of </w:t>
      </w:r>
      <w:r w:rsidR="00002F59">
        <w:t>our findings on r</w:t>
      </w:r>
      <w:r>
        <w:t xml:space="preserve">eturn on </w:t>
      </w:r>
      <w:r w:rsidR="00002F59">
        <w:t>e</w:t>
      </w:r>
      <w:r>
        <w:t xml:space="preserve">quity and </w:t>
      </w:r>
      <w:r w:rsidRPr="00205830">
        <w:t>this figure can be found in attachment 3: Rate of return</w:t>
      </w:r>
      <w:r>
        <w:t>.</w:t>
      </w:r>
    </w:p>
    <w:p w:rsidR="003346D9" w:rsidRDefault="003346D9" w:rsidP="00CF68FB"/>
    <w:p w:rsidR="003346D9" w:rsidRDefault="003346D9" w:rsidP="00CF68FB"/>
    <w:p w:rsidR="003346D9" w:rsidRDefault="003346D9" w:rsidP="00CF68FB"/>
    <w:p w:rsidR="003346D9" w:rsidRDefault="003346D9" w:rsidP="00CF68FB"/>
    <w:p w:rsidR="003346D9" w:rsidRDefault="003346D9" w:rsidP="00CF68FB"/>
    <w:p w:rsidR="003346D9" w:rsidRDefault="003346D9" w:rsidP="00CF68FB"/>
    <w:p w:rsidR="003346D9" w:rsidRDefault="003346D9" w:rsidP="00CF68FB"/>
    <w:p w:rsidR="003346D9" w:rsidRDefault="003346D9" w:rsidP="00CF68FB"/>
    <w:p w:rsidR="003346D9" w:rsidRDefault="003346D9" w:rsidP="00CF68FB"/>
    <w:p w:rsidR="003346D9" w:rsidRPr="005B749D" w:rsidRDefault="003346D9" w:rsidP="00CF68FB"/>
    <w:p w:rsidR="00137617" w:rsidRPr="00D16140" w:rsidRDefault="00137617" w:rsidP="00137617">
      <w:pPr>
        <w:pStyle w:val="Caption"/>
      </w:pPr>
      <w:r>
        <w:lastRenderedPageBreak/>
        <w:t>Figure</w:t>
      </w:r>
      <w:r w:rsidR="00DB48AA">
        <w:t xml:space="preserve"> 5</w:t>
      </w:r>
      <w:bookmarkEnd w:id="44"/>
      <w:r>
        <w:tab/>
      </w:r>
      <w:r w:rsidRPr="00D16140">
        <w:t>Other information comparisons with the AER allowed ERP</w:t>
      </w:r>
      <w:r w:rsidRPr="00D16140">
        <w:tab/>
      </w:r>
    </w:p>
    <w:p w:rsidR="00FD11E3" w:rsidRDefault="00FD11E3" w:rsidP="00137617">
      <w:pPr>
        <w:pStyle w:val="AERtablesource"/>
      </w:pPr>
      <w:r w:rsidRPr="00FD11E3">
        <w:rPr>
          <w:noProof/>
          <w:lang w:eastAsia="en-AU"/>
        </w:rPr>
        <w:drawing>
          <wp:inline distT="0" distB="0" distL="0" distR="0" wp14:anchorId="157BBDCE" wp14:editId="472D4D12">
            <wp:extent cx="5382895" cy="4285615"/>
            <wp:effectExtent l="0" t="0" r="8255" b="63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82895" cy="4285615"/>
                    </a:xfrm>
                    <a:prstGeom prst="rect">
                      <a:avLst/>
                    </a:prstGeom>
                    <a:noFill/>
                    <a:ln>
                      <a:noFill/>
                    </a:ln>
                  </pic:spPr>
                </pic:pic>
              </a:graphicData>
            </a:graphic>
          </wp:inline>
        </w:drawing>
      </w:r>
    </w:p>
    <w:p w:rsidR="00FD11E3" w:rsidRDefault="00FD11E3" w:rsidP="00137617">
      <w:pPr>
        <w:pStyle w:val="AERtablesource"/>
      </w:pPr>
    </w:p>
    <w:p w:rsidR="00137617" w:rsidRDefault="00137617" w:rsidP="00137617">
      <w:pPr>
        <w:pStyle w:val="AERtablesource"/>
      </w:pPr>
      <w:r>
        <w:t>Source:</w:t>
      </w:r>
      <w:r>
        <w:tab/>
        <w:t>AER analysis and various submissions and reports.</w:t>
      </w:r>
    </w:p>
    <w:p w:rsidR="00002F59" w:rsidRPr="00C95762" w:rsidRDefault="00002F59" w:rsidP="00002F59">
      <w:pPr>
        <w:pStyle w:val="AERtablesource"/>
      </w:pPr>
      <w:r w:rsidRPr="00C95762">
        <w:t xml:space="preserve">Notes: </w:t>
      </w:r>
      <w:r w:rsidRPr="00C95762">
        <w:tab/>
        <w:t>The AER found</w:t>
      </w:r>
      <w:r w:rsidR="00A14571">
        <w:t>ation model ERP</w:t>
      </w:r>
      <w:r w:rsidRPr="00C95762">
        <w:t xml:space="preserve"> range uses the range and point estimate for MRP and equity beta as set out in step three. The calculation of the Wright approach, debt premium, brokers, and other regulators ranges is outlined in Appendices E.1, E.2, E.4, and E.5 respectively.</w:t>
      </w:r>
    </w:p>
    <w:p w:rsidR="00002F59" w:rsidRPr="00C95762" w:rsidRDefault="00002F59" w:rsidP="00002F59">
      <w:pPr>
        <w:pStyle w:val="AERtablesource"/>
      </w:pPr>
      <w:r w:rsidRPr="00C95762">
        <w:tab/>
        <w:t xml:space="preserve">Grant Samuel's final WACC range included </w:t>
      </w:r>
      <w:proofErr w:type="gramStart"/>
      <w:r w:rsidRPr="00C95762">
        <w:t>an</w:t>
      </w:r>
      <w:r>
        <w:t xml:space="preserve"> </w:t>
      </w:r>
      <w:r w:rsidRPr="00C95762">
        <w:t>uplift</w:t>
      </w:r>
      <w:proofErr w:type="gramEnd"/>
      <w:r w:rsidRPr="00C95762">
        <w:t xml:space="preserve"> above an initial SLCAPM range. The lower bound of the Grant Samuel range shown above excludes the uplift while the upper bound includes the uplift and is on the basis that it is an uplift to return on equity. Grant Samuel made no explicit allowance for the impact of Australia's dividend imputation system. We are uncertain as to the extent of any dividend imputation adjustment that should be applied to estimates from other market practitioners. Accordingly, the upper bound of the range shown above includes an adjustment for dividend imputation, while the lower bound does not. The upper shaded portion of the range includes the entirety of the uplift on return on equity and a full dividend imputation adjustment.</w:t>
      </w:r>
      <w:r w:rsidRPr="00C95762">
        <w:rPr>
          <w:rStyle w:val="FootnoteReference"/>
        </w:rPr>
        <w:footnoteReference w:id="41"/>
      </w:r>
      <w:r w:rsidRPr="00C95762">
        <w:t xml:space="preserve"> </w:t>
      </w:r>
    </w:p>
    <w:p w:rsidR="00002F59" w:rsidRPr="00C95762" w:rsidRDefault="00002F59" w:rsidP="00002F59">
      <w:pPr>
        <w:pStyle w:val="AERtablesource"/>
      </w:pPr>
      <w:r w:rsidRPr="00C95762">
        <w:tab/>
        <w:t>The service provider proposals range is based on the proposals from businesses for which we are making final or preliminary decisions in April–May 2015.</w:t>
      </w:r>
      <w:r w:rsidRPr="00C95762">
        <w:rPr>
          <w:rStyle w:val="FootnoteReference"/>
        </w:rPr>
        <w:footnoteReference w:id="42"/>
      </w:r>
      <w:r w:rsidRPr="00C95762">
        <w:t xml:space="preserve"> Equity risk premiums were calculated as the proposed return on equity less the risk free rate utilised in the service provider's proposed estimation approach. </w:t>
      </w:r>
    </w:p>
    <w:p w:rsidR="00002F59" w:rsidRPr="00002F59" w:rsidRDefault="00002F59" w:rsidP="00002F59">
      <w:pPr>
        <w:pStyle w:val="AERtablesource"/>
      </w:pPr>
      <w:r w:rsidRPr="00C95762">
        <w:lastRenderedPageBreak/>
        <w:tab/>
        <w:t xml:space="preserve">The CCP/stakeholder range is based on submissions made (not including service providers) in relation to our final or preliminary decisions in April–May 2015. The lower bound is based on the Energy Users Association of Australia submission on NSW distributors' revised proposals. The upper bound is based on </w:t>
      </w:r>
      <w:r>
        <w:t>O</w:t>
      </w:r>
      <w:r w:rsidRPr="00C95762">
        <w:t xml:space="preserve">rigin’s submission on </w:t>
      </w:r>
      <w:proofErr w:type="spellStart"/>
      <w:r w:rsidRPr="00C95762">
        <w:t>ActewAGL’s</w:t>
      </w:r>
      <w:proofErr w:type="spellEnd"/>
      <w:r w:rsidRPr="00C95762">
        <w:t xml:space="preserve"> proposal.</w:t>
      </w:r>
      <w:r w:rsidRPr="00C95762">
        <w:rPr>
          <w:rStyle w:val="FootnoteReference"/>
        </w:rPr>
        <w:footnoteReference w:id="43"/>
      </w:r>
    </w:p>
    <w:p w:rsidR="00D44A58" w:rsidRPr="00112BF8" w:rsidRDefault="00D44A58" w:rsidP="00D44A58">
      <w:pPr>
        <w:pStyle w:val="Heading2"/>
      </w:pPr>
      <w:bookmarkStart w:id="45" w:name="_Toc415837330"/>
      <w:bookmarkStart w:id="46" w:name="_Toc418685507"/>
      <w:bookmarkEnd w:id="35"/>
      <w:bookmarkEnd w:id="36"/>
      <w:bookmarkEnd w:id="37"/>
      <w:bookmarkEnd w:id="38"/>
      <w:r w:rsidRPr="00112BF8">
        <w:t>Value of imputation credits (gamma)</w:t>
      </w:r>
      <w:bookmarkEnd w:id="45"/>
      <w:bookmarkEnd w:id="46"/>
    </w:p>
    <w:p w:rsidR="00D44A58" w:rsidRDefault="00D44A58" w:rsidP="00D44A58">
      <w:pPr>
        <w:numPr>
          <w:ilvl w:val="0"/>
          <w:numId w:val="25"/>
        </w:numPr>
      </w:pPr>
      <w:bookmarkStart w:id="47" w:name="_Toc404437135"/>
      <w:bookmarkStart w:id="48" w:name="_Toc411428038"/>
      <w:r w:rsidRPr="00A3318E">
        <w:t xml:space="preserve">Under the Australian imputation tax system, investors </w:t>
      </w:r>
      <w:r>
        <w:t xml:space="preserve">can </w:t>
      </w:r>
      <w:r w:rsidRPr="00A3318E">
        <w:t>receive an imputation credit for income t</w:t>
      </w:r>
      <w:r>
        <w:t>ax paid at the company level.</w:t>
      </w:r>
      <w:r>
        <w:rPr>
          <w:rStyle w:val="FootnoteReference"/>
        </w:rPr>
        <w:footnoteReference w:id="44"/>
      </w:r>
      <w:r w:rsidRPr="00A3318E">
        <w:t xml:space="preserve"> </w:t>
      </w:r>
      <w:r w:rsidR="00CF68FB">
        <w:t xml:space="preserve">These are received after company income tax is paid, but before personal income tax is paid. </w:t>
      </w:r>
      <w:r w:rsidRPr="00A3318E">
        <w:t xml:space="preserve">For eligible investors, this credit offsets their Australian income tax liabilities. If the </w:t>
      </w:r>
      <w:r>
        <w:t>amount</w:t>
      </w:r>
      <w:r w:rsidRPr="00A3318E">
        <w:t xml:space="preserve"> of imputation credits </w:t>
      </w:r>
      <w:r>
        <w:t xml:space="preserve">received </w:t>
      </w:r>
      <w:r w:rsidRPr="00A3318E">
        <w:t xml:space="preserve">exceeds an investor's tax liability, that investor can receive a cash refund for the balance. </w:t>
      </w:r>
      <w:r>
        <w:t>Imputation</w:t>
      </w:r>
      <w:r w:rsidRPr="00A3318E">
        <w:t xml:space="preserve"> credits are therefore a benefit to investors in addition to any cash dividend or capital gains </w:t>
      </w:r>
      <w:r>
        <w:t xml:space="preserve">they receive </w:t>
      </w:r>
      <w:r w:rsidRPr="00A3318E">
        <w:t>from owning shares.</w:t>
      </w:r>
    </w:p>
    <w:p w:rsidR="00D44A58" w:rsidRDefault="00D44A58" w:rsidP="00D44A58">
      <w:pPr>
        <w:numPr>
          <w:ilvl w:val="0"/>
          <w:numId w:val="25"/>
        </w:numPr>
      </w:pPr>
      <w:r>
        <w:t xml:space="preserve">In determining a service provider's revenue allowance, the </w:t>
      </w:r>
      <w:r w:rsidR="0026696E">
        <w:t>NER</w:t>
      </w:r>
      <w:r>
        <w:t xml:space="preserve"> require</w:t>
      </w:r>
      <w:r w:rsidR="0026696E">
        <w:t>s</w:t>
      </w:r>
      <w:r>
        <w:t xml:space="preserve"> that the estimated cost of corporate income tax be estimated in accordance with a formula that reduces the estimated cost by the 'value of imputation credits'.</w:t>
      </w:r>
      <w:r>
        <w:rPr>
          <w:rStyle w:val="FootnoteReference"/>
        </w:rPr>
        <w:footnoteReference w:id="45"/>
      </w:r>
      <w:r>
        <w:t xml:space="preserve"> That is, the revenue granted to a service provider to cover its expected tax liability must be reduced in a manner consistent with the value of imputation credits.</w:t>
      </w:r>
    </w:p>
    <w:p w:rsidR="00D44A58" w:rsidRDefault="00E51AA4" w:rsidP="00D44A58">
      <w:pPr>
        <w:numPr>
          <w:ilvl w:val="0"/>
          <w:numId w:val="25"/>
        </w:numPr>
      </w:pPr>
      <w:r>
        <w:t xml:space="preserve">Our preliminary decision is to </w:t>
      </w:r>
      <w:r w:rsidRPr="00E51AA4">
        <w:t>adopt a value of imputation credits of 0.4</w:t>
      </w:r>
      <w:r>
        <w:t xml:space="preserve">. This differs from </w:t>
      </w:r>
      <w:r w:rsidR="00850F3A">
        <w:t>Ergon Energy's</w:t>
      </w:r>
      <w:r w:rsidR="00D44A58">
        <w:t xml:space="preserve"> proposed value of imputation credits of 0.25.</w:t>
      </w:r>
    </w:p>
    <w:p w:rsidR="00D44A58" w:rsidRPr="003C2542" w:rsidRDefault="00D44A58" w:rsidP="00D44A58">
      <w:pPr>
        <w:numPr>
          <w:ilvl w:val="0"/>
          <w:numId w:val="25"/>
        </w:numPr>
      </w:pPr>
      <w:r>
        <w:t xml:space="preserve">Although we have broadly maintained the approach to determining the value of imputation credits set out in the </w:t>
      </w:r>
      <w:r w:rsidR="000E26C1">
        <w:t>R</w:t>
      </w:r>
      <w:r>
        <w:t xml:space="preserve">ate of </w:t>
      </w:r>
      <w:r w:rsidR="000E26C1">
        <w:t>R</w:t>
      </w:r>
      <w:r>
        <w:t xml:space="preserve">eturn </w:t>
      </w:r>
      <w:r w:rsidR="000E26C1">
        <w:t>G</w:t>
      </w:r>
      <w:r>
        <w:t>uideline, we have re-examined the relevant evidence and estimates. This re-examination, and new evidence and advice considered</w:t>
      </w:r>
      <w:r w:rsidR="00CF68FB">
        <w:t xml:space="preserve"> for the first time</w:t>
      </w:r>
      <w:r>
        <w:t xml:space="preserve"> since the </w:t>
      </w:r>
      <w:r w:rsidR="000E26C1">
        <w:t>G</w:t>
      </w:r>
      <w:r>
        <w:t xml:space="preserve">uideline, led us to depart from the value of 0.5 in the </w:t>
      </w:r>
      <w:r w:rsidR="000E26C1">
        <w:t>G</w:t>
      </w:r>
      <w:r>
        <w:t>uideline.</w:t>
      </w:r>
      <w:r w:rsidR="00CF68FB">
        <w:t xml:space="preserve"> Most notably, our updated consideration of the relevant advice and evidence led us to generally lower estim</w:t>
      </w:r>
      <w:r w:rsidR="00002F59">
        <w:t>ates of the 'utilisation rate' from</w:t>
      </w:r>
      <w:r w:rsidR="00CF68FB">
        <w:t xml:space="preserve"> the 0.7 estimate in the Guideline. </w:t>
      </w:r>
    </w:p>
    <w:p w:rsidR="00D44A58" w:rsidRPr="003C2542" w:rsidRDefault="00D44A58" w:rsidP="00D44A58">
      <w:pPr>
        <w:numPr>
          <w:ilvl w:val="0"/>
          <w:numId w:val="25"/>
        </w:numPr>
      </w:pPr>
      <w:r>
        <w:t xml:space="preserve">Estimating the value of imputation credits is a complex and </w:t>
      </w:r>
      <w:r w:rsidR="00002F59">
        <w:t xml:space="preserve">somewhat </w:t>
      </w:r>
      <w:r>
        <w:t xml:space="preserve">imprecise task. There is no consensus among experts on the appropriate value or estimation techniques to use. </w:t>
      </w:r>
    </w:p>
    <w:p w:rsidR="00D44A58" w:rsidRDefault="00D44A58" w:rsidP="00D44A58">
      <w:pPr>
        <w:numPr>
          <w:ilvl w:val="0"/>
          <w:numId w:val="25"/>
        </w:numPr>
      </w:pPr>
      <w:r>
        <w:t>Consistent with the relevant academic literature, we estimate the value of imputation credits as the product of the distribution rate and the utilisation rate. While there is a widely accepted approach to estimating the distribution rate, there is no single accepted approach to estimating the utilisation rate and there is a range of evidence r</w:t>
      </w:r>
      <w:r w:rsidR="00A14571">
        <w:t>elevant to the utilisation rate</w:t>
      </w:r>
      <w:r>
        <w:t>:</w:t>
      </w:r>
    </w:p>
    <w:p w:rsidR="00D44A58" w:rsidRPr="00B10087" w:rsidRDefault="00D44A58" w:rsidP="00D44A58">
      <w:pPr>
        <w:pStyle w:val="AERbulletlistfirststyle"/>
      </w:pPr>
      <w:proofErr w:type="gramStart"/>
      <w:r>
        <w:lastRenderedPageBreak/>
        <w:t>t</w:t>
      </w:r>
      <w:r w:rsidRPr="00222B8F">
        <w:t>he</w:t>
      </w:r>
      <w:proofErr w:type="gramEnd"/>
      <w:r w:rsidRPr="00222B8F">
        <w:t xml:space="preserve"> proportion of Australian equity held by domestic investors (the 'equity ownership approach')</w:t>
      </w:r>
      <w:r w:rsidRPr="00B10087">
        <w:t>.</w:t>
      </w:r>
    </w:p>
    <w:p w:rsidR="00D44A58" w:rsidRPr="00B10087" w:rsidRDefault="00D44A58" w:rsidP="00D44A58">
      <w:pPr>
        <w:pStyle w:val="AERbulletlistfirststyle"/>
      </w:pPr>
      <w:proofErr w:type="gramStart"/>
      <w:r>
        <w:t>t</w:t>
      </w:r>
      <w:r w:rsidRPr="00222B8F">
        <w:t>he</w:t>
      </w:r>
      <w:proofErr w:type="gramEnd"/>
      <w:r w:rsidRPr="00222B8F">
        <w:t xml:space="preserve"> reported value of credits utilised by investors in </w:t>
      </w:r>
      <w:r w:rsidRPr="00B10087">
        <w:t>Australian Taxation Office (ATO) statistics ('tax statistics').</w:t>
      </w:r>
    </w:p>
    <w:p w:rsidR="00D44A58" w:rsidRPr="00B10087" w:rsidRDefault="00D44A58" w:rsidP="00D44A58">
      <w:pPr>
        <w:pStyle w:val="AERbulletlistfirststyle"/>
      </w:pPr>
      <w:proofErr w:type="gramStart"/>
      <w:r>
        <w:t>implied</w:t>
      </w:r>
      <w:proofErr w:type="gramEnd"/>
      <w:r>
        <w:t xml:space="preserve"> market value studies—there is no separate market in which imputation credits are traded, and therefore there is no observable market price for imputation credits.</w:t>
      </w:r>
    </w:p>
    <w:p w:rsidR="00D44A58" w:rsidRPr="009229E7" w:rsidRDefault="00D44A58" w:rsidP="00D44A58">
      <w:pPr>
        <w:numPr>
          <w:ilvl w:val="0"/>
          <w:numId w:val="25"/>
        </w:numPr>
      </w:pPr>
      <w:r>
        <w:t>In estimating the utilisation rate, we place:</w:t>
      </w:r>
    </w:p>
    <w:p w:rsidR="00D44A58" w:rsidRPr="00B10087" w:rsidRDefault="00D44A58" w:rsidP="00D44A58">
      <w:pPr>
        <w:pStyle w:val="AERbulletlistfirststyle"/>
      </w:pPr>
      <w:r>
        <w:t>significant reliance upon the equity ownership approach</w:t>
      </w:r>
    </w:p>
    <w:p w:rsidR="00D44A58" w:rsidRPr="00B10087" w:rsidRDefault="00D44A58" w:rsidP="00D44A58">
      <w:pPr>
        <w:pStyle w:val="AERbulletlistfirststyle"/>
      </w:pPr>
      <w:r>
        <w:t>some r</w:t>
      </w:r>
      <w:r w:rsidR="00A14571">
        <w:t>eliance upon tax statistics</w:t>
      </w:r>
    </w:p>
    <w:p w:rsidR="00D44A58" w:rsidRPr="00B10087" w:rsidRDefault="00D44A58" w:rsidP="00D44A58">
      <w:pPr>
        <w:pStyle w:val="AERbulletlistfirststyle"/>
      </w:pPr>
      <w:proofErr w:type="gramStart"/>
      <w:r>
        <w:t>less</w:t>
      </w:r>
      <w:proofErr w:type="gramEnd"/>
      <w:r>
        <w:t xml:space="preserve"> reliance upon implied market value studies.</w:t>
      </w:r>
    </w:p>
    <w:p w:rsidR="00D44A58" w:rsidRDefault="00D44A58" w:rsidP="00D44A58">
      <w:pPr>
        <w:numPr>
          <w:ilvl w:val="0"/>
          <w:numId w:val="25"/>
        </w:numPr>
      </w:pPr>
      <w:r>
        <w:t>Overall, the evidence on the distribution rate and the utilisation rate suggests that a reasonable estimate of the value of imputation credits is within the range</w:t>
      </w:r>
      <w:r w:rsidR="00A14571">
        <w:t xml:space="preserve"> of</w:t>
      </w:r>
      <w:r>
        <w:t xml:space="preserve"> 0.3 to 0.5. From within this range, we choose a value of 0.4. This is because:</w:t>
      </w:r>
    </w:p>
    <w:p w:rsidR="009D2A8E" w:rsidRDefault="009D2A8E" w:rsidP="009D2A8E">
      <w:pPr>
        <w:pStyle w:val="AERbulletlistfirststyle"/>
      </w:pPr>
      <w:proofErr w:type="gramStart"/>
      <w:r>
        <w:t>the</w:t>
      </w:r>
      <w:proofErr w:type="gramEnd"/>
      <w:r>
        <w:t xml:space="preserve"> equity ownership approach, on which we have placed the most reliance, suggests a value between 0.40 and 0.47 when applied to all equity and between 0.31 and 0.44 when applied to only listed equity. Therefore, the overlap of the evidence from the equity ownership approach suggests a value between 0.40 and 0.44.</w:t>
      </w:r>
    </w:p>
    <w:p w:rsidR="009D2A8E" w:rsidRDefault="009D2A8E" w:rsidP="009D2A8E">
      <w:pPr>
        <w:pStyle w:val="AERbulletlistfirststyle"/>
      </w:pPr>
      <w:proofErr w:type="gramStart"/>
      <w:r>
        <w:t>the</w:t>
      </w:r>
      <w:proofErr w:type="gramEnd"/>
      <w:r>
        <w:t xml:space="preserve"> evidence from tax statistics suggests the value could be lower than 0.4. Therefore, with regard to this evidence and the less reliance we place on it, we choose a value at the lower end of the range suggested by the overlap of evidence from the equity ownership approach (that is, 0.4).</w:t>
      </w:r>
    </w:p>
    <w:p w:rsidR="009D2A8E" w:rsidRDefault="009D2A8E" w:rsidP="009D2A8E">
      <w:pPr>
        <w:pStyle w:val="AERbulletlistfirststyle"/>
      </w:pPr>
      <w:proofErr w:type="gramStart"/>
      <w:r>
        <w:t>an</w:t>
      </w:r>
      <w:proofErr w:type="gramEnd"/>
      <w:r>
        <w:t xml:space="preserve"> estimate of 0.4 is reasonable in light of both higher and lower estimates from implied market value studies and the less</w:t>
      </w:r>
      <w:r w:rsidR="009B192D">
        <w:t>er</w:t>
      </w:r>
      <w:r>
        <w:t xml:space="preserve"> degree of reliance we place on these studies. The service providers submitted evidence to support placing more reliance on SFG's dividend drop off study relative to other implied market value studies. However, we consider that neither the difference from 0.4 of the estimate from this study (0.32) nor any increased reliance we might place on it relative to other implied market value studies are sufficient to warrant an estimate lower than 0.4.</w:t>
      </w:r>
    </w:p>
    <w:p w:rsidR="00D44A58" w:rsidRPr="00112BF8" w:rsidRDefault="00D44A58" w:rsidP="00D44A58">
      <w:pPr>
        <w:pStyle w:val="Heading2"/>
      </w:pPr>
      <w:bookmarkStart w:id="49" w:name="_Toc415837332"/>
      <w:bookmarkStart w:id="50" w:name="_Toc418685508"/>
      <w:bookmarkEnd w:id="47"/>
      <w:bookmarkEnd w:id="48"/>
      <w:r w:rsidRPr="00112BF8">
        <w:t>Regulatory depreciation (return of capital)</w:t>
      </w:r>
      <w:bookmarkEnd w:id="49"/>
      <w:bookmarkEnd w:id="50"/>
    </w:p>
    <w:p w:rsidR="00D44A58" w:rsidRDefault="00CF68FB" w:rsidP="00D44A58">
      <w:r>
        <w:t>Depreciation is the allowance provided so that capital investors recover their investment over the economic life of the asset (return of capital). We are required to decide on whether to approve the depreciation schedules submitted by Ergon Energy.</w:t>
      </w:r>
      <w:r>
        <w:rPr>
          <w:rStyle w:val="FootnoteReference"/>
        </w:rPr>
        <w:footnoteReference w:id="46"/>
      </w:r>
      <w:r w:rsidR="0071214F">
        <w:t xml:space="preserve"> </w:t>
      </w:r>
      <w:r>
        <w:t>In doing so</w:t>
      </w:r>
      <w:r w:rsidR="0071214F">
        <w:t>,</w:t>
      </w:r>
      <w:r>
        <w:t xml:space="preserve"> we make determinations on the indexation of the RAB and depreciation building blocks for Ergon Energy's 2015</w:t>
      </w:r>
      <w:r w:rsidRPr="00CF68FB">
        <w:t>−</w:t>
      </w:r>
      <w:r>
        <w:t>20 regulatory control period.</w:t>
      </w:r>
      <w:r w:rsidRPr="00112BF8">
        <w:t xml:space="preserve"> </w:t>
      </w:r>
      <w:r w:rsidR="0071214F" w:rsidRPr="00725D66">
        <w:t xml:space="preserve">The </w:t>
      </w:r>
      <w:r w:rsidR="0071214F" w:rsidRPr="00725D66">
        <w:lastRenderedPageBreak/>
        <w:t>regulatory depreciation allowance is the net total of straight-line depreciation (negative) less the indexation of the RAB (positive).</w:t>
      </w:r>
    </w:p>
    <w:p w:rsidR="00D44A58" w:rsidRDefault="00D44A58" w:rsidP="00D44A58">
      <w:pPr>
        <w:numPr>
          <w:ilvl w:val="0"/>
          <w:numId w:val="25"/>
        </w:numPr>
      </w:pPr>
      <w:r w:rsidRPr="00112BF8">
        <w:t xml:space="preserve">Our preliminary decision is to determine alternative depreciation schedules, and hence, the depreciation allowance, to apply to </w:t>
      </w:r>
      <w:r w:rsidR="00850F3A">
        <w:t>Ergon Energy</w:t>
      </w:r>
      <w:r w:rsidRPr="00112BF8">
        <w:t>.</w:t>
      </w:r>
      <w:r w:rsidRPr="00112BF8">
        <w:rPr>
          <w:rStyle w:val="FootnoteReference"/>
        </w:rPr>
        <w:footnoteReference w:id="47"/>
      </w:r>
      <w:r w:rsidRPr="00112BF8">
        <w:t xml:space="preserve"> </w:t>
      </w:r>
      <w:r>
        <w:t>We have set</w:t>
      </w:r>
      <w:r w:rsidRPr="00112BF8">
        <w:t xml:space="preserve"> the allowance at </w:t>
      </w:r>
      <w:r w:rsidRPr="006D55D6">
        <w:rPr>
          <w:rStyle w:val="AERbodytextChar"/>
          <w:rFonts w:eastAsiaTheme="minorHAnsi"/>
        </w:rPr>
        <w:t>$</w:t>
      </w:r>
      <w:r w:rsidR="00554895">
        <w:rPr>
          <w:rStyle w:val="AERbodytextChar"/>
          <w:rFonts w:eastAsiaTheme="minorHAnsi"/>
        </w:rPr>
        <w:t>654.6</w:t>
      </w:r>
      <w:r w:rsidRPr="006D55D6">
        <w:rPr>
          <w:rStyle w:val="AERbodytextChar"/>
          <w:rFonts w:eastAsiaTheme="minorHAnsi"/>
        </w:rPr>
        <w:t xml:space="preserve"> million ($ nominal), or </w:t>
      </w:r>
      <w:r w:rsidR="00554895">
        <w:rPr>
          <w:rStyle w:val="AERbodytextChar"/>
          <w:rFonts w:eastAsiaTheme="minorHAnsi"/>
        </w:rPr>
        <w:t>27.6</w:t>
      </w:r>
      <w:r w:rsidR="0085683E" w:rsidRPr="006D55D6">
        <w:rPr>
          <w:rStyle w:val="AERbodytextChar"/>
          <w:rFonts w:eastAsiaTheme="minorHAnsi"/>
        </w:rPr>
        <w:t xml:space="preserve"> </w:t>
      </w:r>
      <w:r w:rsidRPr="006D55D6">
        <w:rPr>
          <w:rStyle w:val="AERbodytextChar"/>
          <w:rFonts w:eastAsiaTheme="minorHAnsi"/>
        </w:rPr>
        <w:t xml:space="preserve">per cent, less than the allowance </w:t>
      </w:r>
      <w:r w:rsidR="00850F3A" w:rsidRPr="006D55D6">
        <w:rPr>
          <w:rStyle w:val="AERbodytextChar"/>
          <w:rFonts w:eastAsiaTheme="minorHAnsi"/>
        </w:rPr>
        <w:t>Ergon Energy</w:t>
      </w:r>
      <w:r w:rsidRPr="00112BF8">
        <w:t xml:space="preserve"> proposed.</w:t>
      </w:r>
    </w:p>
    <w:p w:rsidR="00D44A58" w:rsidRPr="00112BF8" w:rsidRDefault="00D44A58" w:rsidP="00D44A58">
      <w:pPr>
        <w:numPr>
          <w:ilvl w:val="0"/>
          <w:numId w:val="25"/>
        </w:numPr>
      </w:pPr>
      <w:r>
        <w:t>Table 6</w:t>
      </w:r>
      <w:r w:rsidRPr="00112BF8">
        <w:t xml:space="preserve"> sets out our </w:t>
      </w:r>
      <w:r>
        <w:t>preliminary</w:t>
      </w:r>
      <w:r w:rsidRPr="00112BF8">
        <w:t xml:space="preserve"> decision on </w:t>
      </w:r>
      <w:r w:rsidR="00850F3A">
        <w:t>Ergon Energy's</w:t>
      </w:r>
      <w:r w:rsidRPr="00112BF8">
        <w:t xml:space="preserve"> depreciation allowance for the 201</w:t>
      </w:r>
      <w:r>
        <w:t>5</w:t>
      </w:r>
      <w:r w:rsidRPr="00112BF8">
        <w:t>–</w:t>
      </w:r>
      <w:r>
        <w:t>20 regulatory control</w:t>
      </w:r>
      <w:r w:rsidRPr="00112BF8">
        <w:t xml:space="preserve"> </w:t>
      </w:r>
      <w:proofErr w:type="gramStart"/>
      <w:r w:rsidRPr="00112BF8">
        <w:t>period</w:t>
      </w:r>
      <w:proofErr w:type="gramEnd"/>
      <w:r>
        <w:t>.</w:t>
      </w:r>
    </w:p>
    <w:p w:rsidR="00D44A58" w:rsidRPr="00112BF8" w:rsidRDefault="00D44A58" w:rsidP="00D44A58">
      <w:pPr>
        <w:pStyle w:val="Caption"/>
      </w:pPr>
      <w:r w:rsidRPr="00112BF8">
        <w:t xml:space="preserve">Table </w:t>
      </w:r>
      <w:r>
        <w:t>6</w:t>
      </w:r>
      <w:r w:rsidRPr="00112BF8">
        <w:tab/>
        <w:t xml:space="preserve">AER's preliminary decision on </w:t>
      </w:r>
      <w:r w:rsidR="00850F3A">
        <w:t>Ergon Energy'</w:t>
      </w:r>
      <w:r w:rsidRPr="00112BF8">
        <w:t xml:space="preserve">s depreciation allowance for the 2015−20 </w:t>
      </w:r>
      <w:r w:rsidR="00295A13">
        <w:t xml:space="preserve">regulatory control </w:t>
      </w:r>
      <w:r w:rsidRPr="00112BF8">
        <w:t>period ($ million, nominal)</w:t>
      </w:r>
    </w:p>
    <w:tbl>
      <w:tblPr>
        <w:tblStyle w:val="AERtable-numbers"/>
        <w:tblW w:w="5000" w:type="pct"/>
        <w:tblLook w:val="04A0" w:firstRow="1" w:lastRow="0" w:firstColumn="1" w:lastColumn="0" w:noHBand="0" w:noVBand="1"/>
      </w:tblPr>
      <w:tblGrid>
        <w:gridCol w:w="3370"/>
        <w:gridCol w:w="889"/>
        <w:gridCol w:w="889"/>
        <w:gridCol w:w="888"/>
        <w:gridCol w:w="888"/>
        <w:gridCol w:w="888"/>
        <w:gridCol w:w="881"/>
      </w:tblGrid>
      <w:tr w:rsidR="00D44A58" w:rsidRPr="004D699F" w:rsidTr="0085683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38" w:type="pct"/>
            <w:noWrap/>
            <w:hideMark/>
          </w:tcPr>
          <w:p w:rsidR="00D44A58" w:rsidRPr="00112BF8" w:rsidRDefault="00D44A58" w:rsidP="00D44A58">
            <w:r w:rsidRPr="00112BF8">
              <w:t> </w:t>
            </w:r>
          </w:p>
        </w:tc>
        <w:tc>
          <w:tcPr>
            <w:tcW w:w="511"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5–16</w:t>
            </w:r>
          </w:p>
        </w:tc>
        <w:tc>
          <w:tcPr>
            <w:tcW w:w="511"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6–17</w:t>
            </w:r>
          </w:p>
        </w:tc>
        <w:tc>
          <w:tcPr>
            <w:tcW w:w="511"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7–18</w:t>
            </w:r>
          </w:p>
        </w:tc>
        <w:tc>
          <w:tcPr>
            <w:tcW w:w="511"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8–19</w:t>
            </w:r>
          </w:p>
        </w:tc>
        <w:tc>
          <w:tcPr>
            <w:tcW w:w="511"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9–20</w:t>
            </w:r>
          </w:p>
        </w:tc>
        <w:tc>
          <w:tcPr>
            <w:tcW w:w="507" w:type="pct"/>
            <w:noWrap/>
            <w:hideMark/>
          </w:tcPr>
          <w:p w:rsidR="00D44A58" w:rsidRPr="00112BF8" w:rsidRDefault="00D44A58" w:rsidP="00D44A58">
            <w:pPr>
              <w:cnfStyle w:val="100000000000" w:firstRow="1" w:lastRow="0" w:firstColumn="0" w:lastColumn="0" w:oddVBand="0" w:evenVBand="0" w:oddHBand="0" w:evenHBand="0" w:firstRowFirstColumn="0" w:firstRowLastColumn="0" w:lastRowFirstColumn="0" w:lastRowLastColumn="0"/>
            </w:pPr>
            <w:r w:rsidRPr="00112BF8">
              <w:t>Total</w:t>
            </w:r>
          </w:p>
        </w:tc>
      </w:tr>
      <w:tr w:rsidR="00554895" w:rsidRPr="004D699F" w:rsidTr="006C7D9C">
        <w:trPr>
          <w:trHeight w:val="300"/>
        </w:trPr>
        <w:tc>
          <w:tcPr>
            <w:cnfStyle w:val="001000000000" w:firstRow="0" w:lastRow="0" w:firstColumn="1" w:lastColumn="0" w:oddVBand="0" w:evenVBand="0" w:oddHBand="0" w:evenHBand="0" w:firstRowFirstColumn="0" w:firstRowLastColumn="0" w:lastRowFirstColumn="0" w:lastRowLastColumn="0"/>
            <w:tcW w:w="1938" w:type="pct"/>
            <w:noWrap/>
            <w:hideMark/>
          </w:tcPr>
          <w:p w:rsidR="00554895" w:rsidRPr="00554895" w:rsidRDefault="00554895" w:rsidP="00554895">
            <w:r w:rsidRPr="00554895">
              <w:t>Straight-line depreciation</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364.3</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390.2</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416.6</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434.5</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436.4</w:t>
            </w:r>
          </w:p>
        </w:tc>
        <w:tc>
          <w:tcPr>
            <w:tcW w:w="507"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2042.0</w:t>
            </w:r>
          </w:p>
        </w:tc>
      </w:tr>
      <w:tr w:rsidR="00554895" w:rsidRPr="004D699F" w:rsidTr="006C7D9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38" w:type="pct"/>
            <w:noWrap/>
            <w:hideMark/>
          </w:tcPr>
          <w:p w:rsidR="00554895" w:rsidRPr="00554895" w:rsidRDefault="00554895" w:rsidP="00554895">
            <w:r w:rsidRPr="00554895">
              <w:rPr>
                <w:rStyle w:val="AERtextitalic"/>
              </w:rPr>
              <w:t>Less</w:t>
            </w:r>
            <w:r w:rsidRPr="00554895">
              <w:t>: inflation indexation on opening RAB</w:t>
            </w:r>
          </w:p>
        </w:tc>
        <w:tc>
          <w:tcPr>
            <w:tcW w:w="511"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257.6</w:t>
            </w:r>
          </w:p>
        </w:tc>
        <w:tc>
          <w:tcPr>
            <w:tcW w:w="511"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269.0</w:t>
            </w:r>
          </w:p>
        </w:tc>
        <w:tc>
          <w:tcPr>
            <w:tcW w:w="511"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279.3</w:t>
            </w:r>
          </w:p>
        </w:tc>
        <w:tc>
          <w:tcPr>
            <w:tcW w:w="511"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287.3</w:t>
            </w:r>
          </w:p>
        </w:tc>
        <w:tc>
          <w:tcPr>
            <w:tcW w:w="511"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294.1</w:t>
            </w:r>
          </w:p>
        </w:tc>
        <w:tc>
          <w:tcPr>
            <w:tcW w:w="507"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1387.4</w:t>
            </w:r>
          </w:p>
        </w:tc>
      </w:tr>
      <w:tr w:rsidR="00554895" w:rsidRPr="00554895" w:rsidTr="006C7D9C">
        <w:trPr>
          <w:trHeight w:val="300"/>
        </w:trPr>
        <w:tc>
          <w:tcPr>
            <w:cnfStyle w:val="001000000000" w:firstRow="0" w:lastRow="0" w:firstColumn="1" w:lastColumn="0" w:oddVBand="0" w:evenVBand="0" w:oddHBand="0" w:evenHBand="0" w:firstRowFirstColumn="0" w:firstRowLastColumn="0" w:lastRowFirstColumn="0" w:lastRowLastColumn="0"/>
            <w:tcW w:w="1938" w:type="pct"/>
            <w:noWrap/>
            <w:hideMark/>
          </w:tcPr>
          <w:p w:rsidR="00554895" w:rsidRPr="00554895" w:rsidRDefault="00554895" w:rsidP="00554895">
            <w:pPr>
              <w:rPr>
                <w:rStyle w:val="Strong"/>
              </w:rPr>
            </w:pPr>
            <w:r w:rsidRPr="00554895">
              <w:rPr>
                <w:rStyle w:val="Strong"/>
              </w:rPr>
              <w:t>Regulatory depreciation</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106.7</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121.2</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137.3</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147.2</w:t>
            </w:r>
          </w:p>
        </w:tc>
        <w:tc>
          <w:tcPr>
            <w:tcW w:w="511"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142.3</w:t>
            </w:r>
          </w:p>
        </w:tc>
        <w:tc>
          <w:tcPr>
            <w:tcW w:w="507"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654.6</w:t>
            </w:r>
          </w:p>
        </w:tc>
      </w:tr>
    </w:tbl>
    <w:p w:rsidR="00D44A58" w:rsidRDefault="00D44A58" w:rsidP="00D44A58">
      <w:pPr>
        <w:pStyle w:val="AERtablesource"/>
      </w:pPr>
      <w:r w:rsidRPr="00112BF8">
        <w:t>Source:</w:t>
      </w:r>
      <w:r w:rsidRPr="00112BF8">
        <w:tab/>
        <w:t>AER analysis.</w:t>
      </w:r>
    </w:p>
    <w:p w:rsidR="00D44A58" w:rsidRPr="00CF68FB" w:rsidRDefault="00D44A58" w:rsidP="00D44A58">
      <w:pPr>
        <w:rPr>
          <w:rStyle w:val="AERbodytextChar"/>
          <w:rFonts w:eastAsiaTheme="minorHAnsi"/>
        </w:rPr>
      </w:pPr>
      <w:r w:rsidRPr="007F3EA4">
        <w:t xml:space="preserve">In coming to our preliminary decision to determine a regulatory depreciation allowance </w:t>
      </w:r>
      <w:r w:rsidRPr="00CF68FB">
        <w:rPr>
          <w:rStyle w:val="AERbodytextChar"/>
          <w:rFonts w:eastAsiaTheme="minorHAnsi"/>
        </w:rPr>
        <w:t>of $</w:t>
      </w:r>
      <w:r w:rsidR="00554895">
        <w:rPr>
          <w:rStyle w:val="AERbodytextChar"/>
          <w:rFonts w:eastAsiaTheme="minorHAnsi"/>
        </w:rPr>
        <w:t>654.6</w:t>
      </w:r>
      <w:r w:rsidR="00A14571">
        <w:rPr>
          <w:rStyle w:val="AERbodytextChar"/>
          <w:rFonts w:eastAsiaTheme="minorHAnsi"/>
        </w:rPr>
        <w:t xml:space="preserve"> million</w:t>
      </w:r>
      <w:r w:rsidR="0085683E" w:rsidRPr="00CF68FB">
        <w:rPr>
          <w:rStyle w:val="AERbodytextChar"/>
          <w:rFonts w:eastAsiaTheme="minorHAnsi"/>
        </w:rPr>
        <w:t xml:space="preserve"> </w:t>
      </w:r>
      <w:r w:rsidRPr="00CF68FB">
        <w:rPr>
          <w:rStyle w:val="AERbodytextChar"/>
          <w:rFonts w:eastAsiaTheme="minorHAnsi"/>
        </w:rPr>
        <w:t>($nominal), we:</w:t>
      </w:r>
    </w:p>
    <w:p w:rsidR="006D60D4" w:rsidRDefault="006D60D4" w:rsidP="006D60D4">
      <w:pPr>
        <w:pStyle w:val="AERbulletlistfirststyle"/>
      </w:pPr>
      <w:proofErr w:type="gramStart"/>
      <w:r>
        <w:t>a</w:t>
      </w:r>
      <w:r w:rsidRPr="00F433A3">
        <w:t>ccept</w:t>
      </w:r>
      <w:proofErr w:type="gramEnd"/>
      <w:r w:rsidRPr="00F433A3">
        <w:t xml:space="preserve"> </w:t>
      </w:r>
      <w:r>
        <w:t>Ergon Energy's</w:t>
      </w:r>
      <w:r w:rsidRPr="00F433A3">
        <w:t xml:space="preserve"> proposed asset classes, </w:t>
      </w:r>
      <w:r>
        <w:t xml:space="preserve">its </w:t>
      </w:r>
      <w:r w:rsidRPr="00F433A3">
        <w:t xml:space="preserve">straight-line depreciation method, and the standard asset lives used to calculate the regulatory depreciation allowance. We consider </w:t>
      </w:r>
      <w:r>
        <w:t xml:space="preserve">Ergon Energy's </w:t>
      </w:r>
      <w:r w:rsidRPr="00F433A3">
        <w:t>proposed asset classes and standard asset lives are consistent with those approved at the 2010</w:t>
      </w:r>
      <w:r>
        <w:t>–</w:t>
      </w:r>
      <w:r w:rsidRPr="00F433A3">
        <w:t>15 distribution determination</w:t>
      </w:r>
      <w:r>
        <w:t>,</w:t>
      </w:r>
      <w:r w:rsidRPr="00F433A3">
        <w:t xml:space="preserve"> and reflect the nature and economic lives of the assets.</w:t>
      </w:r>
      <w:r w:rsidRPr="00F433A3">
        <w:rPr>
          <w:rStyle w:val="FootnoteReference"/>
        </w:rPr>
        <w:footnoteReference w:id="48"/>
      </w:r>
    </w:p>
    <w:p w:rsidR="006D60D4" w:rsidRDefault="006D60D4" w:rsidP="006D60D4">
      <w:pPr>
        <w:pStyle w:val="AERbulletlistfirststyle"/>
      </w:pPr>
      <w:proofErr w:type="gramStart"/>
      <w:r>
        <w:t>do</w:t>
      </w:r>
      <w:proofErr w:type="gramEnd"/>
      <w:r>
        <w:t xml:space="preserve"> not accept Ergon Energy</w:t>
      </w:r>
      <w:r w:rsidRPr="00F01ABB">
        <w:t xml:space="preserve">'s proposed average </w:t>
      </w:r>
      <w:r>
        <w:t>depreciation approach</w:t>
      </w:r>
      <w:r w:rsidRPr="00F01ABB">
        <w:t xml:space="preserve"> to calculate the remaining asset</w:t>
      </w:r>
      <w:r>
        <w:t xml:space="preserve"> </w:t>
      </w:r>
      <w:r w:rsidRPr="00F01ABB">
        <w:t>lives at 1 July 201</w:t>
      </w:r>
      <w:r>
        <w:t>5</w:t>
      </w:r>
      <w:r w:rsidRPr="00F01ABB">
        <w:t xml:space="preserve">. </w:t>
      </w:r>
      <w:r>
        <w:t>W</w:t>
      </w:r>
      <w:r w:rsidRPr="00F01ABB">
        <w:t xml:space="preserve">e </w:t>
      </w:r>
      <w:r>
        <w:t xml:space="preserve">instead substitute remaining asset lives calculated using a weighted average approach. </w:t>
      </w:r>
    </w:p>
    <w:p w:rsidR="006D60D4" w:rsidRDefault="006D60D4" w:rsidP="006D60D4">
      <w:pPr>
        <w:pStyle w:val="AERbulletlistfirststyle"/>
      </w:pPr>
      <w:r>
        <w:t>m</w:t>
      </w:r>
      <w:r w:rsidRPr="00F01ABB">
        <w:t xml:space="preserve">ade determinations on other components of </w:t>
      </w:r>
      <w:r>
        <w:t xml:space="preserve">Ergon Energy's </w:t>
      </w:r>
      <w:r w:rsidRPr="00F01ABB">
        <w:t xml:space="preserve">proposal </w:t>
      </w:r>
      <w:r>
        <w:t xml:space="preserve">that </w:t>
      </w:r>
      <w:r w:rsidRPr="00F01ABB">
        <w:t>also affect the forecast regulatory depreciation allowance—for example, the forecast capex (attachment 6)</w:t>
      </w:r>
      <w:r>
        <w:t xml:space="preserve"> </w:t>
      </w:r>
      <w:r w:rsidRPr="00F01ABB">
        <w:t>and the opening RAB value (attachment</w:t>
      </w:r>
      <w:r>
        <w:t> </w:t>
      </w:r>
      <w:r w:rsidRPr="00F01ABB">
        <w:t>2).</w:t>
      </w:r>
      <w:r w:rsidRPr="00204479">
        <w:rPr>
          <w:rStyle w:val="AERsuperscript"/>
        </w:rPr>
        <w:footnoteReference w:id="49"/>
      </w:r>
    </w:p>
    <w:p w:rsidR="00D44A58" w:rsidRDefault="00686DC6" w:rsidP="00D44A58">
      <w:r>
        <w:t xml:space="preserve">Details of </w:t>
      </w:r>
      <w:r w:rsidR="00D44A58" w:rsidRPr="004F77EF">
        <w:t xml:space="preserve">our preliminary decision </w:t>
      </w:r>
      <w:r w:rsidR="006C7E47">
        <w:t xml:space="preserve">on </w:t>
      </w:r>
      <w:r>
        <w:t>the</w:t>
      </w:r>
      <w:r w:rsidR="00D44A58" w:rsidRPr="004F77EF">
        <w:t xml:space="preserve"> regulatory depreciation allowance</w:t>
      </w:r>
      <w:r>
        <w:t xml:space="preserve"> are set out in attachment 5</w:t>
      </w:r>
      <w:r w:rsidR="00D44A58" w:rsidRPr="004F77EF">
        <w:t>.</w:t>
      </w:r>
    </w:p>
    <w:p w:rsidR="00002F59" w:rsidRDefault="00002F59" w:rsidP="00D44A58"/>
    <w:p w:rsidR="00D44A58" w:rsidRPr="00112BF8" w:rsidRDefault="00D44A58" w:rsidP="00D44A58">
      <w:pPr>
        <w:pStyle w:val="Heading2"/>
      </w:pPr>
      <w:bookmarkStart w:id="51" w:name="_Toc415837334"/>
      <w:bookmarkStart w:id="52" w:name="_Toc418685509"/>
      <w:r w:rsidRPr="00112BF8">
        <w:lastRenderedPageBreak/>
        <w:t>Capital expenditure</w:t>
      </w:r>
      <w:bookmarkEnd w:id="51"/>
      <w:bookmarkEnd w:id="52"/>
    </w:p>
    <w:p w:rsidR="00D44A58" w:rsidRPr="00112BF8" w:rsidRDefault="00D44A58" w:rsidP="00D44A58">
      <w:pPr>
        <w:rPr>
          <w:rStyle w:val="AERbody"/>
        </w:rPr>
      </w:pPr>
      <w:r w:rsidRPr="00112BF8">
        <w:rPr>
          <w:rStyle w:val="AERbody"/>
        </w:rPr>
        <w:t xml:space="preserve">Capex refers to the capital expenses incurred in the provision of network services. The return on and of forecast capex for standard control services are two of the building blocks we use to determine a service provider's total revenue requirement.  </w:t>
      </w:r>
    </w:p>
    <w:p w:rsidR="00D44A58" w:rsidRDefault="00D44A58" w:rsidP="00D44A58">
      <w:r>
        <w:t xml:space="preserve">We </w:t>
      </w:r>
      <w:r w:rsidR="009D2A8E">
        <w:t>estimate</w:t>
      </w:r>
      <w:r>
        <w:t xml:space="preserve"> total forecast capex </w:t>
      </w:r>
      <w:r w:rsidRPr="00CF68FB">
        <w:rPr>
          <w:rStyle w:val="AERbodytextChar"/>
          <w:rFonts w:eastAsiaTheme="minorHAnsi"/>
        </w:rPr>
        <w:t>of $</w:t>
      </w:r>
      <w:r w:rsidR="00E01A6A">
        <w:rPr>
          <w:rStyle w:val="AERbodytextChar"/>
          <w:rFonts w:eastAsiaTheme="minorHAnsi"/>
        </w:rPr>
        <w:t>2182</w:t>
      </w:r>
      <w:r w:rsidR="00DB75E0" w:rsidRPr="00CF68FB">
        <w:rPr>
          <w:rStyle w:val="AERbodytextChar"/>
          <w:rFonts w:eastAsiaTheme="minorHAnsi"/>
        </w:rPr>
        <w:t xml:space="preserve"> </w:t>
      </w:r>
      <w:r w:rsidRPr="00CF68FB">
        <w:rPr>
          <w:rStyle w:val="AERbodytextChar"/>
          <w:rFonts w:eastAsiaTheme="minorHAnsi"/>
        </w:rPr>
        <w:t>million</w:t>
      </w:r>
      <w:r>
        <w:t xml:space="preserve"> ($2014</w:t>
      </w:r>
      <w:r w:rsidRPr="00D44A58">
        <w:t>−</w:t>
      </w:r>
      <w:r w:rsidR="00686DC6">
        <w:t>1</w:t>
      </w:r>
      <w:r>
        <w:t xml:space="preserve">5) for </w:t>
      </w:r>
      <w:r w:rsidR="00DB75E0">
        <w:t>Ergon Energy</w:t>
      </w:r>
      <w:r>
        <w:t xml:space="preserve">'s </w:t>
      </w:r>
      <w:r w:rsidRPr="00CF68FB">
        <w:rPr>
          <w:rStyle w:val="AERbodytextChar"/>
          <w:rFonts w:eastAsiaTheme="minorHAnsi"/>
        </w:rPr>
        <w:t>2015−</w:t>
      </w:r>
      <w:r w:rsidR="00DB75E0" w:rsidRPr="00CF68FB">
        <w:rPr>
          <w:rStyle w:val="AERbodytextChar"/>
          <w:rFonts w:eastAsiaTheme="minorHAnsi"/>
        </w:rPr>
        <w:t>20 regulatory control period. This is down from $</w:t>
      </w:r>
      <w:r w:rsidR="00E01A6A">
        <w:rPr>
          <w:rStyle w:val="AERbodytextChar"/>
          <w:rFonts w:eastAsiaTheme="minorHAnsi"/>
        </w:rPr>
        <w:t>3397</w:t>
      </w:r>
      <w:r w:rsidR="00DB75E0" w:rsidRPr="00CF68FB">
        <w:rPr>
          <w:rStyle w:val="AERbodytextChar"/>
          <w:rFonts w:eastAsiaTheme="minorHAnsi"/>
        </w:rPr>
        <w:t xml:space="preserve"> million ($2014−15) or </w:t>
      </w:r>
      <w:r w:rsidR="00E01A6A">
        <w:rPr>
          <w:rStyle w:val="AERbodytextChar"/>
          <w:rFonts w:eastAsiaTheme="minorHAnsi"/>
        </w:rPr>
        <w:t>36</w:t>
      </w:r>
      <w:r w:rsidRPr="00CF68FB">
        <w:rPr>
          <w:rStyle w:val="AERbodytextChar"/>
          <w:rFonts w:eastAsiaTheme="minorHAnsi"/>
        </w:rPr>
        <w:t xml:space="preserve"> per</w:t>
      </w:r>
      <w:r>
        <w:t xml:space="preserve"> cent of E</w:t>
      </w:r>
      <w:r w:rsidR="00DB75E0">
        <w:t>rgon Energy</w:t>
      </w:r>
      <w:r>
        <w:t>'s proposed capex.</w:t>
      </w:r>
    </w:p>
    <w:p w:rsidR="00D44A58" w:rsidRDefault="006C7D9C" w:rsidP="00D44A58">
      <w:r>
        <w:t>Table 7</w:t>
      </w:r>
      <w:r w:rsidR="00D44A58">
        <w:t xml:space="preserve">shows our preliminary decision compared to </w:t>
      </w:r>
      <w:r w:rsidR="00DB75E0">
        <w:t>Ergon Energy</w:t>
      </w:r>
      <w:r w:rsidR="00D44A58">
        <w:t>'s proposal.</w:t>
      </w:r>
    </w:p>
    <w:p w:rsidR="00D44A58" w:rsidRPr="00112BF8" w:rsidRDefault="00D44A58" w:rsidP="00D44A58">
      <w:pPr>
        <w:pStyle w:val="Caption"/>
      </w:pPr>
      <w:r w:rsidRPr="00112BF8">
        <w:t xml:space="preserve">Table </w:t>
      </w:r>
      <w:r>
        <w:t>7</w:t>
      </w:r>
      <w:r w:rsidRPr="00112BF8">
        <w:tab/>
        <w:t xml:space="preserve"> </w:t>
      </w:r>
      <w:r w:rsidR="00A774E1">
        <w:t>AER</w:t>
      </w:r>
      <w:r w:rsidRPr="00112BF8">
        <w:t xml:space="preserve"> preliminary decision on total net capex ($million </w:t>
      </w:r>
      <w:r w:rsidRPr="009B0EDD">
        <w:t>2014–15)</w:t>
      </w:r>
    </w:p>
    <w:tbl>
      <w:tblPr>
        <w:tblStyle w:val="AERtable-numbers"/>
        <w:tblW w:w="0" w:type="auto"/>
        <w:tblLook w:val="04A0" w:firstRow="1" w:lastRow="0" w:firstColumn="1" w:lastColumn="0" w:noHBand="0" w:noVBand="1"/>
      </w:tblPr>
      <w:tblGrid>
        <w:gridCol w:w="2454"/>
        <w:gridCol w:w="1042"/>
        <w:gridCol w:w="1041"/>
        <w:gridCol w:w="1041"/>
        <w:gridCol w:w="1041"/>
        <w:gridCol w:w="1041"/>
        <w:gridCol w:w="1033"/>
      </w:tblGrid>
      <w:tr w:rsidR="00DB75E0" w:rsidRPr="00AA2F1B" w:rsidTr="00DB75E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4" w:type="dxa"/>
          </w:tcPr>
          <w:p w:rsidR="00DB75E0" w:rsidRPr="00DB75E0" w:rsidRDefault="00DB75E0" w:rsidP="00DB75E0">
            <w:pPr>
              <w:pStyle w:val="ListParagraph"/>
              <w:numPr>
                <w:ilvl w:val="0"/>
                <w:numId w:val="25"/>
              </w:numPr>
            </w:pPr>
          </w:p>
        </w:tc>
        <w:tc>
          <w:tcPr>
            <w:tcW w:w="1042" w:type="dxa"/>
            <w:vAlign w:val="top"/>
          </w:tcPr>
          <w:p w:rsidR="00DB75E0" w:rsidRPr="00DB75E0" w:rsidRDefault="00DB75E0" w:rsidP="00DB75E0">
            <w:pPr>
              <w:cnfStyle w:val="100000000000" w:firstRow="1" w:lastRow="0" w:firstColumn="0" w:lastColumn="0" w:oddVBand="0" w:evenVBand="0" w:oddHBand="0" w:evenHBand="0" w:firstRowFirstColumn="0" w:firstRowLastColumn="0" w:lastRowFirstColumn="0" w:lastRowLastColumn="0"/>
            </w:pPr>
            <w:r w:rsidRPr="00B60DE4">
              <w:t>2015–16</w:t>
            </w:r>
          </w:p>
        </w:tc>
        <w:tc>
          <w:tcPr>
            <w:tcW w:w="1041" w:type="dxa"/>
            <w:vAlign w:val="top"/>
          </w:tcPr>
          <w:p w:rsidR="00DB75E0" w:rsidRPr="00DB75E0" w:rsidRDefault="00DB75E0" w:rsidP="00DB75E0">
            <w:pPr>
              <w:cnfStyle w:val="100000000000" w:firstRow="1" w:lastRow="0" w:firstColumn="0" w:lastColumn="0" w:oddVBand="0" w:evenVBand="0" w:oddHBand="0" w:evenHBand="0" w:firstRowFirstColumn="0" w:firstRowLastColumn="0" w:lastRowFirstColumn="0" w:lastRowLastColumn="0"/>
            </w:pPr>
            <w:r w:rsidRPr="00B60DE4">
              <w:t>2016–17</w:t>
            </w:r>
          </w:p>
        </w:tc>
        <w:tc>
          <w:tcPr>
            <w:tcW w:w="1041" w:type="dxa"/>
            <w:vAlign w:val="top"/>
          </w:tcPr>
          <w:p w:rsidR="00DB75E0" w:rsidRPr="00DB75E0" w:rsidRDefault="00DB75E0" w:rsidP="00DB75E0">
            <w:pPr>
              <w:cnfStyle w:val="100000000000" w:firstRow="1" w:lastRow="0" w:firstColumn="0" w:lastColumn="0" w:oddVBand="0" w:evenVBand="0" w:oddHBand="0" w:evenHBand="0" w:firstRowFirstColumn="0" w:firstRowLastColumn="0" w:lastRowFirstColumn="0" w:lastRowLastColumn="0"/>
            </w:pPr>
            <w:r w:rsidRPr="00B60DE4">
              <w:t>2017–18</w:t>
            </w:r>
          </w:p>
        </w:tc>
        <w:tc>
          <w:tcPr>
            <w:tcW w:w="1041" w:type="dxa"/>
            <w:vAlign w:val="top"/>
          </w:tcPr>
          <w:p w:rsidR="00DB75E0" w:rsidRPr="00DB75E0" w:rsidRDefault="00DB75E0" w:rsidP="00DB75E0">
            <w:pPr>
              <w:cnfStyle w:val="100000000000" w:firstRow="1" w:lastRow="0" w:firstColumn="0" w:lastColumn="0" w:oddVBand="0" w:evenVBand="0" w:oddHBand="0" w:evenHBand="0" w:firstRowFirstColumn="0" w:firstRowLastColumn="0" w:lastRowFirstColumn="0" w:lastRowLastColumn="0"/>
            </w:pPr>
            <w:r w:rsidRPr="00B60DE4">
              <w:t>2018–19</w:t>
            </w:r>
          </w:p>
        </w:tc>
        <w:tc>
          <w:tcPr>
            <w:tcW w:w="1041" w:type="dxa"/>
            <w:vAlign w:val="top"/>
          </w:tcPr>
          <w:p w:rsidR="00DB75E0" w:rsidRPr="00DB75E0" w:rsidRDefault="00DB75E0" w:rsidP="00DB75E0">
            <w:pPr>
              <w:cnfStyle w:val="100000000000" w:firstRow="1" w:lastRow="0" w:firstColumn="0" w:lastColumn="0" w:oddVBand="0" w:evenVBand="0" w:oddHBand="0" w:evenHBand="0" w:firstRowFirstColumn="0" w:firstRowLastColumn="0" w:lastRowFirstColumn="0" w:lastRowLastColumn="0"/>
            </w:pPr>
            <w:r w:rsidRPr="00B60DE4">
              <w:t>2019–20</w:t>
            </w:r>
          </w:p>
        </w:tc>
        <w:tc>
          <w:tcPr>
            <w:tcW w:w="1033" w:type="dxa"/>
          </w:tcPr>
          <w:p w:rsidR="00DB75E0" w:rsidRPr="00DB75E0" w:rsidRDefault="00DB75E0" w:rsidP="00DB75E0">
            <w:pPr>
              <w:cnfStyle w:val="100000000000" w:firstRow="1" w:lastRow="0" w:firstColumn="0" w:lastColumn="0" w:oddVBand="0" w:evenVBand="0" w:oddHBand="0" w:evenHBand="0" w:firstRowFirstColumn="0" w:firstRowLastColumn="0" w:lastRowFirstColumn="0" w:lastRowLastColumn="0"/>
            </w:pPr>
            <w:r w:rsidRPr="00B60DE4">
              <w:t>Total</w:t>
            </w:r>
          </w:p>
        </w:tc>
      </w:tr>
      <w:tr w:rsidR="00D47A91" w:rsidRPr="00AA2F1B" w:rsidTr="00DB75E0">
        <w:tc>
          <w:tcPr>
            <w:cnfStyle w:val="001000000000" w:firstRow="0" w:lastRow="0" w:firstColumn="1" w:lastColumn="0" w:oddVBand="0" w:evenVBand="0" w:oddHBand="0" w:evenHBand="0" w:firstRowFirstColumn="0" w:firstRowLastColumn="0" w:lastRowFirstColumn="0" w:lastRowLastColumn="0"/>
            <w:tcW w:w="2454" w:type="dxa"/>
          </w:tcPr>
          <w:p w:rsidR="00D47A91" w:rsidRPr="00D47A91" w:rsidRDefault="00D47A91" w:rsidP="00D47A91">
            <w:r w:rsidRPr="00D47A91">
              <w:t>Ergon Energy's proposal</w:t>
            </w:r>
          </w:p>
        </w:tc>
        <w:tc>
          <w:tcPr>
            <w:tcW w:w="1042"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739.8</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723.2</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659.4</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644.5</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630.0</w:t>
            </w:r>
          </w:p>
        </w:tc>
        <w:tc>
          <w:tcPr>
            <w:tcW w:w="1033"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3397.0</w:t>
            </w:r>
          </w:p>
        </w:tc>
      </w:tr>
      <w:tr w:rsidR="00D47A91" w:rsidRPr="00AA2F1B" w:rsidTr="00DB75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4" w:type="dxa"/>
          </w:tcPr>
          <w:p w:rsidR="00D47A91" w:rsidRPr="00D47A91" w:rsidRDefault="00D47A91" w:rsidP="00D47A91">
            <w:r w:rsidRPr="00D47A91">
              <w:t>AER preliminary decision</w:t>
            </w:r>
          </w:p>
        </w:tc>
        <w:tc>
          <w:tcPr>
            <w:tcW w:w="1042"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540.1</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495.3</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428.1</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381.0</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337.5</w:t>
            </w:r>
          </w:p>
        </w:tc>
        <w:tc>
          <w:tcPr>
            <w:tcW w:w="1033"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2182.0</w:t>
            </w:r>
          </w:p>
        </w:tc>
      </w:tr>
      <w:tr w:rsidR="00D47A91" w:rsidRPr="00AA2F1B" w:rsidTr="00DB75E0">
        <w:trPr>
          <w:trHeight w:val="80"/>
        </w:trPr>
        <w:tc>
          <w:tcPr>
            <w:cnfStyle w:val="001000000000" w:firstRow="0" w:lastRow="0" w:firstColumn="1" w:lastColumn="0" w:oddVBand="0" w:evenVBand="0" w:oddHBand="0" w:evenHBand="0" w:firstRowFirstColumn="0" w:firstRowLastColumn="0" w:lastRowFirstColumn="0" w:lastRowLastColumn="0"/>
            <w:tcW w:w="2454" w:type="dxa"/>
          </w:tcPr>
          <w:p w:rsidR="00D47A91" w:rsidRPr="00D47A91" w:rsidRDefault="00D47A91" w:rsidP="00D47A91">
            <w:r w:rsidRPr="00D47A91">
              <w:t>Difference</w:t>
            </w:r>
          </w:p>
        </w:tc>
        <w:tc>
          <w:tcPr>
            <w:tcW w:w="1042"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-199.7</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-227.9</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-231.3</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-263.5</w:t>
            </w:r>
          </w:p>
        </w:tc>
        <w:tc>
          <w:tcPr>
            <w:tcW w:w="1041"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-292.6</w:t>
            </w:r>
          </w:p>
        </w:tc>
        <w:tc>
          <w:tcPr>
            <w:tcW w:w="1033" w:type="dxa"/>
          </w:tcPr>
          <w:p w:rsidR="00D47A91" w:rsidRPr="00D47A91" w:rsidRDefault="00D47A91" w:rsidP="00D47A91">
            <w:pPr>
              <w:cnfStyle w:val="000000000000" w:firstRow="0" w:lastRow="0" w:firstColumn="0" w:lastColumn="0" w:oddVBand="0" w:evenVBand="0" w:oddHBand="0" w:evenHBand="0" w:firstRowFirstColumn="0" w:firstRowLastColumn="0" w:lastRowFirstColumn="0" w:lastRowLastColumn="0"/>
            </w:pPr>
            <w:r w:rsidRPr="00D47A91">
              <w:t>-1215.0</w:t>
            </w:r>
          </w:p>
        </w:tc>
      </w:tr>
      <w:tr w:rsidR="00D47A91" w:rsidRPr="00AA2F1B" w:rsidTr="00DB75E0">
        <w:trPr>
          <w:cnfStyle w:val="000000010000" w:firstRow="0" w:lastRow="0" w:firstColumn="0" w:lastColumn="0" w:oddVBand="0" w:evenVBand="0" w:oddHBand="0" w:evenHBand="1"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2454" w:type="dxa"/>
          </w:tcPr>
          <w:p w:rsidR="00D47A91" w:rsidRPr="00D47A91" w:rsidRDefault="00D47A91" w:rsidP="00D47A91">
            <w:r w:rsidRPr="00D47A91">
              <w:t>Percentage difference (%)</w:t>
            </w:r>
          </w:p>
        </w:tc>
        <w:tc>
          <w:tcPr>
            <w:tcW w:w="1042"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-27%</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-32%</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-35%</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-41%</w:t>
            </w:r>
          </w:p>
        </w:tc>
        <w:tc>
          <w:tcPr>
            <w:tcW w:w="1041"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-46%</w:t>
            </w:r>
          </w:p>
        </w:tc>
        <w:tc>
          <w:tcPr>
            <w:tcW w:w="1033" w:type="dxa"/>
          </w:tcPr>
          <w:p w:rsidR="00D47A91" w:rsidRPr="00D47A91" w:rsidRDefault="00D47A91" w:rsidP="00D47A91">
            <w:pPr>
              <w:cnfStyle w:val="000000010000" w:firstRow="0" w:lastRow="0" w:firstColumn="0" w:lastColumn="0" w:oddVBand="0" w:evenVBand="0" w:oddHBand="0" w:evenHBand="1" w:firstRowFirstColumn="0" w:firstRowLastColumn="0" w:lastRowFirstColumn="0" w:lastRowLastColumn="0"/>
            </w:pPr>
            <w:r w:rsidRPr="00D47A91">
              <w:t>-36%</w:t>
            </w:r>
          </w:p>
        </w:tc>
      </w:tr>
    </w:tbl>
    <w:p w:rsidR="00DB75E0" w:rsidRPr="00DB75E0" w:rsidRDefault="00DB75E0" w:rsidP="00DB75E0">
      <w:pPr>
        <w:pStyle w:val="AERtablesource"/>
        <w:rPr>
          <w:rFonts w:eastAsia="Calibri"/>
        </w:rPr>
      </w:pPr>
      <w:r w:rsidRPr="00AA2F1B">
        <w:t>Source:</w:t>
      </w:r>
      <w:r w:rsidRPr="00AA2F1B">
        <w:tab/>
      </w:r>
      <w:r>
        <w:t>Ergon Energy,</w:t>
      </w:r>
      <w:r w:rsidRPr="00AA2F1B">
        <w:t xml:space="preserve"> </w:t>
      </w:r>
      <w:r w:rsidRPr="00DB75E0">
        <w:rPr>
          <w:rStyle w:val="AERtextitalic"/>
        </w:rPr>
        <w:t>Regulatory Proposal</w:t>
      </w:r>
      <w:r w:rsidRPr="00AA2F1B">
        <w:t>; AER analysis</w:t>
      </w:r>
      <w:r>
        <w:t>.</w:t>
      </w:r>
    </w:p>
    <w:p w:rsidR="00DB75E0" w:rsidRPr="00DB75E0" w:rsidRDefault="00DB75E0" w:rsidP="00DB75E0">
      <w:pPr>
        <w:pStyle w:val="AERtablesource"/>
        <w:rPr>
          <w:rFonts w:eastAsia="Calibri"/>
        </w:rPr>
      </w:pPr>
      <w:r w:rsidRPr="00AA2F1B">
        <w:t>Note:</w:t>
      </w:r>
      <w:r w:rsidRPr="00AA2F1B">
        <w:tab/>
        <w:t>Numbers may not add up due to rounding.</w:t>
      </w:r>
    </w:p>
    <w:p w:rsidR="009D2A8E" w:rsidRDefault="009D2A8E" w:rsidP="009D2A8E">
      <w:pPr>
        <w:numPr>
          <w:ilvl w:val="0"/>
          <w:numId w:val="25"/>
        </w:numPr>
      </w:pPr>
      <w:r>
        <w:t xml:space="preserve">Figure </w:t>
      </w:r>
      <w:r w:rsidR="00DB48AA">
        <w:t>6</w:t>
      </w:r>
      <w:r>
        <w:t xml:space="preserve"> shows our preliminary decision compared to Ergon Energy's past and propos</w:t>
      </w:r>
      <w:r w:rsidR="00A14571">
        <w:t xml:space="preserve">ed capex and our </w:t>
      </w:r>
      <w:r>
        <w:t>preliminary decision.</w:t>
      </w:r>
    </w:p>
    <w:p w:rsidR="009D2A8E" w:rsidRDefault="009D2A8E" w:rsidP="009D2A8E">
      <w:pPr>
        <w:pStyle w:val="Caption"/>
      </w:pPr>
      <w:r>
        <w:t xml:space="preserve">Figure </w:t>
      </w:r>
      <w:r w:rsidR="00DB48AA">
        <w:t>6</w:t>
      </w:r>
      <w:r>
        <w:t xml:space="preserve"> AER preliminary decision compared to Ergon Energy's past and proposed capex</w:t>
      </w:r>
      <w:r w:rsidR="00A14571">
        <w:t xml:space="preserve"> and AER preliminary decisions</w:t>
      </w:r>
      <w:r>
        <w:t xml:space="preserve"> ($million 2014</w:t>
      </w:r>
      <w:r w:rsidRPr="009D2A8E">
        <w:t>−</w:t>
      </w:r>
      <w:r>
        <w:t>15)</w:t>
      </w:r>
    </w:p>
    <w:p w:rsidR="00DB48AA" w:rsidRPr="00E91BD7" w:rsidRDefault="006434E4" w:rsidP="009D2A8E">
      <w:pPr>
        <w:rPr>
          <w:rStyle w:val="AERtexthighlight"/>
        </w:rPr>
      </w:pPr>
      <w:r>
        <w:rPr>
          <w:noProof/>
          <w:shd w:val="clear" w:color="auto" w:fill="FFFF00"/>
          <w:lang w:eastAsia="en-AU"/>
        </w:rPr>
        <w:drawing>
          <wp:inline distT="0" distB="0" distL="0" distR="0" wp14:anchorId="2FF27F16" wp14:editId="050236C7">
            <wp:extent cx="5536642" cy="3339776"/>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37134" cy="3340073"/>
                    </a:xfrm>
                    <a:prstGeom prst="rect">
                      <a:avLst/>
                    </a:prstGeom>
                    <a:noFill/>
                  </pic:spPr>
                </pic:pic>
              </a:graphicData>
            </a:graphic>
          </wp:inline>
        </w:drawing>
      </w:r>
    </w:p>
    <w:p w:rsidR="00D44A58" w:rsidRDefault="00D44A58" w:rsidP="00532591">
      <w:pPr>
        <w:numPr>
          <w:ilvl w:val="0"/>
          <w:numId w:val="25"/>
        </w:numPr>
      </w:pPr>
      <w:r w:rsidRPr="0027738A">
        <w:lastRenderedPageBreak/>
        <w:t xml:space="preserve">Attachment </w:t>
      </w:r>
      <w:r>
        <w:t>6</w:t>
      </w:r>
      <w:r w:rsidRPr="0027738A">
        <w:t xml:space="preserve"> sets out our detailed reasons for our </w:t>
      </w:r>
      <w:r>
        <w:t xml:space="preserve">preliminary </w:t>
      </w:r>
      <w:r w:rsidRPr="0027738A">
        <w:t xml:space="preserve">decision on </w:t>
      </w:r>
      <w:r>
        <w:t>E</w:t>
      </w:r>
      <w:r w:rsidR="00DB75E0">
        <w:t>rgon Energy's</w:t>
      </w:r>
      <w:r>
        <w:t xml:space="preserve"> </w:t>
      </w:r>
      <w:r w:rsidRPr="0027738A">
        <w:t xml:space="preserve">total forecast </w:t>
      </w:r>
      <w:r>
        <w:t>ca</w:t>
      </w:r>
      <w:r w:rsidRPr="0027738A">
        <w:t xml:space="preserve">pex. </w:t>
      </w:r>
      <w:r w:rsidR="00532591">
        <w:t xml:space="preserve">We examined </w:t>
      </w:r>
      <w:r w:rsidR="00DB75E0">
        <w:t>Ergon Energy's</w:t>
      </w:r>
      <w:r>
        <w:t xml:space="preserve"> f</w:t>
      </w:r>
      <w:r w:rsidRPr="00B71392">
        <w:t>orecasting methodology, key assumptions and past capex performance</w:t>
      </w:r>
      <w:r>
        <w:t xml:space="preserve">. </w:t>
      </w:r>
      <w:r w:rsidRPr="00B71392">
        <w:t xml:space="preserve"> We conclude that  </w:t>
      </w:r>
      <w:r w:rsidR="00DB75E0">
        <w:t xml:space="preserve">Ergon Energy's </w:t>
      </w:r>
      <w:r w:rsidRPr="00B71392">
        <w:t xml:space="preserve">forecasting methodology predominately relies upon a bottom-up build (or bottom-up assessment) to estimate the forecast expenditure and that the top-down  constraints imposed by their governance process are insufficient for us to be able to conclude that </w:t>
      </w:r>
      <w:r w:rsidR="00DB75E0">
        <w:t xml:space="preserve">Ergon Energy's </w:t>
      </w:r>
      <w:r w:rsidRPr="00B71392">
        <w:t>forecasts are prudent and efficient.</w:t>
      </w:r>
    </w:p>
    <w:p w:rsidR="00532591" w:rsidRDefault="00532591" w:rsidP="00532591">
      <w:pPr>
        <w:numPr>
          <w:ilvl w:val="0"/>
          <w:numId w:val="25"/>
        </w:numPr>
      </w:pPr>
      <w:r>
        <w:t>The key areas of differen</w:t>
      </w:r>
      <w:r w:rsidR="00321127">
        <w:t>ce</w:t>
      </w:r>
      <w:r>
        <w:t xml:space="preserve"> between our substitute estimate and Ergon Energy's proposal are below: </w:t>
      </w:r>
    </w:p>
    <w:p w:rsidR="006D0D02" w:rsidRDefault="006D0D02" w:rsidP="00532591">
      <w:pPr>
        <w:pStyle w:val="AERbulletlistfirststyle"/>
      </w:pPr>
      <w:r>
        <w:t xml:space="preserve">We have reduced Ergon Energy's proposed total capex forecast by </w:t>
      </w:r>
      <w:r w:rsidRPr="00AC59DC">
        <w:rPr>
          <w:rStyle w:val="AERbodytextChar"/>
          <w:rFonts w:eastAsiaTheme="minorHAnsi"/>
        </w:rPr>
        <w:t>$720.2</w:t>
      </w:r>
      <w:r>
        <w:t xml:space="preserve"> million</w:t>
      </w:r>
      <w:r w:rsidR="00E2745F">
        <w:t xml:space="preserve"> to account for our decision on labour and material escalators</w:t>
      </w:r>
      <w:r>
        <w:t xml:space="preserve">. We are not satisfied that the labour and material escalators proposed by Ergon </w:t>
      </w:r>
      <w:r w:rsidR="003346D9">
        <w:t xml:space="preserve">Energy </w:t>
      </w:r>
      <w:r>
        <w:t>reflect the capex criteria.</w:t>
      </w:r>
      <w:r w:rsidR="000D023E">
        <w:t xml:space="preserve"> We have applied labour and material escalators consistent with those determined in our </w:t>
      </w:r>
      <w:proofErr w:type="spellStart"/>
      <w:r w:rsidR="000D023E">
        <w:t>opex</w:t>
      </w:r>
      <w:proofErr w:type="spellEnd"/>
      <w:r w:rsidR="000D023E">
        <w:t xml:space="preserve"> </w:t>
      </w:r>
      <w:r w:rsidR="00E2745F">
        <w:t>assessment</w:t>
      </w:r>
      <w:r w:rsidR="000D023E">
        <w:t xml:space="preserve">. </w:t>
      </w:r>
      <w:r>
        <w:t xml:space="preserve"> </w:t>
      </w:r>
    </w:p>
    <w:p w:rsidR="00532591" w:rsidRDefault="00532591" w:rsidP="00532591">
      <w:pPr>
        <w:pStyle w:val="AERbulletlistfirststyle"/>
      </w:pPr>
      <w:r>
        <w:t xml:space="preserve">We have reduced </w:t>
      </w:r>
      <w:r w:rsidR="00496655">
        <w:t xml:space="preserve">the revenue which </w:t>
      </w:r>
      <w:r>
        <w:t xml:space="preserve">Ergon Energy proposed </w:t>
      </w:r>
      <w:r w:rsidR="00496655">
        <w:t xml:space="preserve">to recover from consumers for </w:t>
      </w:r>
      <w:proofErr w:type="spellStart"/>
      <w:r>
        <w:t>repex</w:t>
      </w:r>
      <w:proofErr w:type="spellEnd"/>
      <w:r>
        <w:t xml:space="preserve"> </w:t>
      </w:r>
      <w:r w:rsidRPr="00FD11E3">
        <w:rPr>
          <w:rStyle w:val="AERbodytextChar"/>
          <w:rFonts w:eastAsiaTheme="minorHAnsi"/>
        </w:rPr>
        <w:t xml:space="preserve">by </w:t>
      </w:r>
      <w:r w:rsidR="00E2745F" w:rsidRPr="00FD11E3">
        <w:rPr>
          <w:rStyle w:val="AERbodytextChar"/>
          <w:rFonts w:eastAsiaTheme="minorHAnsi"/>
        </w:rPr>
        <w:t xml:space="preserve">25 </w:t>
      </w:r>
      <w:r w:rsidRPr="00FD11E3">
        <w:rPr>
          <w:rStyle w:val="AERbodytextChar"/>
          <w:rFonts w:eastAsiaTheme="minorHAnsi"/>
        </w:rPr>
        <w:t>per cent. We have included in our substitute estimate of overall total capex $</w:t>
      </w:r>
      <w:r w:rsidR="00E2745F" w:rsidRPr="00FD11E3">
        <w:rPr>
          <w:rStyle w:val="AERbodytextChar"/>
          <w:rFonts w:eastAsiaTheme="minorHAnsi"/>
        </w:rPr>
        <w:t xml:space="preserve">674.6 million </w:t>
      </w:r>
      <w:r w:rsidRPr="00FD11E3">
        <w:rPr>
          <w:rStyle w:val="AERbodytextChar"/>
          <w:rFonts w:eastAsiaTheme="minorHAnsi"/>
        </w:rPr>
        <w:t>($2014−15) for a reduction of $</w:t>
      </w:r>
      <w:r w:rsidR="00E2745F" w:rsidRPr="00FD11E3">
        <w:rPr>
          <w:rStyle w:val="AERbodytextChar"/>
          <w:rFonts w:eastAsiaTheme="minorHAnsi"/>
        </w:rPr>
        <w:t xml:space="preserve">219.7 million </w:t>
      </w:r>
      <w:r w:rsidRPr="00FD11E3">
        <w:rPr>
          <w:rStyle w:val="AERbodytextChar"/>
          <w:rFonts w:eastAsiaTheme="minorHAnsi"/>
        </w:rPr>
        <w:t xml:space="preserve">($2014−15) to Ergon Energy's proposed </w:t>
      </w:r>
      <w:proofErr w:type="spellStart"/>
      <w:r w:rsidRPr="00FD11E3">
        <w:rPr>
          <w:rStyle w:val="AERbodytextChar"/>
          <w:rFonts w:eastAsiaTheme="minorHAnsi"/>
        </w:rPr>
        <w:t>repex</w:t>
      </w:r>
      <w:proofErr w:type="spellEnd"/>
      <w:r w:rsidRPr="00FD11E3">
        <w:rPr>
          <w:rStyle w:val="AERbodytextChar"/>
          <w:rFonts w:eastAsiaTheme="minorHAnsi"/>
        </w:rPr>
        <w:t xml:space="preserve">. </w:t>
      </w:r>
      <w:r w:rsidR="00D277D8" w:rsidRPr="00D277D8">
        <w:t xml:space="preserve">This reduction reflects the outcomes of our predictive modelling and evidence that </w:t>
      </w:r>
      <w:r w:rsidR="00D277D8">
        <w:t>Ergon Energy</w:t>
      </w:r>
      <w:r w:rsidR="00D277D8" w:rsidRPr="00D277D8">
        <w:t xml:space="preserve"> has an overly conservative r</w:t>
      </w:r>
      <w:r w:rsidR="00D277D8">
        <w:t>isk management approach</w:t>
      </w:r>
      <w:r w:rsidR="00D277D8" w:rsidRPr="00D277D8">
        <w:t xml:space="preserve"> and a bias towards overestimation in its </w:t>
      </w:r>
      <w:proofErr w:type="spellStart"/>
      <w:r w:rsidR="00D277D8" w:rsidRPr="00D277D8">
        <w:t>repex</w:t>
      </w:r>
      <w:proofErr w:type="spellEnd"/>
      <w:r w:rsidR="00D277D8" w:rsidRPr="00D277D8">
        <w:t xml:space="preserve"> forecast.</w:t>
      </w:r>
      <w:r w:rsidR="00D277D8">
        <w:t xml:space="preserve"> </w:t>
      </w:r>
    </w:p>
    <w:p w:rsidR="00532591" w:rsidRDefault="00532591" w:rsidP="00BE410D">
      <w:pPr>
        <w:pStyle w:val="AERbulletlistfirststyle"/>
      </w:pPr>
      <w:r w:rsidRPr="00DB75E0">
        <w:t xml:space="preserve">We </w:t>
      </w:r>
      <w:r w:rsidRPr="00FD11E3">
        <w:rPr>
          <w:rStyle w:val="AERbodytextChar"/>
          <w:rFonts w:eastAsiaTheme="minorHAnsi"/>
        </w:rPr>
        <w:t xml:space="preserve">have reduced Ergon Energy’s proposed </w:t>
      </w:r>
      <w:proofErr w:type="spellStart"/>
      <w:r w:rsidRPr="00FD11E3">
        <w:rPr>
          <w:rStyle w:val="AERbodytextChar"/>
          <w:rFonts w:eastAsiaTheme="minorHAnsi"/>
        </w:rPr>
        <w:t>augex</w:t>
      </w:r>
      <w:proofErr w:type="spellEnd"/>
      <w:r w:rsidRPr="00FD11E3">
        <w:rPr>
          <w:rStyle w:val="AERbodytextChar"/>
          <w:rFonts w:eastAsiaTheme="minorHAnsi"/>
        </w:rPr>
        <w:t xml:space="preserve"> allowance by </w:t>
      </w:r>
      <w:r w:rsidR="00E2745F" w:rsidRPr="00FD11E3">
        <w:rPr>
          <w:rStyle w:val="AERbodytextChar"/>
          <w:rFonts w:eastAsiaTheme="minorHAnsi"/>
        </w:rPr>
        <w:t xml:space="preserve">15 </w:t>
      </w:r>
      <w:r w:rsidRPr="00FD11E3">
        <w:rPr>
          <w:rStyle w:val="AERbodytextChar"/>
          <w:rFonts w:eastAsiaTheme="minorHAnsi"/>
        </w:rPr>
        <w:t>per cent. We have included in our substitute estimate of overall total capex $</w:t>
      </w:r>
      <w:r w:rsidR="00E2745F" w:rsidRPr="00FD11E3">
        <w:rPr>
          <w:rStyle w:val="AERbodytextChar"/>
          <w:rFonts w:eastAsiaTheme="minorHAnsi"/>
        </w:rPr>
        <w:t xml:space="preserve">559.0 million </w:t>
      </w:r>
      <w:r w:rsidRPr="00FD11E3">
        <w:rPr>
          <w:rStyle w:val="AERbodytextChar"/>
          <w:rFonts w:eastAsiaTheme="minorHAnsi"/>
        </w:rPr>
        <w:t xml:space="preserve">($2014−15) </w:t>
      </w:r>
      <w:r w:rsidRPr="00FF1D06">
        <w:rPr>
          <w:rStyle w:val="AERbodytextChar"/>
          <w:rFonts w:eastAsiaTheme="minorHAnsi"/>
          <w:szCs w:val="22"/>
        </w:rPr>
        <w:t>for a reduction of $</w:t>
      </w:r>
      <w:r w:rsidR="00E2745F" w:rsidRPr="00FF1D06">
        <w:rPr>
          <w:rStyle w:val="AERbodytextChar"/>
          <w:rFonts w:eastAsiaTheme="minorHAnsi"/>
          <w:szCs w:val="22"/>
        </w:rPr>
        <w:t xml:space="preserve">101.1 million </w:t>
      </w:r>
      <w:r w:rsidRPr="00FF1D06">
        <w:rPr>
          <w:rStyle w:val="AERbodytextChar"/>
          <w:rFonts w:eastAsiaTheme="minorHAnsi"/>
          <w:szCs w:val="22"/>
        </w:rPr>
        <w:t>($2014−15) to Ergon Energy's</w:t>
      </w:r>
      <w:r w:rsidRPr="00FF1D06">
        <w:t xml:space="preserve"> proposed </w:t>
      </w:r>
      <w:proofErr w:type="spellStart"/>
      <w:r w:rsidRPr="00FF1D06">
        <w:t>augex</w:t>
      </w:r>
      <w:proofErr w:type="spellEnd"/>
      <w:r w:rsidRPr="00FF1D06">
        <w:t>.</w:t>
      </w:r>
      <w:r w:rsidR="00FF1D06" w:rsidRPr="00FF1D06">
        <w:rPr>
          <w:rStyle w:val="AERtextsize8"/>
          <w:sz w:val="22"/>
        </w:rPr>
        <w:t xml:space="preserve"> We found that Ergon </w:t>
      </w:r>
      <w:r w:rsidR="00FF1D06" w:rsidRPr="00BE410D">
        <w:rPr>
          <w:rStyle w:val="AERbody"/>
        </w:rPr>
        <w:t>Energy</w:t>
      </w:r>
      <w:r w:rsidR="00BE410D" w:rsidRPr="00BE410D">
        <w:rPr>
          <w:rStyle w:val="AERbody"/>
        </w:rPr>
        <w:t xml:space="preserve"> generally</w:t>
      </w:r>
      <w:r w:rsidR="00FF1D06" w:rsidRPr="00BE410D">
        <w:rPr>
          <w:rStyle w:val="AERbody"/>
        </w:rPr>
        <w:t xml:space="preserve"> </w:t>
      </w:r>
      <w:r w:rsidR="00BE410D" w:rsidRPr="00BE410D">
        <w:rPr>
          <w:rStyle w:val="AERbody"/>
        </w:rPr>
        <w:t>followed</w:t>
      </w:r>
      <w:r w:rsidR="00BE410D" w:rsidRPr="00BE410D">
        <w:t xml:space="preserve"> a robust methodology to estimate the cost of augmentation</w:t>
      </w:r>
      <w:r w:rsidR="00BE410D">
        <w:t>; however its</w:t>
      </w:r>
      <w:r w:rsidR="00BE410D" w:rsidRPr="00BE410D">
        <w:rPr>
          <w:rStyle w:val="AERtextsize8"/>
        </w:rPr>
        <w:t xml:space="preserve"> </w:t>
      </w:r>
      <w:r w:rsidR="00FF1D06" w:rsidRPr="00FF1D06">
        <w:rPr>
          <w:rStyle w:val="AERtextsize8"/>
          <w:sz w:val="22"/>
        </w:rPr>
        <w:t xml:space="preserve">proposed </w:t>
      </w:r>
      <w:proofErr w:type="spellStart"/>
      <w:r w:rsidR="00FF1D06" w:rsidRPr="00FF1D06">
        <w:rPr>
          <w:rStyle w:val="AERtextsize8"/>
          <w:sz w:val="22"/>
        </w:rPr>
        <w:t>augex</w:t>
      </w:r>
      <w:proofErr w:type="spellEnd"/>
      <w:r w:rsidR="00FF1D06" w:rsidRPr="00FF1D06">
        <w:rPr>
          <w:rStyle w:val="AERtextsize8"/>
          <w:sz w:val="22"/>
        </w:rPr>
        <w:t xml:space="preserve"> for its sub</w:t>
      </w:r>
      <w:r w:rsidR="00FF1D06">
        <w:rPr>
          <w:rStyle w:val="AERtextsize8"/>
        </w:rPr>
        <w:t>-</w:t>
      </w:r>
      <w:r w:rsidR="00FF1D06" w:rsidRPr="00FF1D06">
        <w:rPr>
          <w:rStyle w:val="AERtextsize8"/>
          <w:sz w:val="22"/>
        </w:rPr>
        <w:t xml:space="preserve">transmission and distribution networks </w:t>
      </w:r>
      <w:r w:rsidR="00BE410D" w:rsidRPr="00BE410D">
        <w:rPr>
          <w:rStyle w:val="AERbody"/>
        </w:rPr>
        <w:t xml:space="preserve">is </w:t>
      </w:r>
      <w:r w:rsidR="00FF1D06" w:rsidRPr="00BE410D">
        <w:rPr>
          <w:rStyle w:val="AERbody"/>
        </w:rPr>
        <w:t>overestimated</w:t>
      </w:r>
      <w:r w:rsidR="00BE410D" w:rsidRPr="00BE410D">
        <w:rPr>
          <w:rStyle w:val="AERbody"/>
        </w:rPr>
        <w:t xml:space="preserve">. This is </w:t>
      </w:r>
      <w:r w:rsidR="00FF1D06" w:rsidRPr="00BE410D">
        <w:rPr>
          <w:rStyle w:val="AERbody"/>
        </w:rPr>
        <w:t xml:space="preserve">because </w:t>
      </w:r>
      <w:r w:rsidR="00BE410D" w:rsidRPr="00BE410D">
        <w:rPr>
          <w:rStyle w:val="AERbody"/>
        </w:rPr>
        <w:t xml:space="preserve">Ergon Energy </w:t>
      </w:r>
      <w:r w:rsidR="00FF1D06" w:rsidRPr="00BE410D">
        <w:rPr>
          <w:rStyle w:val="AERbody"/>
        </w:rPr>
        <w:t>did not consider the potential to defer some</w:t>
      </w:r>
      <w:r w:rsidR="0081351D">
        <w:rPr>
          <w:rStyle w:val="AERbody"/>
        </w:rPr>
        <w:t xml:space="preserve"> proposed</w:t>
      </w:r>
      <w:r w:rsidR="00FF1D06" w:rsidRPr="00BE410D">
        <w:rPr>
          <w:rStyle w:val="AERbody"/>
        </w:rPr>
        <w:t xml:space="preserve"> augmentation</w:t>
      </w:r>
      <w:r w:rsidR="00FF1D06" w:rsidRPr="00FF1D06">
        <w:rPr>
          <w:rStyle w:val="AERtextsize8"/>
          <w:sz w:val="22"/>
        </w:rPr>
        <w:t xml:space="preserve"> projects based on risk-analysis and the likelihood that forecast demand may not eventuate in all parts of the network</w:t>
      </w:r>
      <w:r w:rsidR="00FF1D06" w:rsidRPr="00FF1D06">
        <w:rPr>
          <w:rStyle w:val="AERtextsize8"/>
        </w:rPr>
        <w:t>.</w:t>
      </w:r>
    </w:p>
    <w:p w:rsidR="00D44A58" w:rsidRDefault="00532591" w:rsidP="00074762">
      <w:pPr>
        <w:pStyle w:val="AERbulletlistfirststyle"/>
      </w:pPr>
      <w:r>
        <w:t xml:space="preserve">We </w:t>
      </w:r>
      <w:r w:rsidR="004B43FB" w:rsidRPr="004B43FB">
        <w:t xml:space="preserve">have allowed </w:t>
      </w:r>
      <w:r w:rsidR="004B43FB" w:rsidRPr="00FD11E3">
        <w:rPr>
          <w:rStyle w:val="AERbodytextChar"/>
          <w:rFonts w:eastAsiaTheme="minorHAnsi"/>
        </w:rPr>
        <w:t>$</w:t>
      </w:r>
      <w:r w:rsidR="00E2745F" w:rsidRPr="00FD11E3">
        <w:rPr>
          <w:rStyle w:val="AERbodytextChar"/>
          <w:rFonts w:eastAsiaTheme="minorHAnsi"/>
        </w:rPr>
        <w:t xml:space="preserve">961.8 million </w:t>
      </w:r>
      <w:r w:rsidR="004B43FB" w:rsidRPr="00FD11E3">
        <w:rPr>
          <w:rStyle w:val="AERbodytextChar"/>
          <w:rFonts w:eastAsiaTheme="minorHAnsi"/>
        </w:rPr>
        <w:t xml:space="preserve">($2014−15) for capitalised overheads. This is </w:t>
      </w:r>
      <w:r w:rsidR="00D44A58" w:rsidRPr="00FD11E3">
        <w:rPr>
          <w:rStyle w:val="AERbodytextChar"/>
          <w:rFonts w:eastAsiaTheme="minorHAnsi"/>
        </w:rPr>
        <w:t>a reduction of $</w:t>
      </w:r>
      <w:r w:rsidR="00E2745F" w:rsidRPr="00FD11E3">
        <w:rPr>
          <w:rStyle w:val="AERbodytextChar"/>
          <w:rFonts w:eastAsiaTheme="minorHAnsi"/>
        </w:rPr>
        <w:t xml:space="preserve">55.3 million </w:t>
      </w:r>
      <w:r w:rsidR="00D44A58" w:rsidRPr="00FD11E3">
        <w:rPr>
          <w:rStyle w:val="AERbodytextChar"/>
          <w:rFonts w:eastAsiaTheme="minorHAnsi"/>
        </w:rPr>
        <w:t xml:space="preserve">($2014−15) </w:t>
      </w:r>
      <w:r w:rsidRPr="00FD11E3">
        <w:rPr>
          <w:rStyle w:val="AERbodytextChar"/>
          <w:rFonts w:eastAsiaTheme="minorHAnsi"/>
        </w:rPr>
        <w:t xml:space="preserve">or </w:t>
      </w:r>
      <w:r w:rsidR="00E2745F" w:rsidRPr="00FD11E3">
        <w:rPr>
          <w:rStyle w:val="AERbodytextChar"/>
          <w:rFonts w:eastAsiaTheme="minorHAnsi"/>
        </w:rPr>
        <w:t xml:space="preserve">5 </w:t>
      </w:r>
      <w:r w:rsidRPr="00FD11E3">
        <w:rPr>
          <w:rStyle w:val="AERbodytextChar"/>
          <w:rFonts w:eastAsiaTheme="minorHAnsi"/>
        </w:rPr>
        <w:t>per cent</w:t>
      </w:r>
      <w:r>
        <w:t xml:space="preserve"> </w:t>
      </w:r>
      <w:r w:rsidR="00D44A58">
        <w:t>to E</w:t>
      </w:r>
      <w:r w:rsidR="00CA3E4E">
        <w:t>rgon Energy's</w:t>
      </w:r>
      <w:r w:rsidR="00D44A58">
        <w:t xml:space="preserve"> proposed capitalised overheads. </w:t>
      </w:r>
      <w:r w:rsidR="00A14571">
        <w:t>O</w:t>
      </w:r>
      <w:r w:rsidR="00D44A58" w:rsidRPr="00B71392">
        <w:t xml:space="preserve">ur assessment of </w:t>
      </w:r>
      <w:r w:rsidR="00CA3E4E">
        <w:t xml:space="preserve">Ergon Energy's </w:t>
      </w:r>
      <w:r w:rsidR="00D44A58" w:rsidRPr="00B71392">
        <w:t xml:space="preserve">proposed direct capex demonstrates that a prudent and efficient </w:t>
      </w:r>
      <w:r w:rsidR="00D44A58">
        <w:t>distributor</w:t>
      </w:r>
      <w:r w:rsidR="00D44A58" w:rsidRPr="00B71392">
        <w:t xml:space="preserve"> would not undertake the full range of direct </w:t>
      </w:r>
      <w:r w:rsidR="00A14571">
        <w:t>capex</w:t>
      </w:r>
      <w:r w:rsidR="00D44A58">
        <w:t xml:space="preserve"> contained in </w:t>
      </w:r>
      <w:r w:rsidR="00CA3E4E">
        <w:t xml:space="preserve">Ergon Energy's </w:t>
      </w:r>
      <w:r w:rsidR="00D44A58" w:rsidRPr="00B71392">
        <w:t>proposal</w:t>
      </w:r>
      <w:r w:rsidR="00A013FF">
        <w:t>,</w:t>
      </w:r>
      <w:r w:rsidR="00D44A58" w:rsidRPr="00B71392">
        <w:t xml:space="preserve"> </w:t>
      </w:r>
      <w:r w:rsidR="00A013FF">
        <w:t>i</w:t>
      </w:r>
      <w:r w:rsidR="00D44A58" w:rsidRPr="00B71392">
        <w:t xml:space="preserve">t follows </w:t>
      </w:r>
      <w:r w:rsidR="001D62DF">
        <w:t>there is a decrease in</w:t>
      </w:r>
      <w:r w:rsidR="00D44A58" w:rsidRPr="00B71392">
        <w:t xml:space="preserve"> </w:t>
      </w:r>
      <w:r w:rsidR="00CA3E4E">
        <w:t>Ergon Energy</w:t>
      </w:r>
      <w:r w:rsidR="00D44A58" w:rsidRPr="00B71392">
        <w:t xml:space="preserve">’s capitalised overheads. </w:t>
      </w:r>
      <w:r w:rsidR="00074762" w:rsidRPr="00074762">
        <w:t xml:space="preserve">However, we also note that </w:t>
      </w:r>
      <w:r w:rsidR="006C08BD" w:rsidRPr="006C08BD">
        <w:rPr>
          <w:rStyle w:val="AERbodytextChar"/>
          <w:rFonts w:eastAsiaTheme="minorHAnsi"/>
        </w:rPr>
        <w:t>34</w:t>
      </w:r>
      <w:r w:rsidR="00074762" w:rsidRPr="006C08BD">
        <w:rPr>
          <w:rStyle w:val="AERbodytextChar"/>
          <w:rFonts w:eastAsiaTheme="minorHAnsi"/>
        </w:rPr>
        <w:t xml:space="preserve"> </w:t>
      </w:r>
      <w:r w:rsidR="00074762" w:rsidRPr="00074762">
        <w:t>per cent of E</w:t>
      </w:r>
      <w:r w:rsidR="00074762">
        <w:t>rgon</w:t>
      </w:r>
      <w:r w:rsidR="003346D9">
        <w:t xml:space="preserve"> Energy</w:t>
      </w:r>
      <w:r w:rsidR="00074762" w:rsidRPr="00074762">
        <w:t>'s proposed $1,017</w:t>
      </w:r>
      <w:r w:rsidR="00074762">
        <w:t>.11</w:t>
      </w:r>
      <w:r w:rsidR="00074762" w:rsidRPr="00074762">
        <w:t xml:space="preserve"> million ($2014−15) total capitalised overheads is attributable to information, communications and technology (ICT) services. We have identified some issues regarding this expenditure which we expect E</w:t>
      </w:r>
      <w:r w:rsidR="00074762">
        <w:t>rgon</w:t>
      </w:r>
      <w:r w:rsidR="003346D9">
        <w:t xml:space="preserve"> Energy</w:t>
      </w:r>
      <w:r w:rsidR="00074762" w:rsidRPr="00074762">
        <w:t xml:space="preserve"> to address in its revised proposal.    </w:t>
      </w:r>
    </w:p>
    <w:p w:rsidR="00BF7396" w:rsidRDefault="006D0D02" w:rsidP="00726223">
      <w:pPr>
        <w:pStyle w:val="AERbulletlistfirststyle"/>
      </w:pPr>
      <w:r>
        <w:t>W</w:t>
      </w:r>
      <w:r w:rsidRPr="004B43FB">
        <w:t xml:space="preserve">e </w:t>
      </w:r>
      <w:r w:rsidR="004B43FB" w:rsidRPr="004B43FB">
        <w:t xml:space="preserve">have included in our alternative estimate of overall total capex an amount of </w:t>
      </w:r>
      <w:r w:rsidR="004B43FB" w:rsidRPr="00AC59DC">
        <w:rPr>
          <w:rStyle w:val="AERbodytextChar"/>
          <w:rFonts w:eastAsiaTheme="minorHAnsi"/>
        </w:rPr>
        <w:t xml:space="preserve">$420.3 million ($2014−15) for non-network capex. This is </w:t>
      </w:r>
      <w:r w:rsidR="00726223" w:rsidRPr="00AC59DC">
        <w:rPr>
          <w:rStyle w:val="AERbodytextChar"/>
          <w:rFonts w:eastAsiaTheme="minorHAnsi"/>
        </w:rPr>
        <w:t>a reduction o</w:t>
      </w:r>
      <w:r w:rsidR="00A14571">
        <w:rPr>
          <w:rStyle w:val="AERbodytextChar"/>
          <w:rFonts w:eastAsiaTheme="minorHAnsi"/>
        </w:rPr>
        <w:t>n</w:t>
      </w:r>
      <w:r w:rsidR="00726223" w:rsidRPr="00AC59DC">
        <w:rPr>
          <w:rStyle w:val="AERbodytextChar"/>
          <w:rFonts w:eastAsiaTheme="minorHAnsi"/>
        </w:rPr>
        <w:t xml:space="preserve"> Ergon Energy’s proposed non-network capex of $506.3 million</w:t>
      </w:r>
      <w:r w:rsidR="00726223">
        <w:t xml:space="preserve"> ($2014</w:t>
      </w:r>
      <w:r w:rsidR="00726223">
        <w:rPr>
          <w:rFonts w:cs="Arial"/>
        </w:rPr>
        <w:t>−</w:t>
      </w:r>
      <w:r w:rsidR="00726223" w:rsidRPr="00AF57AA">
        <w:t>15).</w:t>
      </w:r>
      <w:r w:rsidR="004B43FB">
        <w:t xml:space="preserve"> Our reduction</w:t>
      </w:r>
      <w:r w:rsidR="00726223" w:rsidRPr="00AF57AA">
        <w:t xml:space="preserve"> reflects our conclusion that Ergon Energy’s forecast capex for fleet, buildings and </w:t>
      </w:r>
      <w:r w:rsidR="00726223" w:rsidRPr="00AF57AA">
        <w:lastRenderedPageBreak/>
        <w:t xml:space="preserve">property assets does not reflect the efficient costs of a prudent </w:t>
      </w:r>
      <w:r w:rsidR="00A14571">
        <w:t xml:space="preserve">and efficient </w:t>
      </w:r>
      <w:r w:rsidR="00726223" w:rsidRPr="00AF57AA">
        <w:t>operator. In our view, the major property project proposed for Townsville is not economically justified and would not be undertaken by</w:t>
      </w:r>
      <w:r w:rsidR="00726223">
        <w:t xml:space="preserve"> a prudent </w:t>
      </w:r>
      <w:r w:rsidR="00321127">
        <w:t xml:space="preserve">and efficient </w:t>
      </w:r>
      <w:r w:rsidR="00726223">
        <w:t>operator in the 2015</w:t>
      </w:r>
      <w:r w:rsidR="00726223">
        <w:rPr>
          <w:rFonts w:cs="Arial"/>
        </w:rPr>
        <w:t>−</w:t>
      </w:r>
      <w:r w:rsidR="00726223" w:rsidRPr="00AF57AA">
        <w:t xml:space="preserve">20 regulatory control period. </w:t>
      </w:r>
      <w:r w:rsidR="00726223">
        <w:t xml:space="preserve">We </w:t>
      </w:r>
      <w:r w:rsidR="00D277D8">
        <w:t xml:space="preserve">also </w:t>
      </w:r>
      <w:r w:rsidR="00726223">
        <w:t xml:space="preserve">consider </w:t>
      </w:r>
      <w:r w:rsidR="00D277D8">
        <w:t xml:space="preserve">our </w:t>
      </w:r>
      <w:r w:rsidR="00A013FF">
        <w:t>substitute</w:t>
      </w:r>
      <w:r w:rsidR="00A013FF" w:rsidRPr="00AF57AA">
        <w:t xml:space="preserve"> </w:t>
      </w:r>
      <w:r w:rsidR="00726223" w:rsidRPr="00AF57AA">
        <w:t>estimate of Ergon Energy’s fleet capex is in line with its fleet service requirements and operational employee numbers</w:t>
      </w:r>
    </w:p>
    <w:p w:rsidR="00D44A58" w:rsidRPr="00112BF8" w:rsidRDefault="00D44A58" w:rsidP="00D44A58">
      <w:pPr>
        <w:pStyle w:val="Heading2"/>
      </w:pPr>
      <w:bookmarkStart w:id="53" w:name="_Toc415837336"/>
      <w:bookmarkStart w:id="54" w:name="_Toc418685510"/>
      <w:r w:rsidRPr="00112BF8">
        <w:t>Operating expenditure</w:t>
      </w:r>
      <w:bookmarkEnd w:id="53"/>
      <w:bookmarkEnd w:id="54"/>
    </w:p>
    <w:p w:rsidR="00E85E76" w:rsidRDefault="00E85E76" w:rsidP="00E85E76">
      <w:pPr>
        <w:numPr>
          <w:ilvl w:val="0"/>
          <w:numId w:val="25"/>
        </w:numPr>
      </w:pPr>
      <w:bookmarkStart w:id="55" w:name="_Toc415837338"/>
      <w:proofErr w:type="spellStart"/>
      <w:r>
        <w:t>Opex</w:t>
      </w:r>
      <w:proofErr w:type="spellEnd"/>
      <w:r>
        <w:t xml:space="preserve"> includes f</w:t>
      </w:r>
      <w:r w:rsidRPr="00112BF8">
        <w:t>orecast operating, maintenance and other non-capital costs incurred in the provision of distribution network services. It includes labour costs and other non-capital costs</w:t>
      </w:r>
      <w:r>
        <w:t xml:space="preserve"> that Ergon Energy is</w:t>
      </w:r>
      <w:r w:rsidRPr="00112BF8">
        <w:t xml:space="preserve"> likely to require during the 2015–20 regulatory control period for the efficient operation of its network. </w:t>
      </w:r>
    </w:p>
    <w:p w:rsidR="00E85E76" w:rsidRPr="009B6AC8" w:rsidRDefault="00E85E76" w:rsidP="00E85E76">
      <w:pPr>
        <w:numPr>
          <w:ilvl w:val="0"/>
          <w:numId w:val="25"/>
        </w:numPr>
      </w:pPr>
      <w:r w:rsidRPr="009B6AC8">
        <w:t xml:space="preserve">We are not satisfied that </w:t>
      </w:r>
      <w:r>
        <w:t>Ergon Energy</w:t>
      </w:r>
      <w:r w:rsidRPr="009B6AC8">
        <w:t xml:space="preserve">'s forecast </w:t>
      </w:r>
      <w:proofErr w:type="spellStart"/>
      <w:r w:rsidRPr="009B6AC8">
        <w:t>opex</w:t>
      </w:r>
      <w:proofErr w:type="spellEnd"/>
      <w:r w:rsidRPr="009B6AC8">
        <w:t xml:space="preserve"> reasonably reflects the </w:t>
      </w:r>
      <w:proofErr w:type="spellStart"/>
      <w:r w:rsidRPr="009B6AC8">
        <w:t>opex</w:t>
      </w:r>
      <w:proofErr w:type="spellEnd"/>
      <w:r w:rsidRPr="009B6AC8">
        <w:t xml:space="preserve"> criteria.</w:t>
      </w:r>
      <w:r w:rsidRPr="00E85E76">
        <w:rPr>
          <w:rStyle w:val="AERsuperscript"/>
        </w:rPr>
        <w:footnoteReference w:id="50"/>
      </w:r>
      <w:r w:rsidRPr="009B6AC8">
        <w:t xml:space="preserve"> We therefore do not accept the forecast </w:t>
      </w:r>
      <w:proofErr w:type="spellStart"/>
      <w:r w:rsidRPr="009B6AC8">
        <w:t>opex</w:t>
      </w:r>
      <w:proofErr w:type="spellEnd"/>
      <w:r w:rsidRPr="009B6AC8">
        <w:t xml:space="preserve"> </w:t>
      </w:r>
      <w:r>
        <w:t>Ergon</w:t>
      </w:r>
      <w:r w:rsidR="00A14571">
        <w:t xml:space="preserve"> Energy</w:t>
      </w:r>
      <w:r w:rsidRPr="009B6AC8">
        <w:t xml:space="preserve"> included in its building block proposal.</w:t>
      </w:r>
      <w:r w:rsidRPr="00E85E76">
        <w:rPr>
          <w:rStyle w:val="AERsuperscript"/>
        </w:rPr>
        <w:footnoteReference w:id="51"/>
      </w:r>
      <w:r w:rsidRPr="009B6AC8">
        <w:t xml:space="preserve"> </w:t>
      </w:r>
      <w:r w:rsidR="00027FAB">
        <w:t xml:space="preserve">In reaching this point we have compared Ergon Energy's regulatory proposal with our substitute estimate of total </w:t>
      </w:r>
      <w:proofErr w:type="spellStart"/>
      <w:r w:rsidR="00027FAB">
        <w:t>opex</w:t>
      </w:r>
      <w:proofErr w:type="spellEnd"/>
      <w:r w:rsidR="00027FAB">
        <w:t xml:space="preserve"> </w:t>
      </w:r>
      <w:r w:rsidR="005A2CA6">
        <w:t>in table 8</w:t>
      </w:r>
      <w:r w:rsidRPr="009B6AC8">
        <w:fldChar w:fldCharType="begin"/>
      </w:r>
      <w:r w:rsidRPr="009B6AC8">
        <w:instrText xml:space="preserve"> REF _Ref416850968 \h </w:instrText>
      </w:r>
      <w:r w:rsidRPr="009B6AC8">
        <w:fldChar w:fldCharType="end"/>
      </w:r>
      <w:r w:rsidRPr="009B6AC8">
        <w:t>.</w:t>
      </w:r>
      <w:r w:rsidRPr="00E85E76">
        <w:rPr>
          <w:rStyle w:val="AERsuperscript"/>
        </w:rPr>
        <w:footnoteReference w:id="52"/>
      </w:r>
    </w:p>
    <w:p w:rsidR="00E85E76" w:rsidRPr="00112BF8" w:rsidRDefault="00E85E76" w:rsidP="00E85E76">
      <w:r>
        <w:t xml:space="preserve">We estimate total forecast </w:t>
      </w:r>
      <w:proofErr w:type="spellStart"/>
      <w:r>
        <w:t>opex</w:t>
      </w:r>
      <w:proofErr w:type="spellEnd"/>
      <w:r>
        <w:t xml:space="preserve"> over the forecast period of </w:t>
      </w:r>
      <w:r w:rsidRPr="00112BF8">
        <w:rPr>
          <w:rStyle w:val="AERbody"/>
        </w:rPr>
        <w:t>$</w:t>
      </w:r>
      <w:r w:rsidRPr="00E85E76">
        <w:rPr>
          <w:rStyle w:val="AERbodytextChar"/>
          <w:rFonts w:eastAsiaTheme="minorHAnsi"/>
        </w:rPr>
        <w:t>1629.9 million</w:t>
      </w:r>
      <w:r w:rsidRPr="00112BF8">
        <w:rPr>
          <w:rStyle w:val="AERbody"/>
        </w:rPr>
        <w:t xml:space="preserve"> ($</w:t>
      </w:r>
      <w:r w:rsidRPr="00054EE5">
        <w:t>2014–15</w:t>
      </w:r>
      <w:r w:rsidRPr="00112BF8">
        <w:rPr>
          <w:rStyle w:val="AERbody"/>
        </w:rPr>
        <w:t xml:space="preserve">). </w:t>
      </w:r>
      <w:r>
        <w:rPr>
          <w:rStyle w:val="AERbody"/>
        </w:rPr>
        <w:t xml:space="preserve">This is </w:t>
      </w:r>
      <w:r w:rsidRPr="00E85E76">
        <w:rPr>
          <w:rStyle w:val="AERbodytextChar"/>
          <w:rFonts w:eastAsiaTheme="minorHAnsi"/>
        </w:rPr>
        <w:t>89.5</w:t>
      </w:r>
      <w:r>
        <w:rPr>
          <w:rStyle w:val="AERbody"/>
        </w:rPr>
        <w:t xml:space="preserve"> per cent of Ergon Energy's forecast </w:t>
      </w:r>
      <w:proofErr w:type="spellStart"/>
      <w:r>
        <w:rPr>
          <w:rStyle w:val="AERbody"/>
        </w:rPr>
        <w:t>opex</w:t>
      </w:r>
      <w:proofErr w:type="spellEnd"/>
      <w:r>
        <w:rPr>
          <w:rStyle w:val="AERbody"/>
        </w:rPr>
        <w:t>.</w:t>
      </w:r>
      <w:r w:rsidRPr="00112BF8">
        <w:rPr>
          <w:rStyle w:val="AERbody"/>
        </w:rPr>
        <w:t xml:space="preserve"> </w:t>
      </w:r>
    </w:p>
    <w:p w:rsidR="00E85E76" w:rsidRPr="00112BF8" w:rsidRDefault="00E85E76" w:rsidP="00E85E76">
      <w:pPr>
        <w:pStyle w:val="Caption"/>
      </w:pPr>
      <w:r w:rsidRPr="00112BF8">
        <w:t>Table</w:t>
      </w:r>
      <w:r>
        <w:t xml:space="preserve"> 8</w:t>
      </w:r>
      <w:r w:rsidRPr="00112BF8">
        <w:tab/>
        <w:t xml:space="preserve">AER preliminary decision and </w:t>
      </w:r>
      <w:r>
        <w:t>Ergon Energy</w:t>
      </w:r>
      <w:r w:rsidRPr="00112BF8">
        <w:t xml:space="preserve">'s proposed total </w:t>
      </w:r>
      <w:proofErr w:type="spellStart"/>
      <w:r w:rsidRPr="00112BF8">
        <w:t>opex</w:t>
      </w:r>
      <w:proofErr w:type="spellEnd"/>
      <w:r w:rsidRPr="00112BF8">
        <w:t xml:space="preserve"> ($ million, </w:t>
      </w:r>
      <w:r w:rsidRPr="00236338">
        <w:t>2014–15</w:t>
      </w:r>
      <w:r w:rsidRPr="00054EE5">
        <w:t>)</w:t>
      </w:r>
    </w:p>
    <w:tbl>
      <w:tblPr>
        <w:tblStyle w:val="AERtable-numbers"/>
        <w:tblW w:w="0" w:type="auto"/>
        <w:tblLook w:val="04A0" w:firstRow="1" w:lastRow="0" w:firstColumn="1" w:lastColumn="0" w:noHBand="0" w:noVBand="1"/>
      </w:tblPr>
      <w:tblGrid>
        <w:gridCol w:w="2706"/>
        <w:gridCol w:w="971"/>
        <w:gridCol w:w="971"/>
        <w:gridCol w:w="971"/>
        <w:gridCol w:w="971"/>
        <w:gridCol w:w="971"/>
        <w:gridCol w:w="1132"/>
      </w:tblGrid>
      <w:tr w:rsidR="00E85E76" w:rsidTr="006C7D9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06" w:type="dxa"/>
          </w:tcPr>
          <w:p w:rsidR="00E85E76" w:rsidRPr="00E85E76" w:rsidRDefault="00E85E76" w:rsidP="00E85E76">
            <w:r w:rsidRPr="00112BF8">
              <w:t>Year ending 30 June</w:t>
            </w:r>
          </w:p>
        </w:tc>
        <w:tc>
          <w:tcPr>
            <w:tcW w:w="971" w:type="dxa"/>
          </w:tcPr>
          <w:p w:rsidR="00E85E76" w:rsidRPr="00E85E76" w:rsidRDefault="00E85E76" w:rsidP="00E85E76">
            <w:pPr>
              <w:cnfStyle w:val="100000000000" w:firstRow="1" w:lastRow="0" w:firstColumn="0" w:lastColumn="0" w:oddVBand="0" w:evenVBand="0" w:oddHBand="0" w:evenHBand="0" w:firstRowFirstColumn="0" w:firstRowLastColumn="0" w:lastRowFirstColumn="0" w:lastRowLastColumn="0"/>
            </w:pPr>
            <w:r w:rsidRPr="00112BF8">
              <w:t>201</w:t>
            </w:r>
            <w:r w:rsidRPr="00E85E76">
              <w:t>5–16</w:t>
            </w:r>
          </w:p>
        </w:tc>
        <w:tc>
          <w:tcPr>
            <w:tcW w:w="971" w:type="dxa"/>
          </w:tcPr>
          <w:p w:rsidR="00E85E76" w:rsidRPr="00E85E76" w:rsidRDefault="00E85E76" w:rsidP="00E85E76">
            <w:pPr>
              <w:cnfStyle w:val="100000000000" w:firstRow="1" w:lastRow="0" w:firstColumn="0" w:lastColumn="0" w:oddVBand="0" w:evenVBand="0" w:oddHBand="0" w:evenHBand="0" w:firstRowFirstColumn="0" w:firstRowLastColumn="0" w:lastRowFirstColumn="0" w:lastRowLastColumn="0"/>
            </w:pPr>
            <w:r w:rsidRPr="00112BF8">
              <w:t>201</w:t>
            </w:r>
            <w:r w:rsidRPr="00E85E76">
              <w:t>6–17</w:t>
            </w:r>
          </w:p>
        </w:tc>
        <w:tc>
          <w:tcPr>
            <w:tcW w:w="971" w:type="dxa"/>
          </w:tcPr>
          <w:p w:rsidR="00E85E76" w:rsidRPr="00E85E76" w:rsidRDefault="00E85E76" w:rsidP="00E85E76">
            <w:pPr>
              <w:cnfStyle w:val="100000000000" w:firstRow="1" w:lastRow="0" w:firstColumn="0" w:lastColumn="0" w:oddVBand="0" w:evenVBand="0" w:oddHBand="0" w:evenHBand="0" w:firstRowFirstColumn="0" w:firstRowLastColumn="0" w:lastRowFirstColumn="0" w:lastRowLastColumn="0"/>
            </w:pPr>
            <w:r w:rsidRPr="00112BF8">
              <w:t>201</w:t>
            </w:r>
            <w:r w:rsidRPr="00E85E76">
              <w:t>7–18</w:t>
            </w:r>
          </w:p>
        </w:tc>
        <w:tc>
          <w:tcPr>
            <w:tcW w:w="971" w:type="dxa"/>
          </w:tcPr>
          <w:p w:rsidR="00E85E76" w:rsidRPr="00E85E76" w:rsidRDefault="00E85E76" w:rsidP="00E85E76">
            <w:pPr>
              <w:cnfStyle w:val="100000000000" w:firstRow="1" w:lastRow="0" w:firstColumn="0" w:lastColumn="0" w:oddVBand="0" w:evenVBand="0" w:oddHBand="0" w:evenHBand="0" w:firstRowFirstColumn="0" w:firstRowLastColumn="0" w:lastRowFirstColumn="0" w:lastRowLastColumn="0"/>
            </w:pPr>
            <w:r w:rsidRPr="00112BF8">
              <w:t>201</w:t>
            </w:r>
            <w:r w:rsidRPr="00E85E76">
              <w:t>8–19</w:t>
            </w:r>
          </w:p>
        </w:tc>
        <w:tc>
          <w:tcPr>
            <w:tcW w:w="971" w:type="dxa"/>
          </w:tcPr>
          <w:p w:rsidR="00E85E76" w:rsidRPr="00E85E76" w:rsidRDefault="00E85E76" w:rsidP="00E85E76">
            <w:pPr>
              <w:cnfStyle w:val="100000000000" w:firstRow="1" w:lastRow="0" w:firstColumn="0" w:lastColumn="0" w:oddVBand="0" w:evenVBand="0" w:oddHBand="0" w:evenHBand="0" w:firstRowFirstColumn="0" w:firstRowLastColumn="0" w:lastRowFirstColumn="0" w:lastRowLastColumn="0"/>
            </w:pPr>
            <w:r w:rsidRPr="00112BF8">
              <w:t>201</w:t>
            </w:r>
            <w:r w:rsidRPr="00E85E76">
              <w:t>9–20</w:t>
            </w:r>
          </w:p>
        </w:tc>
        <w:tc>
          <w:tcPr>
            <w:tcW w:w="1132" w:type="dxa"/>
          </w:tcPr>
          <w:p w:rsidR="00E85E76" w:rsidRPr="00E85E76" w:rsidRDefault="00E85E76" w:rsidP="00E85E76">
            <w:pPr>
              <w:cnfStyle w:val="100000000000" w:firstRow="1" w:lastRow="0" w:firstColumn="0" w:lastColumn="0" w:oddVBand="0" w:evenVBand="0" w:oddHBand="0" w:evenHBand="0" w:firstRowFirstColumn="0" w:firstRowLastColumn="0" w:lastRowFirstColumn="0" w:lastRowLastColumn="0"/>
            </w:pPr>
            <w:r w:rsidRPr="00112BF8">
              <w:t>Total</w:t>
            </w:r>
          </w:p>
        </w:tc>
      </w:tr>
      <w:tr w:rsidR="00E85E76" w:rsidTr="006C7D9C">
        <w:tc>
          <w:tcPr>
            <w:cnfStyle w:val="001000000000" w:firstRow="0" w:lastRow="0" w:firstColumn="1" w:lastColumn="0" w:oddVBand="0" w:evenVBand="0" w:oddHBand="0" w:evenHBand="0" w:firstRowFirstColumn="0" w:firstRowLastColumn="0" w:lastRowFirstColumn="0" w:lastRowLastColumn="0"/>
            <w:tcW w:w="2706" w:type="dxa"/>
          </w:tcPr>
          <w:p w:rsidR="00E85E76" w:rsidRPr="00E85E76" w:rsidRDefault="00E85E76" w:rsidP="00E85E76">
            <w:r w:rsidRPr="00EF48C2">
              <w:t>Ergon Energy's proposal</w:t>
            </w:r>
          </w:p>
        </w:tc>
        <w:tc>
          <w:tcPr>
            <w:tcW w:w="971"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rsidRPr="00EF48C2">
              <w:t>349.6</w:t>
            </w:r>
          </w:p>
        </w:tc>
        <w:tc>
          <w:tcPr>
            <w:tcW w:w="971"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rsidRPr="00EF48C2">
              <w:t>356.1</w:t>
            </w:r>
          </w:p>
        </w:tc>
        <w:tc>
          <w:tcPr>
            <w:tcW w:w="971"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rsidRPr="00EF48C2">
              <w:t>363.6</w:t>
            </w:r>
          </w:p>
        </w:tc>
        <w:tc>
          <w:tcPr>
            <w:tcW w:w="971"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rsidRPr="00EF48C2">
              <w:t>372.9</w:t>
            </w:r>
          </w:p>
        </w:tc>
        <w:tc>
          <w:tcPr>
            <w:tcW w:w="971"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rsidRPr="00EF48C2">
              <w:t>379.0</w:t>
            </w:r>
          </w:p>
        </w:tc>
        <w:tc>
          <w:tcPr>
            <w:tcW w:w="1132"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rsidRPr="00EF48C2">
              <w:t>1821.1</w:t>
            </w:r>
          </w:p>
        </w:tc>
      </w:tr>
      <w:tr w:rsidR="00E85E76" w:rsidTr="006C7D9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62" w:type="dxa"/>
          </w:tcPr>
          <w:p w:rsidR="00E85E76" w:rsidRPr="00DA2734" w:rsidRDefault="00E85E76" w:rsidP="00E85E76">
            <w:r w:rsidRPr="00DA2734">
              <w:t>AER preliminary decision</w:t>
            </w:r>
          </w:p>
        </w:tc>
        <w:tc>
          <w:tcPr>
            <w:tcW w:w="1017" w:type="dxa"/>
          </w:tcPr>
          <w:p w:rsidR="00E85E76" w:rsidRPr="00E85E76" w:rsidRDefault="00E85E76" w:rsidP="00E85E76">
            <w:pPr>
              <w:cnfStyle w:val="000000010000" w:firstRow="0" w:lastRow="0" w:firstColumn="0" w:lastColumn="0" w:oddVBand="0" w:evenVBand="0" w:oddHBand="0" w:evenHBand="1" w:firstRowFirstColumn="0" w:firstRowLastColumn="0" w:lastRowFirstColumn="0" w:lastRowLastColumn="0"/>
            </w:pPr>
            <w:r w:rsidRPr="00DA2734">
              <w:t>3</w:t>
            </w:r>
            <w:r w:rsidRPr="00E85E76">
              <w:t>14.4</w:t>
            </w:r>
          </w:p>
        </w:tc>
        <w:tc>
          <w:tcPr>
            <w:tcW w:w="1017" w:type="dxa"/>
          </w:tcPr>
          <w:p w:rsidR="00E85E76" w:rsidRPr="00E85E76" w:rsidRDefault="00E85E76" w:rsidP="00E85E76">
            <w:pPr>
              <w:cnfStyle w:val="000000010000" w:firstRow="0" w:lastRow="0" w:firstColumn="0" w:lastColumn="0" w:oddVBand="0" w:evenVBand="0" w:oddHBand="0" w:evenHBand="1" w:firstRowFirstColumn="0" w:firstRowLastColumn="0" w:lastRowFirstColumn="0" w:lastRowLastColumn="0"/>
            </w:pPr>
            <w:r w:rsidRPr="00DA2734">
              <w:t>3</w:t>
            </w:r>
            <w:r w:rsidRPr="00E85E76">
              <w:t>20.3</w:t>
            </w:r>
          </w:p>
        </w:tc>
        <w:tc>
          <w:tcPr>
            <w:tcW w:w="1017" w:type="dxa"/>
          </w:tcPr>
          <w:p w:rsidR="00E85E76" w:rsidRPr="00E85E76" w:rsidRDefault="00E85E76" w:rsidP="00E85E76">
            <w:pPr>
              <w:cnfStyle w:val="000000010000" w:firstRow="0" w:lastRow="0" w:firstColumn="0" w:lastColumn="0" w:oddVBand="0" w:evenVBand="0" w:oddHBand="0" w:evenHBand="1" w:firstRowFirstColumn="0" w:firstRowLastColumn="0" w:lastRowFirstColumn="0" w:lastRowLastColumn="0"/>
            </w:pPr>
            <w:r w:rsidRPr="00DA2734">
              <w:t>3</w:t>
            </w:r>
            <w:r w:rsidRPr="00E85E76">
              <w:t>25.4</w:t>
            </w:r>
          </w:p>
        </w:tc>
        <w:tc>
          <w:tcPr>
            <w:tcW w:w="1017" w:type="dxa"/>
          </w:tcPr>
          <w:p w:rsidR="00E85E76" w:rsidRPr="00E85E76" w:rsidRDefault="00E85E76" w:rsidP="00E85E76">
            <w:pPr>
              <w:cnfStyle w:val="000000010000" w:firstRow="0" w:lastRow="0" w:firstColumn="0" w:lastColumn="0" w:oddVBand="0" w:evenVBand="0" w:oddHBand="0" w:evenHBand="1" w:firstRowFirstColumn="0" w:firstRowLastColumn="0" w:lastRowFirstColumn="0" w:lastRowLastColumn="0"/>
            </w:pPr>
            <w:r w:rsidRPr="00DA2734">
              <w:t>3</w:t>
            </w:r>
            <w:r w:rsidRPr="00E85E76">
              <w:t>32.0</w:t>
            </w:r>
          </w:p>
        </w:tc>
        <w:tc>
          <w:tcPr>
            <w:tcW w:w="1017" w:type="dxa"/>
          </w:tcPr>
          <w:p w:rsidR="00E85E76" w:rsidRPr="00E85E76" w:rsidRDefault="00E85E76" w:rsidP="00E85E76">
            <w:pPr>
              <w:cnfStyle w:val="000000010000" w:firstRow="0" w:lastRow="0" w:firstColumn="0" w:lastColumn="0" w:oddVBand="0" w:evenVBand="0" w:oddHBand="0" w:evenHBand="1" w:firstRowFirstColumn="0" w:firstRowLastColumn="0" w:lastRowFirstColumn="0" w:lastRowLastColumn="0"/>
            </w:pPr>
            <w:r w:rsidRPr="00DA2734">
              <w:t>3</w:t>
            </w:r>
            <w:r w:rsidRPr="00E85E76">
              <w:t>37.8</w:t>
            </w:r>
          </w:p>
        </w:tc>
        <w:tc>
          <w:tcPr>
            <w:tcW w:w="1195" w:type="dxa"/>
          </w:tcPr>
          <w:p w:rsidR="00E85E76" w:rsidRPr="00E85E76" w:rsidRDefault="00E85E76" w:rsidP="00E85E76">
            <w:pPr>
              <w:cnfStyle w:val="000000010000" w:firstRow="0" w:lastRow="0" w:firstColumn="0" w:lastColumn="0" w:oddVBand="0" w:evenVBand="0" w:oddHBand="0" w:evenHBand="1" w:firstRowFirstColumn="0" w:firstRowLastColumn="0" w:lastRowFirstColumn="0" w:lastRowLastColumn="0"/>
            </w:pPr>
            <w:r w:rsidRPr="00DA2734">
              <w:t>1</w:t>
            </w:r>
            <w:r w:rsidRPr="00E85E76">
              <w:t>629.9</w:t>
            </w:r>
          </w:p>
        </w:tc>
      </w:tr>
      <w:tr w:rsidR="00E85E76" w:rsidTr="006C7D9C">
        <w:tc>
          <w:tcPr>
            <w:cnfStyle w:val="001000000000" w:firstRow="0" w:lastRow="0" w:firstColumn="1" w:lastColumn="0" w:oddVBand="0" w:evenVBand="0" w:oddHBand="0" w:evenHBand="0" w:firstRowFirstColumn="0" w:firstRowLastColumn="0" w:lastRowFirstColumn="0" w:lastRowLastColumn="0"/>
            <w:tcW w:w="2962" w:type="dxa"/>
          </w:tcPr>
          <w:p w:rsidR="00E85E76" w:rsidRPr="00DA2734" w:rsidRDefault="00E85E76" w:rsidP="00E85E76">
            <w:r w:rsidRPr="00DA2734">
              <w:t>Difference</w:t>
            </w:r>
          </w:p>
        </w:tc>
        <w:tc>
          <w:tcPr>
            <w:tcW w:w="1017"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t>–35.2</w:t>
            </w:r>
          </w:p>
        </w:tc>
        <w:tc>
          <w:tcPr>
            <w:tcW w:w="1017"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t>–35.8</w:t>
            </w:r>
          </w:p>
        </w:tc>
        <w:tc>
          <w:tcPr>
            <w:tcW w:w="1017"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t>–38.3</w:t>
            </w:r>
          </w:p>
        </w:tc>
        <w:tc>
          <w:tcPr>
            <w:tcW w:w="1017"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t>–40.9</w:t>
            </w:r>
          </w:p>
        </w:tc>
        <w:tc>
          <w:tcPr>
            <w:tcW w:w="1017"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t>–41.1</w:t>
            </w:r>
          </w:p>
        </w:tc>
        <w:tc>
          <w:tcPr>
            <w:tcW w:w="1195" w:type="dxa"/>
          </w:tcPr>
          <w:p w:rsidR="00E85E76" w:rsidRPr="00E85E76" w:rsidRDefault="00E85E76" w:rsidP="00E85E76">
            <w:pPr>
              <w:cnfStyle w:val="000000000000" w:firstRow="0" w:lastRow="0" w:firstColumn="0" w:lastColumn="0" w:oddVBand="0" w:evenVBand="0" w:oddHBand="0" w:evenHBand="0" w:firstRowFirstColumn="0" w:firstRowLastColumn="0" w:lastRowFirstColumn="0" w:lastRowLastColumn="0"/>
            </w:pPr>
            <w:r>
              <w:t>–191.3</w:t>
            </w:r>
          </w:p>
        </w:tc>
      </w:tr>
    </w:tbl>
    <w:p w:rsidR="00E85E76" w:rsidRPr="00112BF8" w:rsidRDefault="00E85E76" w:rsidP="00E85E76">
      <w:pPr>
        <w:pStyle w:val="AERtablesource"/>
      </w:pPr>
      <w:r w:rsidRPr="00112BF8">
        <w:t>Source:</w:t>
      </w:r>
      <w:r w:rsidRPr="00112BF8">
        <w:tab/>
        <w:t>AER analysis.</w:t>
      </w:r>
    </w:p>
    <w:p w:rsidR="00E85E76" w:rsidRPr="00112BF8" w:rsidRDefault="00E85E76" w:rsidP="00E85E76">
      <w:pPr>
        <w:pStyle w:val="AERtablesource"/>
      </w:pPr>
      <w:r w:rsidRPr="00112BF8">
        <w:t>Note:</w:t>
      </w:r>
      <w:r w:rsidRPr="00112BF8">
        <w:tab/>
      </w:r>
      <w:r>
        <w:t>Ex</w:t>
      </w:r>
      <w:r w:rsidRPr="00112BF8">
        <w:t>cludes debt raising costs.</w:t>
      </w:r>
    </w:p>
    <w:p w:rsidR="00E85E76" w:rsidRPr="00112BF8" w:rsidRDefault="00E85E76" w:rsidP="00E85E76">
      <w:pPr>
        <w:rPr>
          <w:rStyle w:val="AERbody"/>
        </w:rPr>
      </w:pPr>
      <w:r>
        <w:rPr>
          <w:rStyle w:val="AERbody"/>
        </w:rPr>
        <w:t xml:space="preserve">Figure </w:t>
      </w:r>
      <w:r>
        <w:t>7</w:t>
      </w:r>
      <w:r>
        <w:rPr>
          <w:rStyle w:val="AERbody"/>
        </w:rPr>
        <w:t xml:space="preserve"> </w:t>
      </w:r>
      <w:r w:rsidRPr="00112BF8">
        <w:rPr>
          <w:rStyle w:val="AERbody"/>
        </w:rPr>
        <w:t xml:space="preserve">shows our preliminary decision compared to </w:t>
      </w:r>
      <w:r>
        <w:rPr>
          <w:rStyle w:val="AERbody"/>
        </w:rPr>
        <w:t>Ergon Energy</w:t>
      </w:r>
      <w:r w:rsidRPr="00112BF8">
        <w:rPr>
          <w:rStyle w:val="AERbody"/>
        </w:rPr>
        <w:t>'s proposal, its past allowances and past actual expenditure.</w:t>
      </w:r>
    </w:p>
    <w:p w:rsidR="00E85E76" w:rsidRPr="00E85E76" w:rsidRDefault="00E85E76" w:rsidP="00E85E76">
      <w:pPr>
        <w:pStyle w:val="Caption"/>
        <w:rPr>
          <w:rStyle w:val="AERbodytextChar"/>
          <w:rFonts w:eastAsiaTheme="minorHAnsi"/>
        </w:rPr>
      </w:pPr>
      <w:r w:rsidRPr="00112BF8">
        <w:lastRenderedPageBreak/>
        <w:t xml:space="preserve">Figure </w:t>
      </w:r>
      <w:r>
        <w:t>7</w:t>
      </w:r>
      <w:r w:rsidRPr="00112BF8">
        <w:tab/>
        <w:t xml:space="preserve">AER preliminary decision compared to </w:t>
      </w:r>
      <w:r>
        <w:t>Ergon Energy</w:t>
      </w:r>
      <w:r w:rsidRPr="00112BF8">
        <w:t xml:space="preserve">'s past and proposed </w:t>
      </w:r>
      <w:proofErr w:type="spellStart"/>
      <w:r w:rsidRPr="00112BF8">
        <w:t>opex</w:t>
      </w:r>
      <w:proofErr w:type="spellEnd"/>
      <w:r w:rsidRPr="00112BF8">
        <w:t xml:space="preserve"> ($</w:t>
      </w:r>
      <w:r w:rsidRPr="00236338">
        <w:t>million</w:t>
      </w:r>
      <w:r w:rsidRPr="00E85E76">
        <w:rPr>
          <w:rStyle w:val="AERbodytextChar"/>
          <w:rFonts w:eastAsiaTheme="minorHAnsi"/>
        </w:rPr>
        <w:t>, 2014−15)</w:t>
      </w:r>
    </w:p>
    <w:p w:rsidR="00E85E76" w:rsidRDefault="00E85E76" w:rsidP="00E85E76">
      <w:pPr>
        <w:pStyle w:val="Caption"/>
      </w:pPr>
      <w:r w:rsidRPr="00E85E76">
        <w:rPr>
          <w:noProof/>
          <w:lang w:eastAsia="en-AU"/>
        </w:rPr>
        <w:drawing>
          <wp:inline distT="0" distB="0" distL="0" distR="0" wp14:anchorId="40FC2438" wp14:editId="24064D77">
            <wp:extent cx="5731510" cy="3323789"/>
            <wp:effectExtent l="0" t="0" r="254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31510" cy="3323789"/>
                    </a:xfrm>
                    <a:prstGeom prst="rect">
                      <a:avLst/>
                    </a:prstGeom>
                    <a:noFill/>
                    <a:ln>
                      <a:noFill/>
                    </a:ln>
                  </pic:spPr>
                </pic:pic>
              </a:graphicData>
            </a:graphic>
          </wp:inline>
        </w:drawing>
      </w:r>
    </w:p>
    <w:p w:rsidR="00E85E76" w:rsidRDefault="00E85E76" w:rsidP="00E85E76">
      <w:pPr>
        <w:pStyle w:val="AERtablesource"/>
      </w:pPr>
      <w:r>
        <w:t>Note:</w:t>
      </w:r>
      <w:r>
        <w:tab/>
        <w:t xml:space="preserve">The </w:t>
      </w:r>
      <w:proofErr w:type="spellStart"/>
      <w:r>
        <w:t>opex</w:t>
      </w:r>
      <w:proofErr w:type="spellEnd"/>
      <w:r>
        <w:t xml:space="preserve"> for the period 2005/06 to 2014/15 include some services that have been reclassified as ancillary reference services; the forecast </w:t>
      </w:r>
      <w:proofErr w:type="spellStart"/>
      <w:r>
        <w:t>opex</w:t>
      </w:r>
      <w:proofErr w:type="spellEnd"/>
      <w:r>
        <w:t xml:space="preserve"> for period 2015/16 to 2019/20 does not. The </w:t>
      </w:r>
      <w:proofErr w:type="spellStart"/>
      <w:r>
        <w:t>opex</w:t>
      </w:r>
      <w:proofErr w:type="spellEnd"/>
      <w:r>
        <w:t xml:space="preserve"> for the period 2005/06 to 2009/10 also includes debt raising costs; the </w:t>
      </w:r>
      <w:proofErr w:type="spellStart"/>
      <w:r>
        <w:t>opex</w:t>
      </w:r>
      <w:proofErr w:type="spellEnd"/>
      <w:r>
        <w:t xml:space="preserve"> and forecast </w:t>
      </w:r>
      <w:proofErr w:type="spellStart"/>
      <w:r>
        <w:t>opex</w:t>
      </w:r>
      <w:proofErr w:type="spellEnd"/>
      <w:r>
        <w:t xml:space="preserve"> for the period 2010/11 to 2019/20 do not.</w:t>
      </w:r>
    </w:p>
    <w:p w:rsidR="00E85E76" w:rsidRDefault="00E85E76" w:rsidP="00E85E76">
      <w:pPr>
        <w:pStyle w:val="AERtablesource"/>
      </w:pPr>
      <w:r w:rsidRPr="00FB2A4B">
        <w:t>Source:</w:t>
      </w:r>
      <w:r w:rsidRPr="00FB2A4B">
        <w:tab/>
      </w:r>
      <w:r>
        <w:t>Ergon Energy, Regulatory accounts 2005/06 to 2009/10</w:t>
      </w:r>
      <w:r w:rsidRPr="00FB2A4B">
        <w:t>;</w:t>
      </w:r>
      <w:r>
        <w:t xml:space="preserve"> Ergon Energy 2010/11–2014/15 PTRM,</w:t>
      </w:r>
      <w:r w:rsidRPr="00FB2A4B">
        <w:t xml:space="preserve"> </w:t>
      </w:r>
      <w:r>
        <w:t xml:space="preserve">Annual Reporting RIN 2010/11–2013/14, </w:t>
      </w:r>
      <w:r w:rsidRPr="00662F69">
        <w:rPr>
          <w:rStyle w:val="AERtextitalic"/>
        </w:rPr>
        <w:t>Regulatory propo</w:t>
      </w:r>
      <w:r>
        <w:rPr>
          <w:rStyle w:val="AERtextitalic"/>
        </w:rPr>
        <w:t>sal for the 2015–20</w:t>
      </w:r>
      <w:r w:rsidRPr="00662F69">
        <w:rPr>
          <w:rStyle w:val="AERtextitalic"/>
        </w:rPr>
        <w:t xml:space="preserve"> </w:t>
      </w:r>
      <w:proofErr w:type="gramStart"/>
      <w:r w:rsidRPr="00662F69">
        <w:rPr>
          <w:rStyle w:val="AERtextitalic"/>
        </w:rPr>
        <w:t>period</w:t>
      </w:r>
      <w:proofErr w:type="gramEnd"/>
      <w:r w:rsidRPr="00FB2A4B">
        <w:t xml:space="preserve"> - Regulatory Information Notice; AER analysis.</w:t>
      </w:r>
    </w:p>
    <w:p w:rsidR="00E85E76" w:rsidRDefault="00E85E76" w:rsidP="00E85E76">
      <w:pPr>
        <w:numPr>
          <w:ilvl w:val="0"/>
          <w:numId w:val="25"/>
        </w:numPr>
      </w:pPr>
      <w:r>
        <w:t>F</w:t>
      </w:r>
      <w:r w:rsidR="006C7D9C">
        <w:t>igure 9</w:t>
      </w:r>
      <w:r w:rsidRPr="009B6AC8">
        <w:t xml:space="preserve"> illustrates how our forecast has been constructed. The starting point on the left is what </w:t>
      </w:r>
      <w:r>
        <w:t>Ergon Energy</w:t>
      </w:r>
      <w:r w:rsidRPr="009B6AC8">
        <w:t xml:space="preserve">'s </w:t>
      </w:r>
      <w:proofErr w:type="spellStart"/>
      <w:r w:rsidRPr="009B6AC8">
        <w:t>opex</w:t>
      </w:r>
      <w:proofErr w:type="spellEnd"/>
      <w:r w:rsidRPr="009B6AC8">
        <w:t xml:space="preserve"> would have been for the 20</w:t>
      </w:r>
      <w:r>
        <w:t>15</w:t>
      </w:r>
      <w:r w:rsidRPr="009B6AC8">
        <w:t>–</w:t>
      </w:r>
      <w:r>
        <w:t>20 regulatory</w:t>
      </w:r>
      <w:r w:rsidRPr="009B6AC8">
        <w:t xml:space="preserve"> </w:t>
      </w:r>
      <w:r w:rsidR="00BE6134">
        <w:t xml:space="preserve">control </w:t>
      </w:r>
      <w:r w:rsidRPr="009B6AC8">
        <w:t xml:space="preserve">period if it was set based on </w:t>
      </w:r>
      <w:r>
        <w:t>Ergon Energy</w:t>
      </w:r>
      <w:r w:rsidRPr="009B6AC8">
        <w:t xml:space="preserve">'s reported </w:t>
      </w:r>
      <w:proofErr w:type="spellStart"/>
      <w:r w:rsidRPr="009B6AC8">
        <w:t>opex</w:t>
      </w:r>
      <w:proofErr w:type="spellEnd"/>
      <w:r w:rsidRPr="009B6AC8">
        <w:t xml:space="preserve"> in 2012–13. The changes are discussed below.</w:t>
      </w:r>
    </w:p>
    <w:p w:rsidR="00E85E76" w:rsidRPr="009B6AC8" w:rsidRDefault="00E85E76" w:rsidP="00E85E76">
      <w:pPr>
        <w:pStyle w:val="Caption"/>
      </w:pPr>
      <w:r w:rsidRPr="00E85E76">
        <w:lastRenderedPageBreak/>
        <w:t xml:space="preserve">Figure </w:t>
      </w:r>
      <w:r w:rsidR="006C7D9C">
        <w:t>9</w:t>
      </w:r>
      <w:r w:rsidRPr="00E85E76">
        <w:fldChar w:fldCharType="begin"/>
      </w:r>
      <w:r w:rsidRPr="00E85E76">
        <w:instrText xml:space="preserve"> SEQ Figure \* ARABIC </w:instrText>
      </w:r>
      <w:r w:rsidRPr="00E85E76">
        <w:fldChar w:fldCharType="end"/>
      </w:r>
      <w:r w:rsidRPr="00E85E76">
        <w:tab/>
        <w:t xml:space="preserve">Our preliminary decision </w:t>
      </w:r>
      <w:proofErr w:type="spellStart"/>
      <w:r w:rsidRPr="00E85E76">
        <w:t>opex</w:t>
      </w:r>
      <w:proofErr w:type="spellEnd"/>
      <w:r w:rsidRPr="00E85E76">
        <w:t xml:space="preserve"> forecast</w:t>
      </w:r>
    </w:p>
    <w:p w:rsidR="00E85E76" w:rsidRDefault="00E85E76" w:rsidP="00E85E76">
      <w:r w:rsidRPr="00E85E76">
        <w:rPr>
          <w:noProof/>
          <w:lang w:eastAsia="en-AU"/>
        </w:rPr>
        <w:drawing>
          <wp:inline distT="0" distB="0" distL="0" distR="0" wp14:anchorId="20D68EE5" wp14:editId="6234B7AA">
            <wp:extent cx="5400675" cy="3600450"/>
            <wp:effectExtent l="0" t="0" r="9525" b="0"/>
            <wp:docPr id="21" name="Picture 21" descr="cid:image001.png@01D07D05.A6FC3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1.png@01D07D05.A6FC3780"/>
                    <pic:cNvPicPr>
                      <a:picLocks noChangeAspect="1" noChangeArrowheads="1"/>
                    </pic:cNvPicPr>
                  </pic:nvPicPr>
                  <pic:blipFill>
                    <a:blip r:embed="rId21" r:link="rId22">
                      <a:extLst>
                        <a:ext uri="{28A0092B-C50C-407E-A947-70E740481C1C}">
                          <a14:useLocalDpi xmlns:a14="http://schemas.microsoft.com/office/drawing/2010/main" val="0"/>
                        </a:ext>
                      </a:extLst>
                    </a:blip>
                    <a:srcRect/>
                    <a:stretch>
                      <a:fillRect/>
                    </a:stretch>
                  </pic:blipFill>
                  <pic:spPr bwMode="auto">
                    <a:xfrm>
                      <a:off x="0" y="0"/>
                      <a:ext cx="5400675" cy="3600450"/>
                    </a:xfrm>
                    <a:prstGeom prst="rect">
                      <a:avLst/>
                    </a:prstGeom>
                    <a:noFill/>
                    <a:ln>
                      <a:noFill/>
                    </a:ln>
                  </pic:spPr>
                </pic:pic>
              </a:graphicData>
            </a:graphic>
          </wp:inline>
        </w:drawing>
      </w:r>
    </w:p>
    <w:p w:rsidR="00E85E76" w:rsidRPr="009B6AC8" w:rsidRDefault="00E85E76" w:rsidP="00E85E76">
      <w:r w:rsidRPr="009B6AC8">
        <w:t xml:space="preserve">The primary reason for the difference between our forecast </w:t>
      </w:r>
      <w:proofErr w:type="spellStart"/>
      <w:r w:rsidRPr="009B6AC8">
        <w:t>opex</w:t>
      </w:r>
      <w:proofErr w:type="spellEnd"/>
      <w:r w:rsidRPr="009B6AC8">
        <w:t xml:space="preserve"> amount and </w:t>
      </w:r>
      <w:r>
        <w:t>Ergon Energy</w:t>
      </w:r>
      <w:r w:rsidRPr="009B6AC8">
        <w:t xml:space="preserve">'s proposal reflects our views about the </w:t>
      </w:r>
      <w:r w:rsidR="0074351E">
        <w:t>in</w:t>
      </w:r>
      <w:r w:rsidRPr="009B6AC8">
        <w:t xml:space="preserve">efficiency of </w:t>
      </w:r>
      <w:r>
        <w:t>Ergon Energy</w:t>
      </w:r>
      <w:r w:rsidRPr="009B6AC8">
        <w:t xml:space="preserve">'s recent historical performance. We do not consider that </w:t>
      </w:r>
      <w:r w:rsidR="0074351E">
        <w:t>its historical performance</w:t>
      </w:r>
      <w:r w:rsidR="0074351E" w:rsidRPr="009B6AC8">
        <w:t xml:space="preserve"> </w:t>
      </w:r>
      <w:r w:rsidRPr="009B6AC8">
        <w:t xml:space="preserve">should be used as a starting point for the forecast of </w:t>
      </w:r>
      <w:proofErr w:type="spellStart"/>
      <w:r w:rsidRPr="009B6AC8">
        <w:t>opex</w:t>
      </w:r>
      <w:proofErr w:type="spellEnd"/>
      <w:r w:rsidRPr="009B6AC8">
        <w:t xml:space="preserve"> over the 20</w:t>
      </w:r>
      <w:r>
        <w:t>15</w:t>
      </w:r>
      <w:r w:rsidRPr="00E85E76">
        <w:t>−</w:t>
      </w:r>
      <w:r>
        <w:t>20 regulatory control</w:t>
      </w:r>
      <w:r w:rsidRPr="009B6AC8">
        <w:t xml:space="preserve"> period. </w:t>
      </w:r>
    </w:p>
    <w:p w:rsidR="00E85E76" w:rsidRPr="009B6AC8" w:rsidRDefault="00E85E76" w:rsidP="00E85E76">
      <w:r>
        <w:t>Ergon Energy</w:t>
      </w:r>
      <w:r w:rsidRPr="009B6AC8">
        <w:t xml:space="preserve">'s proposal is based on </w:t>
      </w:r>
      <w:proofErr w:type="spellStart"/>
      <w:r w:rsidRPr="009B6AC8">
        <w:t>opex</w:t>
      </w:r>
      <w:proofErr w:type="spellEnd"/>
      <w:r w:rsidRPr="009B6AC8">
        <w:t xml:space="preserve"> it incurred in 2012–13 (base year) in delivering standard control services. We assessed whether this is a reasonable starting point for forecasting </w:t>
      </w:r>
      <w:r>
        <w:t>Ergon Energy</w:t>
      </w:r>
      <w:r w:rsidRPr="009B6AC8">
        <w:t xml:space="preserve">'s </w:t>
      </w:r>
      <w:proofErr w:type="spellStart"/>
      <w:r w:rsidRPr="009B6AC8">
        <w:t>opex</w:t>
      </w:r>
      <w:proofErr w:type="spellEnd"/>
      <w:r w:rsidRPr="009B6AC8">
        <w:t xml:space="preserve"> over the 20</w:t>
      </w:r>
      <w:r>
        <w:t>15</w:t>
      </w:r>
      <w:r w:rsidRPr="009B6AC8">
        <w:t>–</w:t>
      </w:r>
      <w:r>
        <w:t>20</w:t>
      </w:r>
      <w:r w:rsidRPr="009B6AC8">
        <w:t xml:space="preserve"> period. We examined </w:t>
      </w:r>
      <w:r>
        <w:t>Ergon Energy</w:t>
      </w:r>
      <w:r w:rsidRPr="009B6AC8">
        <w:t>'s proposal using a number of different techniques including:</w:t>
      </w:r>
    </w:p>
    <w:p w:rsidR="00E85E76" w:rsidRPr="00E85E76" w:rsidRDefault="00E85E76" w:rsidP="00E85E76">
      <w:pPr>
        <w:pStyle w:val="AERbulletlistfirststyle"/>
      </w:pPr>
      <w:r w:rsidRPr="00E85E76">
        <w:t xml:space="preserve">top down benchmarking at both a total </w:t>
      </w:r>
      <w:proofErr w:type="spellStart"/>
      <w:r w:rsidRPr="00E85E76">
        <w:t>opex</w:t>
      </w:r>
      <w:proofErr w:type="spellEnd"/>
      <w:r w:rsidRPr="00E85E76">
        <w:t xml:space="preserve"> and category level</w:t>
      </w:r>
    </w:p>
    <w:p w:rsidR="00E85E76" w:rsidRPr="00E85E76" w:rsidRDefault="00E85E76" w:rsidP="00E85E76">
      <w:pPr>
        <w:pStyle w:val="AERbulletlistfirststyle"/>
      </w:pPr>
      <w:proofErr w:type="gramStart"/>
      <w:r w:rsidRPr="009B6AC8">
        <w:t>detailed</w:t>
      </w:r>
      <w:proofErr w:type="gramEnd"/>
      <w:r w:rsidRPr="009B6AC8">
        <w:t>, qualitative</w:t>
      </w:r>
      <w:r w:rsidRPr="00E85E76">
        <w:t xml:space="preserve"> reviews of the extent to which Ergon Energy and Energex had implemented the 2012 Independent Review Panel (IRP) investigation</w:t>
      </w:r>
      <w:r w:rsidRPr="00E85E76">
        <w:rPr>
          <w:rStyle w:val="FootnoteReference"/>
        </w:rPr>
        <w:footnoteReference w:id="53"/>
      </w:r>
      <w:r w:rsidRPr="00E85E76">
        <w:t xml:space="preserve"> into areas of inefficiencies in the Queensland service providers.</w:t>
      </w:r>
    </w:p>
    <w:p w:rsidR="00E85E76" w:rsidRPr="009B6AC8" w:rsidRDefault="00E85E76" w:rsidP="00E85E76">
      <w:r w:rsidRPr="009B6AC8">
        <w:t xml:space="preserve">The body of evidence we assessed provided consistent evidence that </w:t>
      </w:r>
      <w:r>
        <w:t>Ergon Energy</w:t>
      </w:r>
      <w:r w:rsidRPr="009B6AC8">
        <w:t>'s historical costs including those proposed in the base year are above what a pruden</w:t>
      </w:r>
      <w:r>
        <w:t xml:space="preserve">t and efficient operator would </w:t>
      </w:r>
      <w:r w:rsidRPr="009B6AC8">
        <w:t xml:space="preserve">in incur in delivering safe and reliable network services to </w:t>
      </w:r>
      <w:r>
        <w:t>Ergon Energy</w:t>
      </w:r>
      <w:r w:rsidRPr="009B6AC8">
        <w:t xml:space="preserve">'s customers, given its operating environment. </w:t>
      </w:r>
    </w:p>
    <w:p w:rsidR="00E85E76" w:rsidRPr="00E85E76" w:rsidRDefault="00E85E76" w:rsidP="00E85E76">
      <w:pPr>
        <w:pStyle w:val="HeadingBoldBlue"/>
      </w:pPr>
      <w:bookmarkStart w:id="56" w:name="_Toc418685511"/>
      <w:r w:rsidRPr="00E85E76">
        <w:lastRenderedPageBreak/>
        <w:t>Benchmarking</w:t>
      </w:r>
      <w:bookmarkEnd w:id="56"/>
    </w:p>
    <w:p w:rsidR="00E85E76" w:rsidRPr="009B6AC8" w:rsidRDefault="00E85E76" w:rsidP="00E85E76">
      <w:pPr>
        <w:pStyle w:val="ListParagraph"/>
        <w:numPr>
          <w:ilvl w:val="0"/>
          <w:numId w:val="25"/>
        </w:numPr>
      </w:pPr>
      <w:r>
        <w:t>For this preliminary</w:t>
      </w:r>
      <w:r w:rsidRPr="009B6AC8">
        <w:t xml:space="preserve"> decision, we continue to rely on the economic benchmarking techniques developed by Economic Insights for assessing the relative efficiency of service providers compared to their peers. Economic Insights developed four benchmarking techniques that specifically compare </w:t>
      </w:r>
      <w:proofErr w:type="spellStart"/>
      <w:r w:rsidRPr="009B6AC8">
        <w:t>opex</w:t>
      </w:r>
      <w:proofErr w:type="spellEnd"/>
      <w:r w:rsidRPr="009B6AC8">
        <w:t xml:space="preserve"> performance, using data submitted by the distributors, over the period 2006 to 2013.</w:t>
      </w:r>
    </w:p>
    <w:p w:rsidR="00E85E76" w:rsidRPr="009B6AC8" w:rsidRDefault="006C7D9C" w:rsidP="00E85E76">
      <w:pPr>
        <w:pStyle w:val="ListParagraph"/>
        <w:numPr>
          <w:ilvl w:val="0"/>
          <w:numId w:val="25"/>
        </w:numPr>
      </w:pPr>
      <w:r>
        <w:t xml:space="preserve">Figure 10 </w:t>
      </w:r>
      <w:r w:rsidR="00E85E76" w:rsidRPr="009B6AC8">
        <w:t xml:space="preserve">presents the results of each of Economic Insights' </w:t>
      </w:r>
      <w:proofErr w:type="spellStart"/>
      <w:r w:rsidR="00E85E76" w:rsidRPr="009B6AC8">
        <w:t>opex</w:t>
      </w:r>
      <w:proofErr w:type="spellEnd"/>
      <w:r w:rsidR="00E85E76" w:rsidRPr="009B6AC8">
        <w:t xml:space="preserve"> models for each distributor in the NEM. A score of 1 is the best score. </w:t>
      </w:r>
    </w:p>
    <w:p w:rsidR="00E85E76" w:rsidRPr="00E85E76" w:rsidRDefault="00E85E76" w:rsidP="00E85E76">
      <w:pPr>
        <w:pStyle w:val="Caption"/>
      </w:pPr>
      <w:r w:rsidRPr="00E85E76">
        <w:t>Figure</w:t>
      </w:r>
      <w:r w:rsidR="006C7D9C">
        <w:t xml:space="preserve"> 10</w:t>
      </w:r>
      <w:r w:rsidRPr="00E85E76">
        <w:tab/>
        <w:t xml:space="preserve">Econometric modelling and </w:t>
      </w:r>
      <w:proofErr w:type="spellStart"/>
      <w:r w:rsidRPr="00E85E76">
        <w:t>opex</w:t>
      </w:r>
      <w:proofErr w:type="spellEnd"/>
      <w:r w:rsidRPr="00E85E76">
        <w:t xml:space="preserve"> MPFP results (period average efficiency scores, 2006 to 2013)</w:t>
      </w:r>
    </w:p>
    <w:p w:rsidR="00E85E76" w:rsidRPr="009B6AC8" w:rsidRDefault="00E85E76" w:rsidP="00E85E76">
      <w:pPr>
        <w:pStyle w:val="ListParagraph"/>
        <w:numPr>
          <w:ilvl w:val="0"/>
          <w:numId w:val="25"/>
        </w:numPr>
      </w:pPr>
      <w:r w:rsidRPr="00E85E76">
        <w:rPr>
          <w:noProof/>
          <w:lang w:eastAsia="en-AU"/>
        </w:rPr>
        <w:drawing>
          <wp:inline distT="0" distB="0" distL="0" distR="0" wp14:anchorId="1B76D1BF" wp14:editId="38594FD3">
            <wp:extent cx="5731510" cy="3489141"/>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1510" cy="3489141"/>
                    </a:xfrm>
                    <a:prstGeom prst="rect">
                      <a:avLst/>
                    </a:prstGeom>
                    <a:noFill/>
                    <a:ln>
                      <a:noFill/>
                    </a:ln>
                  </pic:spPr>
                </pic:pic>
              </a:graphicData>
            </a:graphic>
          </wp:inline>
        </w:drawing>
      </w:r>
    </w:p>
    <w:p w:rsidR="00E85E76" w:rsidRPr="00E85E76" w:rsidRDefault="00E85E76" w:rsidP="00E85E76">
      <w:pPr>
        <w:pStyle w:val="AERtablesource"/>
      </w:pPr>
      <w:r w:rsidRPr="00E85E76">
        <w:t>Source:</w:t>
      </w:r>
      <w:r w:rsidRPr="00E85E76">
        <w:tab/>
        <w:t>Economic Insights, 2014.</w:t>
      </w:r>
    </w:p>
    <w:p w:rsidR="00E85E76" w:rsidRPr="009B6AC8" w:rsidRDefault="00E85E76" w:rsidP="00E85E76">
      <w:pPr>
        <w:pStyle w:val="ListParagraph"/>
        <w:numPr>
          <w:ilvl w:val="0"/>
          <w:numId w:val="25"/>
        </w:numPr>
      </w:pPr>
      <w:r w:rsidRPr="009B6AC8">
        <w:t xml:space="preserve">We are satisfied that Economic Insights' models are the best available for assessing </w:t>
      </w:r>
      <w:proofErr w:type="spellStart"/>
      <w:r w:rsidRPr="009B6AC8">
        <w:t>opex</w:t>
      </w:r>
      <w:proofErr w:type="spellEnd"/>
      <w:r w:rsidRPr="009B6AC8">
        <w:t xml:space="preserve"> efficiency. They are sophisticated techniques and similar to those used by regulators in other jurisdictions for benchmarking relative performance.</w:t>
      </w:r>
      <w:r w:rsidRPr="00E85E76">
        <w:rPr>
          <w:rStyle w:val="AERsuperscript"/>
        </w:rPr>
        <w:footnoteReference w:id="54"/>
      </w:r>
      <w:r w:rsidRPr="009B6AC8">
        <w:t xml:space="preserve"> Economic Insights has reviewed in detail the critiques of its models and the alternative models presented by consultants engaged by </w:t>
      </w:r>
      <w:r>
        <w:t>Ergon Energy</w:t>
      </w:r>
      <w:r w:rsidRPr="009B6AC8">
        <w:t xml:space="preserve"> (and other service providers) and found its approach remains appropriate. Conversely, the alternative models presented </w:t>
      </w:r>
      <w:r w:rsidRPr="009B6AC8">
        <w:lastRenderedPageBreak/>
        <w:t>by other consultants contain assumptions or limitations that mean they are not appropriate.</w:t>
      </w:r>
      <w:r w:rsidRPr="00E85E76">
        <w:rPr>
          <w:rStyle w:val="AERsuperscript"/>
        </w:rPr>
        <w:footnoteReference w:id="55"/>
      </w:r>
    </w:p>
    <w:p w:rsidR="00E85E76" w:rsidRPr="009B6AC8" w:rsidRDefault="00E85E76" w:rsidP="00E85E76">
      <w:pPr>
        <w:pStyle w:val="ListParagraph"/>
        <w:numPr>
          <w:ilvl w:val="0"/>
          <w:numId w:val="25"/>
        </w:numPr>
      </w:pPr>
      <w:r w:rsidRPr="009B6AC8">
        <w:t xml:space="preserve">In addition to economic benchmarking, our analysis using partial performance indicators also show </w:t>
      </w:r>
      <w:r>
        <w:t>Ergon Energy</w:t>
      </w:r>
      <w:r w:rsidRPr="009B6AC8">
        <w:t xml:space="preserve"> to have higher costs than its peers.</w:t>
      </w:r>
    </w:p>
    <w:p w:rsidR="00E85E76" w:rsidRPr="00E85E76" w:rsidRDefault="00E85E76" w:rsidP="00E85E76">
      <w:pPr>
        <w:pStyle w:val="HeadingBoldBlue"/>
      </w:pPr>
      <w:bookmarkStart w:id="57" w:name="_Toc418685512"/>
      <w:r w:rsidRPr="00E85E76">
        <w:t>Qualitative review</w:t>
      </w:r>
      <w:bookmarkEnd w:id="57"/>
    </w:p>
    <w:p w:rsidR="00E85E76" w:rsidRDefault="00E85E76" w:rsidP="00E85E76">
      <w:r w:rsidRPr="007A174C">
        <w:t xml:space="preserve">Deloitte found that while </w:t>
      </w:r>
      <w:r>
        <w:t xml:space="preserve">Energex and Ergon Energy have both achieved </w:t>
      </w:r>
      <w:r w:rsidRPr="007A174C">
        <w:t xml:space="preserve">significant efficiency gains since the IRP’s </w:t>
      </w:r>
      <w:r>
        <w:t xml:space="preserve">review </w:t>
      </w:r>
      <w:r w:rsidRPr="007A174C">
        <w:t>(particularly reflected in FTE reductions)</w:t>
      </w:r>
      <w:r>
        <w:t>,</w:t>
      </w:r>
      <w:r w:rsidRPr="007A174C">
        <w:t xml:space="preserve"> much of these benefits were realise</w:t>
      </w:r>
      <w:r>
        <w:t>d after the 2012–</w:t>
      </w:r>
      <w:r w:rsidRPr="007A174C">
        <w:t xml:space="preserve">13 base year. </w:t>
      </w:r>
      <w:r>
        <w:t xml:space="preserve">Deloitte also observed that the service providers have identified they can further reduce their costs. Further, the service providers have not yet addressed </w:t>
      </w:r>
      <w:r w:rsidRPr="00BC134F">
        <w:t xml:space="preserve">a number of </w:t>
      </w:r>
      <w:r>
        <w:t xml:space="preserve">IRP </w:t>
      </w:r>
      <w:r w:rsidRPr="00BC134F">
        <w:t>recommendations</w:t>
      </w:r>
      <w:r>
        <w:t xml:space="preserve">. Deloitte conclude that Ergon Energy's and Energex’s </w:t>
      </w:r>
      <w:proofErr w:type="spellStart"/>
      <w:r>
        <w:t>opex</w:t>
      </w:r>
      <w:proofErr w:type="spellEnd"/>
      <w:r>
        <w:t xml:space="preserve"> prior to and in 2012–13 was higher than necessary to achieve efficient operations.</w:t>
      </w:r>
      <w:r>
        <w:rPr>
          <w:rStyle w:val="FootnoteReference"/>
        </w:rPr>
        <w:footnoteReference w:id="56"/>
      </w:r>
    </w:p>
    <w:p w:rsidR="00E85E76" w:rsidRDefault="00E85E76" w:rsidP="00E85E76">
      <w:r>
        <w:t>Deloitte's key findings include:</w:t>
      </w:r>
      <w:r>
        <w:rPr>
          <w:rStyle w:val="FootnoteReference"/>
        </w:rPr>
        <w:footnoteReference w:id="57"/>
      </w:r>
    </w:p>
    <w:p w:rsidR="00E85E76" w:rsidRDefault="00E85E76" w:rsidP="00E85E76">
      <w:pPr>
        <w:pStyle w:val="AERbulletlistfirststyle"/>
      </w:pPr>
      <w:r>
        <w:t>Ergon Energy has high total labour costs compared to more efficient peers, which is a result of having too many employees rather than the cost per employee</w:t>
      </w:r>
    </w:p>
    <w:p w:rsidR="00E85E76" w:rsidRDefault="00E85E76" w:rsidP="00E85E76">
      <w:pPr>
        <w:pStyle w:val="AERbulletlistfirststyle"/>
      </w:pPr>
      <w:r>
        <w:t>Ergon Energy's EBA prohibits certain activities (such as switching) from being conducted by a single person; in other states these activities can be performed by a single person</w:t>
      </w:r>
    </w:p>
    <w:p w:rsidR="00E85E76" w:rsidRDefault="00E85E76" w:rsidP="00E85E76">
      <w:pPr>
        <w:pStyle w:val="AERbulletlistfirststyle"/>
      </w:pPr>
      <w:proofErr w:type="gramStart"/>
      <w:r>
        <w:t>certain</w:t>
      </w:r>
      <w:proofErr w:type="gramEnd"/>
      <w:r>
        <w:t xml:space="preserve"> EBA provisions, while not necessarily unique to Ergon Energy, limits its ability to quickly adjust their workforces flexibly and utilise them productively. This is amplified by the large proportion of employees engaged under EBAs. Examples include:</w:t>
      </w:r>
    </w:p>
    <w:p w:rsidR="00E85E76" w:rsidRDefault="00E85E76" w:rsidP="00E85E76">
      <w:pPr>
        <w:pStyle w:val="AERbulletlistsecondstyle"/>
      </w:pPr>
      <w:r>
        <w:t>no forced redundancies</w:t>
      </w:r>
    </w:p>
    <w:p w:rsidR="00E85E76" w:rsidRDefault="00E85E76" w:rsidP="00E85E76">
      <w:pPr>
        <w:pStyle w:val="AERbulletlistsecondstyle"/>
      </w:pPr>
      <w:r>
        <w:t>contractors are unable to perform certain tasks, such as switching (unique to QLD)</w:t>
      </w:r>
    </w:p>
    <w:p w:rsidR="00E85E76" w:rsidRDefault="00E85E76" w:rsidP="00E85E76">
      <w:pPr>
        <w:pStyle w:val="AERbulletlistsecondstyle"/>
      </w:pPr>
      <w:r>
        <w:t>minimum apprentice numbers</w:t>
      </w:r>
    </w:p>
    <w:p w:rsidR="00E85E76" w:rsidRDefault="00E85E76" w:rsidP="00E85E76">
      <w:pPr>
        <w:pStyle w:val="AERbulletlistsecondstyle"/>
      </w:pPr>
      <w:r>
        <w:t>restrictions on outsourcing</w:t>
      </w:r>
    </w:p>
    <w:p w:rsidR="00E85E76" w:rsidRDefault="00E85E76" w:rsidP="00E85E76">
      <w:pPr>
        <w:pStyle w:val="AERbulletlistfirststyle"/>
      </w:pPr>
      <w:r>
        <w:t xml:space="preserve">Ergon Energy has not implemented the IRP's recommendation that they market test the </w:t>
      </w:r>
      <w:r w:rsidR="00027FAB">
        <w:t>information, communication and technology (</w:t>
      </w:r>
      <w:r>
        <w:t>ICT</w:t>
      </w:r>
      <w:r w:rsidR="00027FAB">
        <w:t>)</w:t>
      </w:r>
      <w:r>
        <w:t xml:space="preserve"> se</w:t>
      </w:r>
      <w:bookmarkStart w:id="58" w:name="_GoBack"/>
      <w:bookmarkEnd w:id="58"/>
      <w:r>
        <w:t xml:space="preserve">rvices that SPARQ (a joint venture owned by Ergon and Energex) provides, resulting in inefficiency in base </w:t>
      </w:r>
      <w:proofErr w:type="spellStart"/>
      <w:r>
        <w:t>opex</w:t>
      </w:r>
      <w:proofErr w:type="spellEnd"/>
      <w:r w:rsidRPr="000003C2">
        <w:t xml:space="preserve"> </w:t>
      </w:r>
      <w:r>
        <w:t>for both service providers</w:t>
      </w:r>
    </w:p>
    <w:p w:rsidR="00E85E76" w:rsidRDefault="00E85E76" w:rsidP="00E85E76">
      <w:pPr>
        <w:pStyle w:val="AERbulletlistfirststyle"/>
      </w:pPr>
      <w:r>
        <w:t xml:space="preserve">Ergon Energy has not yet implemented a </w:t>
      </w:r>
      <w:r w:rsidR="007C4A9F">
        <w:t xml:space="preserve">local service agenda </w:t>
      </w:r>
      <w:r>
        <w:t xml:space="preserve">LSA model for its regional depots, despite the IRP's recommendation (based on </w:t>
      </w:r>
      <w:proofErr w:type="spellStart"/>
      <w:r>
        <w:t>Powercor's</w:t>
      </w:r>
      <w:proofErr w:type="spellEnd"/>
      <w:r>
        <w:t xml:space="preserve"> success </w:t>
      </w:r>
      <w:r>
        <w:lastRenderedPageBreak/>
        <w:t>with this model) to do so. Deloitte considers Ergon Energy could realise efficiencies if it implemented an LSA model.</w:t>
      </w:r>
    </w:p>
    <w:p w:rsidR="00E85E76" w:rsidRPr="00E85E76" w:rsidRDefault="00E85E76" w:rsidP="00E85E76">
      <w:pPr>
        <w:pStyle w:val="HeadingBoldBlue"/>
      </w:pPr>
      <w:bookmarkStart w:id="59" w:name="_Toc418685513"/>
      <w:r w:rsidRPr="00E85E76">
        <w:t xml:space="preserve">Our estimate of base </w:t>
      </w:r>
      <w:proofErr w:type="spellStart"/>
      <w:r w:rsidRPr="00E85E76">
        <w:t>opex</w:t>
      </w:r>
      <w:bookmarkEnd w:id="59"/>
      <w:proofErr w:type="spellEnd"/>
    </w:p>
    <w:p w:rsidR="00E85E76" w:rsidRPr="009B6AC8" w:rsidRDefault="00E85E76" w:rsidP="00E85E76">
      <w:r w:rsidRPr="009B6AC8">
        <w:t xml:space="preserve">On the basis of the above factors, we consider that a forecast </w:t>
      </w:r>
      <w:proofErr w:type="spellStart"/>
      <w:r w:rsidRPr="009B6AC8">
        <w:t>opex</w:t>
      </w:r>
      <w:proofErr w:type="spellEnd"/>
      <w:r w:rsidRPr="009B6AC8">
        <w:t xml:space="preserve"> amount based primarily on </w:t>
      </w:r>
      <w:r>
        <w:t>Ergon Energy</w:t>
      </w:r>
      <w:r w:rsidRPr="009B6AC8">
        <w:t xml:space="preserve">'s recent historical </w:t>
      </w:r>
      <w:proofErr w:type="spellStart"/>
      <w:r w:rsidRPr="009B6AC8">
        <w:t>opex</w:t>
      </w:r>
      <w:proofErr w:type="spellEnd"/>
      <w:r w:rsidRPr="009B6AC8">
        <w:t xml:space="preserve"> would not reasonably reflect the </w:t>
      </w:r>
      <w:proofErr w:type="spellStart"/>
      <w:r w:rsidRPr="009B6AC8">
        <w:t>opex</w:t>
      </w:r>
      <w:proofErr w:type="spellEnd"/>
      <w:r w:rsidRPr="009B6AC8">
        <w:t xml:space="preserve"> criteria. We have substituted </w:t>
      </w:r>
      <w:r>
        <w:t>Ergon Energy</w:t>
      </w:r>
      <w:r w:rsidRPr="009B6AC8">
        <w:t xml:space="preserve">'s </w:t>
      </w:r>
      <w:proofErr w:type="spellStart"/>
      <w:r w:rsidRPr="009B6AC8">
        <w:t>opex</w:t>
      </w:r>
      <w:proofErr w:type="spellEnd"/>
      <w:r w:rsidRPr="009B6AC8">
        <w:t xml:space="preserve"> forecast with an alternative estimate that we are satisfied does reasonably reflect the </w:t>
      </w:r>
      <w:proofErr w:type="spellStart"/>
      <w:r w:rsidRPr="009B6AC8">
        <w:t>opex</w:t>
      </w:r>
      <w:proofErr w:type="spellEnd"/>
      <w:r w:rsidRPr="009B6AC8">
        <w:t xml:space="preserve"> criteria. </w:t>
      </w:r>
    </w:p>
    <w:p w:rsidR="00E85E76" w:rsidRPr="009B6AC8" w:rsidRDefault="00E85E76" w:rsidP="00E85E76">
      <w:r w:rsidRPr="009B6AC8">
        <w:t xml:space="preserve">Our estimate of base </w:t>
      </w:r>
      <w:proofErr w:type="spellStart"/>
      <w:r w:rsidRPr="009B6AC8">
        <w:t>opex</w:t>
      </w:r>
      <w:proofErr w:type="spellEnd"/>
      <w:r w:rsidRPr="009B6AC8">
        <w:t xml:space="preserve"> is based on a benchmarking model that estimates the efficient cost of delivering network services based on a selection of cost drivers </w:t>
      </w:r>
      <w:r>
        <w:t>Ergon</w:t>
      </w:r>
      <w:r w:rsidRPr="009B6AC8">
        <w:t xml:space="preserve"> </w:t>
      </w:r>
      <w:r>
        <w:t xml:space="preserve">Energy </w:t>
      </w:r>
      <w:r w:rsidRPr="009B6AC8">
        <w:t xml:space="preserve">faces. In applying the results of this model we had further regard to over 60 potential operating environment factors that may affect </w:t>
      </w:r>
      <w:r>
        <w:t>Ergon Energy</w:t>
      </w:r>
      <w:r w:rsidRPr="009B6AC8">
        <w:t xml:space="preserve">'s </w:t>
      </w:r>
      <w:proofErr w:type="spellStart"/>
      <w:r w:rsidRPr="009B6AC8">
        <w:t>opex</w:t>
      </w:r>
      <w:proofErr w:type="spellEnd"/>
      <w:r w:rsidRPr="009B6AC8">
        <w:t xml:space="preserve"> not explicitly captured in the model.</w:t>
      </w:r>
    </w:p>
    <w:p w:rsidR="00E85E76" w:rsidRPr="00E85E76" w:rsidRDefault="00E85E76" w:rsidP="00E85E76">
      <w:pPr>
        <w:rPr>
          <w:rStyle w:val="AERsuperscript"/>
        </w:rPr>
      </w:pPr>
      <w:r w:rsidRPr="009B6AC8">
        <w:t>Economic Insights has also reconsidered the benchmark comparison point and decided a more cautious target is appropriate, particularly given this is the first time economic benchmarking is being used as the primary basis for an Australian regulatory decision. The benchmark comparison point is now the lowest of the efficiency scores in the top quartile of possible scores (</w:t>
      </w:r>
      <w:proofErr w:type="spellStart"/>
      <w:r w:rsidRPr="009B6AC8">
        <w:t>AusNet</w:t>
      </w:r>
      <w:proofErr w:type="spellEnd"/>
      <w:r w:rsidRPr="009B6AC8">
        <w:t xml:space="preserve"> Services).</w:t>
      </w:r>
      <w:r w:rsidRPr="00E85E76">
        <w:rPr>
          <w:rStyle w:val="AERsuperscript"/>
        </w:rPr>
        <w:footnoteReference w:id="58"/>
      </w:r>
    </w:p>
    <w:p w:rsidR="00E85E76" w:rsidRDefault="00E85E76" w:rsidP="00E85E76">
      <w:r>
        <w:t xml:space="preserve">The adjustment we have made to Ergon Energy's base </w:t>
      </w:r>
      <w:proofErr w:type="spellStart"/>
      <w:r>
        <w:t>opex</w:t>
      </w:r>
      <w:proofErr w:type="spellEnd"/>
      <w:r>
        <w:t xml:space="preserve"> includes a:</w:t>
      </w:r>
    </w:p>
    <w:p w:rsidR="00E85E76" w:rsidRDefault="00E85E76" w:rsidP="00E85E76">
      <w:pPr>
        <w:pStyle w:val="AERbulletlistfirststyle"/>
      </w:pPr>
      <w:r>
        <w:t xml:space="preserve">24.4 per cent allowance for exogenous operating environment factors </w:t>
      </w:r>
    </w:p>
    <w:p w:rsidR="00E85E76" w:rsidRDefault="00E85E76" w:rsidP="00E85E76">
      <w:pPr>
        <w:pStyle w:val="AERbulletlistfirststyle"/>
      </w:pPr>
      <w:proofErr w:type="gramStart"/>
      <w:r>
        <w:t>cautious</w:t>
      </w:r>
      <w:proofErr w:type="gramEnd"/>
      <w:r>
        <w:t xml:space="preserve"> benchmark comparison point of 0.77.  </w:t>
      </w:r>
    </w:p>
    <w:p w:rsidR="00E85E76" w:rsidRDefault="005A2CA6" w:rsidP="00E85E76">
      <w:r>
        <w:t xml:space="preserve">Table 9 </w:t>
      </w:r>
      <w:r w:rsidR="00E85E76">
        <w:t xml:space="preserve">shows our final determination estimate of efficient base year </w:t>
      </w:r>
      <w:proofErr w:type="spellStart"/>
      <w:r w:rsidR="00E85E76">
        <w:t>opex</w:t>
      </w:r>
      <w:proofErr w:type="spellEnd"/>
      <w:r w:rsidR="00E85E76">
        <w:t xml:space="preserve"> for Ergon Energy.</w:t>
      </w:r>
    </w:p>
    <w:p w:rsidR="00E85E76" w:rsidRPr="00CE6A9C" w:rsidRDefault="00E85E76" w:rsidP="00E85E76">
      <w:pPr>
        <w:pStyle w:val="Caption"/>
      </w:pPr>
      <w:r>
        <w:t xml:space="preserve">Table </w:t>
      </w:r>
      <w:r w:rsidR="006C7D9C">
        <w:t>9</w:t>
      </w:r>
      <w:r w:rsidRPr="00CE6A9C">
        <w:tab/>
        <w:t xml:space="preserve">Final determination estimate of efficient base year </w:t>
      </w:r>
      <w:proofErr w:type="spellStart"/>
      <w:r w:rsidRPr="00CE6A9C">
        <w:t>opex</w:t>
      </w:r>
      <w:proofErr w:type="spellEnd"/>
      <w:r w:rsidRPr="00CE6A9C">
        <w:t xml:space="preserve"> ($million 2013–14)</w:t>
      </w:r>
    </w:p>
    <w:tbl>
      <w:tblPr>
        <w:tblStyle w:val="AERtable-numbers"/>
        <w:tblW w:w="5000" w:type="pct"/>
        <w:tblLook w:val="04A0" w:firstRow="1" w:lastRow="0" w:firstColumn="1" w:lastColumn="0" w:noHBand="0" w:noVBand="1"/>
      </w:tblPr>
      <w:tblGrid>
        <w:gridCol w:w="5769"/>
        <w:gridCol w:w="2924"/>
      </w:tblGrid>
      <w:tr w:rsidR="00E85E76" w:rsidTr="006C7D9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8" w:type="pct"/>
            <w:vAlign w:val="top"/>
          </w:tcPr>
          <w:p w:rsidR="00E85E76" w:rsidRPr="004A440A" w:rsidRDefault="00E85E76" w:rsidP="00E85E76">
            <w:pPr>
              <w:pStyle w:val="AERtabletextleft"/>
              <w:rPr>
                <w:rStyle w:val="AERtextsize8"/>
              </w:rPr>
            </w:pPr>
          </w:p>
        </w:tc>
        <w:tc>
          <w:tcPr>
            <w:tcW w:w="1682" w:type="pct"/>
            <w:vAlign w:val="top"/>
          </w:tcPr>
          <w:p w:rsidR="00E85E76" w:rsidRPr="004A440A" w:rsidRDefault="00E85E76" w:rsidP="00E85E76">
            <w:pPr>
              <w:pStyle w:val="AERtabletextleft"/>
              <w:cnfStyle w:val="100000000000" w:firstRow="1" w:lastRow="0" w:firstColumn="0" w:lastColumn="0" w:oddVBand="0" w:evenVBand="0" w:oddHBand="0" w:evenHBand="0" w:firstRowFirstColumn="0" w:firstRowLastColumn="0" w:lastRowFirstColumn="0" w:lastRowLastColumn="0"/>
              <w:rPr>
                <w:rStyle w:val="AERtextsize8"/>
              </w:rPr>
            </w:pPr>
            <w:r w:rsidRPr="004A440A">
              <w:rPr>
                <w:rStyle w:val="AERtextsize8"/>
              </w:rPr>
              <w:tab/>
              <w:t>Ergon Energy</w:t>
            </w:r>
          </w:p>
        </w:tc>
      </w:tr>
      <w:tr w:rsidR="00E85E76" w:rsidTr="006C7D9C">
        <w:tc>
          <w:tcPr>
            <w:cnfStyle w:val="001000000000" w:firstRow="0" w:lastRow="0" w:firstColumn="1" w:lastColumn="0" w:oddVBand="0" w:evenVBand="0" w:oddHBand="0" w:evenHBand="0" w:firstRowFirstColumn="0" w:firstRowLastColumn="0" w:lastRowFirstColumn="0" w:lastRowLastColumn="0"/>
            <w:tcW w:w="3318" w:type="pct"/>
            <w:vAlign w:val="top"/>
          </w:tcPr>
          <w:p w:rsidR="00E85E76" w:rsidRPr="004A440A" w:rsidRDefault="00E85E76" w:rsidP="00E85E76">
            <w:pPr>
              <w:pStyle w:val="AERtabletextleft"/>
              <w:rPr>
                <w:rStyle w:val="AERtextsize8"/>
              </w:rPr>
            </w:pPr>
            <w:r w:rsidRPr="004A440A">
              <w:rPr>
                <w:rStyle w:val="AERtextsize8"/>
              </w:rPr>
              <w:t xml:space="preserve">Revealed base </w:t>
            </w:r>
            <w:proofErr w:type="spellStart"/>
            <w:r w:rsidRPr="004A440A">
              <w:rPr>
                <w:rStyle w:val="AERtextsize8"/>
              </w:rPr>
              <w:t>opex</w:t>
            </w:r>
            <w:proofErr w:type="spellEnd"/>
            <w:r w:rsidRPr="004A440A">
              <w:rPr>
                <w:rStyle w:val="AERtextsize8"/>
              </w:rPr>
              <w:t xml:space="preserve"> (adjusted)a</w:t>
            </w:r>
          </w:p>
        </w:tc>
        <w:tc>
          <w:tcPr>
            <w:tcW w:w="1682" w:type="pct"/>
            <w:vAlign w:val="top"/>
          </w:tcPr>
          <w:p w:rsidR="00E85E76" w:rsidRPr="004A440A" w:rsidRDefault="00E85E76" w:rsidP="00E85E76">
            <w:pPr>
              <w:pStyle w:val="AERtabletextleft"/>
              <w:cnfStyle w:val="000000000000" w:firstRow="0" w:lastRow="0" w:firstColumn="0" w:lastColumn="0" w:oddVBand="0" w:evenVBand="0" w:oddHBand="0" w:evenHBand="0" w:firstRowFirstColumn="0" w:firstRowLastColumn="0" w:lastRowFirstColumn="0" w:lastRowLastColumn="0"/>
              <w:rPr>
                <w:rStyle w:val="AERtextsize8"/>
              </w:rPr>
            </w:pPr>
            <w:r w:rsidRPr="004A440A">
              <w:rPr>
                <w:rStyle w:val="AERtextsize8"/>
              </w:rPr>
              <w:t>341.1</w:t>
            </w:r>
          </w:p>
        </w:tc>
      </w:tr>
      <w:tr w:rsidR="00E85E76" w:rsidTr="006C7D9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8" w:type="pct"/>
            <w:vAlign w:val="top"/>
          </w:tcPr>
          <w:p w:rsidR="00E85E76" w:rsidRPr="004A440A" w:rsidRDefault="00E85E76" w:rsidP="00E85E76">
            <w:pPr>
              <w:pStyle w:val="AERtabletextleft"/>
              <w:rPr>
                <w:rStyle w:val="AERtextsize8"/>
              </w:rPr>
            </w:pPr>
            <w:r w:rsidRPr="004A440A">
              <w:rPr>
                <w:rStyle w:val="AERtextsize8"/>
              </w:rPr>
              <w:t xml:space="preserve">AER base </w:t>
            </w:r>
            <w:proofErr w:type="spellStart"/>
            <w:r w:rsidRPr="004A440A">
              <w:rPr>
                <w:rStyle w:val="AERtextsize8"/>
              </w:rPr>
              <w:t>opex</w:t>
            </w:r>
            <w:proofErr w:type="spellEnd"/>
          </w:p>
        </w:tc>
        <w:tc>
          <w:tcPr>
            <w:tcW w:w="1682" w:type="pct"/>
            <w:vAlign w:val="top"/>
          </w:tcPr>
          <w:p w:rsidR="00E85E76" w:rsidRPr="004A440A" w:rsidRDefault="00E85E76" w:rsidP="00E85E76">
            <w:pPr>
              <w:pStyle w:val="AERtabletextleft"/>
              <w:cnfStyle w:val="000000010000" w:firstRow="0" w:lastRow="0" w:firstColumn="0" w:lastColumn="0" w:oddVBand="0" w:evenVBand="0" w:oddHBand="0" w:evenHBand="1" w:firstRowFirstColumn="0" w:firstRowLastColumn="0" w:lastRowFirstColumn="0" w:lastRowLastColumn="0"/>
              <w:rPr>
                <w:rStyle w:val="AERtextsize8"/>
              </w:rPr>
            </w:pPr>
            <w:r w:rsidRPr="004A440A">
              <w:rPr>
                <w:rStyle w:val="AERtextsize8"/>
              </w:rPr>
              <w:t>304.6</w:t>
            </w:r>
          </w:p>
        </w:tc>
      </w:tr>
      <w:tr w:rsidR="00E85E76" w:rsidTr="006C7D9C">
        <w:tc>
          <w:tcPr>
            <w:cnfStyle w:val="001000000000" w:firstRow="0" w:lastRow="0" w:firstColumn="1" w:lastColumn="0" w:oddVBand="0" w:evenVBand="0" w:oddHBand="0" w:evenHBand="0" w:firstRowFirstColumn="0" w:firstRowLastColumn="0" w:lastRowFirstColumn="0" w:lastRowLastColumn="0"/>
            <w:tcW w:w="3318" w:type="pct"/>
            <w:vAlign w:val="top"/>
          </w:tcPr>
          <w:p w:rsidR="00E85E76" w:rsidRPr="004A440A" w:rsidRDefault="00E85E76" w:rsidP="00E85E76">
            <w:pPr>
              <w:pStyle w:val="AERtabletextleft"/>
              <w:rPr>
                <w:rStyle w:val="AERtextsize8"/>
              </w:rPr>
            </w:pPr>
            <w:r w:rsidRPr="004A440A">
              <w:rPr>
                <w:rStyle w:val="AERtextsize8"/>
              </w:rPr>
              <w:t>Difference</w:t>
            </w:r>
          </w:p>
        </w:tc>
        <w:tc>
          <w:tcPr>
            <w:tcW w:w="1682" w:type="pct"/>
            <w:vAlign w:val="top"/>
          </w:tcPr>
          <w:p w:rsidR="00E85E76" w:rsidRPr="004A440A" w:rsidRDefault="00E85E76" w:rsidP="00E85E76">
            <w:pPr>
              <w:pStyle w:val="AERtabletextleft"/>
              <w:cnfStyle w:val="000000000000" w:firstRow="0" w:lastRow="0" w:firstColumn="0" w:lastColumn="0" w:oddVBand="0" w:evenVBand="0" w:oddHBand="0" w:evenHBand="0" w:firstRowFirstColumn="0" w:firstRowLastColumn="0" w:lastRowFirstColumn="0" w:lastRowLastColumn="0"/>
              <w:rPr>
                <w:rStyle w:val="AERtextsize8"/>
              </w:rPr>
            </w:pPr>
            <w:r w:rsidRPr="004A440A">
              <w:rPr>
                <w:rStyle w:val="AERtextsize8"/>
              </w:rPr>
              <w:t>36.5</w:t>
            </w:r>
          </w:p>
        </w:tc>
      </w:tr>
      <w:tr w:rsidR="00E85E76" w:rsidTr="006C7D9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8" w:type="pct"/>
            <w:vAlign w:val="top"/>
          </w:tcPr>
          <w:p w:rsidR="00E85E76" w:rsidRPr="004A440A" w:rsidRDefault="00E85E76" w:rsidP="00E85E76">
            <w:pPr>
              <w:pStyle w:val="AERtabletextleft"/>
              <w:rPr>
                <w:rStyle w:val="AERtextsize8"/>
              </w:rPr>
            </w:pPr>
            <w:r w:rsidRPr="004A440A">
              <w:rPr>
                <w:rStyle w:val="AERtextsize8"/>
              </w:rPr>
              <w:t xml:space="preserve">Percentage </w:t>
            </w:r>
            <w:proofErr w:type="spellStart"/>
            <w:r w:rsidRPr="004A440A">
              <w:rPr>
                <w:rStyle w:val="AERtextsize8"/>
              </w:rPr>
              <w:t>opex</w:t>
            </w:r>
            <w:proofErr w:type="spellEnd"/>
            <w:r w:rsidRPr="004A440A">
              <w:rPr>
                <w:rStyle w:val="AERtextsize8"/>
              </w:rPr>
              <w:t xml:space="preserve"> reduction</w:t>
            </w:r>
          </w:p>
        </w:tc>
        <w:tc>
          <w:tcPr>
            <w:tcW w:w="1682" w:type="pct"/>
            <w:vAlign w:val="top"/>
          </w:tcPr>
          <w:p w:rsidR="00E85E76" w:rsidRPr="004A440A" w:rsidRDefault="00E85E76" w:rsidP="00E85E76">
            <w:pPr>
              <w:pStyle w:val="AERtabletextleft"/>
              <w:cnfStyle w:val="000000010000" w:firstRow="0" w:lastRow="0" w:firstColumn="0" w:lastColumn="0" w:oddVBand="0" w:evenVBand="0" w:oddHBand="0" w:evenHBand="1" w:firstRowFirstColumn="0" w:firstRowLastColumn="0" w:lastRowFirstColumn="0" w:lastRowLastColumn="0"/>
              <w:rPr>
                <w:rStyle w:val="AERtextsize8"/>
              </w:rPr>
            </w:pPr>
            <w:r w:rsidRPr="004A440A">
              <w:rPr>
                <w:rStyle w:val="AERtextsize8"/>
              </w:rPr>
              <w:t>10.7%</w:t>
            </w:r>
          </w:p>
        </w:tc>
      </w:tr>
    </w:tbl>
    <w:p w:rsidR="00E85E76" w:rsidRPr="00CB72D5" w:rsidRDefault="00E85E76" w:rsidP="00E85E76">
      <w:pPr>
        <w:pStyle w:val="AERtablesource"/>
      </w:pPr>
      <w:r w:rsidRPr="00CE6A9C">
        <w:t>Note:</w:t>
      </w:r>
      <w:r w:rsidRPr="00CE6A9C">
        <w:tab/>
        <w:t xml:space="preserve">(a) we have adjusted </w:t>
      </w:r>
      <w:r>
        <w:t>Ergon Energy</w:t>
      </w:r>
      <w:r w:rsidRPr="00CE6A9C">
        <w:t>’</w:t>
      </w:r>
      <w:r>
        <w:t>s</w:t>
      </w:r>
      <w:r w:rsidRPr="00CE6A9C">
        <w:t xml:space="preserve"> proposed </w:t>
      </w:r>
      <w:proofErr w:type="spellStart"/>
      <w:r w:rsidRPr="00CE6A9C">
        <w:t>opex</w:t>
      </w:r>
      <w:proofErr w:type="spellEnd"/>
      <w:r w:rsidRPr="00CE6A9C">
        <w:t xml:space="preserve"> for debt raising costs, new CAM (if applicable) and new service classifications.</w:t>
      </w:r>
    </w:p>
    <w:p w:rsidR="00E85E76" w:rsidRPr="002777F6" w:rsidRDefault="00E85E76" w:rsidP="00E85E76">
      <w:pPr>
        <w:pStyle w:val="HeadingBoldBlue"/>
      </w:pPr>
      <w:bookmarkStart w:id="60" w:name="_Toc418685514"/>
      <w:r w:rsidRPr="00E85E76">
        <w:lastRenderedPageBreak/>
        <w:t>Step changes</w:t>
      </w:r>
      <w:bookmarkEnd w:id="60"/>
      <w:r w:rsidRPr="00E85E76">
        <w:t xml:space="preserve"> </w:t>
      </w:r>
    </w:p>
    <w:p w:rsidR="00E85E76" w:rsidRDefault="00E85E76" w:rsidP="00E85E76">
      <w:r w:rsidRPr="009B6AC8">
        <w:t xml:space="preserve">Step changes allow for adjustments to our estimate of </w:t>
      </w:r>
      <w:proofErr w:type="spellStart"/>
      <w:r w:rsidRPr="009B6AC8">
        <w:t>opex</w:t>
      </w:r>
      <w:proofErr w:type="spellEnd"/>
      <w:r w:rsidRPr="009B6AC8">
        <w:t xml:space="preserve"> that reflects the </w:t>
      </w:r>
      <w:proofErr w:type="spellStart"/>
      <w:r w:rsidRPr="009B6AC8">
        <w:t>opex</w:t>
      </w:r>
      <w:proofErr w:type="spellEnd"/>
      <w:r w:rsidRPr="009B6AC8">
        <w:t xml:space="preserve"> criteria to account for changed circumstances in the forecast period that we have not otherwise addressed in our alternative </w:t>
      </w:r>
      <w:proofErr w:type="spellStart"/>
      <w:r w:rsidRPr="009B6AC8">
        <w:t>opex</w:t>
      </w:r>
      <w:proofErr w:type="spellEnd"/>
      <w:r w:rsidRPr="009B6AC8">
        <w:t xml:space="preserve"> forecast. </w:t>
      </w:r>
    </w:p>
    <w:p w:rsidR="00E85E76" w:rsidRPr="009B6AC8" w:rsidRDefault="00E85E76" w:rsidP="00E85E76">
      <w:r>
        <w:t xml:space="preserve">Ergon Energy proposed step changes, non-recurrent expenditure adjustments and a bottom-up adjustment for parametric insurance totalling $146.4 million ($2014–15). We have not included any of these items in our </w:t>
      </w:r>
      <w:proofErr w:type="spellStart"/>
      <w:r>
        <w:t>opex</w:t>
      </w:r>
      <w:proofErr w:type="spellEnd"/>
      <w:r>
        <w:t xml:space="preserve"> estimate.</w:t>
      </w:r>
    </w:p>
    <w:p w:rsidR="00E85E76" w:rsidRPr="009B6AC8" w:rsidRDefault="00E85E76" w:rsidP="00E85E76">
      <w:r w:rsidRPr="009B6AC8">
        <w:t xml:space="preserve">There were several reasons we did not include step changes proposed by </w:t>
      </w:r>
      <w:r>
        <w:t>Ergon Energy</w:t>
      </w:r>
      <w:r w:rsidRPr="009B6AC8">
        <w:t xml:space="preserve"> in our </w:t>
      </w:r>
      <w:proofErr w:type="spellStart"/>
      <w:r w:rsidRPr="009B6AC8">
        <w:t>opex</w:t>
      </w:r>
      <w:proofErr w:type="spellEnd"/>
      <w:r w:rsidRPr="009B6AC8">
        <w:t xml:space="preserve"> forecast, in particular:</w:t>
      </w:r>
    </w:p>
    <w:p w:rsidR="00E85E76" w:rsidRPr="00E85E76" w:rsidRDefault="00E85E76" w:rsidP="00E85E76">
      <w:pPr>
        <w:pStyle w:val="AERbulletlistfirststyle"/>
      </w:pPr>
      <w:r w:rsidRPr="009B6AC8">
        <w:t xml:space="preserve">We were not satisfied </w:t>
      </w:r>
      <w:r w:rsidRPr="00E85E76">
        <w:t>Ergon Energy had demonstrated it faced increased regulatory obligations or requirements in the forecast period.</w:t>
      </w:r>
    </w:p>
    <w:p w:rsidR="00E85E76" w:rsidRPr="009B6AC8" w:rsidRDefault="00E85E76" w:rsidP="00E85E76">
      <w:pPr>
        <w:pStyle w:val="AERbulletlistfirststyle"/>
      </w:pPr>
      <w:r w:rsidRPr="009B6AC8">
        <w:t xml:space="preserve">The proposals were for costs which we would typically consider to be business as usual expenses, and therefore taken into account in our estimate of base </w:t>
      </w:r>
      <w:proofErr w:type="spellStart"/>
      <w:r w:rsidRPr="009B6AC8">
        <w:t>opex</w:t>
      </w:r>
      <w:proofErr w:type="spellEnd"/>
      <w:r w:rsidRPr="009B6AC8">
        <w:t>.</w:t>
      </w:r>
    </w:p>
    <w:p w:rsidR="00D44A58" w:rsidRPr="00112BF8" w:rsidRDefault="00D44A58" w:rsidP="00D44A58">
      <w:pPr>
        <w:pStyle w:val="Heading2"/>
      </w:pPr>
      <w:bookmarkStart w:id="61" w:name="_Toc418685515"/>
      <w:r w:rsidRPr="00112BF8">
        <w:t>Corporate income tax</w:t>
      </w:r>
      <w:bookmarkEnd w:id="55"/>
      <w:bookmarkEnd w:id="61"/>
    </w:p>
    <w:p w:rsidR="002B181D" w:rsidRDefault="00765883" w:rsidP="005E6F7B">
      <w:pPr>
        <w:numPr>
          <w:ilvl w:val="0"/>
          <w:numId w:val="25"/>
        </w:numPr>
      </w:pPr>
      <w:r>
        <w:t>The NER require</w:t>
      </w:r>
      <w:r w:rsidR="006C5491">
        <w:t>s</w:t>
      </w:r>
      <w:r>
        <w:t xml:space="preserve"> us </w:t>
      </w:r>
      <w:r w:rsidRPr="00521143">
        <w:rPr>
          <w:rStyle w:val="AERbody"/>
        </w:rPr>
        <w:t xml:space="preserve">to make a decision on the estimated cost of corporate income tax for </w:t>
      </w:r>
      <w:r>
        <w:rPr>
          <w:rStyle w:val="AERbody"/>
        </w:rPr>
        <w:t>Ergon Energy's</w:t>
      </w:r>
      <w:r w:rsidRPr="00521143">
        <w:rPr>
          <w:rStyle w:val="AERbody"/>
        </w:rPr>
        <w:t xml:space="preserve"> 2015–20 regulatory control </w:t>
      </w:r>
      <w:proofErr w:type="gramStart"/>
      <w:r w:rsidRPr="00521143">
        <w:rPr>
          <w:rStyle w:val="AERbody"/>
        </w:rPr>
        <w:t>period</w:t>
      </w:r>
      <w:proofErr w:type="gramEnd"/>
      <w:r w:rsidR="00A774E1">
        <w:rPr>
          <w:rStyle w:val="AERbody"/>
        </w:rPr>
        <w:t>.</w:t>
      </w:r>
      <w:r w:rsidRPr="00577DF0">
        <w:rPr>
          <w:rStyle w:val="FootnoteReference"/>
        </w:rPr>
        <w:footnoteReference w:id="59"/>
      </w:r>
      <w:r w:rsidR="00A774E1">
        <w:rPr>
          <w:rStyle w:val="AERbody"/>
        </w:rPr>
        <w:t xml:space="preserve"> </w:t>
      </w:r>
      <w:r w:rsidR="00D44A58" w:rsidRPr="00112BF8">
        <w:t xml:space="preserve">The estimated cost of corporate income tax contributes to our determination of the total revenue requirements for </w:t>
      </w:r>
      <w:r w:rsidR="00BC7FCA">
        <w:t>Ergon Energy</w:t>
      </w:r>
      <w:r w:rsidR="00D44A58" w:rsidRPr="00112BF8">
        <w:t xml:space="preserve"> over the 2015–20 regulatory control </w:t>
      </w:r>
      <w:proofErr w:type="gramStart"/>
      <w:r w:rsidR="00D44A58" w:rsidRPr="00112BF8">
        <w:t>period</w:t>
      </w:r>
      <w:proofErr w:type="gramEnd"/>
      <w:r w:rsidR="00D44A58" w:rsidRPr="00112BF8">
        <w:t xml:space="preserve">. </w:t>
      </w:r>
      <w:r w:rsidR="0086170C">
        <w:t xml:space="preserve">It </w:t>
      </w:r>
      <w:r w:rsidR="00D44A58" w:rsidRPr="00112BF8">
        <w:t xml:space="preserve">enables </w:t>
      </w:r>
      <w:r w:rsidR="00BC7FCA">
        <w:t>Ergon Energy</w:t>
      </w:r>
      <w:r w:rsidR="00D44A58" w:rsidRPr="00112BF8">
        <w:t xml:space="preserve"> to recover the costs associated with the estimated corporate income tax payable during that period. </w:t>
      </w:r>
    </w:p>
    <w:p w:rsidR="00D44A58" w:rsidRDefault="00D44A58" w:rsidP="005E6F7B">
      <w:pPr>
        <w:numPr>
          <w:ilvl w:val="0"/>
          <w:numId w:val="25"/>
        </w:numPr>
      </w:pPr>
      <w:r w:rsidRPr="00112BF8">
        <w:t xml:space="preserve">We forecast </w:t>
      </w:r>
      <w:r w:rsidR="00BC7FCA">
        <w:t>Ergon Energy'</w:t>
      </w:r>
      <w:r w:rsidRPr="00112BF8">
        <w:t>s corporate income tax allowance at $</w:t>
      </w:r>
      <w:r w:rsidR="00554895">
        <w:rPr>
          <w:rStyle w:val="AERbodytextChar"/>
          <w:rFonts w:eastAsiaTheme="minorHAnsi"/>
        </w:rPr>
        <w:t>204.2</w:t>
      </w:r>
      <w:r w:rsidR="0086170C" w:rsidRPr="00112BF8">
        <w:t xml:space="preserve"> </w:t>
      </w:r>
      <w:r w:rsidRPr="00112BF8">
        <w:t xml:space="preserve">million ($ nominal) </w:t>
      </w:r>
      <w:r w:rsidR="00F94605">
        <w:t>over the 201</w:t>
      </w:r>
      <w:r w:rsidR="00594106">
        <w:t>5–20</w:t>
      </w:r>
      <w:r w:rsidR="00F94605">
        <w:t xml:space="preserve"> regulatory control period as s</w:t>
      </w:r>
      <w:r w:rsidR="002B181D">
        <w:t xml:space="preserve">et out </w:t>
      </w:r>
      <w:r w:rsidR="00F94605">
        <w:t>in</w:t>
      </w:r>
      <w:r w:rsidRPr="00112BF8">
        <w:t xml:space="preserve"> </w:t>
      </w:r>
      <w:r w:rsidR="00A774E1">
        <w:t>t</w:t>
      </w:r>
      <w:r>
        <w:t xml:space="preserve">able </w:t>
      </w:r>
      <w:r w:rsidR="006C7D9C">
        <w:t>10</w:t>
      </w:r>
      <w:r w:rsidRPr="00112BF8">
        <w:t xml:space="preserve">. </w:t>
      </w:r>
      <w:r w:rsidR="002B181D" w:rsidRPr="002B181D">
        <w:rPr>
          <w:rStyle w:val="AERbodytextChar"/>
          <w:rFonts w:eastAsiaTheme="minorHAnsi"/>
        </w:rPr>
        <w:t>This is instead of E</w:t>
      </w:r>
      <w:r w:rsidR="002B181D">
        <w:rPr>
          <w:rStyle w:val="AERbodytextChar"/>
          <w:rFonts w:eastAsiaTheme="minorHAnsi"/>
        </w:rPr>
        <w:t>rgon Energy</w:t>
      </w:r>
      <w:r w:rsidR="002B181D" w:rsidRPr="002B181D">
        <w:rPr>
          <w:rStyle w:val="AERbodytextChar"/>
          <w:rFonts w:eastAsiaTheme="minorHAnsi"/>
        </w:rPr>
        <w:t>'s proposed cost of corporate income tax allowance of $62</w:t>
      </w:r>
      <w:r w:rsidR="002B181D">
        <w:rPr>
          <w:rStyle w:val="AERbodytextChar"/>
          <w:rFonts w:eastAsiaTheme="minorHAnsi"/>
        </w:rPr>
        <w:t>1.4</w:t>
      </w:r>
      <w:r w:rsidR="002B181D" w:rsidRPr="002B181D">
        <w:rPr>
          <w:rStyle w:val="AERbodytextChar"/>
          <w:rFonts w:eastAsiaTheme="minorHAnsi"/>
        </w:rPr>
        <w:t xml:space="preserve"> million</w:t>
      </w:r>
      <w:r w:rsidR="002B181D">
        <w:t xml:space="preserve">. </w:t>
      </w:r>
      <w:r w:rsidR="002B181D" w:rsidRPr="00112BF8">
        <w:t xml:space="preserve">Our preliminary decision </w:t>
      </w:r>
      <w:r w:rsidR="002B181D" w:rsidRPr="002B181D">
        <w:rPr>
          <w:rStyle w:val="AERbodytextChar"/>
          <w:rFonts w:eastAsiaTheme="minorHAnsi"/>
        </w:rPr>
        <w:t xml:space="preserve">is </w:t>
      </w:r>
      <w:r w:rsidR="002B181D">
        <w:rPr>
          <w:rStyle w:val="AERbodytextChar"/>
          <w:rFonts w:eastAsiaTheme="minorHAnsi"/>
        </w:rPr>
        <w:t>38.5</w:t>
      </w:r>
      <w:r w:rsidR="002B181D" w:rsidRPr="002B181D">
        <w:rPr>
          <w:rStyle w:val="AERbodytextChar"/>
          <w:rFonts w:eastAsiaTheme="minorHAnsi"/>
        </w:rPr>
        <w:t xml:space="preserve"> </w:t>
      </w:r>
      <w:r w:rsidR="002B181D" w:rsidRPr="005F6C07">
        <w:t>per cent of the amount E</w:t>
      </w:r>
      <w:r w:rsidR="002B181D">
        <w:t xml:space="preserve">rgon Energy </w:t>
      </w:r>
      <w:r w:rsidR="002B181D" w:rsidRPr="005F6C07">
        <w:t>proposed.</w:t>
      </w:r>
    </w:p>
    <w:p w:rsidR="00D44A58" w:rsidRPr="00112BF8" w:rsidRDefault="00D44A58" w:rsidP="00D44A58">
      <w:pPr>
        <w:pStyle w:val="Caption"/>
      </w:pPr>
      <w:r w:rsidRPr="00112BF8">
        <w:t xml:space="preserve">Table </w:t>
      </w:r>
      <w:r w:rsidR="006C7D9C">
        <w:t>10</w:t>
      </w:r>
      <w:r w:rsidRPr="00112BF8">
        <w:t xml:space="preserve"> </w:t>
      </w:r>
      <w:r w:rsidRPr="00112BF8">
        <w:tab/>
        <w:t xml:space="preserve">AER's preliminary decision on </w:t>
      </w:r>
      <w:r w:rsidR="00BC7FCA">
        <w:t>Ergon Energy'</w:t>
      </w:r>
      <w:r w:rsidRPr="00112BF8">
        <w:t xml:space="preserve">s cost of corporate income tax allowance for the 2015–20 </w:t>
      </w:r>
      <w:r w:rsidR="00295A13">
        <w:t xml:space="preserve">regulatory control </w:t>
      </w:r>
      <w:r w:rsidRPr="00112BF8">
        <w:t>period  ($ million, nominal)</w:t>
      </w:r>
    </w:p>
    <w:tbl>
      <w:tblPr>
        <w:tblStyle w:val="AERtable-numbers"/>
        <w:tblW w:w="5000" w:type="pct"/>
        <w:tblLook w:val="04A0" w:firstRow="1" w:lastRow="0" w:firstColumn="1" w:lastColumn="0" w:noHBand="0" w:noVBand="1"/>
      </w:tblPr>
      <w:tblGrid>
        <w:gridCol w:w="3101"/>
        <w:gridCol w:w="932"/>
        <w:gridCol w:w="932"/>
        <w:gridCol w:w="932"/>
        <w:gridCol w:w="932"/>
        <w:gridCol w:w="932"/>
        <w:gridCol w:w="932"/>
      </w:tblGrid>
      <w:tr w:rsidR="00D44A58" w:rsidRPr="00F516A1" w:rsidTr="0085683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84" w:type="pct"/>
            <w:noWrap/>
            <w:hideMark/>
          </w:tcPr>
          <w:p w:rsidR="00D44A58" w:rsidRPr="00112BF8" w:rsidRDefault="00D44A58" w:rsidP="00D44A58">
            <w:r w:rsidRPr="00112BF8">
              <w:t> </w:t>
            </w:r>
          </w:p>
        </w:tc>
        <w:tc>
          <w:tcPr>
            <w:tcW w:w="536"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5–16</w:t>
            </w:r>
          </w:p>
        </w:tc>
        <w:tc>
          <w:tcPr>
            <w:tcW w:w="536"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6–17</w:t>
            </w:r>
          </w:p>
        </w:tc>
        <w:tc>
          <w:tcPr>
            <w:tcW w:w="536"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7–18</w:t>
            </w:r>
          </w:p>
        </w:tc>
        <w:tc>
          <w:tcPr>
            <w:tcW w:w="536"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201</w:t>
            </w:r>
            <w:r w:rsidRPr="00D44A58">
              <w:t>8–19</w:t>
            </w:r>
          </w:p>
        </w:tc>
        <w:tc>
          <w:tcPr>
            <w:tcW w:w="536" w:type="pct"/>
            <w:noWrap/>
            <w:hideMark/>
          </w:tcPr>
          <w:p w:rsidR="00D44A58" w:rsidRPr="00D44A58" w:rsidRDefault="00D44A58" w:rsidP="00D44A58">
            <w:pPr>
              <w:cnfStyle w:val="100000000000" w:firstRow="1" w:lastRow="0" w:firstColumn="0" w:lastColumn="0" w:oddVBand="0" w:evenVBand="0" w:oddHBand="0" w:evenHBand="0" w:firstRowFirstColumn="0" w:firstRowLastColumn="0" w:lastRowFirstColumn="0" w:lastRowLastColumn="0"/>
            </w:pPr>
            <w:r w:rsidRPr="00112BF8">
              <w:t>20</w:t>
            </w:r>
            <w:r w:rsidRPr="00D44A58">
              <w:t>19–20</w:t>
            </w:r>
          </w:p>
        </w:tc>
        <w:tc>
          <w:tcPr>
            <w:tcW w:w="536" w:type="pct"/>
            <w:noWrap/>
            <w:hideMark/>
          </w:tcPr>
          <w:p w:rsidR="00D44A58" w:rsidRPr="00112BF8" w:rsidRDefault="00D44A58" w:rsidP="00D44A58">
            <w:pPr>
              <w:cnfStyle w:val="100000000000" w:firstRow="1" w:lastRow="0" w:firstColumn="0" w:lastColumn="0" w:oddVBand="0" w:evenVBand="0" w:oddHBand="0" w:evenHBand="0" w:firstRowFirstColumn="0" w:firstRowLastColumn="0" w:lastRowFirstColumn="0" w:lastRowLastColumn="0"/>
            </w:pPr>
            <w:r w:rsidRPr="00112BF8">
              <w:t>Total</w:t>
            </w:r>
          </w:p>
        </w:tc>
      </w:tr>
      <w:tr w:rsidR="00554895" w:rsidRPr="00F516A1" w:rsidTr="006C7D9C">
        <w:trPr>
          <w:trHeight w:val="300"/>
        </w:trPr>
        <w:tc>
          <w:tcPr>
            <w:cnfStyle w:val="001000000000" w:firstRow="0" w:lastRow="0" w:firstColumn="1" w:lastColumn="0" w:oddVBand="0" w:evenVBand="0" w:oddHBand="0" w:evenHBand="0" w:firstRowFirstColumn="0" w:firstRowLastColumn="0" w:lastRowFirstColumn="0" w:lastRowLastColumn="0"/>
            <w:tcW w:w="1784" w:type="pct"/>
            <w:noWrap/>
            <w:hideMark/>
          </w:tcPr>
          <w:p w:rsidR="00554895" w:rsidRPr="00554895" w:rsidRDefault="00554895" w:rsidP="00554895">
            <w:r w:rsidRPr="00554895">
              <w:t>Tax payable</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60.5</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64.6</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68.6</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74.6</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71.9</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pPr>
            <w:r w:rsidRPr="00554895">
              <w:t>340.3</w:t>
            </w:r>
          </w:p>
        </w:tc>
      </w:tr>
      <w:tr w:rsidR="00554895" w:rsidRPr="00F516A1" w:rsidTr="006C7D9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84" w:type="pct"/>
            <w:noWrap/>
            <w:hideMark/>
          </w:tcPr>
          <w:p w:rsidR="00554895" w:rsidRPr="00554895" w:rsidRDefault="00554895" w:rsidP="00554895">
            <w:r w:rsidRPr="00554895">
              <w:rPr>
                <w:rStyle w:val="AERtextitalic"/>
              </w:rPr>
              <w:t>Less</w:t>
            </w:r>
            <w:r w:rsidRPr="00554895">
              <w:t>: value of imputation credits</w:t>
            </w:r>
          </w:p>
        </w:tc>
        <w:tc>
          <w:tcPr>
            <w:tcW w:w="536"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24.2</w:t>
            </w:r>
          </w:p>
        </w:tc>
        <w:tc>
          <w:tcPr>
            <w:tcW w:w="536"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25.8</w:t>
            </w:r>
          </w:p>
        </w:tc>
        <w:tc>
          <w:tcPr>
            <w:tcW w:w="536"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27.5</w:t>
            </w:r>
          </w:p>
        </w:tc>
        <w:tc>
          <w:tcPr>
            <w:tcW w:w="536"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29.9</w:t>
            </w:r>
          </w:p>
        </w:tc>
        <w:tc>
          <w:tcPr>
            <w:tcW w:w="536"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28.8</w:t>
            </w:r>
          </w:p>
        </w:tc>
        <w:tc>
          <w:tcPr>
            <w:tcW w:w="536" w:type="pct"/>
            <w:noWrap/>
            <w:vAlign w:val="bottom"/>
          </w:tcPr>
          <w:p w:rsidR="00554895" w:rsidRPr="00554895" w:rsidRDefault="00554895" w:rsidP="00554895">
            <w:pPr>
              <w:cnfStyle w:val="000000010000" w:firstRow="0" w:lastRow="0" w:firstColumn="0" w:lastColumn="0" w:oddVBand="0" w:evenVBand="0" w:oddHBand="0" w:evenHBand="1" w:firstRowFirstColumn="0" w:firstRowLastColumn="0" w:lastRowFirstColumn="0" w:lastRowLastColumn="0"/>
            </w:pPr>
            <w:r w:rsidRPr="00554895">
              <w:t>136.1</w:t>
            </w:r>
          </w:p>
        </w:tc>
      </w:tr>
      <w:tr w:rsidR="00554895" w:rsidRPr="00554895" w:rsidTr="006C7D9C">
        <w:trPr>
          <w:trHeight w:val="300"/>
        </w:trPr>
        <w:tc>
          <w:tcPr>
            <w:cnfStyle w:val="001000000000" w:firstRow="0" w:lastRow="0" w:firstColumn="1" w:lastColumn="0" w:oddVBand="0" w:evenVBand="0" w:oddHBand="0" w:evenHBand="0" w:firstRowFirstColumn="0" w:firstRowLastColumn="0" w:lastRowFirstColumn="0" w:lastRowLastColumn="0"/>
            <w:tcW w:w="1784" w:type="pct"/>
            <w:noWrap/>
            <w:hideMark/>
          </w:tcPr>
          <w:p w:rsidR="00554895" w:rsidRPr="00554895" w:rsidRDefault="00554895" w:rsidP="00554895">
            <w:pPr>
              <w:rPr>
                <w:rStyle w:val="Strong"/>
              </w:rPr>
            </w:pPr>
            <w:r w:rsidRPr="00554895">
              <w:rPr>
                <w:rStyle w:val="Strong"/>
              </w:rPr>
              <w:t>Corporate income tax allowance</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36.3</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38.8</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41.2</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44.8</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43.1</w:t>
            </w:r>
          </w:p>
        </w:tc>
        <w:tc>
          <w:tcPr>
            <w:tcW w:w="536" w:type="pct"/>
            <w:noWrap/>
            <w:vAlign w:val="bottom"/>
          </w:tcPr>
          <w:p w:rsidR="00554895" w:rsidRPr="00554895" w:rsidRDefault="00554895" w:rsidP="00554895">
            <w:pPr>
              <w:cnfStyle w:val="000000000000" w:firstRow="0" w:lastRow="0" w:firstColumn="0" w:lastColumn="0" w:oddVBand="0" w:evenVBand="0" w:oddHBand="0" w:evenHBand="0" w:firstRowFirstColumn="0" w:firstRowLastColumn="0" w:lastRowFirstColumn="0" w:lastRowLastColumn="0"/>
              <w:rPr>
                <w:rStyle w:val="Strong"/>
              </w:rPr>
            </w:pPr>
            <w:r w:rsidRPr="00554895">
              <w:rPr>
                <w:rStyle w:val="Strong"/>
              </w:rPr>
              <w:t>204.2</w:t>
            </w:r>
          </w:p>
        </w:tc>
      </w:tr>
    </w:tbl>
    <w:p w:rsidR="00D44A58" w:rsidRPr="00112BF8" w:rsidRDefault="00D44A58" w:rsidP="00D44A58">
      <w:pPr>
        <w:pStyle w:val="AERtablesource"/>
      </w:pPr>
      <w:r w:rsidRPr="00112BF8">
        <w:t>Source:</w:t>
      </w:r>
      <w:r w:rsidRPr="00112BF8">
        <w:tab/>
        <w:t>AER analysis.</w:t>
      </w:r>
    </w:p>
    <w:p w:rsidR="00D44A58" w:rsidRDefault="00D44A58" w:rsidP="00D44A58">
      <w:r w:rsidRPr="00112BF8">
        <w:lastRenderedPageBreak/>
        <w:t xml:space="preserve">Our preliminary decision reflects our amendments to some of </w:t>
      </w:r>
      <w:r w:rsidR="00BC7FCA">
        <w:t>Ergon Energy</w:t>
      </w:r>
      <w:r w:rsidRPr="00112BF8">
        <w:t>'s proposed inputs for forecasting the cost of corporate income tax such as the opening tax asset base, and the remaining tax asset lives. It also reflects our preliminary decision on the value of imputation credits</w:t>
      </w:r>
      <w:r w:rsidR="009D2A8E">
        <w:t xml:space="preserve"> (</w:t>
      </w:r>
      <w:r w:rsidRPr="00112BF8">
        <w:t>gamma</w:t>
      </w:r>
      <w:r w:rsidR="009D2A8E">
        <w:t xml:space="preserve">) </w:t>
      </w:r>
      <w:r w:rsidRPr="00112BF8">
        <w:t xml:space="preserve">discussed in attachment 4. Our preliminary decision changes to other building block costs that affect revenues also impact the tax calculation. </w:t>
      </w:r>
    </w:p>
    <w:p w:rsidR="00686DC6" w:rsidRPr="00112BF8" w:rsidRDefault="00686DC6" w:rsidP="00686DC6">
      <w:pPr>
        <w:numPr>
          <w:ilvl w:val="0"/>
          <w:numId w:val="25"/>
        </w:numPr>
      </w:pPr>
      <w:r>
        <w:t>D</w:t>
      </w:r>
      <w:r w:rsidRPr="00112BF8">
        <w:t>etail</w:t>
      </w:r>
      <w:r>
        <w:t>s of</w:t>
      </w:r>
      <w:r w:rsidRPr="00112BF8">
        <w:t xml:space="preserve"> our preliminary decision on </w:t>
      </w:r>
      <w:r>
        <w:t>the</w:t>
      </w:r>
      <w:r w:rsidRPr="00112BF8">
        <w:t xml:space="preserve"> corporate income tax </w:t>
      </w:r>
      <w:r>
        <w:t>allowance are set out in attachment 8</w:t>
      </w:r>
      <w:r w:rsidRPr="00112BF8">
        <w:t xml:space="preserve">. </w:t>
      </w:r>
    </w:p>
    <w:p w:rsidR="00686DC6" w:rsidRDefault="00686DC6" w:rsidP="00D44A58"/>
    <w:p w:rsidR="00E4170D" w:rsidRDefault="00E4170D">
      <w:pPr>
        <w:spacing w:line="240" w:lineRule="auto"/>
      </w:pPr>
      <w:r>
        <w:br w:type="page"/>
      </w:r>
    </w:p>
    <w:p w:rsidR="00D44A58" w:rsidRPr="00112BF8" w:rsidRDefault="00D44A58" w:rsidP="00717224">
      <w:pPr>
        <w:pStyle w:val="Heading1"/>
      </w:pPr>
      <w:bookmarkStart w:id="62" w:name="_Toc415837340"/>
      <w:bookmarkStart w:id="63" w:name="_Toc418685516"/>
      <w:r w:rsidRPr="00112BF8">
        <w:lastRenderedPageBreak/>
        <w:t>Classification of services</w:t>
      </w:r>
      <w:r w:rsidR="00DF598E">
        <w:t xml:space="preserve">, </w:t>
      </w:r>
      <w:r w:rsidRPr="00112BF8">
        <w:t>control mechanisms</w:t>
      </w:r>
      <w:bookmarkEnd w:id="62"/>
      <w:r w:rsidR="00DF598E">
        <w:t xml:space="preserve"> and schemes</w:t>
      </w:r>
      <w:bookmarkEnd w:id="63"/>
    </w:p>
    <w:p w:rsidR="00021FD2" w:rsidRPr="00021FD2" w:rsidRDefault="00021FD2" w:rsidP="00021FD2">
      <w:r w:rsidRPr="00021FD2">
        <w:t xml:space="preserve">A range of factors, in addition to the building blocks, affect </w:t>
      </w:r>
      <w:r>
        <w:t>Ergon Energy's</w:t>
      </w:r>
      <w:r w:rsidRPr="00021FD2">
        <w:t xml:space="preserve"> revenues. These include service classification, the control mechanism, incentive schemes to promote efficiency, and our approach to services charged to individual consumers. This section sets out our approach to these issues.</w:t>
      </w:r>
    </w:p>
    <w:p w:rsidR="00021FD2" w:rsidRPr="00021FD2" w:rsidRDefault="00021FD2" w:rsidP="00021FD2">
      <w:pPr>
        <w:pStyle w:val="Heading2"/>
      </w:pPr>
      <w:bookmarkStart w:id="64" w:name="_Toc418685517"/>
      <w:r w:rsidRPr="00021FD2">
        <w:t>Classification of services and control mechanisms</w:t>
      </w:r>
      <w:bookmarkEnd w:id="64"/>
    </w:p>
    <w:p w:rsidR="00021FD2" w:rsidRPr="00021FD2" w:rsidRDefault="00021FD2" w:rsidP="00021FD2">
      <w:r w:rsidRPr="00021FD2">
        <w:t xml:space="preserve">Service classification determines the nature of economic regulation, if any, applicable to specific distribution services. Classification is important to customers as it determines which network services are included in basic electricity charges, the basis on which additional services are sold, and those services we will not regulate. Our </w:t>
      </w:r>
      <w:r w:rsidR="00027FAB">
        <w:t xml:space="preserve">preliminary </w:t>
      </w:r>
      <w:r w:rsidRPr="00021FD2">
        <w:t xml:space="preserve">decision reflects our assessment of a number of factors, including existing and potential competition to supply these services. </w:t>
      </w:r>
    </w:p>
    <w:p w:rsidR="00021FD2" w:rsidRPr="00021FD2" w:rsidRDefault="00021FD2" w:rsidP="00021FD2">
      <w:r w:rsidRPr="00021FD2">
        <w:t xml:space="preserve">Our preliminary decision is to retain the classification structure set out in our </w:t>
      </w:r>
      <w:r w:rsidR="00027FAB">
        <w:t>Framework and Approach (</w:t>
      </w:r>
      <w:r w:rsidRPr="00021FD2">
        <w:t>F&amp;A</w:t>
      </w:r>
      <w:r w:rsidR="00027FAB">
        <w:t>)</w:t>
      </w:r>
      <w:r w:rsidRPr="00021FD2">
        <w:t>,</w:t>
      </w:r>
      <w:r w:rsidR="00027FAB">
        <w:rPr>
          <w:rStyle w:val="FootnoteReference"/>
        </w:rPr>
        <w:footnoteReference w:id="60"/>
      </w:r>
      <w:r w:rsidRPr="00021FD2">
        <w:t xml:space="preserve"> subject to a small number of changes. The changes we have made will facilitate competition in the provision of metering services.</w:t>
      </w:r>
    </w:p>
    <w:p w:rsidR="00021FD2" w:rsidRPr="00021FD2" w:rsidRDefault="00021FD2" w:rsidP="00021FD2">
      <w:r w:rsidRPr="00021FD2">
        <w:t>We have also refined the definitions of network services (standard control) and metering services (alternative control) to make clear our intended approach to the classification of load control services. Load control services provided by equipment located outside a type 5 or 6 meter are grouped with network services and classified standard control. Load control services provided by a type 5 or 6 meter are grouped with ancillary metering services and classified alternative control.</w:t>
      </w:r>
    </w:p>
    <w:p w:rsidR="00D44A58" w:rsidRPr="00112BF8" w:rsidRDefault="00D44A58" w:rsidP="00D44A58">
      <w:r w:rsidRPr="00112BF8">
        <w:t xml:space="preserve">Figure </w:t>
      </w:r>
      <w:r w:rsidR="006C7D9C">
        <w:t>11</w:t>
      </w:r>
      <w:r>
        <w:t xml:space="preserve"> </w:t>
      </w:r>
      <w:r w:rsidR="00535FC7">
        <w:t>summarises</w:t>
      </w:r>
      <w:r w:rsidRPr="00112BF8">
        <w:t xml:space="preserve"> our preliminary decision on service</w:t>
      </w:r>
      <w:r w:rsidR="00857F5C">
        <w:t xml:space="preserve"> classifications for the 2015–</w:t>
      </w:r>
      <w:r w:rsidR="00027FAB">
        <w:t>20</w:t>
      </w:r>
      <w:r w:rsidRPr="00112BF8">
        <w:t xml:space="preserve"> regulatory control period. </w:t>
      </w:r>
    </w:p>
    <w:p w:rsidR="00D44A58" w:rsidRPr="00112BF8" w:rsidRDefault="00D44A58" w:rsidP="00D44A58">
      <w:pPr>
        <w:pStyle w:val="Caption"/>
      </w:pPr>
      <w:r w:rsidRPr="00112BF8">
        <w:t xml:space="preserve">Figure </w:t>
      </w:r>
      <w:r w:rsidR="006C7D9C">
        <w:t>11</w:t>
      </w:r>
      <w:r w:rsidRPr="00112BF8">
        <w:tab/>
        <w:t>AER</w:t>
      </w:r>
      <w:r w:rsidR="00857F5C">
        <w:t xml:space="preserve"> preliminary </w:t>
      </w:r>
      <w:proofErr w:type="gramStart"/>
      <w:r w:rsidR="00857F5C">
        <w:t>decision</w:t>
      </w:r>
      <w:proofErr w:type="gramEnd"/>
      <w:r w:rsidR="00857F5C">
        <w:t xml:space="preserve"> on 2015–</w:t>
      </w:r>
      <w:r w:rsidR="00027FAB">
        <w:t>20</w:t>
      </w:r>
      <w:r w:rsidRPr="00112BF8">
        <w:t xml:space="preserve"> service classifications for </w:t>
      </w:r>
      <w:r w:rsidR="0058680A">
        <w:t>Ergon Energy</w:t>
      </w:r>
    </w:p>
    <w:p w:rsidR="00D44A58" w:rsidRPr="00112BF8" w:rsidRDefault="0058680A" w:rsidP="00D44A58">
      <w:pPr>
        <w:pStyle w:val="AERtablesource"/>
      </w:pPr>
      <w:r w:rsidRPr="0058680A">
        <w:rPr>
          <w:noProof/>
          <w:lang w:eastAsia="en-AU"/>
        </w:rPr>
        <w:drawing>
          <wp:inline distT="0" distB="0" distL="0" distR="0" wp14:anchorId="55581769" wp14:editId="2F86F51B">
            <wp:extent cx="5382895" cy="3488764"/>
            <wp:effectExtent l="0" t="0" r="825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82895" cy="3488764"/>
                    </a:xfrm>
                    <a:prstGeom prst="rect">
                      <a:avLst/>
                    </a:prstGeom>
                    <a:noFill/>
                    <a:ln>
                      <a:noFill/>
                    </a:ln>
                  </pic:spPr>
                </pic:pic>
              </a:graphicData>
            </a:graphic>
          </wp:inline>
        </w:drawing>
      </w:r>
    </w:p>
    <w:p w:rsidR="00D44A58" w:rsidRPr="00112BF8" w:rsidRDefault="00D44A58" w:rsidP="00D44A58">
      <w:pPr>
        <w:pStyle w:val="AERtablesource"/>
      </w:pPr>
    </w:p>
    <w:p w:rsidR="00D44A58" w:rsidRDefault="00D44A58" w:rsidP="00D44A58">
      <w:pPr>
        <w:pStyle w:val="AERtablesource"/>
      </w:pPr>
      <w:r w:rsidRPr="00112BF8">
        <w:t>Source: AER.</w:t>
      </w:r>
    </w:p>
    <w:p w:rsidR="0086170C" w:rsidRPr="00021FD2" w:rsidRDefault="0086170C" w:rsidP="0086170C">
      <w:pPr>
        <w:numPr>
          <w:ilvl w:val="0"/>
          <w:numId w:val="25"/>
        </w:numPr>
      </w:pPr>
      <w:r w:rsidRPr="00021FD2">
        <w:t xml:space="preserve">In accordance with our F&amp;A, </w:t>
      </w:r>
      <w:r>
        <w:t>Ergon Energy</w:t>
      </w:r>
      <w:r w:rsidRPr="00021FD2">
        <w:t xml:space="preserve"> will be subject to a 'revenue cap' form of control for standard control services over the next regulator control period. The control mechanism for standard control services is described in mathematical terms and reflects all possible adjustments that might be made to the revenue cap. The detailed prescription of how service charges are set is discussed in the control mechanisms attachment.</w:t>
      </w:r>
      <w:r w:rsidRPr="00B52B05">
        <w:rPr>
          <w:rStyle w:val="AERsuperscript"/>
        </w:rPr>
        <w:footnoteReference w:id="61"/>
      </w:r>
    </w:p>
    <w:p w:rsidR="00D44A58" w:rsidRPr="00112BF8" w:rsidRDefault="00D44A58" w:rsidP="00D44A58">
      <w:pPr>
        <w:pStyle w:val="Heading2"/>
      </w:pPr>
      <w:bookmarkStart w:id="65" w:name="_Toc415837342"/>
      <w:bookmarkStart w:id="66" w:name="_Toc418685518"/>
      <w:r w:rsidRPr="00112BF8">
        <w:t>Alternative control services</w:t>
      </w:r>
      <w:bookmarkEnd w:id="65"/>
      <w:bookmarkEnd w:id="66"/>
    </w:p>
    <w:p w:rsidR="00E137AB" w:rsidRPr="00E137AB" w:rsidRDefault="00E137AB" w:rsidP="00E137AB">
      <w:bookmarkStart w:id="67" w:name="_Toc415837344"/>
      <w:r w:rsidRPr="00E137AB">
        <w:t xml:space="preserve">Alternative control services do not form part of </w:t>
      </w:r>
      <w:r>
        <w:t>Ergon Energy's</w:t>
      </w:r>
      <w:r w:rsidRPr="00E137AB">
        <w:t xml:space="preserve"> revenue cap. Rather, the prices of these services are set individually. Our preliminary decision is to maintain the approach adopted in our F&amp;A, that the form of control mechanism to apply to </w:t>
      </w:r>
      <w:r>
        <w:t>Ergon Energy's</w:t>
      </w:r>
      <w:r w:rsidRPr="00E137AB">
        <w:t xml:space="preserve"> alternative control services will be price caps.</w:t>
      </w:r>
      <w:r w:rsidR="00337983">
        <w:t xml:space="preserve"> Ergon Energy must demonstrate compliance with the control mechanism through an annual pricing proposal</w:t>
      </w:r>
      <w:r w:rsidRPr="00E137AB">
        <w:t>.</w:t>
      </w:r>
    </w:p>
    <w:p w:rsidR="00E137AB" w:rsidRPr="00E137AB" w:rsidRDefault="00E137AB" w:rsidP="00E137AB">
      <w:pPr>
        <w:numPr>
          <w:ilvl w:val="0"/>
          <w:numId w:val="25"/>
        </w:numPr>
      </w:pPr>
      <w:r w:rsidRPr="00E137AB">
        <w:t xml:space="preserve">To avoid large metering transfer or exit fees, we consider </w:t>
      </w:r>
      <w:r>
        <w:t>Ergon Energy</w:t>
      </w:r>
      <w:r w:rsidRPr="00E137AB">
        <w:t xml:space="preserve"> should recover the residual cost of its redundant meters from all customers through an alternative control service charge</w:t>
      </w:r>
      <w:r w:rsidR="003346D9">
        <w:t>.</w:t>
      </w:r>
      <w:r w:rsidRPr="00E137AB">
        <w:t xml:space="preserve"> By switching, customers may avoid the operating costs that would be charged </w:t>
      </w:r>
      <w:r w:rsidR="00884EF4">
        <w:t>Ergon Energy</w:t>
      </w:r>
      <w:r w:rsidRPr="00E137AB">
        <w:t xml:space="preserve"> for type 5 or 6 metering services.</w:t>
      </w:r>
    </w:p>
    <w:p w:rsidR="0001599B" w:rsidRDefault="0001599B" w:rsidP="0001599B">
      <w:pPr>
        <w:numPr>
          <w:ilvl w:val="0"/>
          <w:numId w:val="25"/>
        </w:numPr>
      </w:pPr>
      <w:r w:rsidRPr="00E934D3">
        <w:t>We did not approve large upfront metering transfer or exit fees which would be a barrier to competitive entry. Instead, when a customer switches to a competitive metering provider, they will continue to pay a regulated annual charge that recovers the fixed capital costs associated with their past regulated type 5 or 6 metering service</w:t>
      </w:r>
      <w:r>
        <w:t xml:space="preserve">. </w:t>
      </w:r>
    </w:p>
    <w:p w:rsidR="00AC7A13" w:rsidRPr="00E934D3" w:rsidRDefault="00002F59" w:rsidP="00AC7A13">
      <w:r>
        <w:t xml:space="preserve">On 26 March 2015, the AEMC made a draft determination and draft rule in relation to the provision of metering and related services in the NEM. </w:t>
      </w:r>
      <w:r w:rsidR="00AC7A13" w:rsidRPr="0058687D">
        <w:t>The rule change</w:t>
      </w:r>
      <w:r w:rsidR="00AC7A13">
        <w:t xml:space="preserve"> proposes</w:t>
      </w:r>
      <w:r w:rsidR="00AC7A13" w:rsidRPr="0058687D">
        <w:t xml:space="preserve"> to expand competition in metering and related services and facilitate a market led roll out of advanced metering technology</w:t>
      </w:r>
      <w:r w:rsidR="00AC7A13">
        <w:t>.</w:t>
      </w:r>
      <w:r w:rsidR="00AC7A13" w:rsidRPr="00DE3B43">
        <w:rPr>
          <w:rStyle w:val="AERsuperscript"/>
        </w:rPr>
        <w:footnoteReference w:id="62"/>
      </w:r>
      <w:r w:rsidR="00AC7A13">
        <w:t xml:space="preserve"> </w:t>
      </w:r>
      <w:r w:rsidR="00AC7A13" w:rsidRPr="00DE3B43">
        <w:rPr>
          <w:rStyle w:val="AERsuperscript"/>
        </w:rPr>
        <w:t xml:space="preserve"> </w:t>
      </w:r>
      <w:r w:rsidR="00AC7A13" w:rsidRPr="00E934D3">
        <w:t>We have sought to create a regulatory framework robust enough to handle the transition to competition once the rule change takes effect from 1 July 2017.</w:t>
      </w:r>
    </w:p>
    <w:p w:rsidR="00E137AB" w:rsidRPr="00E137AB" w:rsidRDefault="00E137AB" w:rsidP="00E137AB">
      <w:pPr>
        <w:numPr>
          <w:ilvl w:val="0"/>
          <w:numId w:val="25"/>
        </w:numPr>
      </w:pPr>
      <w:r w:rsidRPr="00E137AB">
        <w:t xml:space="preserve">Our preliminary decision does not accept </w:t>
      </w:r>
      <w:r>
        <w:t>Ergon Energy's</w:t>
      </w:r>
      <w:r w:rsidRPr="00E137AB">
        <w:t xml:space="preserve"> proposed:</w:t>
      </w:r>
    </w:p>
    <w:p w:rsidR="00E137AB" w:rsidRPr="00E137AB" w:rsidRDefault="00E137AB" w:rsidP="00B52B05">
      <w:pPr>
        <w:pStyle w:val="AERbulletlistfirststyle"/>
      </w:pPr>
      <w:r w:rsidRPr="00E137AB">
        <w:t xml:space="preserve">annual metering service charge, because the forecast capital and labour costs do not reasonably reflect the efficient costs of a prudent operator </w:t>
      </w:r>
    </w:p>
    <w:p w:rsidR="00E137AB" w:rsidRPr="00E137AB" w:rsidRDefault="00E137AB" w:rsidP="00B52B05">
      <w:pPr>
        <w:pStyle w:val="AERbulletlistfirststyle"/>
      </w:pPr>
      <w:r w:rsidRPr="00E137AB">
        <w:t>price caps for new and upgraded connections, for similar reasons</w:t>
      </w:r>
    </w:p>
    <w:p w:rsidR="00E137AB" w:rsidRPr="00E137AB" w:rsidRDefault="00E137AB" w:rsidP="00B52B05">
      <w:pPr>
        <w:pStyle w:val="AERbulletlistfirststyle"/>
      </w:pPr>
      <w:proofErr w:type="gramStart"/>
      <w:r w:rsidRPr="00E137AB">
        <w:t>transfer</w:t>
      </w:r>
      <w:proofErr w:type="gramEnd"/>
      <w:r w:rsidRPr="00E137AB">
        <w:t xml:space="preserve"> or exit fee to switching customers to recover residual metering </w:t>
      </w:r>
      <w:r w:rsidR="00EE74F9">
        <w:t xml:space="preserve">or administrative </w:t>
      </w:r>
      <w:r w:rsidRPr="00E137AB">
        <w:t>costs.</w:t>
      </w:r>
    </w:p>
    <w:p w:rsidR="00D44A58" w:rsidRPr="00112BF8" w:rsidRDefault="00D44A58" w:rsidP="00D44A58">
      <w:pPr>
        <w:pStyle w:val="Heading2"/>
      </w:pPr>
      <w:bookmarkStart w:id="68" w:name="_Toc418685519"/>
      <w:r w:rsidRPr="00112BF8">
        <w:t>Incentive schemes</w:t>
      </w:r>
      <w:bookmarkEnd w:id="67"/>
      <w:bookmarkEnd w:id="68"/>
    </w:p>
    <w:p w:rsidR="001D62DF" w:rsidRPr="00AA082F" w:rsidRDefault="001D62DF" w:rsidP="001D62DF">
      <w:r w:rsidRPr="00AA082F">
        <w:t xml:space="preserve">Incentive schemes are a component of incentive-based regulation and complement our approach to assessing efficient costs. The incentive schemes </w:t>
      </w:r>
      <w:r>
        <w:t xml:space="preserve">that will apply to Ergon Energy </w:t>
      </w:r>
      <w:r w:rsidRPr="00AA082F">
        <w:t>are:</w:t>
      </w:r>
    </w:p>
    <w:p w:rsidR="00D44A58" w:rsidRPr="00112BF8" w:rsidRDefault="00D44A58" w:rsidP="00D44A58">
      <w:pPr>
        <w:pStyle w:val="AERbulletlistfirststyle"/>
      </w:pPr>
      <w:r w:rsidRPr="00112BF8">
        <w:t>The capital expenditure sharing scheme (CESS)</w:t>
      </w:r>
    </w:p>
    <w:p w:rsidR="00D44A58" w:rsidRPr="00112BF8" w:rsidRDefault="00D44A58" w:rsidP="00D44A58">
      <w:pPr>
        <w:pStyle w:val="AERbulletlistfirststyle"/>
      </w:pPr>
      <w:r w:rsidRPr="00112BF8">
        <w:t>The service target performance incentive scheme (STPIS)</w:t>
      </w:r>
    </w:p>
    <w:p w:rsidR="00D44A58" w:rsidRDefault="00D44A58" w:rsidP="00D44A58">
      <w:pPr>
        <w:pStyle w:val="AERbulletlistfirststyle"/>
      </w:pPr>
      <w:r w:rsidRPr="00112BF8">
        <w:t>The demand management incentive scheme (DMIS).</w:t>
      </w:r>
    </w:p>
    <w:p w:rsidR="001D62DF" w:rsidRDefault="001D62DF" w:rsidP="00335C91">
      <w:r>
        <w:t>The AER has a forth scheme</w:t>
      </w:r>
      <w:r w:rsidR="00335C91">
        <w:t>;</w:t>
      </w:r>
      <w:r>
        <w:t xml:space="preserve"> the efficiency benefit sharing scheme (EBSS) which will not be applied to Ergon Energy. We discuss this below. </w:t>
      </w:r>
    </w:p>
    <w:p w:rsidR="00D44A58" w:rsidRPr="00112BF8" w:rsidRDefault="00D44A58" w:rsidP="00D44A58">
      <w:pPr>
        <w:pStyle w:val="Heading3"/>
      </w:pPr>
      <w:bookmarkStart w:id="69" w:name="_Toc414977571"/>
      <w:bookmarkStart w:id="70" w:name="_Toc415837345"/>
      <w:bookmarkStart w:id="71" w:name="_Toc418685520"/>
      <w:r w:rsidRPr="00112BF8">
        <w:t>Efficiency benefit sharing scheme</w:t>
      </w:r>
      <w:bookmarkEnd w:id="69"/>
      <w:bookmarkEnd w:id="70"/>
      <w:bookmarkEnd w:id="71"/>
    </w:p>
    <w:p w:rsidR="009834DB" w:rsidRDefault="009834DB" w:rsidP="009834DB">
      <w:pPr>
        <w:numPr>
          <w:ilvl w:val="0"/>
          <w:numId w:val="25"/>
        </w:numPr>
        <w:rPr>
          <w:rStyle w:val="AERbody"/>
        </w:rPr>
      </w:pPr>
      <w:r w:rsidRPr="00112BF8">
        <w:rPr>
          <w:rStyle w:val="AERbody"/>
        </w:rPr>
        <w:t xml:space="preserve">The efficiency benefit sharing scheme (EBSS) provides an additional incentive for service providers to pursue efficiency improvements in </w:t>
      </w:r>
      <w:r w:rsidR="00027FAB">
        <w:rPr>
          <w:rStyle w:val="AERbody"/>
        </w:rPr>
        <w:t xml:space="preserve">its </w:t>
      </w:r>
      <w:proofErr w:type="spellStart"/>
      <w:r w:rsidRPr="00112BF8">
        <w:rPr>
          <w:rStyle w:val="AERbody"/>
        </w:rPr>
        <w:t>opex</w:t>
      </w:r>
      <w:proofErr w:type="spellEnd"/>
      <w:r w:rsidRPr="00112BF8">
        <w:rPr>
          <w:rStyle w:val="AERbody"/>
        </w:rPr>
        <w:t xml:space="preserve">. </w:t>
      </w:r>
    </w:p>
    <w:p w:rsidR="009834DB" w:rsidRDefault="009834DB" w:rsidP="009834DB">
      <w:r>
        <w:t xml:space="preserve">Because </w:t>
      </w:r>
      <w:proofErr w:type="spellStart"/>
      <w:r>
        <w:t>opex</w:t>
      </w:r>
      <w:proofErr w:type="spellEnd"/>
      <w:r>
        <w:t xml:space="preserve"> is largely recurrent and predictable, </w:t>
      </w:r>
      <w:proofErr w:type="spellStart"/>
      <w:r>
        <w:t>opex</w:t>
      </w:r>
      <w:proofErr w:type="spellEnd"/>
      <w:r>
        <w:t xml:space="preserve"> in one period is often a good indicator of </w:t>
      </w:r>
      <w:proofErr w:type="spellStart"/>
      <w:r>
        <w:t>opex</w:t>
      </w:r>
      <w:proofErr w:type="spellEnd"/>
      <w:r>
        <w:t xml:space="preserve"> in the next period (step changes provide for increases where this is not the case). Where a service provider is relatively efficient, we use the actual </w:t>
      </w:r>
      <w:proofErr w:type="spellStart"/>
      <w:r>
        <w:t>opex</w:t>
      </w:r>
      <w:proofErr w:type="spellEnd"/>
      <w:r>
        <w:t xml:space="preserve"> it incurred in a chosen base year of the regulatory control period to forecast </w:t>
      </w:r>
      <w:proofErr w:type="spellStart"/>
      <w:r>
        <w:t>opex</w:t>
      </w:r>
      <w:proofErr w:type="spellEnd"/>
      <w:r>
        <w:t xml:space="preserve"> for the next regulatory control period. We call this the 'revealed cost approach'. </w:t>
      </w:r>
    </w:p>
    <w:p w:rsidR="009834DB" w:rsidRDefault="009834DB" w:rsidP="009834DB">
      <w:r>
        <w:t xml:space="preserve">To encourage a distributor to become more efficient during the regulatory control period it is allowed to keep any difference between its approved forecast and its actual </w:t>
      </w:r>
      <w:proofErr w:type="spellStart"/>
      <w:r>
        <w:t>opex</w:t>
      </w:r>
      <w:proofErr w:type="spellEnd"/>
      <w:r>
        <w:t xml:space="preserve"> during a regulatory control period. This is supplemented by the EBSS which allows the distributor to retain efficiency savings and efficiency losses for a longer period of time. In total these rewards and penalties work together to provide a continuous incentive for a service provider to pursue efficiency gains over the regulatory control period. The EBSS also discourages a distributor from incurring </w:t>
      </w:r>
      <w:proofErr w:type="spellStart"/>
      <w:r>
        <w:t>opex</w:t>
      </w:r>
      <w:proofErr w:type="spellEnd"/>
      <w:r>
        <w:t xml:space="preserve"> in the expected base year in order to receive a higher </w:t>
      </w:r>
      <w:proofErr w:type="spellStart"/>
      <w:r>
        <w:t>opex</w:t>
      </w:r>
      <w:proofErr w:type="spellEnd"/>
      <w:r>
        <w:t xml:space="preserve"> allowance in the following regulatory control period.</w:t>
      </w:r>
      <w:r>
        <w:rPr>
          <w:rStyle w:val="FootnoteReference"/>
        </w:rPr>
        <w:footnoteReference w:id="63"/>
      </w:r>
    </w:p>
    <w:p w:rsidR="009834DB" w:rsidRDefault="00D44A58" w:rsidP="001F6C64">
      <w:pPr>
        <w:numPr>
          <w:ilvl w:val="0"/>
          <w:numId w:val="25"/>
        </w:numPr>
        <w:rPr>
          <w:rStyle w:val="AERbody"/>
        </w:rPr>
      </w:pPr>
      <w:r w:rsidRPr="001D6F12">
        <w:rPr>
          <w:rStyle w:val="AERbody"/>
        </w:rPr>
        <w:t xml:space="preserve">Our preliminary </w:t>
      </w:r>
      <w:r>
        <w:rPr>
          <w:rStyle w:val="AERbody"/>
        </w:rPr>
        <w:t>decision</w:t>
      </w:r>
      <w:r w:rsidR="001F6C64">
        <w:rPr>
          <w:rStyle w:val="AERbody"/>
        </w:rPr>
        <w:t xml:space="preserve"> </w:t>
      </w:r>
      <w:r w:rsidR="00A67906">
        <w:rPr>
          <w:rStyle w:val="AERbody"/>
        </w:rPr>
        <w:t xml:space="preserve">on </w:t>
      </w:r>
      <w:r>
        <w:rPr>
          <w:rStyle w:val="AERbody"/>
        </w:rPr>
        <w:t>the</w:t>
      </w:r>
      <w:r w:rsidRPr="001D6F12">
        <w:rPr>
          <w:rStyle w:val="AERbody"/>
        </w:rPr>
        <w:t xml:space="preserve"> EBSS </w:t>
      </w:r>
      <w:r w:rsidR="00A67906">
        <w:rPr>
          <w:rStyle w:val="AERbody"/>
        </w:rPr>
        <w:t>for</w:t>
      </w:r>
      <w:r w:rsidRPr="001D6F12">
        <w:rPr>
          <w:rStyle w:val="AERbody"/>
        </w:rPr>
        <w:t xml:space="preserve"> </w:t>
      </w:r>
      <w:r w:rsidR="001F6C64">
        <w:rPr>
          <w:rStyle w:val="AERbody"/>
        </w:rPr>
        <w:t>Ergon Energy</w:t>
      </w:r>
      <w:r w:rsidR="00A67906">
        <w:rPr>
          <w:rStyle w:val="AERbody"/>
        </w:rPr>
        <w:t xml:space="preserve"> is outlined in Attachment 9.</w:t>
      </w:r>
      <w:r w:rsidR="009834DB">
        <w:rPr>
          <w:rStyle w:val="AERbody"/>
        </w:rPr>
        <w:t xml:space="preserve"> </w:t>
      </w:r>
    </w:p>
    <w:p w:rsidR="00D44A58" w:rsidRPr="00112BF8" w:rsidRDefault="00D44A58" w:rsidP="00D44A58">
      <w:pPr>
        <w:pStyle w:val="Heading3"/>
      </w:pPr>
      <w:bookmarkStart w:id="72" w:name="_Toc414977574"/>
      <w:bookmarkStart w:id="73" w:name="_Toc415837348"/>
      <w:bookmarkStart w:id="74" w:name="_Toc418685521"/>
      <w:r w:rsidRPr="00112BF8">
        <w:t>Capital expenditure sharing scheme</w:t>
      </w:r>
      <w:bookmarkEnd w:id="72"/>
      <w:bookmarkEnd w:id="73"/>
      <w:bookmarkEnd w:id="74"/>
    </w:p>
    <w:p w:rsidR="00D44A58" w:rsidRPr="00112BF8" w:rsidRDefault="00D44A58" w:rsidP="00D44A58">
      <w:pPr>
        <w:numPr>
          <w:ilvl w:val="0"/>
          <w:numId w:val="25"/>
        </w:numPr>
      </w:pPr>
      <w:r w:rsidRPr="00112BF8">
        <w:t xml:space="preserve">The capital expenditure sharing scheme (CESS) provides financial rewards for network service providers whose capex becomes more efficient </w:t>
      </w:r>
      <w:r w:rsidR="00002F59">
        <w:t xml:space="preserve">throughout the regulatory control period </w:t>
      </w:r>
      <w:r w:rsidRPr="00112BF8">
        <w:t xml:space="preserve">and financial penalties for those that become less efficient. Consumers benefit from improved efficiency through lower regulated prices. </w:t>
      </w:r>
    </w:p>
    <w:p w:rsidR="00D44A58" w:rsidRPr="006C6CA7" w:rsidRDefault="00D44A58" w:rsidP="00D44A58">
      <w:pPr>
        <w:numPr>
          <w:ilvl w:val="0"/>
          <w:numId w:val="25"/>
        </w:numPr>
        <w:rPr>
          <w:shd w:val="clear" w:color="auto" w:fill="FFFF00"/>
        </w:rPr>
      </w:pPr>
      <w:r w:rsidRPr="00112BF8">
        <w:t xml:space="preserve">Under the CESS a service provider retains 30 per cent of the benefit or cost of </w:t>
      </w:r>
      <w:proofErr w:type="gramStart"/>
      <w:r w:rsidRPr="00112BF8">
        <w:t>an underspend</w:t>
      </w:r>
      <w:proofErr w:type="gramEnd"/>
      <w:r w:rsidRPr="00112BF8">
        <w:t xml:space="preserve"> or overspend, while consumers retain 70 per cent of the benefit or cost of an underspend or overspend. This means that for a one dollar saving in capex the service provider keeps 30 cents of the benefit while consumers keep 70 cents of the benefit. Conversely, in the case of </w:t>
      </w:r>
      <w:proofErr w:type="gramStart"/>
      <w:r w:rsidRPr="00112BF8">
        <w:t>an overspend</w:t>
      </w:r>
      <w:proofErr w:type="gramEnd"/>
      <w:r w:rsidRPr="00112BF8">
        <w:t>, the service provider pays for 30 cents of the cost while consumers bear 70 cents of the cost.</w:t>
      </w:r>
    </w:p>
    <w:p w:rsidR="00002F59" w:rsidRDefault="00002F59" w:rsidP="00002F59">
      <w:pPr>
        <w:numPr>
          <w:ilvl w:val="0"/>
          <w:numId w:val="25"/>
        </w:numPr>
      </w:pPr>
      <w:r>
        <w:t>T</w:t>
      </w:r>
      <w:r w:rsidRPr="002C4193">
        <w:t xml:space="preserve">he CESS is not predicated on addressing incentives resulting from a revealed cost forecasting approach. </w:t>
      </w:r>
      <w:r>
        <w:t xml:space="preserve">The purpose of the CESS is to provide a continuous incentive to deliver efficient overall capex and to share the benefits of capex efficiency gains (or costs of capex efficiency losses) between the distributor and consumers. The way in which capex underspends and overspends are shared occurs independently of </w:t>
      </w:r>
      <w:r w:rsidRPr="00A840C0">
        <w:t xml:space="preserve">how the EBSS </w:t>
      </w:r>
      <w:r>
        <w:t>applies, and independently of the precise amount of total forecast capex.</w:t>
      </w:r>
      <w:r>
        <w:rPr>
          <w:rStyle w:val="FootnoteReference"/>
        </w:rPr>
        <w:footnoteReference w:id="64"/>
      </w:r>
      <w:r>
        <w:t xml:space="preserve"> </w:t>
      </w:r>
    </w:p>
    <w:p w:rsidR="00D44A58" w:rsidRPr="00112BF8" w:rsidRDefault="00D44A58" w:rsidP="00D44A58">
      <w:r w:rsidRPr="00112BF8">
        <w:t xml:space="preserve">We will apply version 1 of the CESS as set out the </w:t>
      </w:r>
      <w:r w:rsidR="000E26C1">
        <w:t>C</w:t>
      </w:r>
      <w:r w:rsidRPr="00112BF8">
        <w:t xml:space="preserve">apital </w:t>
      </w:r>
      <w:r w:rsidR="000E26C1">
        <w:t>E</w:t>
      </w:r>
      <w:r w:rsidRPr="00112BF8">
        <w:t xml:space="preserve">xpenditure </w:t>
      </w:r>
      <w:r w:rsidR="000E26C1">
        <w:t>I</w:t>
      </w:r>
      <w:r w:rsidRPr="00112BF8">
        <w:t xml:space="preserve">ncentives </w:t>
      </w:r>
      <w:r w:rsidR="000E26C1">
        <w:t>G</w:t>
      </w:r>
      <w:r w:rsidRPr="00112BF8">
        <w:t xml:space="preserve">uideline </w:t>
      </w:r>
      <w:r w:rsidR="00EC2491">
        <w:t>to Ergon Energy</w:t>
      </w:r>
      <w:r w:rsidRPr="00112BF8">
        <w:t xml:space="preserve"> in the 201</w:t>
      </w:r>
      <w:r>
        <w:t xml:space="preserve">5–20 regulatory control period as </w:t>
      </w:r>
      <w:r w:rsidR="00EC2491">
        <w:t>Ergon Energy</w:t>
      </w:r>
      <w:r>
        <w:t xml:space="preserve"> proposed.</w:t>
      </w:r>
      <w:r w:rsidRPr="00B20052">
        <w:rPr>
          <w:rStyle w:val="FootnoteReference"/>
        </w:rPr>
        <w:footnoteReference w:id="65"/>
      </w:r>
      <w:r w:rsidR="00335C91">
        <w:t xml:space="preserve"> Attachment 10 sets out our reasons for our preliminary decision on CESS.</w:t>
      </w:r>
    </w:p>
    <w:p w:rsidR="00D44A58" w:rsidRPr="00112BF8" w:rsidRDefault="00D44A58" w:rsidP="00D44A58">
      <w:pPr>
        <w:pStyle w:val="Heading3"/>
      </w:pPr>
      <w:bookmarkStart w:id="75" w:name="_Toc414977577"/>
      <w:bookmarkStart w:id="76" w:name="_Toc415837350"/>
      <w:bookmarkStart w:id="77" w:name="_Toc418685522"/>
      <w:r w:rsidRPr="00112BF8">
        <w:t>Service target performance incentive scheme (STPIS)</w:t>
      </w:r>
      <w:bookmarkEnd w:id="75"/>
      <w:bookmarkEnd w:id="76"/>
      <w:bookmarkEnd w:id="77"/>
    </w:p>
    <w:p w:rsidR="00AC7A13" w:rsidRPr="006E5A4D" w:rsidRDefault="00AC7A13" w:rsidP="00AC7A13">
      <w:pPr>
        <w:numPr>
          <w:ilvl w:val="0"/>
          <w:numId w:val="25"/>
        </w:numPr>
      </w:pPr>
      <w:bookmarkStart w:id="78" w:name="_Toc414977580"/>
      <w:bookmarkStart w:id="79" w:name="_Toc415837352"/>
      <w:r w:rsidRPr="006E5A4D">
        <w:t xml:space="preserve">We will apply the s-factor component of our national STPIS to </w:t>
      </w:r>
      <w:r>
        <w:t>Ergon Energy</w:t>
      </w:r>
      <w:r w:rsidRPr="006E5A4D">
        <w:t xml:space="preserve"> for the 2015–</w:t>
      </w:r>
      <w:r>
        <w:t>20</w:t>
      </w:r>
      <w:r w:rsidRPr="006E5A4D">
        <w:t xml:space="preserve"> regulatory control </w:t>
      </w:r>
      <w:proofErr w:type="gramStart"/>
      <w:r w:rsidRPr="006E5A4D">
        <w:t>period</w:t>
      </w:r>
      <w:proofErr w:type="gramEnd"/>
      <w:r w:rsidRPr="006E5A4D">
        <w:t xml:space="preserve">. We will not apply the </w:t>
      </w:r>
      <w:r w:rsidR="00027FAB">
        <w:t>guaranteed</w:t>
      </w:r>
      <w:r w:rsidR="00027FAB" w:rsidRPr="006E5A4D">
        <w:t xml:space="preserve"> </w:t>
      </w:r>
      <w:r w:rsidR="00027FAB">
        <w:t>service level (</w:t>
      </w:r>
      <w:r w:rsidRPr="006E5A4D">
        <w:t>GSL</w:t>
      </w:r>
      <w:r w:rsidR="00027FAB">
        <w:t>)</w:t>
      </w:r>
      <w:r w:rsidRPr="006E5A4D">
        <w:t xml:space="preserve"> component to </w:t>
      </w:r>
      <w:r>
        <w:t xml:space="preserve">Ergon Energy </w:t>
      </w:r>
      <w:r w:rsidRPr="006E5A4D">
        <w:t xml:space="preserve">as the existing </w:t>
      </w:r>
      <w:r>
        <w:t>Q</w:t>
      </w:r>
      <w:r w:rsidR="00027FAB">
        <w:t>ueensland</w:t>
      </w:r>
      <w:r>
        <w:t xml:space="preserve"> </w:t>
      </w:r>
      <w:r w:rsidRPr="006E5A4D">
        <w:t>arrangements will continue to apply.</w:t>
      </w:r>
      <w:r>
        <w:t xml:space="preserve"> </w:t>
      </w:r>
      <w:r w:rsidRPr="006E5A4D">
        <w:t xml:space="preserve">We have accepted </w:t>
      </w:r>
      <w:r>
        <w:t>Ergon Energy</w:t>
      </w:r>
      <w:r w:rsidRPr="006E5A4D">
        <w:t xml:space="preserve">'s proposal to cap revenue at risk under the scheme at ±2 per cent. </w:t>
      </w:r>
    </w:p>
    <w:p w:rsidR="00AC7A13" w:rsidRPr="006E5A4D" w:rsidRDefault="00AC7A13" w:rsidP="00AC7A13">
      <w:pPr>
        <w:numPr>
          <w:ilvl w:val="0"/>
          <w:numId w:val="25"/>
        </w:numPr>
        <w:rPr>
          <w:rStyle w:val="AERbody"/>
        </w:rPr>
      </w:pPr>
      <w:r w:rsidRPr="006E5A4D">
        <w:t>The national STPIS is intended to balance the incentives to reduce expenditure with the need to maintain or improve service quality. It achieves this by providing financial incentives to distributors to maintain and improve service performance (where customers are willing to pay for these improvements).</w:t>
      </w:r>
      <w:r w:rsidRPr="006E5A4D">
        <w:rPr>
          <w:rStyle w:val="FootnoteReference"/>
        </w:rPr>
        <w:footnoteReference w:id="66"/>
      </w:r>
      <w:r w:rsidRPr="006E5A4D">
        <w:t xml:space="preserve"> Hence, t</w:t>
      </w:r>
      <w:r w:rsidRPr="006E5A4D">
        <w:rPr>
          <w:rStyle w:val="AERbody"/>
        </w:rPr>
        <w:t xml:space="preserve">he STPIS also provides an incentive for distributors to invest in further reliability improvements (via additional capex or </w:t>
      </w:r>
      <w:proofErr w:type="spellStart"/>
      <w:r w:rsidRPr="006E5A4D">
        <w:rPr>
          <w:rStyle w:val="AERbody"/>
        </w:rPr>
        <w:t>opex</w:t>
      </w:r>
      <w:proofErr w:type="spellEnd"/>
      <w:r w:rsidRPr="006E5A4D">
        <w:rPr>
          <w:rStyle w:val="AERbody"/>
        </w:rPr>
        <w:t xml:space="preserve">) where customers are willing to pay for it. Conversely, the STPIS penalises distributors where they let reliability deteriorate. Importantly, the distributor will only receive a financial reward after actual improvements are delivered to the customers. </w:t>
      </w:r>
    </w:p>
    <w:p w:rsidR="00AC7A13" w:rsidRPr="006E5A4D" w:rsidRDefault="00AC7A13" w:rsidP="00AC7A13">
      <w:pPr>
        <w:rPr>
          <w:rStyle w:val="AERbody"/>
        </w:rPr>
      </w:pPr>
      <w:r w:rsidRPr="006E5A4D">
        <w:rPr>
          <w:rStyle w:val="AERbody"/>
        </w:rPr>
        <w:t>In conjunction with CESS, the STPIS will ensure that:</w:t>
      </w:r>
    </w:p>
    <w:p w:rsidR="00AC7A13" w:rsidRPr="006E5A4D" w:rsidRDefault="00AC7A13" w:rsidP="00AC7A13">
      <w:pPr>
        <w:pStyle w:val="AERbulletlistfirststyle"/>
        <w:rPr>
          <w:rStyle w:val="AERbody"/>
        </w:rPr>
      </w:pPr>
      <w:r w:rsidRPr="006E5A4D">
        <w:rPr>
          <w:rStyle w:val="AERbody"/>
        </w:rPr>
        <w:t>any additional investments to improve reliability are based on prudent economic decisions</w:t>
      </w:r>
    </w:p>
    <w:p w:rsidR="00AC7A13" w:rsidRPr="006E5A4D" w:rsidRDefault="00AC7A13" w:rsidP="00AC7A13">
      <w:pPr>
        <w:pStyle w:val="AERbulletlistfirststyle"/>
        <w:rPr>
          <w:rStyle w:val="AERbody"/>
        </w:rPr>
      </w:pPr>
      <w:proofErr w:type="gramStart"/>
      <w:r w:rsidRPr="006E5A4D">
        <w:rPr>
          <w:rStyle w:val="AERbody"/>
        </w:rPr>
        <w:t>reductions</w:t>
      </w:r>
      <w:proofErr w:type="gramEnd"/>
      <w:r w:rsidRPr="006E5A4D">
        <w:rPr>
          <w:rStyle w:val="AERbody"/>
        </w:rPr>
        <w:t xml:space="preserve"> in capex are achieved efficiently, rather than at the expense of service levels to customers.</w:t>
      </w:r>
    </w:p>
    <w:p w:rsidR="00AC7A13" w:rsidRDefault="00AC7A13" w:rsidP="00AC7A13">
      <w:pPr>
        <w:numPr>
          <w:ilvl w:val="0"/>
          <w:numId w:val="25"/>
        </w:numPr>
      </w:pPr>
      <w:r w:rsidRPr="006E5A4D">
        <w:t>In setting the STPIS performance targets, we have considered both completed and planned reliability improvements expected to materially affect network reliability performance. By setting the performance targets in such a way, any incentive a distributor may have to reduce the capex at the expense of target service levels should be curtailed by the STPIS financial penalties.</w:t>
      </w:r>
    </w:p>
    <w:p w:rsidR="00AC7A13" w:rsidRPr="00112BF8" w:rsidRDefault="00AC7A13" w:rsidP="00AC7A13">
      <w:pPr>
        <w:numPr>
          <w:ilvl w:val="0"/>
          <w:numId w:val="25"/>
        </w:numPr>
      </w:pPr>
      <w:r>
        <w:rPr>
          <w:rStyle w:val="AERbody"/>
        </w:rPr>
        <w:t xml:space="preserve">Attachment 11 sets out our preliminary decision on Ergon Energy's service component parameter values. </w:t>
      </w:r>
    </w:p>
    <w:p w:rsidR="00D44A58" w:rsidRPr="00112BF8" w:rsidRDefault="00D44A58" w:rsidP="00D44A58">
      <w:pPr>
        <w:pStyle w:val="Heading3"/>
      </w:pPr>
      <w:bookmarkStart w:id="80" w:name="_Toc418685523"/>
      <w:r w:rsidRPr="00112BF8">
        <w:t>Demand management incentive scheme</w:t>
      </w:r>
      <w:bookmarkEnd w:id="78"/>
      <w:bookmarkEnd w:id="79"/>
      <w:bookmarkEnd w:id="80"/>
    </w:p>
    <w:p w:rsidR="00D44A58" w:rsidRDefault="00D44A58" w:rsidP="00D44A58">
      <w:pPr>
        <w:numPr>
          <w:ilvl w:val="0"/>
          <w:numId w:val="25"/>
        </w:numPr>
      </w:pPr>
      <w:r w:rsidRPr="00112BF8">
        <w:t>The demand management incentive scheme (DMIS) includes a demand management innovation allowance (DMIA). The DMIA is a capped allowance for distributors to investigate and conduct broad based and/or peak demand management projects.</w:t>
      </w:r>
    </w:p>
    <w:p w:rsidR="00D44A58" w:rsidRDefault="00D44A58" w:rsidP="00D44A58">
      <w:r w:rsidRPr="00112BF8">
        <w:t xml:space="preserve">We have determined to continue Part A of the Demand Management Innovation Allowance (DMIA) </w:t>
      </w:r>
      <w:r>
        <w:t>to</w:t>
      </w:r>
      <w:r w:rsidRPr="00854231">
        <w:t xml:space="preserve"> </w:t>
      </w:r>
      <w:r w:rsidR="001B030A">
        <w:t xml:space="preserve">Ergon Energy </w:t>
      </w:r>
      <w:r>
        <w:t>in the 2015–20</w:t>
      </w:r>
      <w:r w:rsidRPr="00112BF8">
        <w:t xml:space="preserve"> regulatory control </w:t>
      </w:r>
      <w:proofErr w:type="gramStart"/>
      <w:r w:rsidRPr="00112BF8">
        <w:t>period</w:t>
      </w:r>
      <w:proofErr w:type="gramEnd"/>
      <w:r w:rsidRPr="00112BF8">
        <w:t xml:space="preserve">. This is consistent with our proposed approach in final F&amp;A. </w:t>
      </w:r>
    </w:p>
    <w:p w:rsidR="00D44A58" w:rsidRDefault="00E24B7E" w:rsidP="00D44A58">
      <w:r>
        <w:t>Ergon Energy will continue to be able to recover an</w:t>
      </w:r>
      <w:r w:rsidR="00D44A58" w:rsidRPr="00112BF8">
        <w:t xml:space="preserve"> amount of $1 million ($2014-15) per annum in the 2015–20 regulatory</w:t>
      </w:r>
      <w:r>
        <w:t xml:space="preserve"> control</w:t>
      </w:r>
      <w:r w:rsidR="00D44A58" w:rsidRPr="00112BF8">
        <w:t xml:space="preserve"> </w:t>
      </w:r>
      <w:proofErr w:type="gramStart"/>
      <w:r w:rsidR="00D44A58" w:rsidRPr="00112BF8">
        <w:t>period</w:t>
      </w:r>
      <w:proofErr w:type="gramEnd"/>
      <w:r w:rsidR="006945CC">
        <w:t xml:space="preserve"> for innovation</w:t>
      </w:r>
      <w:r w:rsidR="00D44A58" w:rsidRPr="00112BF8">
        <w:t>.</w:t>
      </w:r>
    </w:p>
    <w:p w:rsidR="00D44A58" w:rsidRDefault="00D44A58" w:rsidP="00D44A58">
      <w:pPr>
        <w:pStyle w:val="Heading1"/>
      </w:pPr>
      <w:bookmarkStart w:id="81" w:name="_Toc415837354"/>
      <w:bookmarkStart w:id="82" w:name="_Toc418685524"/>
      <w:r w:rsidRPr="008F3A0D">
        <w:t>Regulatory framework</w:t>
      </w:r>
      <w:bookmarkEnd w:id="81"/>
      <w:bookmarkEnd w:id="82"/>
    </w:p>
    <w:p w:rsidR="00D44A58" w:rsidRDefault="00D44A58" w:rsidP="00D44A58">
      <w:pPr>
        <w:numPr>
          <w:ilvl w:val="0"/>
          <w:numId w:val="25"/>
        </w:numPr>
      </w:pPr>
      <w:r w:rsidRPr="006C7462">
        <w:t xml:space="preserve">The NEL and the NER provide the </w:t>
      </w:r>
      <w:r>
        <w:t>regulatory</w:t>
      </w:r>
      <w:r w:rsidRPr="006C7462">
        <w:t xml:space="preserve"> framework under which we operate. </w:t>
      </w:r>
      <w:r>
        <w:t>These set out how we must assess a regulatory proposal and make our decision. In this section we set out some key aspects of this framework.</w:t>
      </w:r>
    </w:p>
    <w:p w:rsidR="00D44A58" w:rsidRPr="006C7462" w:rsidRDefault="00D44A58" w:rsidP="00D44A58">
      <w:pPr>
        <w:numPr>
          <w:ilvl w:val="0"/>
          <w:numId w:val="25"/>
        </w:numPr>
      </w:pPr>
      <w:r w:rsidRPr="006C7462">
        <w:t xml:space="preserve">The NEO is the central feature of the </w:t>
      </w:r>
      <w:r>
        <w:t>regulatory</w:t>
      </w:r>
      <w:r w:rsidRPr="006C7462">
        <w:t xml:space="preserve"> framework. The NEO is to promote efficient investment in, and efficient operation and use of, electricity services for the long term interests of consumers of electricity with respect to—</w:t>
      </w:r>
    </w:p>
    <w:p w:rsidR="00D44A58" w:rsidRPr="006C7462" w:rsidRDefault="00D44A58" w:rsidP="00D44A58">
      <w:pPr>
        <w:pStyle w:val="AERquote"/>
      </w:pPr>
      <w:proofErr w:type="gramStart"/>
      <w:r w:rsidRPr="006C7462">
        <w:t>price</w:t>
      </w:r>
      <w:proofErr w:type="gramEnd"/>
      <w:r w:rsidRPr="006C7462">
        <w:t>, quality, safety, reliability and security of supply of electricity; and</w:t>
      </w:r>
    </w:p>
    <w:p w:rsidR="00D44A58" w:rsidRPr="006C7462" w:rsidRDefault="00D44A58" w:rsidP="00D44A58">
      <w:pPr>
        <w:pStyle w:val="AERquote"/>
      </w:pPr>
      <w:proofErr w:type="gramStart"/>
      <w:r w:rsidRPr="006C7462">
        <w:t>the</w:t>
      </w:r>
      <w:proofErr w:type="gramEnd"/>
      <w:r w:rsidRPr="006C7462">
        <w:t xml:space="preserve"> reliability, safety and security of the national electricity system.</w:t>
      </w:r>
      <w:r w:rsidRPr="006C7462">
        <w:rPr>
          <w:rStyle w:val="FootnoteReference"/>
        </w:rPr>
        <w:footnoteReference w:id="67"/>
      </w:r>
      <w:r w:rsidRPr="006C7462">
        <w:t xml:space="preserve">  </w:t>
      </w:r>
    </w:p>
    <w:p w:rsidR="00D44A58" w:rsidRPr="003B504B" w:rsidRDefault="00D44A58" w:rsidP="00D44A58">
      <w:r w:rsidRPr="006C7462">
        <w:t>The NEL also includes the revenue and pricing principles (RPP), which support the NEO.</w:t>
      </w:r>
      <w:r w:rsidRPr="006C7462">
        <w:rPr>
          <w:rStyle w:val="FootnoteReference"/>
        </w:rPr>
        <w:footnoteReference w:id="68"/>
      </w:r>
      <w:r w:rsidRPr="006C7462">
        <w:t xml:space="preserve"> As the NEL requires,</w:t>
      </w:r>
      <w:r w:rsidRPr="006C7462">
        <w:rPr>
          <w:rStyle w:val="FootnoteReference"/>
        </w:rPr>
        <w:footnoteReference w:id="69"/>
      </w:r>
      <w:r w:rsidRPr="006C7462">
        <w:t xml:space="preserve"> we have taken the RPPs into account throughout our analysis. The RPPs are: </w:t>
      </w:r>
    </w:p>
    <w:p w:rsidR="00D44A58" w:rsidRPr="00AF78C7" w:rsidRDefault="00D44A58" w:rsidP="00D44A58">
      <w:pPr>
        <w:pStyle w:val="AERquote"/>
      </w:pPr>
      <w:r w:rsidRPr="00AF78C7">
        <w:t>A regulated network service provider should be provided with a reasonable opportunity to recover at least the efficient costs the operator incurs in—</w:t>
      </w:r>
    </w:p>
    <w:p w:rsidR="00D44A58" w:rsidRPr="00AF78C7" w:rsidRDefault="00D44A58" w:rsidP="00D44A58">
      <w:pPr>
        <w:pStyle w:val="AERquotebullet1"/>
      </w:pPr>
      <w:r w:rsidRPr="00AF78C7">
        <w:t>providing direct control network services; and</w:t>
      </w:r>
    </w:p>
    <w:p w:rsidR="00D44A58" w:rsidRPr="00AF78C7" w:rsidRDefault="00D44A58" w:rsidP="00D44A58">
      <w:pPr>
        <w:pStyle w:val="AERquotebullet1"/>
      </w:pPr>
      <w:proofErr w:type="gramStart"/>
      <w:r w:rsidRPr="00AF78C7">
        <w:t>complying</w:t>
      </w:r>
      <w:proofErr w:type="gramEnd"/>
      <w:r w:rsidRPr="00AF78C7">
        <w:t xml:space="preserve"> with a regulatory obligation or requirement or making a regulatory payment.</w:t>
      </w:r>
    </w:p>
    <w:p w:rsidR="00D44A58" w:rsidRPr="00AF78C7" w:rsidRDefault="00D44A58" w:rsidP="00D44A58">
      <w:pPr>
        <w:pStyle w:val="AERquote"/>
      </w:pPr>
      <w:r w:rsidRPr="00AF78C7">
        <w:t>A regulated network service provider should be provided with effective incentives in order to promote economic efficiency with respect to direct control network services the operator provides. The economic efficiency that should be promoted includes—</w:t>
      </w:r>
    </w:p>
    <w:p w:rsidR="00D44A58" w:rsidRPr="00AF78C7" w:rsidRDefault="00D44A58" w:rsidP="00D44A58">
      <w:pPr>
        <w:pStyle w:val="AERquotebullet1"/>
      </w:pPr>
      <w:r w:rsidRPr="00AF78C7">
        <w:t>efficient investment in a distribution system or transmission system with which the operator provides direct control network services; and</w:t>
      </w:r>
    </w:p>
    <w:p w:rsidR="00D44A58" w:rsidRPr="003B504B" w:rsidRDefault="00D44A58" w:rsidP="00D44A58">
      <w:pPr>
        <w:pStyle w:val="AERquotebullet1"/>
      </w:pPr>
      <w:r w:rsidRPr="00AF78C7">
        <w:t>the efficient provision of electricity network services; and</w:t>
      </w:r>
    </w:p>
    <w:p w:rsidR="00D44A58" w:rsidRPr="00AF78C7" w:rsidRDefault="00D44A58" w:rsidP="00D44A58">
      <w:pPr>
        <w:pStyle w:val="AERquotebullet1"/>
      </w:pPr>
      <w:proofErr w:type="gramStart"/>
      <w:r w:rsidRPr="00AF78C7">
        <w:t>the</w:t>
      </w:r>
      <w:proofErr w:type="gramEnd"/>
      <w:r w:rsidRPr="00AF78C7">
        <w:t xml:space="preserve"> efficient use of the distribution system or transmission system with which the operator provides direct control network services.</w:t>
      </w:r>
    </w:p>
    <w:p w:rsidR="00D44A58" w:rsidRPr="00AF78C7" w:rsidRDefault="00D44A58" w:rsidP="00D44A58">
      <w:pPr>
        <w:pStyle w:val="AERquote"/>
      </w:pPr>
      <w:r w:rsidRPr="00AF78C7">
        <w:t>Regard should be had to the regulatory asset base with respect to a distribution system or transmission system adopted—</w:t>
      </w:r>
    </w:p>
    <w:p w:rsidR="00D44A58" w:rsidRPr="00AF78C7" w:rsidRDefault="00D44A58" w:rsidP="00D44A58">
      <w:pPr>
        <w:pStyle w:val="AERquotebullet1"/>
      </w:pPr>
      <w:r w:rsidRPr="00AF78C7">
        <w:t>in any previous—</w:t>
      </w:r>
    </w:p>
    <w:p w:rsidR="00D44A58" w:rsidRPr="00AF78C7" w:rsidRDefault="00D44A58" w:rsidP="00535FC7">
      <w:pPr>
        <w:pStyle w:val="AERquotebullet1"/>
        <w:numPr>
          <w:ilvl w:val="1"/>
          <w:numId w:val="23"/>
        </w:numPr>
      </w:pPr>
      <w:r w:rsidRPr="00AF78C7">
        <w:t>as the case requires, distribution determination or transmission determination; or</w:t>
      </w:r>
    </w:p>
    <w:p w:rsidR="00D44A58" w:rsidRPr="00AF78C7" w:rsidRDefault="00D44A58" w:rsidP="00535FC7">
      <w:pPr>
        <w:pStyle w:val="AERquotebullet1"/>
        <w:numPr>
          <w:ilvl w:val="1"/>
          <w:numId w:val="23"/>
        </w:numPr>
      </w:pPr>
      <w:r w:rsidRPr="00AF78C7">
        <w:t>determination or decision under the National Electricity Code or jurisdictional electricity legislation regulating the revenue earned, or prices charged, by a person providing services by means of that distribution system or transmission system; or</w:t>
      </w:r>
    </w:p>
    <w:p w:rsidR="00D44A58" w:rsidRPr="00AF78C7" w:rsidRDefault="00D44A58" w:rsidP="00D44A58">
      <w:pPr>
        <w:pStyle w:val="AERquotebullet1"/>
      </w:pPr>
      <w:proofErr w:type="gramStart"/>
      <w:r w:rsidRPr="00AF78C7">
        <w:t>in</w:t>
      </w:r>
      <w:proofErr w:type="gramEnd"/>
      <w:r w:rsidRPr="00AF78C7">
        <w:t xml:space="preserve"> the Rules.</w:t>
      </w:r>
    </w:p>
    <w:p w:rsidR="00D44A58" w:rsidRPr="00AF78C7" w:rsidRDefault="00D44A58" w:rsidP="00D44A58">
      <w:pPr>
        <w:pStyle w:val="AERquote"/>
      </w:pPr>
      <w:r w:rsidRPr="00AF78C7">
        <w:t>A price or charge for the provision of a direct control network service should allow for a return commensurate with the regulatory and commercial risks involved in providing the direct control network service to which that price or charge relates.</w:t>
      </w:r>
    </w:p>
    <w:p w:rsidR="00D44A58" w:rsidRPr="00AF78C7" w:rsidRDefault="00D44A58" w:rsidP="00D44A58">
      <w:pPr>
        <w:pStyle w:val="AERquote"/>
      </w:pPr>
      <w:r w:rsidRPr="00AF78C7">
        <w:t>Regard should be had to the economic costs and risks of the potential for under and over investment by a regulated network service provider in, as the case requires, a distribution system or transmission system with which the operator provides direct control network services.</w:t>
      </w:r>
    </w:p>
    <w:p w:rsidR="00D44A58" w:rsidRDefault="00D44A58" w:rsidP="00D44A58">
      <w:pPr>
        <w:pStyle w:val="AERquote"/>
      </w:pPr>
      <w:r w:rsidRPr="006C7462">
        <w:t xml:space="preserve">Regard should be had to the economic costs and risks of the potential for under and over utilisation of a distribution system or transmission system with which a regulated network service provider provides direct control network services. </w:t>
      </w:r>
    </w:p>
    <w:p w:rsidR="00D44A58" w:rsidRDefault="00247351" w:rsidP="00D44A58">
      <w:pPr>
        <w:numPr>
          <w:ilvl w:val="0"/>
          <w:numId w:val="25"/>
        </w:numPr>
      </w:pPr>
      <w:r>
        <w:t xml:space="preserve">Consistent with Energy Ministers' views, we </w:t>
      </w:r>
      <w:r w:rsidR="00D44A58">
        <w:t xml:space="preserve">set </w:t>
      </w:r>
      <w:r w:rsidR="00321127">
        <w:t>revenue allowances</w:t>
      </w:r>
      <w:r w:rsidR="00E24B7E">
        <w:t xml:space="preserve"> </w:t>
      </w:r>
      <w:r w:rsidR="00D44A58">
        <w:t xml:space="preserve">to balance all of the elements of the NEO and </w:t>
      </w:r>
      <w:r>
        <w:t xml:space="preserve">consider each of the RPPs </w:t>
      </w:r>
      <w:proofErr w:type="gramStart"/>
      <w:r>
        <w:t>are</w:t>
      </w:r>
      <w:proofErr w:type="gramEnd"/>
      <w:r>
        <w:t xml:space="preserve"> equally vital.</w:t>
      </w:r>
      <w:r w:rsidR="00D44A58">
        <w:rPr>
          <w:rStyle w:val="FootnoteReference"/>
        </w:rPr>
        <w:footnoteReference w:id="70"/>
      </w:r>
      <w:r w:rsidR="00D44A58">
        <w:t xml:space="preserve"> </w:t>
      </w:r>
    </w:p>
    <w:p w:rsidR="00D44A58" w:rsidRDefault="00D44A58" w:rsidP="00D44A58">
      <w:pPr>
        <w:numPr>
          <w:ilvl w:val="0"/>
          <w:numId w:val="25"/>
        </w:numPr>
      </w:pPr>
      <w:r>
        <w:t>C</w:t>
      </w:r>
      <w:r w:rsidRPr="00892ECD">
        <w:t xml:space="preserve">hapter 6 of the NER provides </w:t>
      </w:r>
      <w:r>
        <w:t xml:space="preserve">specifically for the </w:t>
      </w:r>
      <w:r w:rsidRPr="00892ECD">
        <w:t>economic regulation of distributors</w:t>
      </w:r>
      <w:r>
        <w:t>. It includes detailed rules about the constituent components of our decisions. These are intended to contribute to the achievement of the NEO.</w:t>
      </w:r>
      <w:r>
        <w:rPr>
          <w:rStyle w:val="FootnoteReference"/>
        </w:rPr>
        <w:footnoteReference w:id="71"/>
      </w:r>
      <w:r>
        <w:t xml:space="preserve"> The AEMC has made </w:t>
      </w:r>
      <w:r w:rsidR="00E24B7E">
        <w:t xml:space="preserve">it </w:t>
      </w:r>
      <w:r>
        <w:t>clear that, in relation to key aspects of revenue, the rule</w:t>
      </w:r>
      <w:r w:rsidR="00E24B7E">
        <w:t xml:space="preserve">s guide the AER, but </w:t>
      </w:r>
      <w:r>
        <w:t>do not dictate any specific regulatory outcome.</w:t>
      </w:r>
      <w:r>
        <w:rPr>
          <w:rStyle w:val="FootnoteReference"/>
        </w:rPr>
        <w:footnoteReference w:id="72"/>
      </w:r>
      <w:r>
        <w:t xml:space="preserve"> For example, the AEMC has said:</w:t>
      </w:r>
    </w:p>
    <w:p w:rsidR="00D44A58" w:rsidRPr="00E25951" w:rsidRDefault="00D44A58" w:rsidP="00D44A58">
      <w:pPr>
        <w:pStyle w:val="AERquote"/>
      </w:pPr>
      <w:r w:rsidRPr="00E25951">
        <w:t>Some stakeholders appear to have understood the objectives as imposing on the regulator a requirement and that failure to comply with this would mean the regulator is in breach of the rules. This is not the case. Although the language of an obligation is used in some objectives, it is not necessarily expected that the substance of the objective will always be fully achieved, but rather the regulator should be striving to achieve the objective as fully as possible.</w:t>
      </w:r>
    </w:p>
    <w:p w:rsidR="00D44A58" w:rsidRDefault="00D44A58" w:rsidP="00D44A58">
      <w:r>
        <w:t>Given this framework</w:t>
      </w:r>
      <w:r w:rsidRPr="00715EF7">
        <w:t>, we consider the NEO and how to achieve it throughout our decision making processes.</w:t>
      </w:r>
    </w:p>
    <w:p w:rsidR="00D44A58" w:rsidRDefault="00D44A58" w:rsidP="00D44A58"/>
    <w:p w:rsidR="00D44A58" w:rsidRPr="00201F77" w:rsidRDefault="00D44A58" w:rsidP="00D44A58">
      <w:pPr>
        <w:pStyle w:val="Heading2"/>
      </w:pPr>
      <w:bookmarkStart w:id="83" w:name="_Toc415837355"/>
      <w:bookmarkStart w:id="84" w:name="_Toc418685525"/>
      <w:r w:rsidRPr="00352D7C">
        <w:t>Understanding</w:t>
      </w:r>
      <w:r w:rsidRPr="00201F77">
        <w:t xml:space="preserve"> the NEO</w:t>
      </w:r>
      <w:bookmarkEnd w:id="83"/>
      <w:bookmarkEnd w:id="84"/>
    </w:p>
    <w:p w:rsidR="00D44A58" w:rsidRPr="006C7462" w:rsidRDefault="00D44A58" w:rsidP="00D44A58">
      <w:r w:rsidRPr="006C7462">
        <w:t>Energy Ministers have provided us with a</w:t>
      </w:r>
      <w:r w:rsidR="00E24B7E">
        <w:t xml:space="preserve"> substantial body of explanatory material</w:t>
      </w:r>
      <w:r w:rsidRPr="006C7462">
        <w:t xml:space="preserve"> that guides our understanding of the NEO.</w:t>
      </w:r>
      <w:r w:rsidRPr="006C7462">
        <w:rPr>
          <w:rStyle w:val="FootnoteReference"/>
        </w:rPr>
        <w:footnoteReference w:id="73"/>
      </w:r>
      <w:r>
        <w:t xml:space="preserve"> </w:t>
      </w:r>
      <w:r w:rsidRPr="006C7462">
        <w:t>The long term interests of consumers are not delivered by any one of the NEO's factors in isolation, but rather by balancing them</w:t>
      </w:r>
      <w:r w:rsidR="007D41CB">
        <w:t xml:space="preserve"> in reaching a regulatory decision</w:t>
      </w:r>
      <w:r w:rsidRPr="006C7462">
        <w:t>.</w:t>
      </w:r>
      <w:r w:rsidRPr="006C7462">
        <w:rPr>
          <w:rStyle w:val="FootnoteReference"/>
        </w:rPr>
        <w:footnoteReference w:id="74"/>
      </w:r>
    </w:p>
    <w:p w:rsidR="00D44A58" w:rsidRPr="006C7462" w:rsidRDefault="00D44A58" w:rsidP="00D44A58">
      <w:r w:rsidRPr="006C7462">
        <w:t>In general, we consider that we will achieve this balance and, therefore, contribute to the achievement of the NEO</w:t>
      </w:r>
      <w:r>
        <w:t>,</w:t>
      </w:r>
      <w:r w:rsidRPr="006C7462">
        <w:t xml:space="preserve"> where consumers </w:t>
      </w:r>
      <w:r>
        <w:t>are provided</w:t>
      </w:r>
      <w:r w:rsidRPr="006C7462">
        <w:t xml:space="preserve"> a reasonable level of</w:t>
      </w:r>
      <w:r w:rsidR="007D41CB">
        <w:t xml:space="preserve"> safe and reliable</w:t>
      </w:r>
      <w:r w:rsidRPr="006C7462">
        <w:t xml:space="preserve"> service </w:t>
      </w:r>
      <w:r>
        <w:t xml:space="preserve">that they value </w:t>
      </w:r>
      <w:r w:rsidRPr="006C7462">
        <w:t xml:space="preserve">at </w:t>
      </w:r>
      <w:r>
        <w:t>least cost in the long run</w:t>
      </w:r>
      <w:r w:rsidRPr="006C7462">
        <w:t>.</w:t>
      </w:r>
      <w:r w:rsidRPr="006C7462">
        <w:rPr>
          <w:rStyle w:val="FootnoteReference"/>
        </w:rPr>
        <w:footnoteReference w:id="75"/>
      </w:r>
      <w:r w:rsidRPr="006C7462">
        <w:t xml:space="preserve"> In most industries, competition creates this outcome. Competition drives suppliers to develop their offerings to attract customers. Where a supplier’s offering is not attractive it risks being displaced by other suppliers.</w:t>
      </w:r>
    </w:p>
    <w:p w:rsidR="00D44A58" w:rsidRPr="006C7462" w:rsidRDefault="00D44A58" w:rsidP="00D44A58">
      <w:r w:rsidRPr="006C7462">
        <w:t xml:space="preserve">However, in the energy networks industry the usual competitive disciplines do not </w:t>
      </w:r>
      <w:r w:rsidR="0034277C">
        <w:t>apply</w:t>
      </w:r>
      <w:r w:rsidRPr="006C7462">
        <w:t xml:space="preserve">. </w:t>
      </w:r>
      <w:r w:rsidR="0034277C">
        <w:t>D</w:t>
      </w:r>
      <w:r w:rsidRPr="006C7462">
        <w:t xml:space="preserve">istributors are largely natural monopolies. </w:t>
      </w:r>
      <w:r w:rsidR="0034277C">
        <w:t>In addition, m</w:t>
      </w:r>
      <w:r w:rsidRPr="006C7462">
        <w:t>any of the products they offer are essential services for most consumers. Consequently, in an uncompetitive environment, consumers have little choice but to accept the quality</w:t>
      </w:r>
      <w:r w:rsidR="007D41CB">
        <w:t xml:space="preserve">, reliability </w:t>
      </w:r>
      <w:r w:rsidRPr="006C7462">
        <w:t>and price the distributors offer.</w:t>
      </w:r>
    </w:p>
    <w:p w:rsidR="00D44A58" w:rsidRPr="006C7462" w:rsidRDefault="00D44A58" w:rsidP="00D44A58">
      <w:r w:rsidRPr="006C7462">
        <w:t xml:space="preserve">The NEL and NER aim to remedy the absence of competition by </w:t>
      </w:r>
      <w:r>
        <w:t>providing that we</w:t>
      </w:r>
      <w:r w:rsidRPr="006C7462">
        <w:t xml:space="preserve">, as </w:t>
      </w:r>
      <w:r w:rsidR="00E24B7E">
        <w:t xml:space="preserve">the </w:t>
      </w:r>
      <w:r w:rsidRPr="006C7462">
        <w:t xml:space="preserve">regulator, make decisions that are in the long term interests of consumers. In particular, we might need to require the distributors to offer their services at a different price than they would choose themselves. By its nature, this process will involve exercising regulatory </w:t>
      </w:r>
      <w:r>
        <w:t>judgement</w:t>
      </w:r>
      <w:r w:rsidRPr="006C7462">
        <w:t xml:space="preserve"> to balance the NEO's various factors.</w:t>
      </w:r>
    </w:p>
    <w:p w:rsidR="00335C91" w:rsidRDefault="00D44A58" w:rsidP="00D44A58">
      <w:r w:rsidRPr="006C7462">
        <w:t xml:space="preserve">It is important to recognise that there </w:t>
      </w:r>
      <w:r>
        <w:t xml:space="preserve">are a number of plausible outcomes </w:t>
      </w:r>
      <w:r w:rsidRPr="006C7462">
        <w:t xml:space="preserve">that </w:t>
      </w:r>
      <w:r>
        <w:t xml:space="preserve">may </w:t>
      </w:r>
      <w:r w:rsidRPr="006C7462">
        <w:t xml:space="preserve">contribute to the achievement of the NEO. The nature of decisions </w:t>
      </w:r>
      <w:r>
        <w:t>under the NER</w:t>
      </w:r>
      <w:r w:rsidRPr="006C7462">
        <w:t xml:space="preserve"> is such that there may be a range of economically efficient decisions, with different implications for the long term interests of consumers.</w:t>
      </w:r>
      <w:r w:rsidRPr="006C7462">
        <w:rPr>
          <w:rStyle w:val="FootnoteReference"/>
        </w:rPr>
        <w:footnoteReference w:id="76"/>
      </w:r>
      <w:r w:rsidRPr="006C7462">
        <w:t xml:space="preserve"> At the same time, however, there are a range of outcomes that are unlikely to advance the NEO to a satisfactory extent. For example, we do not consider that the NEO would be advanced if allowed revenues encourage overinvestment and result in prices so high that consumers are unwilling or unable to efficiently use the network.</w:t>
      </w:r>
      <w:r w:rsidRPr="006C7462">
        <w:rPr>
          <w:rStyle w:val="FootnoteReference"/>
        </w:rPr>
        <w:footnoteReference w:id="77"/>
      </w:r>
      <w:r w:rsidRPr="006C7462">
        <w:t xml:space="preserve"> This could have significant longer term pricing implications for those consumers who continue to use network services. </w:t>
      </w:r>
    </w:p>
    <w:p w:rsidR="00D44A58" w:rsidRDefault="00D44A58" w:rsidP="00D44A58">
      <w:r w:rsidRPr="006C7462">
        <w:t xml:space="preserve">Equally, we do not consider the NEO would be advanced if allowed revenues result in prices so low that investors are unwilling to invest as required to adequately maintain the appropriate quality and level of service, </w:t>
      </w:r>
      <w:r>
        <w:t xml:space="preserve">and where customers are making more use of the network than is sustainable. This </w:t>
      </w:r>
      <w:r w:rsidR="009D2A8E">
        <w:t xml:space="preserve">could </w:t>
      </w:r>
      <w:r w:rsidRPr="006C7462">
        <w:t>creat</w:t>
      </w:r>
      <w:r>
        <w:t>e</w:t>
      </w:r>
      <w:r w:rsidRPr="006C7462">
        <w:t xml:space="preserve"> longer term problems in the network</w:t>
      </w:r>
      <w:r w:rsidRPr="006C7462">
        <w:rPr>
          <w:rStyle w:val="FootnoteReference"/>
        </w:rPr>
        <w:footnoteReference w:id="78"/>
      </w:r>
      <w:r w:rsidRPr="006C7462">
        <w:t xml:space="preserve"> </w:t>
      </w:r>
      <w:r>
        <w:t>and</w:t>
      </w:r>
      <w:r w:rsidRPr="006C7462">
        <w:t xml:space="preserve"> c</w:t>
      </w:r>
      <w:r w:rsidR="009D2A8E">
        <w:t>ould</w:t>
      </w:r>
      <w:r w:rsidRPr="006C7462">
        <w:t xml:space="preserve"> have adverse consequences for safety, security and reliability of the network. </w:t>
      </w:r>
    </w:p>
    <w:p w:rsidR="00D44A58" w:rsidRPr="00201F77" w:rsidRDefault="0074351E" w:rsidP="00D44A58">
      <w:pPr>
        <w:pStyle w:val="Heading2"/>
      </w:pPr>
      <w:bookmarkStart w:id="85" w:name="_Toc418685526"/>
      <w:r>
        <w:t>The 2012 framework changes</w:t>
      </w:r>
      <w:bookmarkEnd w:id="85"/>
    </w:p>
    <w:p w:rsidR="00D44A58" w:rsidRPr="006C7462" w:rsidRDefault="00D44A58" w:rsidP="00D44A58">
      <w:r w:rsidRPr="006C7462">
        <w:t xml:space="preserve">This is the first decision we have made </w:t>
      </w:r>
      <w:r w:rsidR="00321127">
        <w:t xml:space="preserve">for Ergon Energy </w:t>
      </w:r>
      <w:r w:rsidRPr="006C7462">
        <w:t xml:space="preserve">following changes to the NEL and NER in 2012 and 2013. The NEL and NER were </w:t>
      </w:r>
      <w:r w:rsidR="007D41CB">
        <w:t xml:space="preserve">amended </w:t>
      </w:r>
      <w:r w:rsidRPr="006C7462">
        <w:t>to provide greater emphasis on the NEO and greater discretion to us.</w:t>
      </w:r>
      <w:r w:rsidRPr="006C7462">
        <w:rPr>
          <w:rStyle w:val="FootnoteReference"/>
        </w:rPr>
        <w:footnoteReference w:id="79"/>
      </w:r>
      <w:r w:rsidRPr="006C7462">
        <w:t xml:space="preserve"> The amended NER allow</w:t>
      </w:r>
      <w:r w:rsidR="009D2A8E">
        <w:t>, and the AEMC has</w:t>
      </w:r>
      <w:r w:rsidRPr="006C7462">
        <w:t xml:space="preserve"> encourage</w:t>
      </w:r>
      <w:r w:rsidR="009D2A8E">
        <w:t>d</w:t>
      </w:r>
      <w:r w:rsidRPr="006C7462">
        <w:t xml:space="preserve"> us to approach decision making more holistically to meet overall objectives consistent with the NEO and RPPs.</w:t>
      </w:r>
      <w:r w:rsidRPr="006C7462">
        <w:rPr>
          <w:rStyle w:val="FootnoteReference"/>
        </w:rPr>
        <w:footnoteReference w:id="80"/>
      </w:r>
      <w:r w:rsidR="001D62DF">
        <w:t xml:space="preserve"> </w:t>
      </w:r>
      <w:r w:rsidR="00E24B7E">
        <w:t>Further</w:t>
      </w:r>
      <w:r w:rsidR="00247351">
        <w:t>, one of the</w:t>
      </w:r>
      <w:r w:rsidR="001D62DF">
        <w:t xml:space="preserve"> purpose</w:t>
      </w:r>
      <w:r w:rsidR="00247351">
        <w:t>s</w:t>
      </w:r>
      <w:r w:rsidR="001D62DF">
        <w:t xml:space="preserve"> of these changes was to give consumers a clearer and more prominent role in the decision making process</w:t>
      </w:r>
      <w:r w:rsidRPr="006C7462">
        <w:t>.</w:t>
      </w:r>
      <w:r w:rsidRPr="006C7462">
        <w:rPr>
          <w:rStyle w:val="FootnoteReference"/>
        </w:rPr>
        <w:footnoteReference w:id="81"/>
      </w:r>
    </w:p>
    <w:p w:rsidR="004819CC" w:rsidRDefault="00D44A58" w:rsidP="00D44A58">
      <w:pPr>
        <w:numPr>
          <w:ilvl w:val="0"/>
          <w:numId w:val="25"/>
        </w:numPr>
      </w:pPr>
      <w:r w:rsidRPr="006C7462">
        <w:t xml:space="preserve">In 2013, the NEL was changed with similar aims in mind. </w:t>
      </w:r>
      <w:r w:rsidR="004819CC">
        <w:t>The long term interests of consumers are a key focus of the changes</w:t>
      </w:r>
      <w:r w:rsidRPr="006C7462">
        <w:t>.</w:t>
      </w:r>
      <w:r w:rsidRPr="006C7462">
        <w:rPr>
          <w:rStyle w:val="FootnoteReference"/>
        </w:rPr>
        <w:footnoteReference w:id="82"/>
      </w:r>
      <w:r w:rsidR="009D2A8E">
        <w:t xml:space="preserve"> The changes also support analysing</w:t>
      </w:r>
      <w:r w:rsidRPr="006C7462">
        <w:t xml:space="preserve"> the decision </w:t>
      </w:r>
      <w:r w:rsidRPr="006C6CA7">
        <w:rPr>
          <w:rStyle w:val="AERtextitalic"/>
        </w:rPr>
        <w:t>as a whole</w:t>
      </w:r>
      <w:r w:rsidRPr="006C7462">
        <w:t xml:space="preserve"> in light of the NEO.</w:t>
      </w:r>
      <w:r w:rsidRPr="006C7462">
        <w:rPr>
          <w:rStyle w:val="FootnoteReference"/>
        </w:rPr>
        <w:footnoteReference w:id="83"/>
      </w:r>
      <w:r w:rsidRPr="006C7462">
        <w:t xml:space="preserve"> </w:t>
      </w:r>
    </w:p>
    <w:p w:rsidR="00D44A58" w:rsidRDefault="00335C91" w:rsidP="00D44A58">
      <w:pPr>
        <w:numPr>
          <w:ilvl w:val="0"/>
          <w:numId w:val="25"/>
        </w:numPr>
      </w:pPr>
      <w:r>
        <w:t>T</w:t>
      </w:r>
      <w:r w:rsidR="00D44A58" w:rsidRPr="00C362C1">
        <w:t>he NEL now requires us to specify how the constituent components of our decision relate to each other and how we have taken those interrelationships into account in making our decision.</w:t>
      </w:r>
      <w:r w:rsidR="00D44A58">
        <w:rPr>
          <w:rStyle w:val="FootnoteReference"/>
        </w:rPr>
        <w:footnoteReference w:id="84"/>
      </w:r>
      <w:r w:rsidR="00D44A58" w:rsidRPr="00C362C1">
        <w:t xml:space="preserve"> </w:t>
      </w:r>
      <w:r w:rsidR="004819CC">
        <w:t>It</w:t>
      </w:r>
      <w:r w:rsidR="00D44A58" w:rsidRPr="00C362C1">
        <w:t xml:space="preserve"> also anticipates </w:t>
      </w:r>
      <w:r w:rsidR="004819CC">
        <w:t>the possibility of two or more decisions</w:t>
      </w:r>
      <w:r w:rsidR="00D44A58" w:rsidRPr="00C362C1">
        <w:t xml:space="preserve"> that will or are likely to contribute to the achievement of the NEO. It requires that, in those cases, we must make the decision we are satisfied will or is likely to contribute to the achievement of the NEO to the greatest degree.</w:t>
      </w:r>
      <w:r w:rsidR="00D44A58">
        <w:rPr>
          <w:rStyle w:val="FootnoteReference"/>
        </w:rPr>
        <w:footnoteReference w:id="85"/>
      </w:r>
      <w:r w:rsidR="00D44A58">
        <w:t xml:space="preserve"> </w:t>
      </w:r>
      <w:r>
        <w:t>The NER requires that we provide reasons for our decisions.</w:t>
      </w:r>
      <w:r>
        <w:rPr>
          <w:rStyle w:val="FootnoteReference"/>
        </w:rPr>
        <w:footnoteReference w:id="86"/>
      </w:r>
    </w:p>
    <w:p w:rsidR="004819CC" w:rsidRDefault="004819CC" w:rsidP="004819CC">
      <w:pPr>
        <w:pStyle w:val="ListParagraph"/>
        <w:numPr>
          <w:ilvl w:val="0"/>
          <w:numId w:val="25"/>
        </w:numPr>
      </w:pPr>
      <w:r w:rsidRPr="004819CC">
        <w:t>The NEL does not prescribe how we are to apply these overarching requirements and so in applying them, we have exercised our regulatory judgement. We have done so by</w:t>
      </w:r>
      <w:r>
        <w:t xml:space="preserve"> </w:t>
      </w:r>
      <w:r w:rsidRPr="004819CC">
        <w:t>determining revenue in accordance with the detailed provisions in the NER. This assessment is in each of our attachments. As part of that assessment, and in accordance with the NEL requirements, we identify and assess</w:t>
      </w:r>
      <w:r>
        <w:t xml:space="preserve"> i</w:t>
      </w:r>
      <w:r w:rsidRPr="004819CC">
        <w:t xml:space="preserve">nterrelationships between the constituent components of our preliminary decision. In the following sections, we explain our approach to evaluating these interrelationships and then set out how we assessed what will contribute to the achievement of the NEO to the greatest degree. Section 1 of this overview demonstrates how we have applied these approaches for this decision. </w:t>
      </w:r>
    </w:p>
    <w:p w:rsidR="00321127" w:rsidRDefault="00321127" w:rsidP="00321127">
      <w:pPr>
        <w:pStyle w:val="ListParagraph"/>
        <w:numPr>
          <w:ilvl w:val="0"/>
          <w:numId w:val="25"/>
        </w:numPr>
      </w:pPr>
      <w:r w:rsidRPr="004579DA">
        <w:t xml:space="preserve">This preliminary decision is made </w:t>
      </w:r>
      <w:r>
        <w:t xml:space="preserve">under transitional rules made to allow for revenue determinations to be made across the National Electricity Market that apply the changes to the NEL and the NER described above. For distributors in Queensland and South Australia, this has involved the making of a 'preliminary decision which is revoked and substituted with a final decision (see sections 5.2.1 and 6 below for more detail), in lieu of the usual process of making draft and final decisions. </w:t>
      </w:r>
    </w:p>
    <w:p w:rsidR="00321127" w:rsidRPr="004579DA" w:rsidRDefault="00321127" w:rsidP="00321127">
      <w:pPr>
        <w:pStyle w:val="ListParagraph"/>
        <w:numPr>
          <w:ilvl w:val="0"/>
          <w:numId w:val="25"/>
        </w:numPr>
      </w:pPr>
      <w:r>
        <w:t>Under the usual process, our draft decision has no effect on revenues or prices. In contrast, this preliminary decision will be used to determine prices for the first year of the regulatory control period. Any difference between the preliminary and final decisions will be accounted for by way of an adjustment to revenues in the balance of the regulatory control period (see section 5.2.1).</w:t>
      </w:r>
    </w:p>
    <w:p w:rsidR="00D44A58" w:rsidRPr="00C362C1" w:rsidRDefault="00D44A58" w:rsidP="00D44A58">
      <w:pPr>
        <w:pStyle w:val="Heading3"/>
      </w:pPr>
      <w:bookmarkStart w:id="86" w:name="_Toc414977586"/>
      <w:bookmarkStart w:id="87" w:name="_Toc415837357"/>
      <w:bookmarkStart w:id="88" w:name="_Toc418685527"/>
      <w:r w:rsidRPr="00C362C1">
        <w:t>Interrelationships</w:t>
      </w:r>
      <w:bookmarkEnd w:id="86"/>
      <w:bookmarkEnd w:id="87"/>
      <w:bookmarkEnd w:id="88"/>
      <w:r w:rsidRPr="00C362C1">
        <w:t xml:space="preserve"> </w:t>
      </w:r>
    </w:p>
    <w:p w:rsidR="00D44A58" w:rsidRPr="00C362C1" w:rsidRDefault="00D44A58" w:rsidP="00D44A58">
      <w:r w:rsidRPr="00C362C1">
        <w:t xml:space="preserve">A distribution determination is a complex decision and must be considered as such. </w:t>
      </w:r>
      <w:r w:rsidR="003D0951">
        <w:t>Considering</w:t>
      </w:r>
      <w:r w:rsidRPr="00C362C1">
        <w:t xml:space="preserve"> constituent components in isolation ignores the importance of these interrelationships</w:t>
      </w:r>
      <w:r w:rsidR="0034277C">
        <w:t xml:space="preserve"> between the components</w:t>
      </w:r>
      <w:r w:rsidR="00A774E1">
        <w:t xml:space="preserve"> and</w:t>
      </w:r>
      <w:r w:rsidRPr="00C362C1">
        <w:t xml:space="preserve"> would not contribute to the achievement of the NEO</w:t>
      </w:r>
      <w:r w:rsidR="000232E2">
        <w:t xml:space="preserve">. </w:t>
      </w:r>
      <w:r w:rsidR="003D0951">
        <w:t xml:space="preserve">As outlined by Energy </w:t>
      </w:r>
      <w:r w:rsidR="000232E2">
        <w:t>Minister</w:t>
      </w:r>
      <w:r w:rsidR="00DB48AA">
        <w:t>s</w:t>
      </w:r>
      <w:r w:rsidR="003D0951">
        <w:t>, considering the elements in isolation has</w:t>
      </w:r>
      <w:r w:rsidR="000232E2">
        <w:t xml:space="preserve"> </w:t>
      </w:r>
      <w:r w:rsidRPr="00C362C1">
        <w:t>resulted in regulatory failures</w:t>
      </w:r>
      <w:r w:rsidR="009663A7">
        <w:t xml:space="preserve"> in the past</w:t>
      </w:r>
      <w:r w:rsidRPr="00C362C1">
        <w:t>.</w:t>
      </w:r>
      <w:r>
        <w:rPr>
          <w:rStyle w:val="FootnoteReference"/>
        </w:rPr>
        <w:footnoteReference w:id="87"/>
      </w:r>
      <w:r w:rsidRPr="00C362C1">
        <w:t xml:space="preserve"> Interrelationships can take various forms, including:</w:t>
      </w:r>
    </w:p>
    <w:p w:rsidR="00D44A58" w:rsidRPr="00C362C1" w:rsidRDefault="00D44A58" w:rsidP="00D44A58">
      <w:pPr>
        <w:pStyle w:val="AERbulletlistfirststyle"/>
      </w:pPr>
      <w:proofErr w:type="gramStart"/>
      <w:r w:rsidRPr="00C362C1">
        <w:t>underlying</w:t>
      </w:r>
      <w:proofErr w:type="gramEnd"/>
      <w:r w:rsidRPr="00C362C1">
        <w:t xml:space="preserve"> drivers and context which are likely to affect many constituent components of our decision. For example, forecast demand affects the efficient levels of capex and </w:t>
      </w:r>
      <w:proofErr w:type="spellStart"/>
      <w:r w:rsidRPr="00C362C1">
        <w:t>opex</w:t>
      </w:r>
      <w:proofErr w:type="spellEnd"/>
      <w:r w:rsidRPr="00C362C1">
        <w:t xml:space="preserve"> in the regulatory control period </w:t>
      </w:r>
      <w:r>
        <w:t>(see attachment 6)</w:t>
      </w:r>
      <w:r w:rsidRPr="00C362C1">
        <w:t>.</w:t>
      </w:r>
    </w:p>
    <w:p w:rsidR="00D44A58" w:rsidRPr="00C362C1" w:rsidRDefault="00D44A58" w:rsidP="00D44A58">
      <w:pPr>
        <w:pStyle w:val="AERbulletlistfirststyle"/>
      </w:pPr>
      <w:proofErr w:type="gramStart"/>
      <w:r w:rsidRPr="00C362C1">
        <w:t>direct</w:t>
      </w:r>
      <w:proofErr w:type="gramEnd"/>
      <w:r w:rsidRPr="00C362C1">
        <w:t xml:space="preserve"> mathematical links between different components of a decision. For example, the level of gamma has an impact on the appropriate tax allowance; the benchmark efficient entity's debt to equity ratio has a direct effect on the cost of equity, the cost of debt, and the overall vanilla rate of return</w:t>
      </w:r>
      <w:r>
        <w:t xml:space="preserve"> (see attachments 3, 4 and 8)</w:t>
      </w:r>
      <w:r w:rsidRPr="00C362C1">
        <w:t>.</w:t>
      </w:r>
    </w:p>
    <w:p w:rsidR="00D44A58" w:rsidRPr="00C362C1" w:rsidRDefault="00D44A58" w:rsidP="00D44A58">
      <w:pPr>
        <w:pStyle w:val="AERbulletlistfirststyle"/>
      </w:pPr>
      <w:proofErr w:type="gramStart"/>
      <w:r w:rsidRPr="00C362C1">
        <w:t>trade-</w:t>
      </w:r>
      <w:proofErr w:type="gramEnd"/>
      <w:r w:rsidRPr="00C362C1">
        <w:t xml:space="preserve">offs between different components of revenue. For example, undertaking a particular capex project may affect the need for </w:t>
      </w:r>
      <w:proofErr w:type="spellStart"/>
      <w:r w:rsidRPr="00C362C1">
        <w:t>opex</w:t>
      </w:r>
      <w:proofErr w:type="spellEnd"/>
      <w:r w:rsidRPr="00C362C1">
        <w:t xml:space="preserve"> </w:t>
      </w:r>
      <w:r w:rsidR="009663A7">
        <w:t>or</w:t>
      </w:r>
      <w:r w:rsidRPr="00C362C1">
        <w:t xml:space="preserve"> vice versa</w:t>
      </w:r>
      <w:r>
        <w:t xml:space="preserve"> (see attachments 6 and 7)</w:t>
      </w:r>
      <w:r w:rsidRPr="00C362C1">
        <w:t>.</w:t>
      </w:r>
    </w:p>
    <w:p w:rsidR="00D44A58" w:rsidRPr="00C362C1" w:rsidRDefault="00D44A58" w:rsidP="00D44A58">
      <w:pPr>
        <w:pStyle w:val="AERbulletlistfirststyle"/>
      </w:pPr>
      <w:proofErr w:type="gramStart"/>
      <w:r w:rsidRPr="00C362C1">
        <w:t>trade-</w:t>
      </w:r>
      <w:proofErr w:type="gramEnd"/>
      <w:r w:rsidRPr="00C362C1">
        <w:t xml:space="preserve">offs between forecast and actual regulatory measures. The reasons for one part of a proposal may have impacts on other parts of a proposal. For example, an increase in augmentation to the network means the distributor has more assets to maintain leading to higher </w:t>
      </w:r>
      <w:proofErr w:type="spellStart"/>
      <w:r w:rsidRPr="00C362C1">
        <w:t>opex</w:t>
      </w:r>
      <w:proofErr w:type="spellEnd"/>
      <w:r w:rsidRPr="00C362C1">
        <w:t xml:space="preserve"> requirements</w:t>
      </w:r>
      <w:r>
        <w:t xml:space="preserve"> (see attachments 6 and 7)</w:t>
      </w:r>
      <w:r w:rsidRPr="00C362C1">
        <w:t>.</w:t>
      </w:r>
    </w:p>
    <w:p w:rsidR="00D44A58" w:rsidRPr="00C362C1" w:rsidRDefault="00D44A58" w:rsidP="00D44A58">
      <w:pPr>
        <w:pStyle w:val="AERbulletlistfirststyle"/>
      </w:pPr>
      <w:proofErr w:type="gramStart"/>
      <w:r w:rsidRPr="00C362C1">
        <w:t>the</w:t>
      </w:r>
      <w:proofErr w:type="gramEnd"/>
      <w:r w:rsidRPr="00C362C1">
        <w:t xml:space="preserve"> distributor's </w:t>
      </w:r>
      <w:r w:rsidR="009806CA">
        <w:t>approach</w:t>
      </w:r>
      <w:r w:rsidRPr="00C362C1">
        <w:t xml:space="preserve"> to managing its network. The distributor's governance arrangements and its approach to risk management will influence most aspects of the proposal, including capex/</w:t>
      </w:r>
      <w:proofErr w:type="spellStart"/>
      <w:r w:rsidRPr="00C362C1">
        <w:t>opex</w:t>
      </w:r>
      <w:proofErr w:type="spellEnd"/>
      <w:r w:rsidRPr="00C362C1">
        <w:t xml:space="preserve"> trade-offs</w:t>
      </w:r>
      <w:r>
        <w:t xml:space="preserve"> (see attachment 6)</w:t>
      </w:r>
      <w:r w:rsidRPr="00C362C1">
        <w:t>.</w:t>
      </w:r>
    </w:p>
    <w:p w:rsidR="00D44A58" w:rsidRPr="00F2786E" w:rsidRDefault="009663A7" w:rsidP="00D44A58">
      <w:r>
        <w:t xml:space="preserve">We have considered </w:t>
      </w:r>
      <w:r w:rsidR="00D44A58" w:rsidRPr="00F2786E">
        <w:t>interrelationships</w:t>
      </w:r>
      <w:r w:rsidR="00247351">
        <w:t>, including those above,</w:t>
      </w:r>
      <w:r w:rsidR="00D44A58" w:rsidRPr="00F2786E">
        <w:t xml:space="preserve"> </w:t>
      </w:r>
      <w:r w:rsidR="00FD73BF">
        <w:t>in</w:t>
      </w:r>
      <w:r w:rsidR="00D44A58" w:rsidRPr="00F2786E">
        <w:t xml:space="preserve"> our analysis of the constituent components of our </w:t>
      </w:r>
      <w:r w:rsidR="00E24B7E">
        <w:t xml:space="preserve">preliminary </w:t>
      </w:r>
      <w:r w:rsidR="00D44A58" w:rsidRPr="00F2786E">
        <w:t xml:space="preserve">decision. </w:t>
      </w:r>
      <w:r w:rsidR="0074351E">
        <w:t>These considerations are explored in the relevant attachments.</w:t>
      </w:r>
    </w:p>
    <w:p w:rsidR="00D44A58" w:rsidRPr="006C7462" w:rsidRDefault="00D44A58" w:rsidP="00D44A58"/>
    <w:p w:rsidR="00D44A58" w:rsidRPr="00650825" w:rsidRDefault="00D44A58" w:rsidP="00D44A58">
      <w:pPr>
        <w:pStyle w:val="Heading1"/>
      </w:pPr>
      <w:bookmarkStart w:id="89" w:name="_Toc415837359"/>
      <w:bookmarkStart w:id="90" w:name="_Toc418685528"/>
      <w:r>
        <w:t>Process</w:t>
      </w:r>
      <w:bookmarkEnd w:id="89"/>
      <w:bookmarkEnd w:id="90"/>
    </w:p>
    <w:p w:rsidR="00D44A58" w:rsidRPr="00BE1F1B" w:rsidRDefault="00D44A58" w:rsidP="00D44A58">
      <w:r>
        <w:t xml:space="preserve">The NEL requires us to inform stakeholders of the material issues we are considering and to give them a reasonable opportunity to make submissions in respect of this </w:t>
      </w:r>
      <w:r w:rsidR="00E24B7E">
        <w:t xml:space="preserve">preliminary </w:t>
      </w:r>
      <w:r>
        <w:t>decision.</w:t>
      </w:r>
      <w:r>
        <w:rPr>
          <w:rStyle w:val="FootnoteReference"/>
        </w:rPr>
        <w:footnoteReference w:id="88"/>
      </w:r>
    </w:p>
    <w:p w:rsidR="00D44A58" w:rsidRPr="003B504B" w:rsidRDefault="00D44A58" w:rsidP="00D44A58">
      <w:r>
        <w:t xml:space="preserve">Below we set out the process we have followed </w:t>
      </w:r>
      <w:r w:rsidR="0034277C">
        <w:t xml:space="preserve">leading up to </w:t>
      </w:r>
      <w:r w:rsidR="001B030A">
        <w:t>Ergon Energy</w:t>
      </w:r>
      <w:r w:rsidR="0034277C">
        <w:t>'s</w:t>
      </w:r>
      <w:r>
        <w:t xml:space="preserve"> submi</w:t>
      </w:r>
      <w:r w:rsidR="0034277C">
        <w:t>ssion of</w:t>
      </w:r>
      <w:r>
        <w:t xml:space="preserve"> its regulatory proposal, to ensure that </w:t>
      </w:r>
      <w:r w:rsidRPr="003B504B">
        <w:t xml:space="preserve">we have </w:t>
      </w:r>
      <w:r>
        <w:t>fully taken into account all views.</w:t>
      </w:r>
      <w:r w:rsidRPr="003B504B">
        <w:t xml:space="preserve"> </w:t>
      </w:r>
    </w:p>
    <w:p w:rsidR="00D44A58" w:rsidRPr="00274C7E" w:rsidRDefault="00D44A58" w:rsidP="00D44A58">
      <w:pPr>
        <w:pStyle w:val="Heading2"/>
      </w:pPr>
      <w:bookmarkStart w:id="91" w:name="_Toc415837360"/>
      <w:bookmarkStart w:id="92" w:name="_Toc418685529"/>
      <w:r w:rsidRPr="00274C7E">
        <w:t>Better Regulation program</w:t>
      </w:r>
      <w:bookmarkEnd w:id="91"/>
      <w:bookmarkEnd w:id="92"/>
    </w:p>
    <w:p w:rsidR="00D44A58" w:rsidRDefault="00D44A58" w:rsidP="00D44A58">
      <w:r>
        <w:t xml:space="preserve">Following the 2012 changes to the NER, we spent much of 2013 consulting on and refining our assessment methods and approaches to decision making. </w:t>
      </w:r>
      <w:r w:rsidRPr="00536BA0">
        <w:t>We referred to this as our Better Regulation program. The objective of this program was to refine our approaches, with a greater emphasis on incentive regulation.</w:t>
      </w:r>
      <w:r>
        <w:rPr>
          <w:rStyle w:val="FootnoteReference"/>
        </w:rPr>
        <w:footnoteReference w:id="89"/>
      </w:r>
      <w:r>
        <w:t xml:space="preserve"> The Better Regulation program was designed to be an inclusive process that provided an opportunity for all stakeholders to be engaged and provide their input.</w:t>
      </w:r>
      <w:r w:rsidRPr="00BF5C86">
        <w:rPr>
          <w:rStyle w:val="FootnoteReference"/>
        </w:rPr>
        <w:footnoteReference w:id="90"/>
      </w:r>
      <w:r>
        <w:t xml:space="preserve"> </w:t>
      </w:r>
    </w:p>
    <w:p w:rsidR="00D44A58" w:rsidRDefault="00D44A58" w:rsidP="00D44A58">
      <w:pPr>
        <w:numPr>
          <w:ilvl w:val="0"/>
          <w:numId w:val="25"/>
        </w:numPr>
      </w:pPr>
      <w:r>
        <w:t xml:space="preserve">The resulting </w:t>
      </w:r>
      <w:r w:rsidR="000E26C1">
        <w:t>G</w:t>
      </w:r>
      <w:r>
        <w:t xml:space="preserve">uidelines support our decision making framework as </w:t>
      </w:r>
      <w:r w:rsidR="00E24B7E">
        <w:t xml:space="preserve">set </w:t>
      </w:r>
      <w:r>
        <w:t xml:space="preserve">out in section 16 of the NEL. Our consultation and engagement gives us confidence the approaches set out in the </w:t>
      </w:r>
      <w:r w:rsidR="000E26C1">
        <w:t>G</w:t>
      </w:r>
      <w:r>
        <w:t>uidelines, which we have applied in this decision, will result in decisions that will or are likely to contribute to the achievement of the NEO</w:t>
      </w:r>
      <w:r w:rsidR="00E24B7E">
        <w:t xml:space="preserve"> to the greatest degree</w:t>
      </w:r>
      <w:r>
        <w:t xml:space="preserve">. </w:t>
      </w:r>
      <w:r w:rsidR="003D0951">
        <w:t>Our Better Regulation Guidelines are available on our website and include:</w:t>
      </w:r>
      <w:r w:rsidR="003D0951">
        <w:rPr>
          <w:rStyle w:val="FootnoteReference"/>
        </w:rPr>
        <w:footnoteReference w:id="91"/>
      </w:r>
    </w:p>
    <w:p w:rsidR="003D0951" w:rsidRDefault="003D0951" w:rsidP="00855C20">
      <w:pPr>
        <w:pStyle w:val="AERbulletlistfirststyle"/>
      </w:pPr>
      <w:r>
        <w:t>Expenditure Forecast Assessment Guideline</w:t>
      </w:r>
    </w:p>
    <w:p w:rsidR="003D0951" w:rsidRDefault="003D0951" w:rsidP="00855C20">
      <w:pPr>
        <w:pStyle w:val="AERbulletlistfirststyle"/>
      </w:pPr>
      <w:r>
        <w:t>Expenditure Incentives Guideline</w:t>
      </w:r>
    </w:p>
    <w:p w:rsidR="003D0951" w:rsidRDefault="003D0951" w:rsidP="00855C20">
      <w:pPr>
        <w:pStyle w:val="AERbulletlistfirststyle"/>
      </w:pPr>
      <w:r>
        <w:t>Rate of Return Guideline</w:t>
      </w:r>
    </w:p>
    <w:p w:rsidR="003D0951" w:rsidRDefault="003D0951" w:rsidP="00855C20">
      <w:pPr>
        <w:pStyle w:val="AERbulletlistfirststyle"/>
      </w:pPr>
      <w:r>
        <w:t>Consumer Engagement Guideline for Network Service Providers</w:t>
      </w:r>
    </w:p>
    <w:p w:rsidR="003D0951" w:rsidRDefault="003D0951" w:rsidP="00855C20">
      <w:pPr>
        <w:pStyle w:val="AERbulletlistfirststyle"/>
      </w:pPr>
      <w:r>
        <w:t>Shared Assets Guideline</w:t>
      </w:r>
    </w:p>
    <w:p w:rsidR="003D0951" w:rsidRDefault="003D0951" w:rsidP="00855C20">
      <w:pPr>
        <w:pStyle w:val="AERbulletlistfirststyle"/>
      </w:pPr>
      <w:r>
        <w:t>Confidentiality Guideline.</w:t>
      </w:r>
    </w:p>
    <w:p w:rsidR="00D44A58" w:rsidRPr="00650825" w:rsidRDefault="00D44A58" w:rsidP="00D44A58">
      <w:pPr>
        <w:pStyle w:val="Heading2"/>
      </w:pPr>
      <w:bookmarkStart w:id="93" w:name="_Toc415837361"/>
      <w:bookmarkStart w:id="94" w:name="_Toc418685530"/>
      <w:r>
        <w:t>Our e</w:t>
      </w:r>
      <w:r w:rsidRPr="00650825">
        <w:t>ngagement during the decision making process</w:t>
      </w:r>
      <w:bookmarkEnd w:id="93"/>
      <w:bookmarkEnd w:id="94"/>
    </w:p>
    <w:p w:rsidR="00D44A58" w:rsidRDefault="00D44A58" w:rsidP="00D44A58">
      <w:pPr>
        <w:numPr>
          <w:ilvl w:val="0"/>
          <w:numId w:val="25"/>
        </w:numPr>
      </w:pPr>
      <w:r>
        <w:t>Effective consultation with stakeholders is essential to the performance of our regulatory functions. In summary, throughout the review process, we engaged with stakeholders by:</w:t>
      </w:r>
    </w:p>
    <w:p w:rsidR="00D44A58" w:rsidRPr="008F3A0D" w:rsidRDefault="00D44A58" w:rsidP="00D44A58">
      <w:pPr>
        <w:pStyle w:val="AERbulletlistfirststyle"/>
      </w:pPr>
      <w:proofErr w:type="gramStart"/>
      <w:r>
        <w:t>holding</w:t>
      </w:r>
      <w:proofErr w:type="gramEnd"/>
      <w:r>
        <w:t xml:space="preserve"> monthly meetings with </w:t>
      </w:r>
      <w:r w:rsidR="001B030A">
        <w:t xml:space="preserve">Ergon Energy </w:t>
      </w:r>
      <w:r>
        <w:t>to discuss issues relevant to this decision. These meetings commence</w:t>
      </w:r>
      <w:r w:rsidRPr="008F3A0D">
        <w:t xml:space="preserve">d </w:t>
      </w:r>
      <w:r>
        <w:rPr>
          <w:rStyle w:val="AERbody"/>
        </w:rPr>
        <w:t xml:space="preserve">in May 2013 </w:t>
      </w:r>
      <w:r w:rsidRPr="008F3A0D">
        <w:t>to discuss the framework and approach. The meetings continued throughout our decision making process.</w:t>
      </w:r>
    </w:p>
    <w:p w:rsidR="00D44A58" w:rsidRPr="008F3A0D" w:rsidRDefault="00D44A58" w:rsidP="00D44A58">
      <w:pPr>
        <w:pStyle w:val="AERbulletlistfirststyle"/>
      </w:pPr>
      <w:r>
        <w:t>establishing the CCP</w:t>
      </w:r>
      <w:r w:rsidRPr="008F3A0D">
        <w:t xml:space="preserve"> to assist us to make better regulatory determinations by providing input on issues of importance to consumers</w:t>
      </w:r>
    </w:p>
    <w:p w:rsidR="00D44A58" w:rsidRPr="008F3A0D" w:rsidRDefault="00D44A58" w:rsidP="00D44A58">
      <w:pPr>
        <w:pStyle w:val="AERbulletlistfirststyle"/>
      </w:pPr>
      <w:r>
        <w:t xml:space="preserve">publishing an issues paper to help stakeholders engage with, and meaningfully respond to issues in </w:t>
      </w:r>
      <w:r w:rsidR="001B030A">
        <w:t>Ergon Energy's</w:t>
      </w:r>
      <w:r>
        <w:t xml:space="preserve"> regulatory proposal that we considered material to consumers</w:t>
      </w:r>
    </w:p>
    <w:p w:rsidR="00D44A58" w:rsidRPr="008F3A0D" w:rsidRDefault="00D44A58" w:rsidP="00D44A58">
      <w:pPr>
        <w:pStyle w:val="AERbulletlistfirststyle"/>
      </w:pPr>
      <w:r w:rsidRPr="00583AB7">
        <w:t xml:space="preserve">hosting a public forum in </w:t>
      </w:r>
      <w:r>
        <w:t>Brisbane</w:t>
      </w:r>
      <w:r w:rsidRPr="00583AB7">
        <w:t xml:space="preserve"> on </w:t>
      </w:r>
      <w:r>
        <w:t>9 December</w:t>
      </w:r>
      <w:r w:rsidRPr="00583AB7">
        <w:t xml:space="preserve"> 2014 so stakeholders could question the AER, the CCP and </w:t>
      </w:r>
      <w:r w:rsidR="001B030A">
        <w:t>Ergon Energy</w:t>
      </w:r>
      <w:r w:rsidRPr="00583AB7">
        <w:t xml:space="preserve"> on its regulatory proposal</w:t>
      </w:r>
    </w:p>
    <w:p w:rsidR="00D44A58" w:rsidRPr="008F3A0D" w:rsidRDefault="00D44A58" w:rsidP="00D44A58">
      <w:pPr>
        <w:pStyle w:val="AERbulletlistfirststyle"/>
      </w:pPr>
      <w:r>
        <w:t xml:space="preserve">having </w:t>
      </w:r>
      <w:r w:rsidR="001B030A">
        <w:t>Ergon Energy</w:t>
      </w:r>
      <w:r>
        <w:t xml:space="preserve"> present its re</w:t>
      </w:r>
      <w:r w:rsidR="00F33D89">
        <w:t>gulatory</w:t>
      </w:r>
      <w:r>
        <w:t xml:space="preserve"> proposal to the AER Board on 16 January 2015</w:t>
      </w:r>
      <w:r w:rsidRPr="008F3A0D">
        <w:t>, so questions could be raised and key issues explained</w:t>
      </w:r>
    </w:p>
    <w:p w:rsidR="00D44A58" w:rsidRDefault="00D44A58" w:rsidP="00D44A58">
      <w:pPr>
        <w:pStyle w:val="AERbulletlistfirststyle"/>
        <w:rPr>
          <w:rStyle w:val="AERbody"/>
        </w:rPr>
      </w:pPr>
      <w:r>
        <w:t xml:space="preserve">having the </w:t>
      </w:r>
      <w:r w:rsidRPr="008F3A0D">
        <w:t xml:space="preserve">CCP present its advice in response to </w:t>
      </w:r>
      <w:r w:rsidR="001B030A">
        <w:t>Ergon Energy</w:t>
      </w:r>
      <w:r>
        <w:t xml:space="preserve">'s </w:t>
      </w:r>
      <w:r w:rsidRPr="008F3A0D">
        <w:t xml:space="preserve">regulatory proposal to the AER Board on </w:t>
      </w:r>
      <w:r>
        <w:rPr>
          <w:rStyle w:val="AERbody"/>
        </w:rPr>
        <w:t>6 February 2015</w:t>
      </w:r>
    </w:p>
    <w:p w:rsidR="00A774E1" w:rsidRPr="008F3A0D" w:rsidRDefault="00A774E1" w:rsidP="00A774E1">
      <w:pPr>
        <w:pStyle w:val="AERbulletlistfirststyle"/>
      </w:pPr>
      <w:proofErr w:type="gramStart"/>
      <w:r>
        <w:t>considering</w:t>
      </w:r>
      <w:proofErr w:type="gramEnd"/>
      <w:r>
        <w:t xml:space="preserve"> 33 submissions </w:t>
      </w:r>
      <w:r w:rsidRPr="008F3A0D">
        <w:t xml:space="preserve">on </w:t>
      </w:r>
      <w:r>
        <w:t>Ergon Energy's</w:t>
      </w:r>
      <w:r w:rsidRPr="008F3A0D">
        <w:t xml:space="preserve"> regulatory proposal</w:t>
      </w:r>
      <w:r>
        <w:t>. A list of all submissions is at appendix B</w:t>
      </w:r>
    </w:p>
    <w:p w:rsidR="00D44A58" w:rsidRPr="008F3A0D" w:rsidRDefault="00D44A58" w:rsidP="00D44A58">
      <w:pPr>
        <w:pStyle w:val="AERbulletlistfirststyle"/>
      </w:pPr>
      <w:r>
        <w:t xml:space="preserve">convening </w:t>
      </w:r>
      <w:r w:rsidRPr="008F3A0D">
        <w:t>monthly meetings between the CCP and AER staff to discuss key issues</w:t>
      </w:r>
    </w:p>
    <w:p w:rsidR="00D44A58" w:rsidRPr="008F3A0D" w:rsidRDefault="00D44A58" w:rsidP="00D44A58">
      <w:pPr>
        <w:pStyle w:val="AERbulletlistfirststyle"/>
      </w:pPr>
      <w:proofErr w:type="gramStart"/>
      <w:r>
        <w:t>ongoing</w:t>
      </w:r>
      <w:proofErr w:type="gramEnd"/>
      <w:r>
        <w:t xml:space="preserve"> formal and informal jurisdictional consumer forums from November 2013.</w:t>
      </w:r>
    </w:p>
    <w:p w:rsidR="00D44A58" w:rsidRPr="008F3A0D" w:rsidRDefault="00D44A58" w:rsidP="00D44A58">
      <w:pPr>
        <w:pStyle w:val="AERbulletlistfirststyle"/>
      </w:pPr>
      <w:r>
        <w:rPr>
          <w:rStyle w:val="AERbody"/>
        </w:rPr>
        <w:t xml:space="preserve">consulting on benchmarking measures prepared by </w:t>
      </w:r>
      <w:r w:rsidRPr="008F3A0D">
        <w:rPr>
          <w:rStyle w:val="AERbody"/>
        </w:rPr>
        <w:t xml:space="preserve">us and Economic Insights, jointly relevant to the preparation of the annual benchmarking report and our assessment of </w:t>
      </w:r>
      <w:r w:rsidR="001B030A">
        <w:rPr>
          <w:rStyle w:val="AERbody"/>
        </w:rPr>
        <w:t>Ergon Energy's</w:t>
      </w:r>
      <w:r w:rsidRPr="008F3A0D">
        <w:rPr>
          <w:rStyle w:val="AERbody"/>
        </w:rPr>
        <w:t xml:space="preserve"> regulatory proposal</w:t>
      </w:r>
    </w:p>
    <w:p w:rsidR="00D44A58" w:rsidRPr="00DB48AA" w:rsidRDefault="00D44A58" w:rsidP="004819CC">
      <w:pPr>
        <w:pStyle w:val="AERbulletlistfirststyle"/>
      </w:pPr>
      <w:proofErr w:type="gramStart"/>
      <w:r>
        <w:t>having</w:t>
      </w:r>
      <w:proofErr w:type="gramEnd"/>
      <w:r>
        <w:t xml:space="preserve"> ongoing discussions with </w:t>
      </w:r>
      <w:r w:rsidR="001B030A">
        <w:t>Ergon Energy</w:t>
      </w:r>
      <w:r>
        <w:t xml:space="preserve"> about its regulatory proposal</w:t>
      </w:r>
      <w:r w:rsidRPr="008F3A0D">
        <w:t xml:space="preserve">. In particular, our consultants and AER staff met with </w:t>
      </w:r>
      <w:r w:rsidR="001B030A">
        <w:t>Ergon Energy</w:t>
      </w:r>
      <w:r w:rsidRPr="008F3A0D">
        <w:t xml:space="preserve"> </w:t>
      </w:r>
      <w:r w:rsidRPr="004819CC">
        <w:t xml:space="preserve">to </w:t>
      </w:r>
      <w:r w:rsidRPr="00DB48AA">
        <w:t xml:space="preserve">discuss </w:t>
      </w:r>
      <w:proofErr w:type="spellStart"/>
      <w:r w:rsidRPr="00DB48AA">
        <w:t>ope</w:t>
      </w:r>
      <w:r w:rsidR="00E24B7E">
        <w:t>x</w:t>
      </w:r>
      <w:proofErr w:type="spellEnd"/>
      <w:r w:rsidRPr="00DB48AA">
        <w:t xml:space="preserve">, </w:t>
      </w:r>
      <w:proofErr w:type="spellStart"/>
      <w:r w:rsidR="00E24B7E">
        <w:t>augex</w:t>
      </w:r>
      <w:proofErr w:type="spellEnd"/>
      <w:r w:rsidRPr="00DB48AA">
        <w:t xml:space="preserve"> and </w:t>
      </w:r>
      <w:proofErr w:type="spellStart"/>
      <w:r w:rsidR="00E24B7E">
        <w:t>repex</w:t>
      </w:r>
      <w:proofErr w:type="spellEnd"/>
      <w:r w:rsidRPr="00DB48AA">
        <w:t xml:space="preserve">. During this process, AER staff and our consultants considered over </w:t>
      </w:r>
      <w:r w:rsidR="004819CC">
        <w:t>65</w:t>
      </w:r>
      <w:r w:rsidR="004819CC" w:rsidRPr="00DB48AA">
        <w:t xml:space="preserve"> </w:t>
      </w:r>
      <w:r w:rsidRPr="00DB48AA">
        <w:t xml:space="preserve">responses to information requested from </w:t>
      </w:r>
      <w:r w:rsidR="001B030A" w:rsidRPr="00DB48AA">
        <w:t>Ergon Energy</w:t>
      </w:r>
      <w:r w:rsidRPr="00DB48AA">
        <w:t>.</w:t>
      </w:r>
    </w:p>
    <w:p w:rsidR="00D44A58" w:rsidRDefault="00D44A58" w:rsidP="00D44A58">
      <w:pPr>
        <w:pStyle w:val="AERbulletlistfirststyle"/>
        <w:rPr>
          <w:rStyle w:val="AERbody"/>
        </w:rPr>
      </w:pPr>
      <w:proofErr w:type="gramStart"/>
      <w:r>
        <w:rPr>
          <w:rStyle w:val="AERbody"/>
        </w:rPr>
        <w:t>releas</w:t>
      </w:r>
      <w:r w:rsidR="00A774E1">
        <w:rPr>
          <w:rStyle w:val="AERbody"/>
        </w:rPr>
        <w:t>ing</w:t>
      </w:r>
      <w:proofErr w:type="gramEnd"/>
      <w:r>
        <w:rPr>
          <w:rStyle w:val="AERbody"/>
        </w:rPr>
        <w:t xml:space="preserve"> a brief consultation paper on recovering the residual metering capital costs through an alternative control service charge and considering</w:t>
      </w:r>
      <w:r w:rsidR="00604E9F">
        <w:rPr>
          <w:rStyle w:val="AERbody"/>
        </w:rPr>
        <w:t xml:space="preserve"> 19</w:t>
      </w:r>
      <w:r>
        <w:rPr>
          <w:rStyle w:val="AERbody"/>
        </w:rPr>
        <w:t xml:space="preserve"> submissions in response.  </w:t>
      </w:r>
    </w:p>
    <w:p w:rsidR="00D44A58" w:rsidRDefault="00D44A58" w:rsidP="00D44A58">
      <w:r w:rsidRPr="001767F0">
        <w:t xml:space="preserve">We </w:t>
      </w:r>
      <w:r>
        <w:t>i</w:t>
      </w:r>
      <w:r w:rsidRPr="001767F0">
        <w:t xml:space="preserve">nvestigated </w:t>
      </w:r>
      <w:r w:rsidR="001B030A">
        <w:t>Ergon Energy's</w:t>
      </w:r>
      <w:r w:rsidRPr="001767F0">
        <w:t xml:space="preserve"> proposal by engaging with </w:t>
      </w:r>
      <w:r>
        <w:t xml:space="preserve">our consultants and visiting </w:t>
      </w:r>
      <w:r w:rsidR="001B030A">
        <w:t xml:space="preserve">Ergon Energy </w:t>
      </w:r>
      <w:r>
        <w:t>at its offices</w:t>
      </w:r>
      <w:r w:rsidRPr="001767F0">
        <w:t>. AER staff, including our technical advisors</w:t>
      </w:r>
      <w:r w:rsidR="00604E9F">
        <w:t xml:space="preserve"> and</w:t>
      </w:r>
      <w:r>
        <w:t xml:space="preserve"> </w:t>
      </w:r>
      <w:r w:rsidR="00CD3A15">
        <w:t>Energy Market Consulting associates (</w:t>
      </w:r>
      <w:proofErr w:type="spellStart"/>
      <w:r w:rsidR="00CD3A15" w:rsidRPr="001767F0">
        <w:t>EMCa</w:t>
      </w:r>
      <w:proofErr w:type="spellEnd"/>
      <w:r w:rsidR="00CD3A15">
        <w:t>)</w:t>
      </w:r>
      <w:r w:rsidRPr="001767F0">
        <w:t xml:space="preserve"> directly engaged </w:t>
      </w:r>
      <w:r w:rsidR="001B030A">
        <w:t>with Ergon Energy</w:t>
      </w:r>
      <w:r>
        <w:t xml:space="preserve"> staff</w:t>
      </w:r>
      <w:r w:rsidRPr="001767F0">
        <w:t xml:space="preserve"> involved in developing and managing the network, and tested material and information which underpins </w:t>
      </w:r>
      <w:r>
        <w:t>its</w:t>
      </w:r>
      <w:r w:rsidRPr="001767F0">
        <w:t xml:space="preserve"> r</w:t>
      </w:r>
      <w:r w:rsidR="00F33D89">
        <w:t>egulatory</w:t>
      </w:r>
      <w:r w:rsidRPr="001767F0">
        <w:t xml:space="preserve"> proposal</w:t>
      </w:r>
      <w:r>
        <w:t>.</w:t>
      </w:r>
    </w:p>
    <w:p w:rsidR="00513B87" w:rsidRDefault="00513B87" w:rsidP="00D44A58"/>
    <w:p w:rsidR="00513B87" w:rsidRDefault="00513B87" w:rsidP="00D44A58"/>
    <w:p w:rsidR="00513B87" w:rsidRDefault="00513B87" w:rsidP="00D44A58"/>
    <w:p w:rsidR="00513B87" w:rsidRDefault="00513B87" w:rsidP="00D44A58"/>
    <w:p w:rsidR="00513B87" w:rsidRDefault="00513B87" w:rsidP="00D44A58"/>
    <w:p w:rsidR="00D44A58" w:rsidRDefault="00D44A58" w:rsidP="00D44A58">
      <w:pPr>
        <w:pStyle w:val="Heading3"/>
      </w:pPr>
      <w:bookmarkStart w:id="95" w:name="_Toc415837364"/>
      <w:bookmarkStart w:id="96" w:name="_Toc418685531"/>
      <w:r>
        <w:t>Revocation and substitution of preliminary decision</w:t>
      </w:r>
      <w:bookmarkEnd w:id="95"/>
      <w:bookmarkEnd w:id="96"/>
    </w:p>
    <w:p w:rsidR="00D44A58" w:rsidRDefault="00D44A58" w:rsidP="00513B87">
      <w:r>
        <w:t>In November 2012, the AEMC introduced major changes to the economic regulation of electricity distributors under chapter 6 of the NER.</w:t>
      </w:r>
      <w:r>
        <w:rPr>
          <w:rStyle w:val="FootnoteReference"/>
        </w:rPr>
        <w:footnoteReference w:id="92"/>
      </w:r>
    </w:p>
    <w:p w:rsidR="00D44A58" w:rsidRDefault="00D44A58" w:rsidP="00D44A58">
      <w:r>
        <w:t>To allow consumers to receive the benefit of the new rules the AEMC made transitional rules under chapter 11 of the NER. The NER provide that we will:</w:t>
      </w:r>
      <w:r>
        <w:rPr>
          <w:rStyle w:val="FootnoteReference"/>
        </w:rPr>
        <w:footnoteReference w:id="93"/>
      </w:r>
    </w:p>
    <w:p w:rsidR="00D44A58" w:rsidRDefault="00D44A58" w:rsidP="00D44A58">
      <w:pPr>
        <w:pStyle w:val="AERbulletlistfirststyle"/>
      </w:pPr>
      <w:r>
        <w:t>make a preliminary determination for the 2015</w:t>
      </w:r>
      <w:r w:rsidRPr="00D44A58">
        <w:t>−</w:t>
      </w:r>
      <w:r>
        <w:t>20 regulatory control period by 30 April 2015</w:t>
      </w:r>
    </w:p>
    <w:p w:rsidR="00D44A58" w:rsidRDefault="00D44A58" w:rsidP="00D44A58">
      <w:pPr>
        <w:pStyle w:val="AERbulletlistfirststyle"/>
      </w:pPr>
      <w:r>
        <w:t>use the preliminary determination as a basis for approving prices for 1 July 2015 to 30 June 2016</w:t>
      </w:r>
    </w:p>
    <w:p w:rsidR="00D44A58" w:rsidRDefault="00793EF6" w:rsidP="00D44A58">
      <w:pPr>
        <w:pStyle w:val="AERbulletlistfirststyle"/>
      </w:pPr>
      <w:proofErr w:type="gramStart"/>
      <w:r>
        <w:t>it</w:t>
      </w:r>
      <w:proofErr w:type="gramEnd"/>
      <w:r>
        <w:t xml:space="preserve"> will also set out how we will apply a revenue adjustment that will 'true up' Ergon Energy's revenue over the regulatory control period to account for any difference between the preliminary determination and the final decision affecting its revenue for the 2015</w:t>
      </w:r>
      <w:r w:rsidRPr="00793EF6">
        <w:t>−</w:t>
      </w:r>
      <w:r>
        <w:t>16 regulatory year.</w:t>
      </w:r>
    </w:p>
    <w:p w:rsidR="00D44A58" w:rsidRPr="00C4309E" w:rsidRDefault="00D44A58" w:rsidP="00D44A58">
      <w:r>
        <w:t>The true-up will be calculated using forecasts as actual data for 2014</w:t>
      </w:r>
      <w:r w:rsidRPr="00D44A58">
        <w:t>−</w:t>
      </w:r>
      <w:r>
        <w:t xml:space="preserve">15 </w:t>
      </w:r>
      <w:r w:rsidR="00F33D89">
        <w:t xml:space="preserve">that </w:t>
      </w:r>
      <w:r>
        <w:t xml:space="preserve">will not be available when the final decision is published in October 2015. </w:t>
      </w:r>
    </w:p>
    <w:p w:rsidR="00D44A58" w:rsidRDefault="00D44A58" w:rsidP="00D44A58"/>
    <w:p w:rsidR="00513B87" w:rsidRPr="007A18FD" w:rsidRDefault="00513B87" w:rsidP="00D44A58"/>
    <w:p w:rsidR="00D44A58" w:rsidRDefault="00D44A58" w:rsidP="00D44A58">
      <w:pPr>
        <w:pStyle w:val="Heading1"/>
      </w:pPr>
      <w:bookmarkStart w:id="97" w:name="_Toc415837365"/>
      <w:bookmarkStart w:id="98" w:name="_Toc418685532"/>
      <w:r>
        <w:t>Next steps</w:t>
      </w:r>
      <w:bookmarkEnd w:id="97"/>
      <w:bookmarkEnd w:id="98"/>
    </w:p>
    <w:p w:rsidR="00D44A58" w:rsidRDefault="00D44A58" w:rsidP="00D44A58">
      <w:r>
        <w:t>At time of publishing this preliminary decision for the 2015</w:t>
      </w:r>
      <w:r w:rsidRPr="00D44A58">
        <w:t>−</w:t>
      </w:r>
      <w:r>
        <w:t>20 regulatory control period, the NER requires us to invite written submissions on the revocation and substitution of our preliminary decision.</w:t>
      </w:r>
      <w:r>
        <w:rPr>
          <w:rStyle w:val="FootnoteReference"/>
        </w:rPr>
        <w:footnoteReference w:id="94"/>
      </w:r>
      <w:r>
        <w:t xml:space="preserve"> This invitation is published on the AER website. </w:t>
      </w:r>
    </w:p>
    <w:p w:rsidR="00D44A58" w:rsidRDefault="00D44A58" w:rsidP="00D44A58">
      <w:r>
        <w:t xml:space="preserve">Any person may make a written submission to us on our preliminary decision including the revocation and substitution of our decision. The NER also allowed </w:t>
      </w:r>
      <w:r w:rsidR="001B030A">
        <w:t>Ergon Energy</w:t>
      </w:r>
      <w:r>
        <w:t xml:space="preserve"> to make a submission in the form of revisions to its regulatory proposal submitted in October 2014.</w:t>
      </w:r>
      <w:r>
        <w:rPr>
          <w:rStyle w:val="FootnoteReference"/>
        </w:rPr>
        <w:footnoteReference w:id="95"/>
      </w:r>
    </w:p>
    <w:p w:rsidR="00D44A58" w:rsidRDefault="00D44A58" w:rsidP="00D44A58">
      <w:r>
        <w:t xml:space="preserve">After considering submissions, including revisions that </w:t>
      </w:r>
      <w:r w:rsidR="001B030A">
        <w:t>Ergon Energy</w:t>
      </w:r>
      <w:r>
        <w:t xml:space="preserve"> may submit we must revoke our preliminary decision and substitute it with a final decision by 31 October 2015.</w:t>
      </w:r>
      <w:r>
        <w:rPr>
          <w:rStyle w:val="FootnoteReference"/>
        </w:rPr>
        <w:footnoteReference w:id="96"/>
      </w:r>
      <w:r>
        <w:t xml:space="preserve"> Key dates for our assessment process are set out in table 1</w:t>
      </w:r>
      <w:r w:rsidR="0058680A">
        <w:t>1</w:t>
      </w:r>
      <w:r>
        <w:t xml:space="preserve"> below. </w:t>
      </w:r>
    </w:p>
    <w:p w:rsidR="00D44A58" w:rsidRDefault="0058680A" w:rsidP="00D44A58">
      <w:pPr>
        <w:pStyle w:val="Caption"/>
      </w:pPr>
      <w:r>
        <w:t>Table 11</w:t>
      </w:r>
      <w:r w:rsidR="00D44A58">
        <w:t xml:space="preserve"> Key dates for our assessment process</w:t>
      </w:r>
    </w:p>
    <w:tbl>
      <w:tblPr>
        <w:tblStyle w:val="AERtable-text0"/>
        <w:tblW w:w="0" w:type="auto"/>
        <w:tblLook w:val="04A0" w:firstRow="1" w:lastRow="0" w:firstColumn="1" w:lastColumn="0" w:noHBand="0" w:noVBand="1"/>
      </w:tblPr>
      <w:tblGrid>
        <w:gridCol w:w="6487"/>
        <w:gridCol w:w="2206"/>
      </w:tblGrid>
      <w:tr w:rsidR="00D44A58" w:rsidTr="00D44A58">
        <w:trPr>
          <w:cnfStyle w:val="100000000000" w:firstRow="1" w:lastRow="0" w:firstColumn="0" w:lastColumn="0" w:oddVBand="0" w:evenVBand="0" w:oddHBand="0" w:evenHBand="0" w:firstRowFirstColumn="0" w:firstRowLastColumn="0" w:lastRowFirstColumn="0" w:lastRowLastColumn="0"/>
        </w:trPr>
        <w:tc>
          <w:tcPr>
            <w:tcW w:w="6487" w:type="dxa"/>
          </w:tcPr>
          <w:p w:rsidR="00D44A58" w:rsidRPr="00D44A58" w:rsidRDefault="00D44A58" w:rsidP="00D44A58">
            <w:r>
              <w:t>Task</w:t>
            </w:r>
          </w:p>
        </w:tc>
        <w:tc>
          <w:tcPr>
            <w:tcW w:w="2206" w:type="dxa"/>
          </w:tcPr>
          <w:p w:rsidR="00D44A58" w:rsidRPr="00D44A58" w:rsidRDefault="00D44A58" w:rsidP="00D44A58">
            <w:r>
              <w:t>Date</w:t>
            </w:r>
          </w:p>
        </w:tc>
      </w:tr>
      <w:tr w:rsidR="00D44A58" w:rsidTr="00D44A58">
        <w:tc>
          <w:tcPr>
            <w:tcW w:w="6487" w:type="dxa"/>
          </w:tcPr>
          <w:p w:rsidR="00D44A58" w:rsidRPr="00D44A58" w:rsidRDefault="001B030A" w:rsidP="00D44A58">
            <w:r>
              <w:t>Ergon Energy'</w:t>
            </w:r>
            <w:r w:rsidR="00D44A58">
              <w:t>s regulatory proposal submitted to AER</w:t>
            </w:r>
          </w:p>
        </w:tc>
        <w:tc>
          <w:tcPr>
            <w:tcW w:w="2206" w:type="dxa"/>
          </w:tcPr>
          <w:p w:rsidR="00D44A58" w:rsidRPr="00D44A58" w:rsidRDefault="00D44A58" w:rsidP="00D44A58">
            <w:r>
              <w:t>30 October 2014</w:t>
            </w:r>
          </w:p>
        </w:tc>
      </w:tr>
      <w:tr w:rsidR="00D44A58" w:rsidTr="00D44A58">
        <w:trPr>
          <w:cnfStyle w:val="000000010000" w:firstRow="0" w:lastRow="0" w:firstColumn="0" w:lastColumn="0" w:oddVBand="0" w:evenVBand="0" w:oddHBand="0" w:evenHBand="1" w:firstRowFirstColumn="0" w:firstRowLastColumn="0" w:lastRowFirstColumn="0" w:lastRowLastColumn="0"/>
        </w:trPr>
        <w:tc>
          <w:tcPr>
            <w:tcW w:w="6487" w:type="dxa"/>
          </w:tcPr>
          <w:p w:rsidR="00D44A58" w:rsidRPr="00D44A58" w:rsidRDefault="00D44A58" w:rsidP="001B030A">
            <w:r>
              <w:t xml:space="preserve">Published </w:t>
            </w:r>
            <w:r w:rsidR="001B030A">
              <w:t>Ergon Energy's</w:t>
            </w:r>
            <w:r>
              <w:t xml:space="preserve"> regulatory proposal and supporting documents</w:t>
            </w:r>
          </w:p>
        </w:tc>
        <w:tc>
          <w:tcPr>
            <w:tcW w:w="2206" w:type="dxa"/>
          </w:tcPr>
          <w:p w:rsidR="00D44A58" w:rsidRPr="00D44A58" w:rsidRDefault="001B030A" w:rsidP="00D44A58">
            <w:r>
              <w:t>19</w:t>
            </w:r>
            <w:r w:rsidR="00D44A58">
              <w:t xml:space="preserve"> November 2014</w:t>
            </w:r>
          </w:p>
        </w:tc>
      </w:tr>
      <w:tr w:rsidR="00D44A58" w:rsidTr="00D44A58">
        <w:tc>
          <w:tcPr>
            <w:tcW w:w="6487" w:type="dxa"/>
          </w:tcPr>
          <w:p w:rsidR="00D44A58" w:rsidRPr="00D44A58" w:rsidRDefault="00D44A58" w:rsidP="001B030A">
            <w:r>
              <w:t xml:space="preserve">AER released Issues paper on </w:t>
            </w:r>
            <w:r w:rsidR="001B030A">
              <w:t>Ergon Energy's</w:t>
            </w:r>
            <w:r>
              <w:t xml:space="preserve"> regulatory proposal</w:t>
            </w:r>
          </w:p>
        </w:tc>
        <w:tc>
          <w:tcPr>
            <w:tcW w:w="2206" w:type="dxa"/>
          </w:tcPr>
          <w:p w:rsidR="00D44A58" w:rsidRPr="00D44A58" w:rsidRDefault="00D44A58" w:rsidP="00D44A58">
            <w:r>
              <w:t>5 December 2014</w:t>
            </w:r>
          </w:p>
        </w:tc>
      </w:tr>
      <w:tr w:rsidR="00D44A58" w:rsidTr="00D44A58">
        <w:trPr>
          <w:cnfStyle w:val="000000010000" w:firstRow="0" w:lastRow="0" w:firstColumn="0" w:lastColumn="0" w:oddVBand="0" w:evenVBand="0" w:oddHBand="0" w:evenHBand="1" w:firstRowFirstColumn="0" w:firstRowLastColumn="0" w:lastRowFirstColumn="0" w:lastRowLastColumn="0"/>
        </w:trPr>
        <w:tc>
          <w:tcPr>
            <w:tcW w:w="6487" w:type="dxa"/>
          </w:tcPr>
          <w:p w:rsidR="00D44A58" w:rsidRDefault="00D44A58" w:rsidP="00D44A58">
            <w:r>
              <w:t>AER public forum</w:t>
            </w:r>
          </w:p>
        </w:tc>
        <w:tc>
          <w:tcPr>
            <w:tcW w:w="2206" w:type="dxa"/>
          </w:tcPr>
          <w:p w:rsidR="00D44A58" w:rsidRPr="00D44A58" w:rsidRDefault="00D44A58" w:rsidP="00D44A58">
            <w:r>
              <w:t>9 December 2014</w:t>
            </w:r>
          </w:p>
        </w:tc>
      </w:tr>
      <w:tr w:rsidR="00D44A58" w:rsidTr="00D44A58">
        <w:tc>
          <w:tcPr>
            <w:tcW w:w="6487" w:type="dxa"/>
          </w:tcPr>
          <w:p w:rsidR="00D44A58" w:rsidRPr="00D44A58" w:rsidRDefault="00D44A58" w:rsidP="00D44A58">
            <w:r>
              <w:t>Stakeholder submissions on regulatory proposal close</w:t>
            </w:r>
            <w:r w:rsidRPr="00D44A58">
              <w:t>d</w:t>
            </w:r>
          </w:p>
        </w:tc>
        <w:tc>
          <w:tcPr>
            <w:tcW w:w="2206" w:type="dxa"/>
          </w:tcPr>
          <w:p w:rsidR="00D44A58" w:rsidRPr="00D44A58" w:rsidRDefault="00D44A58" w:rsidP="00D44A58">
            <w:r>
              <w:t>30 January 2015</w:t>
            </w:r>
          </w:p>
        </w:tc>
      </w:tr>
      <w:tr w:rsidR="00D44A58" w:rsidTr="00D44A58">
        <w:trPr>
          <w:cnfStyle w:val="000000010000" w:firstRow="0" w:lastRow="0" w:firstColumn="0" w:lastColumn="0" w:oddVBand="0" w:evenVBand="0" w:oddHBand="0" w:evenHBand="1" w:firstRowFirstColumn="0" w:firstRowLastColumn="0" w:lastRowFirstColumn="0" w:lastRowLastColumn="0"/>
        </w:trPr>
        <w:tc>
          <w:tcPr>
            <w:tcW w:w="6487" w:type="dxa"/>
          </w:tcPr>
          <w:p w:rsidR="00D44A58" w:rsidRDefault="00D44A58" w:rsidP="00D44A58">
            <w:r>
              <w:t>AER issues preliminary decision</w:t>
            </w:r>
          </w:p>
        </w:tc>
        <w:tc>
          <w:tcPr>
            <w:tcW w:w="2206" w:type="dxa"/>
          </w:tcPr>
          <w:p w:rsidR="00D44A58" w:rsidRPr="00D44A58" w:rsidRDefault="00D44A58" w:rsidP="00D44A58">
            <w:r>
              <w:t>30 April 2015</w:t>
            </w:r>
          </w:p>
        </w:tc>
      </w:tr>
      <w:tr w:rsidR="00D44A58" w:rsidTr="00D44A58">
        <w:tc>
          <w:tcPr>
            <w:tcW w:w="6487" w:type="dxa"/>
          </w:tcPr>
          <w:p w:rsidR="00D44A58" w:rsidRDefault="00D44A58" w:rsidP="00D44A58">
            <w:r>
              <w:t>AER conference to explain preliminary decisions</w:t>
            </w:r>
          </w:p>
        </w:tc>
        <w:tc>
          <w:tcPr>
            <w:tcW w:w="2206" w:type="dxa"/>
          </w:tcPr>
          <w:p w:rsidR="00D44A58" w:rsidRPr="00D44A58" w:rsidRDefault="00D44A58" w:rsidP="00D44A58">
            <w:r>
              <w:t>12 May 2015</w:t>
            </w:r>
          </w:p>
        </w:tc>
      </w:tr>
      <w:tr w:rsidR="00D44A58" w:rsidTr="00D44A58">
        <w:trPr>
          <w:cnfStyle w:val="000000010000" w:firstRow="0" w:lastRow="0" w:firstColumn="0" w:lastColumn="0" w:oddVBand="0" w:evenVBand="0" w:oddHBand="0" w:evenHBand="1" w:firstRowFirstColumn="0" w:firstRowLastColumn="0" w:lastRowFirstColumn="0" w:lastRowLastColumn="0"/>
        </w:trPr>
        <w:tc>
          <w:tcPr>
            <w:tcW w:w="6487" w:type="dxa"/>
          </w:tcPr>
          <w:p w:rsidR="00D44A58" w:rsidRDefault="00D44A58" w:rsidP="00D44A58">
            <w:r>
              <w:t xml:space="preserve">Stakeholder submissions on AER's preliminary decision close </w:t>
            </w:r>
          </w:p>
        </w:tc>
        <w:tc>
          <w:tcPr>
            <w:tcW w:w="2206" w:type="dxa"/>
          </w:tcPr>
          <w:p w:rsidR="00D44A58" w:rsidRPr="00D44A58" w:rsidRDefault="00626935" w:rsidP="00D44A58">
            <w:r>
              <w:t>3</w:t>
            </w:r>
            <w:r w:rsidR="00D44A58">
              <w:t xml:space="preserve"> July 2015</w:t>
            </w:r>
          </w:p>
        </w:tc>
      </w:tr>
      <w:tr w:rsidR="00D44A58" w:rsidTr="00D44A58">
        <w:tc>
          <w:tcPr>
            <w:tcW w:w="6487" w:type="dxa"/>
          </w:tcPr>
          <w:p w:rsidR="00D44A58" w:rsidRDefault="001B030A" w:rsidP="00D44A58">
            <w:r>
              <w:t>Ergon Energy's</w:t>
            </w:r>
            <w:r w:rsidR="00D44A58">
              <w:t xml:space="preserve"> revised proposal due to AER</w:t>
            </w:r>
          </w:p>
        </w:tc>
        <w:tc>
          <w:tcPr>
            <w:tcW w:w="2206" w:type="dxa"/>
          </w:tcPr>
          <w:p w:rsidR="00D44A58" w:rsidRDefault="00626935" w:rsidP="00D44A58">
            <w:r>
              <w:t>3</w:t>
            </w:r>
            <w:r w:rsidR="00D44A58">
              <w:t xml:space="preserve"> July 2015</w:t>
            </w:r>
          </w:p>
        </w:tc>
      </w:tr>
      <w:tr w:rsidR="00D44A58" w:rsidTr="00D44A58">
        <w:trPr>
          <w:cnfStyle w:val="000000010000" w:firstRow="0" w:lastRow="0" w:firstColumn="0" w:lastColumn="0" w:oddVBand="0" w:evenVBand="0" w:oddHBand="0" w:evenHBand="1" w:firstRowFirstColumn="0" w:firstRowLastColumn="0" w:lastRowFirstColumn="0" w:lastRowLastColumn="0"/>
        </w:trPr>
        <w:tc>
          <w:tcPr>
            <w:tcW w:w="6487" w:type="dxa"/>
          </w:tcPr>
          <w:p w:rsidR="00D44A58" w:rsidRDefault="00D44A58" w:rsidP="001B030A">
            <w:r>
              <w:t xml:space="preserve">Stakeholder submissions on </w:t>
            </w:r>
            <w:r w:rsidR="001B030A">
              <w:t>Ergon Energy's</w:t>
            </w:r>
            <w:r>
              <w:t xml:space="preserve"> revised proposal close*</w:t>
            </w:r>
          </w:p>
        </w:tc>
        <w:tc>
          <w:tcPr>
            <w:tcW w:w="2206" w:type="dxa"/>
          </w:tcPr>
          <w:p w:rsidR="00D44A58" w:rsidRPr="00D44A58" w:rsidRDefault="00D44A58" w:rsidP="00D44A58">
            <w:r>
              <w:t>24 July 2015</w:t>
            </w:r>
          </w:p>
        </w:tc>
      </w:tr>
      <w:tr w:rsidR="00D44A58" w:rsidTr="00D44A58">
        <w:tc>
          <w:tcPr>
            <w:tcW w:w="6487" w:type="dxa"/>
          </w:tcPr>
          <w:p w:rsidR="00D44A58" w:rsidRDefault="00D44A58" w:rsidP="00D44A58">
            <w:r>
              <w:t>AER issues final decision</w:t>
            </w:r>
          </w:p>
        </w:tc>
        <w:tc>
          <w:tcPr>
            <w:tcW w:w="2206" w:type="dxa"/>
          </w:tcPr>
          <w:p w:rsidR="00D44A58" w:rsidRPr="00D44A58" w:rsidRDefault="00D44A58" w:rsidP="00D44A58">
            <w:r>
              <w:t>31 October 2015</w:t>
            </w:r>
          </w:p>
        </w:tc>
      </w:tr>
    </w:tbl>
    <w:p w:rsidR="00D44A58" w:rsidRDefault="00D44A58" w:rsidP="00D44A58">
      <w:pPr>
        <w:pStyle w:val="AERtablesource"/>
      </w:pPr>
      <w:r>
        <w:tab/>
        <w:t xml:space="preserve">* The NER, under transitional provisions, did not provide for consultation on </w:t>
      </w:r>
      <w:r w:rsidR="001B030A">
        <w:t>Ergon Energy's</w:t>
      </w:r>
      <w:r>
        <w:t xml:space="preserve"> revised </w:t>
      </w:r>
      <w:proofErr w:type="gramStart"/>
      <w:r>
        <w:t>proposal,</w:t>
      </w:r>
      <w:proofErr w:type="gramEnd"/>
      <w:r>
        <w:t xml:space="preserve"> however we have added it to provide stakeholders with an opportunity to comment. </w:t>
      </w:r>
    </w:p>
    <w:p w:rsidR="00D44A58" w:rsidRPr="00EF7A35" w:rsidRDefault="00D44A58" w:rsidP="00D44A58"/>
    <w:p w:rsidR="00D44A58" w:rsidRDefault="00D44A58" w:rsidP="005D6860"/>
    <w:p w:rsidR="005D6860" w:rsidRPr="005D6860" w:rsidRDefault="00B52B05" w:rsidP="005D6860">
      <w:pPr>
        <w:pStyle w:val="UnnumberedHeading"/>
        <w:numPr>
          <w:ilvl w:val="0"/>
          <w:numId w:val="24"/>
        </w:numPr>
      </w:pPr>
      <w:bookmarkStart w:id="99" w:name="_Toc414891248"/>
      <w:bookmarkStart w:id="100" w:name="_Toc418685533"/>
      <w:r>
        <w:t>A</w:t>
      </w:r>
      <w:r>
        <w:tab/>
      </w:r>
      <w:r w:rsidR="005D6860" w:rsidRPr="005D6860">
        <w:t>Constituent decisions</w:t>
      </w:r>
      <w:bookmarkEnd w:id="99"/>
      <w:bookmarkEnd w:id="100"/>
    </w:p>
    <w:p w:rsidR="005D6860" w:rsidRPr="005D6860" w:rsidRDefault="005D6860" w:rsidP="005D6860">
      <w:pPr>
        <w:numPr>
          <w:ilvl w:val="0"/>
          <w:numId w:val="25"/>
        </w:numPr>
      </w:pPr>
      <w:r w:rsidRPr="005D6860">
        <w:t>Our preliminary distribution determination is predicated on the following decisions (constituent decision</w:t>
      </w:r>
      <w:r w:rsidR="003F0EB0">
        <w:t>s</w:t>
      </w:r>
      <w:r w:rsidRPr="005D6860">
        <w:t>):</w:t>
      </w:r>
      <w:r w:rsidRPr="005D6860">
        <w:rPr>
          <w:rStyle w:val="FootnoteReference"/>
        </w:rPr>
        <w:footnoteReference w:id="97"/>
      </w:r>
    </w:p>
    <w:tbl>
      <w:tblPr>
        <w:tblStyle w:val="AERtable-text0"/>
        <w:tblW w:w="0" w:type="auto"/>
        <w:tblLook w:val="04A0" w:firstRow="1" w:lastRow="0" w:firstColumn="1" w:lastColumn="0" w:noHBand="0" w:noVBand="1"/>
      </w:tblPr>
      <w:tblGrid>
        <w:gridCol w:w="8693"/>
      </w:tblGrid>
      <w:tr w:rsidR="005D6860" w:rsidTr="005D6860">
        <w:trPr>
          <w:cnfStyle w:val="100000000000" w:firstRow="1" w:lastRow="0" w:firstColumn="0" w:lastColumn="0" w:oddVBand="0" w:evenVBand="0" w:oddHBand="0" w:evenHBand="0" w:firstRowFirstColumn="0" w:firstRowLastColumn="0" w:lastRowFirstColumn="0" w:lastRowLastColumn="0"/>
          <w:tblHeader/>
        </w:trPr>
        <w:tc>
          <w:tcPr>
            <w:tcW w:w="8693" w:type="dxa"/>
          </w:tcPr>
          <w:p w:rsidR="005D6860" w:rsidRPr="005D6860" w:rsidRDefault="005D6860" w:rsidP="005D6860">
            <w:pPr>
              <w:numPr>
                <w:ilvl w:val="0"/>
                <w:numId w:val="25"/>
              </w:numPr>
            </w:pPr>
            <w:r w:rsidRPr="005D6860">
              <w:t>Constituent decision</w:t>
            </w:r>
          </w:p>
        </w:tc>
      </w:tr>
      <w:tr w:rsidR="005D6860" w:rsidRPr="00185712" w:rsidTr="00DB48AA">
        <w:trPr>
          <w:trHeight w:val="2209"/>
        </w:trPr>
        <w:tc>
          <w:tcPr>
            <w:tcW w:w="8693" w:type="dxa"/>
          </w:tcPr>
          <w:p w:rsidR="005D6860" w:rsidRPr="005D6860" w:rsidRDefault="005D6860" w:rsidP="005D6860">
            <w:pPr>
              <w:numPr>
                <w:ilvl w:val="0"/>
                <w:numId w:val="25"/>
              </w:numPr>
            </w:pPr>
            <w:r w:rsidRPr="005D6860">
              <w:t xml:space="preserve">In accordance with clause 6.12.1(1) of the NER, the following classification of services will apply to </w:t>
            </w:r>
            <w:r w:rsidR="0001344D">
              <w:t xml:space="preserve">Ergon Energy </w:t>
            </w:r>
            <w:r w:rsidRPr="005D6860">
              <w:t>for the 2015–20 regulatory control period (listed by service group):</w:t>
            </w:r>
          </w:p>
          <w:p w:rsidR="004819CC" w:rsidRPr="004819CC" w:rsidRDefault="004819CC" w:rsidP="004819CC">
            <w:pPr>
              <w:pStyle w:val="AERbulletlistfirststyle"/>
            </w:pPr>
            <w:r w:rsidRPr="001C2560">
              <w:t>Standard control services includ</w:t>
            </w:r>
            <w:r w:rsidRPr="004819CC">
              <w:t xml:space="preserve">e network services, small customer connections and type 7 metering services </w:t>
            </w:r>
          </w:p>
          <w:p w:rsidR="004819CC" w:rsidRPr="004819CC" w:rsidRDefault="004819CC" w:rsidP="004819CC">
            <w:pPr>
              <w:pStyle w:val="AERbulletlistfirststyle"/>
            </w:pPr>
            <w:r w:rsidRPr="00185712">
              <w:t xml:space="preserve">Alternative control services include metering types 5 and 6 </w:t>
            </w:r>
            <w:r w:rsidRPr="004819CC">
              <w:t>metering services, large customer connections, ancillary network services and public lighting</w:t>
            </w:r>
          </w:p>
          <w:p w:rsidR="004819CC" w:rsidRPr="004819CC" w:rsidRDefault="004819CC" w:rsidP="004819CC">
            <w:pPr>
              <w:pStyle w:val="AERbulletlistfirststyle"/>
            </w:pPr>
            <w:proofErr w:type="gramStart"/>
            <w:r w:rsidRPr="00185712">
              <w:t>Unregulated services includes</w:t>
            </w:r>
            <w:proofErr w:type="gramEnd"/>
            <w:r w:rsidRPr="00185712">
              <w:t xml:space="preserve"> type 1 to 4 metering services</w:t>
            </w:r>
            <w:r w:rsidR="00594106">
              <w:t xml:space="preserve"> and the Hayman Island undersea cable</w:t>
            </w:r>
            <w:r w:rsidRPr="004819CC">
              <w:t>.</w:t>
            </w:r>
          </w:p>
          <w:p w:rsidR="005D6860" w:rsidRPr="005D6860" w:rsidRDefault="004819CC" w:rsidP="00594106">
            <w:r>
              <w:t xml:space="preserve">Attachment 13 discusses classification of services. </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01344D">
            <w:pPr>
              <w:numPr>
                <w:ilvl w:val="0"/>
                <w:numId w:val="25"/>
              </w:numPr>
            </w:pPr>
            <w:r w:rsidRPr="005D6860">
              <w:t>In accordance with clause 6.12.1(2)(</w:t>
            </w:r>
            <w:proofErr w:type="spellStart"/>
            <w:r w:rsidRPr="005D6860">
              <w:t>i</w:t>
            </w:r>
            <w:proofErr w:type="spellEnd"/>
            <w:r w:rsidRPr="005D6860">
              <w:t>) of the NER, the AER does not approve the annual revenue requirement set out in E</w:t>
            </w:r>
            <w:r w:rsidR="0001344D">
              <w:t>rgon Energy's</w:t>
            </w:r>
            <w:r w:rsidRPr="005D6860">
              <w:t xml:space="preserve"> building block proposal. Our preliminary decision on </w:t>
            </w:r>
            <w:r w:rsidR="0001344D">
              <w:t>Ergon Energy's</w:t>
            </w:r>
            <w:r w:rsidRPr="005D6860">
              <w:t xml:space="preserve"> annual revenue requirement for each year of the 2015–20 </w:t>
            </w:r>
            <w:proofErr w:type="gramStart"/>
            <w:r w:rsidRPr="005D6860">
              <w:t>period</w:t>
            </w:r>
            <w:proofErr w:type="gramEnd"/>
            <w:r w:rsidRPr="005D6860">
              <w:t xml:space="preserve"> is set out in attachment 1 of the preliminary decision.</w:t>
            </w:r>
          </w:p>
        </w:tc>
      </w:tr>
      <w:tr w:rsidR="005D6860" w:rsidTr="005D6860">
        <w:tc>
          <w:tcPr>
            <w:tcW w:w="8693" w:type="dxa"/>
          </w:tcPr>
          <w:p w:rsidR="005D6860" w:rsidRPr="005D6860" w:rsidRDefault="005D6860" w:rsidP="00295A13">
            <w:r w:rsidRPr="005D6860">
              <w:t>In accordance with clause 6.12.1(2</w:t>
            </w:r>
            <w:proofErr w:type="gramStart"/>
            <w:r w:rsidRPr="005D6860">
              <w:t>)(</w:t>
            </w:r>
            <w:proofErr w:type="gramEnd"/>
            <w:r w:rsidRPr="005D6860">
              <w:t xml:space="preserve">ii) of the NER, the AER approves </w:t>
            </w:r>
            <w:r w:rsidR="0001344D">
              <w:t>Ergon Energy's</w:t>
            </w:r>
            <w:r w:rsidRPr="005D6860">
              <w:t xml:space="preserve"> proposal that the regulatory control period will commence on 1 July 2015. Also in accordance with clause 6.12.1(2)(ii) of the NER, the AER approves </w:t>
            </w:r>
            <w:r w:rsidR="0001344D">
              <w:t>Ergon Energy's</w:t>
            </w:r>
            <w:r w:rsidRPr="005D6860">
              <w:t xml:space="preserve"> proposal that the length of the regulatory control period will be five years from 1 July 2015 to 30 June 2020. </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637E40">
            <w:r w:rsidRPr="005D6860">
              <w:t xml:space="preserve">In accordance with clause 6.12.1(3)(ii) and acting in accordance with clause 6.5.7(c), the AER does not accept </w:t>
            </w:r>
            <w:r w:rsidR="0001344D">
              <w:t xml:space="preserve">Ergon Energy's </w:t>
            </w:r>
            <w:r w:rsidRPr="005D6860">
              <w:t>proposed total forecast capital expenditure of $</w:t>
            </w:r>
            <w:r w:rsidR="00E2745F" w:rsidRPr="00D90A13">
              <w:rPr>
                <w:rStyle w:val="AERbodytextChar"/>
                <w:rFonts w:eastAsia="Calibri"/>
              </w:rPr>
              <w:t>3397.0</w:t>
            </w:r>
            <w:r w:rsidRPr="00D90A13">
              <w:rPr>
                <w:rStyle w:val="AERbodytextChar"/>
                <w:rFonts w:eastAsia="Calibri"/>
              </w:rPr>
              <w:t xml:space="preserve"> million ($201</w:t>
            </w:r>
            <w:r w:rsidR="00637E40" w:rsidRPr="00D90A13">
              <w:rPr>
                <w:rStyle w:val="AERbodytextChar"/>
                <w:rFonts w:eastAsia="Calibri"/>
              </w:rPr>
              <w:t>4</w:t>
            </w:r>
            <w:r w:rsidRPr="00D90A13">
              <w:rPr>
                <w:rStyle w:val="AERbodytextChar"/>
                <w:rFonts w:eastAsia="Calibri"/>
              </w:rPr>
              <w:t>–1</w:t>
            </w:r>
            <w:r w:rsidR="00637E40" w:rsidRPr="00D90A13">
              <w:rPr>
                <w:rStyle w:val="AERbodytextChar"/>
                <w:rFonts w:eastAsia="Calibri"/>
              </w:rPr>
              <w:t>5</w:t>
            </w:r>
            <w:r w:rsidRPr="00D90A13">
              <w:rPr>
                <w:rStyle w:val="AERbodytextChar"/>
                <w:rFonts w:eastAsia="Calibri"/>
              </w:rPr>
              <w:t xml:space="preserve">). Our substitute estimate of </w:t>
            </w:r>
            <w:r w:rsidR="0001344D" w:rsidRPr="00D90A13">
              <w:rPr>
                <w:rStyle w:val="AERbodytextChar"/>
                <w:rFonts w:eastAsia="Calibri"/>
              </w:rPr>
              <w:t xml:space="preserve">Ergon Energy's </w:t>
            </w:r>
            <w:r w:rsidRPr="00D90A13">
              <w:rPr>
                <w:rStyle w:val="AERbodytextChar"/>
                <w:rFonts w:eastAsia="Calibri"/>
              </w:rPr>
              <w:t xml:space="preserve">total forecast capex for the 2015–20 regulatory control </w:t>
            </w:r>
            <w:proofErr w:type="gramStart"/>
            <w:r w:rsidRPr="00D90A13">
              <w:rPr>
                <w:rStyle w:val="AERbodytextChar"/>
                <w:rFonts w:eastAsia="Calibri"/>
              </w:rPr>
              <w:t>period</w:t>
            </w:r>
            <w:proofErr w:type="gramEnd"/>
            <w:r w:rsidRPr="00D90A13">
              <w:rPr>
                <w:rStyle w:val="AERbodytextChar"/>
                <w:rFonts w:eastAsia="Calibri"/>
              </w:rPr>
              <w:t xml:space="preserve"> is $</w:t>
            </w:r>
            <w:r w:rsidR="00E2745F" w:rsidRPr="00D90A13">
              <w:rPr>
                <w:rStyle w:val="AERbodytextChar"/>
                <w:rFonts w:eastAsia="Calibri"/>
              </w:rPr>
              <w:t>2182.0</w:t>
            </w:r>
            <w:r w:rsidR="00175066" w:rsidRPr="00D90A13">
              <w:rPr>
                <w:rStyle w:val="AERbodytextChar"/>
                <w:rFonts w:eastAsia="Calibri"/>
              </w:rPr>
              <w:t xml:space="preserve"> million</w:t>
            </w:r>
            <w:r w:rsidRPr="005D6860">
              <w:t xml:space="preserve"> ($</w:t>
            </w:r>
            <w:r w:rsidRPr="00637E40">
              <w:t>201</w:t>
            </w:r>
            <w:r w:rsidR="00637E40" w:rsidRPr="00637E40">
              <w:t>4</w:t>
            </w:r>
            <w:r w:rsidRPr="00637E40">
              <w:t>–1</w:t>
            </w:r>
            <w:r w:rsidR="00637E40" w:rsidRPr="00637E40">
              <w:t>5</w:t>
            </w:r>
            <w:r w:rsidRPr="00637E40">
              <w:t>).</w:t>
            </w:r>
            <w:r w:rsidRPr="005D6860">
              <w:t xml:space="preserve"> This is discussed in attachment 6 of the preliminary decision.</w:t>
            </w:r>
          </w:p>
        </w:tc>
      </w:tr>
      <w:tr w:rsidR="005D6860" w:rsidTr="005D6860">
        <w:tc>
          <w:tcPr>
            <w:tcW w:w="8693" w:type="dxa"/>
          </w:tcPr>
          <w:p w:rsidR="005D6860" w:rsidRPr="005D6860" w:rsidRDefault="005D6860" w:rsidP="006B5A27">
            <w:r w:rsidRPr="005D6860">
              <w:t>In accordance with clause 6.12.1(4)(ii) and acting in accordance with clause 6.5.6(d), the AER does not accept E</w:t>
            </w:r>
            <w:r w:rsidR="0001344D">
              <w:t>rgon Energy's</w:t>
            </w:r>
            <w:r w:rsidRPr="005D6860">
              <w:t xml:space="preserve"> proposed total forecast operating expenditure </w:t>
            </w:r>
            <w:r w:rsidR="006B5A27">
              <w:t xml:space="preserve">inclusive of debt raising costs </w:t>
            </w:r>
            <w:r w:rsidRPr="006D55D6">
              <w:rPr>
                <w:rStyle w:val="AERbodytextChar"/>
                <w:rFonts w:eastAsia="Calibri"/>
              </w:rPr>
              <w:t>of $</w:t>
            </w:r>
            <w:r w:rsidR="006B5A27" w:rsidRPr="006B5A27">
              <w:rPr>
                <w:rStyle w:val="AERbodytextChar"/>
                <w:rFonts w:eastAsia="Calibri"/>
              </w:rPr>
              <w:t>1882.3</w:t>
            </w:r>
            <w:r w:rsidRPr="006D55D6">
              <w:rPr>
                <w:rStyle w:val="AERbodytextChar"/>
                <w:rFonts w:eastAsia="Calibri"/>
              </w:rPr>
              <w:t xml:space="preserve"> million ($201</w:t>
            </w:r>
            <w:r w:rsidR="00637E40" w:rsidRPr="006D55D6">
              <w:rPr>
                <w:rStyle w:val="AERbodytextChar"/>
                <w:rFonts w:eastAsia="Calibri"/>
              </w:rPr>
              <w:t>4</w:t>
            </w:r>
            <w:r w:rsidRPr="00637E40">
              <w:t>–1</w:t>
            </w:r>
            <w:r w:rsidR="00637E40" w:rsidRPr="00637E40">
              <w:t>5</w:t>
            </w:r>
            <w:r w:rsidRPr="00637E40">
              <w:t>).</w:t>
            </w:r>
            <w:r w:rsidRPr="005D6860">
              <w:t xml:space="preserve"> Our substitute estimate of </w:t>
            </w:r>
            <w:r w:rsidR="0001344D">
              <w:t>Ergon Energy's</w:t>
            </w:r>
            <w:r w:rsidRPr="005D6860">
              <w:t xml:space="preserve"> total forecast </w:t>
            </w:r>
            <w:proofErr w:type="spellStart"/>
            <w:r w:rsidRPr="005D6860">
              <w:t>opex</w:t>
            </w:r>
            <w:proofErr w:type="spellEnd"/>
            <w:r w:rsidRPr="005D6860">
              <w:t xml:space="preserve"> for the 2015–20 regulatory control period is </w:t>
            </w:r>
            <w:r w:rsidRPr="006D55D6">
              <w:rPr>
                <w:rStyle w:val="AERbodytextChar"/>
                <w:rFonts w:eastAsia="Calibri"/>
              </w:rPr>
              <w:t>$</w:t>
            </w:r>
            <w:proofErr w:type="gramStart"/>
            <w:r w:rsidR="006B5A27" w:rsidRPr="006B5A27">
              <w:rPr>
                <w:rStyle w:val="AERbodytextChar"/>
                <w:rFonts w:eastAsia="Calibri"/>
              </w:rPr>
              <w:t xml:space="preserve">1655.3 </w:t>
            </w:r>
            <w:r w:rsidRPr="006D55D6">
              <w:rPr>
                <w:rStyle w:val="AERbodytextChar"/>
                <w:rFonts w:eastAsia="Calibri"/>
              </w:rPr>
              <w:t xml:space="preserve"> million</w:t>
            </w:r>
            <w:proofErr w:type="gramEnd"/>
            <w:r w:rsidRPr="006D55D6">
              <w:rPr>
                <w:rStyle w:val="AERbodytextChar"/>
                <w:rFonts w:eastAsia="Calibri"/>
              </w:rPr>
              <w:t xml:space="preserve"> ($</w:t>
            </w:r>
            <w:r w:rsidRPr="00637E40">
              <w:t>201</w:t>
            </w:r>
            <w:r w:rsidR="00637E40" w:rsidRPr="00637E40">
              <w:t>4</w:t>
            </w:r>
            <w:r w:rsidRPr="00637E40">
              <w:t>–1</w:t>
            </w:r>
            <w:r w:rsidR="00637E40" w:rsidRPr="00637E40">
              <w:t>5</w:t>
            </w:r>
            <w:r w:rsidRPr="00637E40">
              <w:t>).</w:t>
            </w:r>
            <w:r w:rsidRPr="005D6860">
              <w:t xml:space="preserve"> This is discussed in attachment 7 of the preliminary decision.</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C17F16">
            <w:pPr>
              <w:numPr>
                <w:ilvl w:val="0"/>
                <w:numId w:val="25"/>
              </w:numPr>
            </w:pPr>
            <w:r w:rsidRPr="005D6860">
              <w:t>In accordance with clause 6.12.1(4A</w:t>
            </w:r>
            <w:proofErr w:type="gramStart"/>
            <w:r w:rsidRPr="005D6860">
              <w:t>)(</w:t>
            </w:r>
            <w:proofErr w:type="spellStart"/>
            <w:proofErr w:type="gramEnd"/>
            <w:r w:rsidRPr="005D6860">
              <w:t>i</w:t>
            </w:r>
            <w:proofErr w:type="spellEnd"/>
            <w:r w:rsidRPr="005D6860">
              <w:t xml:space="preserve">) </w:t>
            </w:r>
            <w:r w:rsidR="00C17F16">
              <w:t xml:space="preserve"> and (iv) </w:t>
            </w:r>
            <w:r w:rsidRPr="005D6860">
              <w:t xml:space="preserve">the AER determines that </w:t>
            </w:r>
            <w:r w:rsidR="00C17F16">
              <w:rPr>
                <w:rStyle w:val="AERbodytextChar"/>
                <w:rFonts w:eastAsia="Calibri"/>
              </w:rPr>
              <w:t>Ergon Energy's proposed '</w:t>
            </w:r>
            <w:proofErr w:type="spellStart"/>
            <w:r w:rsidR="00C17F16">
              <w:rPr>
                <w:rStyle w:val="AERbodytextChar"/>
                <w:rFonts w:eastAsia="Calibri"/>
              </w:rPr>
              <w:t>Aquis</w:t>
            </w:r>
            <w:proofErr w:type="spellEnd"/>
            <w:r w:rsidR="00C17F16">
              <w:rPr>
                <w:rStyle w:val="AERbodytextChar"/>
                <w:rFonts w:eastAsia="Calibri"/>
              </w:rPr>
              <w:t xml:space="preserve"> development project' and 'general contingent project for large customer connections' are not contingent projects. Our reasons for these conclusions are in </w:t>
            </w:r>
            <w:r w:rsidR="003346D9">
              <w:t>attachment 6</w:t>
            </w:r>
            <w:r w:rsidR="00513B87">
              <w:t xml:space="preserve"> of the preliminary decision</w:t>
            </w:r>
            <w:r w:rsidR="003346D9">
              <w:t xml:space="preserve">. </w:t>
            </w:r>
          </w:p>
        </w:tc>
      </w:tr>
      <w:tr w:rsidR="005D6860" w:rsidTr="005D6860">
        <w:tc>
          <w:tcPr>
            <w:tcW w:w="8693" w:type="dxa"/>
          </w:tcPr>
          <w:p w:rsidR="005D6860" w:rsidRPr="005D6860" w:rsidRDefault="005D6860" w:rsidP="003346D9">
            <w:r w:rsidRPr="005D6860">
              <w:t xml:space="preserve">In accordance with clause 6.12.1(5) the AER's decision on the allowed rate of return for the first regulatory year of the regulatory control period in accordance with clause  6.5.2 is not to accept </w:t>
            </w:r>
            <w:r w:rsidR="007C53F4">
              <w:t xml:space="preserve">Ergon Energy's </w:t>
            </w:r>
            <w:r w:rsidRPr="005D6860">
              <w:t xml:space="preserve">proposal of </w:t>
            </w:r>
            <w:r w:rsidR="00CE7238" w:rsidRPr="00CE7238">
              <w:t>8.02</w:t>
            </w:r>
            <w:r w:rsidRPr="005D6860">
              <w:t xml:space="preserve"> per cent. Our decision on the allowed rate of return for the first regulatory year of the regulatory control period </w:t>
            </w:r>
            <w:r w:rsidR="00855C20">
              <w:t>is 5.85 per</w:t>
            </w:r>
            <w:r w:rsidRPr="005D6860">
              <w:t xml:space="preserve"> cent as set out </w:t>
            </w:r>
            <w:r w:rsidRPr="004819CC">
              <w:t xml:space="preserve">in </w:t>
            </w:r>
            <w:r w:rsidRPr="00DB48AA">
              <w:t>table 3</w:t>
            </w:r>
            <w:r w:rsidR="003346D9">
              <w:t>.</w:t>
            </w:r>
            <w:r w:rsidRPr="00DB48AA">
              <w:t>1</w:t>
            </w:r>
            <w:r w:rsidRPr="004819CC">
              <w:t xml:space="preserve"> of a</w:t>
            </w:r>
            <w:r w:rsidRPr="00DB48AA">
              <w:t>ttachment 3</w:t>
            </w:r>
            <w:r w:rsidRPr="004819CC">
              <w:t xml:space="preserve"> of</w:t>
            </w:r>
            <w:r w:rsidRPr="005D6860">
              <w:t xml:space="preserve"> the preliminary decision. This rate of return will be updated annually because our decision is to apply a trailing average portfolio approach to estimating debt which incorporates annual updating of the allowed return on debt.</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4819CC">
            <w:r w:rsidRPr="005D6860">
              <w:t>In accordance with clause 6.12.1(5A) the AER's decision is that the return on debt is to be estimated using a methodology referred to in clause 6.5.2(</w:t>
            </w:r>
            <w:proofErr w:type="spellStart"/>
            <w:r w:rsidRPr="005D6860">
              <w:t>i</w:t>
            </w:r>
            <w:proofErr w:type="spellEnd"/>
            <w:r w:rsidRPr="005D6860">
              <w:t xml:space="preserve">)(2) which is set out in </w:t>
            </w:r>
            <w:r w:rsidRPr="004819CC">
              <w:t>a</w:t>
            </w:r>
            <w:r w:rsidRPr="00DB48AA">
              <w:t>ttachment 3</w:t>
            </w:r>
            <w:r w:rsidRPr="005D6860">
              <w:t xml:space="preserve"> </w:t>
            </w:r>
            <w:r w:rsidR="00E050E3">
              <w:t xml:space="preserve">(appendix I) </w:t>
            </w:r>
            <w:r w:rsidRPr="005D6860">
              <w:t xml:space="preserve">of the preliminary decision. </w:t>
            </w:r>
          </w:p>
        </w:tc>
      </w:tr>
      <w:tr w:rsidR="005D6860" w:rsidTr="005D6860">
        <w:tc>
          <w:tcPr>
            <w:tcW w:w="8693" w:type="dxa"/>
          </w:tcPr>
          <w:p w:rsidR="005D6860" w:rsidRPr="005D6860" w:rsidRDefault="005D6860" w:rsidP="004819CC">
            <w:pPr>
              <w:numPr>
                <w:ilvl w:val="0"/>
                <w:numId w:val="25"/>
              </w:numPr>
            </w:pPr>
            <w:r w:rsidRPr="005D6860">
              <w:t>In accordance with clause 6.12.1(5B) the AER's decision on the value of imputation credits as referred to in clause 6.5.3 is to adopt a value of</w:t>
            </w:r>
            <w:r w:rsidR="004819CC">
              <w:t xml:space="preserve"> 0.4</w:t>
            </w:r>
            <w:r w:rsidRPr="005D6860">
              <w:t xml:space="preserve">. This is set out in f attachment 4 of the preliminary decision. </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B53B9B">
            <w:r w:rsidRPr="005D6860">
              <w:t xml:space="preserve">In accordance with clause 6.12.1(6) the AER's decision on </w:t>
            </w:r>
            <w:r w:rsidR="00295A13">
              <w:t>Ergon Energy's</w:t>
            </w:r>
            <w:r w:rsidRPr="005D6860">
              <w:t xml:space="preserve"> regulatory asset base as at 1 July 2015 in accordance with clause 6.5.1 and schedule 6.2 </w:t>
            </w:r>
            <w:r w:rsidRPr="006C6CA7">
              <w:rPr>
                <w:rStyle w:val="AERbodytextChar"/>
                <w:rFonts w:eastAsia="Calibri"/>
              </w:rPr>
              <w:t>is $</w:t>
            </w:r>
            <w:r w:rsidR="003D7294">
              <w:rPr>
                <w:rStyle w:val="AERbodytextChar"/>
                <w:rFonts w:eastAsiaTheme="minorHAnsi"/>
              </w:rPr>
              <w:t>10</w:t>
            </w:r>
            <w:r w:rsidR="00554895">
              <w:rPr>
                <w:rStyle w:val="AERbodytextChar"/>
                <w:rFonts w:eastAsiaTheme="minorHAnsi"/>
              </w:rPr>
              <w:t> </w:t>
            </w:r>
            <w:r w:rsidR="003D7294">
              <w:rPr>
                <w:rStyle w:val="AERbodytextChar"/>
                <w:rFonts w:eastAsiaTheme="minorHAnsi"/>
              </w:rPr>
              <w:t>102.2</w:t>
            </w:r>
            <w:r w:rsidRPr="006C6CA7">
              <w:rPr>
                <w:rStyle w:val="AERbodytextChar"/>
                <w:rFonts w:eastAsia="Calibri"/>
              </w:rPr>
              <w:t xml:space="preserve"> million</w:t>
            </w:r>
            <w:r w:rsidRPr="005D6860">
              <w:t>. This is set out in attachment 2 of the preliminary decision.</w:t>
            </w:r>
          </w:p>
        </w:tc>
      </w:tr>
      <w:tr w:rsidR="005D6860" w:rsidTr="005D6860">
        <w:tc>
          <w:tcPr>
            <w:tcW w:w="8693" w:type="dxa"/>
          </w:tcPr>
          <w:p w:rsidR="005D6860" w:rsidRPr="005D6860" w:rsidRDefault="005D6860" w:rsidP="00554895">
            <w:pPr>
              <w:numPr>
                <w:ilvl w:val="0"/>
                <w:numId w:val="25"/>
              </w:numPr>
            </w:pPr>
            <w:r w:rsidRPr="005D6860">
              <w:t xml:space="preserve">In accordance with clause 6.12.1(7) the AER does not accept </w:t>
            </w:r>
            <w:r w:rsidR="007C53F4">
              <w:t xml:space="preserve">Ergon Energy's </w:t>
            </w:r>
            <w:r w:rsidRPr="005D6860">
              <w:t>proposed corporate income tax of $</w:t>
            </w:r>
            <w:r w:rsidR="00B53B9B">
              <w:t>621.4 </w:t>
            </w:r>
            <w:r w:rsidRPr="005D6860">
              <w:t xml:space="preserve"> million ($</w:t>
            </w:r>
            <w:r w:rsidR="00554895">
              <w:t> </w:t>
            </w:r>
            <w:r w:rsidRPr="005D6860">
              <w:t xml:space="preserve">nominal). Our decision on </w:t>
            </w:r>
            <w:r w:rsidR="007C53F4">
              <w:t>Ergon Energy's</w:t>
            </w:r>
            <w:r w:rsidRPr="005D6860">
              <w:t xml:space="preserve"> corporate income tax </w:t>
            </w:r>
            <w:r w:rsidRPr="006C6CA7">
              <w:rPr>
                <w:rStyle w:val="AERbodytextChar"/>
                <w:rFonts w:eastAsia="Calibri"/>
              </w:rPr>
              <w:t>is $</w:t>
            </w:r>
            <w:r w:rsidR="00B53B9B" w:rsidRPr="00B53B9B">
              <w:rPr>
                <w:rStyle w:val="AERbodytextChar"/>
                <w:rFonts w:eastAsiaTheme="minorHAnsi"/>
              </w:rPr>
              <w:t>2</w:t>
            </w:r>
            <w:r w:rsidR="00554895">
              <w:rPr>
                <w:rStyle w:val="AERbodytextChar"/>
                <w:rFonts w:eastAsiaTheme="minorHAnsi"/>
              </w:rPr>
              <w:t>04.2</w:t>
            </w:r>
            <w:r w:rsidR="00B53B9B" w:rsidRPr="00112BF8">
              <w:t xml:space="preserve"> million ($ nominal</w:t>
            </w:r>
            <w:r w:rsidR="00B53B9B" w:rsidRPr="003346D9">
              <w:rPr>
                <w:rStyle w:val="AERbodytextChar"/>
                <w:rFonts w:eastAsia="Calibri"/>
              </w:rPr>
              <w:t>)</w:t>
            </w:r>
            <w:r w:rsidRPr="003346D9">
              <w:rPr>
                <w:rStyle w:val="AERbodytextChar"/>
                <w:rFonts w:eastAsia="Calibri"/>
              </w:rPr>
              <w:t>.</w:t>
            </w:r>
            <w:r w:rsidRPr="005D6860">
              <w:t xml:space="preserve"> This is set out in attachment 8 of the preliminary decision.</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7C53F4">
            <w:r w:rsidRPr="005D6860">
              <w:t xml:space="preserve">In accordance with clause 6.12.1(8) the AER's decision is not to approve the depreciation schedules submitted by </w:t>
            </w:r>
            <w:r w:rsidR="007C53F4">
              <w:t>Ergon Energy</w:t>
            </w:r>
            <w:r w:rsidRPr="005D6860">
              <w:t>. This is set out in attachment 5 of the preliminary decision.</w:t>
            </w:r>
          </w:p>
        </w:tc>
      </w:tr>
      <w:tr w:rsidR="005D6860" w:rsidTr="005D6860">
        <w:tc>
          <w:tcPr>
            <w:tcW w:w="8693" w:type="dxa"/>
          </w:tcPr>
          <w:p w:rsidR="005D6860" w:rsidRPr="005D6860" w:rsidRDefault="005D6860" w:rsidP="005D6860">
            <w:r w:rsidRPr="005D6860">
              <w:t>In accordance with clause 6.12.1(9) the AER makes the following decisions on how any applicable efficiency benefit sharing scheme, capital expenditure sharing scheme, service target performance incentive scheme, demand management and embedded generation connection incentive scheme or small-scale incentive scheme is to apply:</w:t>
            </w:r>
          </w:p>
          <w:p w:rsidR="005D6860" w:rsidRPr="005D6860" w:rsidRDefault="005D6860" w:rsidP="004819CC">
            <w:pPr>
              <w:pStyle w:val="AERbulletlistfirststyle"/>
            </w:pPr>
            <w:r w:rsidRPr="005D6860">
              <w:t xml:space="preserve">In accordance with clause 6.12.1(9) of the NER, the AER's decision </w:t>
            </w:r>
            <w:r w:rsidRPr="004819CC">
              <w:t xml:space="preserve">is </w:t>
            </w:r>
            <w:r w:rsidRPr="00DB48AA">
              <w:t>that no expenditure</w:t>
            </w:r>
            <w:r w:rsidRPr="004819CC">
              <w:t xml:space="preserve"> will be</w:t>
            </w:r>
            <w:r w:rsidRPr="005D6860">
              <w:t xml:space="preserve"> subject to the EBSS</w:t>
            </w:r>
            <w:r w:rsidR="00C52741">
              <w:t xml:space="preserve"> for</w:t>
            </w:r>
            <w:r w:rsidRPr="005D6860">
              <w:t xml:space="preserve"> </w:t>
            </w:r>
            <w:r w:rsidR="007C53F4">
              <w:t>Ergon Energy</w:t>
            </w:r>
            <w:r w:rsidRPr="005D6860">
              <w:t xml:space="preserve"> in the 2015–20 regulatory control </w:t>
            </w:r>
            <w:proofErr w:type="gramStart"/>
            <w:r w:rsidRPr="005D6860">
              <w:t>period</w:t>
            </w:r>
            <w:proofErr w:type="gramEnd"/>
            <w:r w:rsidRPr="005D6860">
              <w:t>.</w:t>
            </w:r>
          </w:p>
          <w:p w:rsidR="005D6860" w:rsidRPr="005D6860" w:rsidRDefault="005D6860" w:rsidP="005D6860">
            <w:pPr>
              <w:pStyle w:val="AERbulletlistfirststyle"/>
            </w:pPr>
            <w:r w:rsidRPr="005D6860">
              <w:t xml:space="preserve">In accordance with clause 6.12.1(9) of the NER, we will apply the CESS as set out in version 1 of the </w:t>
            </w:r>
            <w:r w:rsidR="000E26C1">
              <w:t>C</w:t>
            </w:r>
            <w:r w:rsidRPr="005D6860">
              <w:t xml:space="preserve">apital </w:t>
            </w:r>
            <w:r w:rsidR="000E26C1">
              <w:t>E</w:t>
            </w:r>
            <w:r w:rsidRPr="005D6860">
              <w:t xml:space="preserve">xpenditure </w:t>
            </w:r>
            <w:r w:rsidR="000E26C1">
              <w:t>I</w:t>
            </w:r>
            <w:r w:rsidRPr="005D6860">
              <w:t xml:space="preserve">ncentives </w:t>
            </w:r>
            <w:r w:rsidR="000E26C1">
              <w:t>G</w:t>
            </w:r>
            <w:r w:rsidRPr="005D6860">
              <w:t xml:space="preserve">uideline </w:t>
            </w:r>
            <w:r w:rsidR="007C53F4">
              <w:t>to Ergon Energy</w:t>
            </w:r>
            <w:r w:rsidRPr="005D6860">
              <w:t xml:space="preserve"> in the 2015–20 regulatory control </w:t>
            </w:r>
            <w:proofErr w:type="gramStart"/>
            <w:r w:rsidRPr="005D6860">
              <w:t>period</w:t>
            </w:r>
            <w:proofErr w:type="gramEnd"/>
            <w:r w:rsidRPr="005D6860">
              <w:t>.</w:t>
            </w:r>
          </w:p>
          <w:p w:rsidR="005D6860" w:rsidRPr="005D6860" w:rsidRDefault="005D6860" w:rsidP="005D6860">
            <w:pPr>
              <w:pStyle w:val="AERbulletlistfirststyle"/>
            </w:pPr>
            <w:r w:rsidRPr="005D6860">
              <w:t xml:space="preserve">In accordance with clause 6.12.1(9) of the NER, the AER's Electricity distribution network service providers, Service target performance incentive scheme, November 2009 (STPIS) will apply to </w:t>
            </w:r>
            <w:r w:rsidR="007C53F4">
              <w:t>Ergon Energy</w:t>
            </w:r>
            <w:r w:rsidRPr="005D6860">
              <w:t xml:space="preserve"> in the 2015−20 regulatory control period.</w:t>
            </w:r>
          </w:p>
          <w:p w:rsidR="00AB5A12" w:rsidRPr="00AB5A12" w:rsidRDefault="00AB5A12" w:rsidP="00AB5A12">
            <w:pPr>
              <w:pStyle w:val="AERbulletlistfirststyle"/>
            </w:pPr>
            <w:r w:rsidRPr="00AB5A12">
              <w:t xml:space="preserve">In accordance with clause 6.12.1(9) of the NER, we will apply our Service Target Performance Incentive Scheme (STPIS) to Ergon Energy for the 2015-20 regulatory control </w:t>
            </w:r>
            <w:proofErr w:type="gramStart"/>
            <w:r w:rsidRPr="00AB5A12">
              <w:t>period</w:t>
            </w:r>
            <w:proofErr w:type="gramEnd"/>
            <w:r w:rsidRPr="00AB5A12">
              <w:t>.</w:t>
            </w:r>
          </w:p>
          <w:p w:rsidR="00AB5A12" w:rsidRPr="00AB5A12" w:rsidRDefault="00AB5A12" w:rsidP="006C6CA7">
            <w:pPr>
              <w:pStyle w:val="AERbulletlistsecondstyle"/>
            </w:pPr>
            <w:r w:rsidRPr="00AB5A12">
              <w:t>We will apply the System Average Interruption Duration Index (SAIDI) and System Average Interruption Frequency Index (SAIFI) reliability of supply parameters. We will also apply the customer service telephone answering parameter. We will not apply a guaranteed service level scheme as Ergon Energy m</w:t>
            </w:r>
            <w:r w:rsidR="006A3E8D">
              <w:t>ust comply with its existing Queensland</w:t>
            </w:r>
            <w:r w:rsidRPr="00AB5A12">
              <w:t xml:space="preserve"> jurisdictional guaranteed service level scheme. </w:t>
            </w:r>
          </w:p>
          <w:p w:rsidR="00AB5A12" w:rsidRPr="00AB5A12" w:rsidRDefault="00AB5A12" w:rsidP="006C6CA7">
            <w:pPr>
              <w:pStyle w:val="AERbulletlistsecondstyle"/>
            </w:pPr>
            <w:r w:rsidRPr="00AB5A12">
              <w:t xml:space="preserve">A beta of 2.5 will be used to calculate the major event day boundary. </w:t>
            </w:r>
          </w:p>
          <w:p w:rsidR="00AB5A12" w:rsidRPr="00AB5A12" w:rsidRDefault="00AB5A12" w:rsidP="006C6CA7">
            <w:pPr>
              <w:pStyle w:val="AERbulletlistsecondstyle"/>
            </w:pPr>
            <w:r w:rsidRPr="00AB5A12">
              <w:t xml:space="preserve">Our </w:t>
            </w:r>
            <w:r w:rsidR="001061FD">
              <w:t>decision</w:t>
            </w:r>
            <w:r w:rsidRPr="00AB5A12">
              <w:t xml:space="preserve"> on the SAIDI and SAIFI incentive rates and performance targets to apply to Ergon Energy for the 2015-20 regulatory control </w:t>
            </w:r>
            <w:proofErr w:type="gramStart"/>
            <w:r w:rsidRPr="00AB5A12">
              <w:t>period</w:t>
            </w:r>
            <w:proofErr w:type="gramEnd"/>
            <w:r w:rsidRPr="00AB5A12">
              <w:t xml:space="preserve"> are set out in tables 11</w:t>
            </w:r>
            <w:r w:rsidR="006F7A2B">
              <w:t>-</w:t>
            </w:r>
            <w:r w:rsidRPr="00AB5A12">
              <w:t>1 and 11</w:t>
            </w:r>
            <w:r w:rsidR="006F7A2B">
              <w:t>-</w:t>
            </w:r>
            <w:r w:rsidRPr="00AB5A12">
              <w:t>3 of attachment 11 of this preliminary decision.</w:t>
            </w:r>
          </w:p>
          <w:p w:rsidR="00AB5A12" w:rsidRPr="00AB5A12" w:rsidRDefault="00AB5A12" w:rsidP="006C6CA7">
            <w:pPr>
              <w:pStyle w:val="AERbulletlistsecondstyle"/>
            </w:pPr>
            <w:r w:rsidRPr="00AB5A12">
              <w:t xml:space="preserve">Our </w:t>
            </w:r>
            <w:r w:rsidR="001061FD">
              <w:t>decision</w:t>
            </w:r>
            <w:r w:rsidRPr="00AB5A12">
              <w:t xml:space="preserve"> on the customer service incentive rate and performance target are set out in sections 11.1.2 and 11.1.3 of attachment 11 of this preliminary decision.  </w:t>
            </w:r>
          </w:p>
          <w:p w:rsidR="00AB5A12" w:rsidRDefault="00AB5A12" w:rsidP="006C6CA7">
            <w:pPr>
              <w:pStyle w:val="AERbulletlistsecondstyle"/>
            </w:pPr>
            <w:r w:rsidRPr="00AB5A12">
              <w:t>The revenue at risk for Ergon Energy will be capped at ±2.0 per cent. Within this there will be a cap of ±0.2 per cent on the telephone answering parameter for performance.</w:t>
            </w:r>
          </w:p>
          <w:p w:rsidR="00976F86" w:rsidRPr="00AB5A12" w:rsidRDefault="00976F86" w:rsidP="006C6CA7">
            <w:pPr>
              <w:pStyle w:val="ListContinue2"/>
            </w:pPr>
            <w:r w:rsidRPr="00976F86">
              <w:t xml:space="preserve">Note: The meaning for year “t” under the price control formula for this determination is different to that in Appendix C of STPIS. Year “t+1” in Appendix C of STPIS is equivalent to year “t” in the price control formula of this </w:t>
            </w:r>
            <w:r>
              <w:t>decision</w:t>
            </w:r>
            <w:r w:rsidRPr="00976F86">
              <w:t>.</w:t>
            </w:r>
          </w:p>
          <w:p w:rsidR="005D6860" w:rsidRPr="005D6860" w:rsidRDefault="005D6860" w:rsidP="00F10379">
            <w:pPr>
              <w:pStyle w:val="AERbulletlistfirststyle"/>
            </w:pPr>
            <w:r w:rsidRPr="005D6860">
              <w:t xml:space="preserve">The AER has determined to continue Part A of the Demand Management Innovation Allowance (DMIA) for </w:t>
            </w:r>
            <w:r w:rsidR="007C53F4">
              <w:t xml:space="preserve">Ergon Energy </w:t>
            </w:r>
            <w:r w:rsidRPr="005D6860">
              <w:t>in the 2015–20 regulatory control period</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5D6860">
            <w:r w:rsidRPr="005D6860">
              <w:t>In accordance with clause 6.12.1(10) the AER's decision is that all appropriate amounts, values and inputs are as set out in this determination including attachments.</w:t>
            </w:r>
          </w:p>
        </w:tc>
      </w:tr>
      <w:tr w:rsidR="005D6860" w:rsidRPr="007A08A0" w:rsidTr="005D6860">
        <w:tc>
          <w:tcPr>
            <w:tcW w:w="8693" w:type="dxa"/>
          </w:tcPr>
          <w:p w:rsidR="005D6860" w:rsidRPr="005D6860" w:rsidRDefault="005D6860" w:rsidP="00FC7487">
            <w:r w:rsidRPr="005D6860">
              <w:t xml:space="preserve">In accordance with clause 6.12.1(11) the AER's decision on the form of control mechanisms (including the X factor) for standard control services is a revenue cap. The revenue cap for </w:t>
            </w:r>
            <w:r w:rsidR="007C53F4">
              <w:t xml:space="preserve">Ergon Energy </w:t>
            </w:r>
            <w:r w:rsidRPr="005D6860">
              <w:t xml:space="preserve">for any given regulatory year is the </w:t>
            </w:r>
            <w:r w:rsidR="00FC7487">
              <w:t xml:space="preserve">total </w:t>
            </w:r>
            <w:r w:rsidR="00295A13">
              <w:t>revenue</w:t>
            </w:r>
            <w:r w:rsidRPr="005D6860">
              <w:t xml:space="preserve"> </w:t>
            </w:r>
            <w:r w:rsidR="00FC7487">
              <w:t xml:space="preserve">(TAR) </w:t>
            </w:r>
            <w:r w:rsidRPr="005D6860">
              <w:t xml:space="preserve">calculated using the formula in section </w:t>
            </w:r>
            <w:r w:rsidRPr="00855C20">
              <w:rPr>
                <w:rStyle w:val="AERbodytextChar"/>
                <w:rFonts w:eastAsia="Calibri"/>
              </w:rPr>
              <w:t>14.</w:t>
            </w:r>
            <w:r w:rsidR="00FC7487">
              <w:rPr>
                <w:rStyle w:val="AERbodytextChar"/>
                <w:rFonts w:eastAsia="Calibri"/>
              </w:rPr>
              <w:t>5</w:t>
            </w:r>
            <w:r w:rsidRPr="00855C20">
              <w:rPr>
                <w:rStyle w:val="AERbodytextChar"/>
                <w:rFonts w:eastAsia="Calibri"/>
              </w:rPr>
              <w:t>.3 plus any</w:t>
            </w:r>
            <w:r w:rsidRPr="005D6860">
              <w:t xml:space="preserve"> adjustment required to move the </w:t>
            </w:r>
            <w:proofErr w:type="spellStart"/>
            <w:r w:rsidRPr="005D6860">
              <w:t>DUoS</w:t>
            </w:r>
            <w:proofErr w:type="spellEnd"/>
            <w:r w:rsidRPr="005D6860">
              <w:t xml:space="preserve"> under/over account to zero. This is discussed at attachment 14.</w:t>
            </w:r>
          </w:p>
        </w:tc>
      </w:tr>
      <w:tr w:rsidR="005D6860" w:rsidRPr="007A08A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B02C46">
            <w:r w:rsidRPr="005D6860">
              <w:t>In accordance with clause 6.12.1(12) the AER's decision on the form of the control mechanism for alternative control services is to apply price caps. This is discussed in attachment 1</w:t>
            </w:r>
            <w:r w:rsidR="00B02C46">
              <w:t>6</w:t>
            </w:r>
            <w:r w:rsidRPr="005D6860">
              <w:t>.</w:t>
            </w:r>
          </w:p>
        </w:tc>
      </w:tr>
      <w:tr w:rsidR="005D6860" w:rsidRPr="007A08A0" w:rsidTr="005D6860">
        <w:tc>
          <w:tcPr>
            <w:tcW w:w="8693" w:type="dxa"/>
          </w:tcPr>
          <w:p w:rsidR="005D6860" w:rsidRPr="005D6860" w:rsidRDefault="005D6860" w:rsidP="007C53F4">
            <w:r w:rsidRPr="005D6860">
              <w:t>In accordance with clause 6.12.1(13), to demonstrate compliance with its distribution determination, the AER's decision is E</w:t>
            </w:r>
            <w:r w:rsidR="007C53F4">
              <w:t>rgon Energy</w:t>
            </w:r>
            <w:r w:rsidRPr="005D6860">
              <w:t xml:space="preserve"> must maintain a </w:t>
            </w:r>
            <w:proofErr w:type="spellStart"/>
            <w:r w:rsidRPr="005D6860">
              <w:t>DUoS</w:t>
            </w:r>
            <w:proofErr w:type="spellEnd"/>
            <w:r w:rsidRPr="005D6860">
              <w:t xml:space="preserve"> </w:t>
            </w:r>
            <w:proofErr w:type="spellStart"/>
            <w:r w:rsidRPr="005D6860">
              <w:t>unders</w:t>
            </w:r>
            <w:proofErr w:type="spellEnd"/>
            <w:r w:rsidRPr="005D6860">
              <w:t xml:space="preserve"> and overs account. It must provide information on this account to us in its annual pricing proposal.</w:t>
            </w:r>
            <w:r w:rsidR="00B02C46">
              <w:t xml:space="preserve"> This is discussed in attachment 14.</w:t>
            </w:r>
          </w:p>
        </w:tc>
      </w:tr>
      <w:tr w:rsidR="005D686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855C20" w:rsidRDefault="005D6860" w:rsidP="005D6860">
            <w:pPr>
              <w:rPr>
                <w:rStyle w:val="AERbodytextChar"/>
                <w:rFonts w:eastAsia="Calibri"/>
              </w:rPr>
            </w:pPr>
            <w:r w:rsidRPr="005D6860">
              <w:t xml:space="preserve">In accordance with clause 6.12.1(14) the AER's decision on the additional pass through events that are to apply is to not to accept the nominated pass through events as </w:t>
            </w:r>
            <w:r w:rsidR="007A1046">
              <w:t xml:space="preserve">proposed </w:t>
            </w:r>
            <w:r w:rsidRPr="005D6860">
              <w:t xml:space="preserve">by </w:t>
            </w:r>
            <w:r w:rsidR="008E1976">
              <w:t>Ergon Energy</w:t>
            </w:r>
            <w:r w:rsidRPr="005D6860">
              <w:t xml:space="preserve">. </w:t>
            </w:r>
            <w:r w:rsidRPr="00855C20">
              <w:rPr>
                <w:rStyle w:val="AERbodytextChar"/>
                <w:rFonts w:eastAsia="Calibri"/>
              </w:rPr>
              <w:t>The AER substitutes its own definitions for the following events:</w:t>
            </w:r>
          </w:p>
          <w:p w:rsidR="005D6860" w:rsidRPr="00855C20" w:rsidRDefault="005D6860" w:rsidP="005D6860">
            <w:pPr>
              <w:pStyle w:val="AERbulletlistfirststyle"/>
              <w:rPr>
                <w:rStyle w:val="AERbodytextChar"/>
                <w:rFonts w:eastAsia="Calibri"/>
              </w:rPr>
            </w:pPr>
            <w:r w:rsidRPr="00855C20">
              <w:rPr>
                <w:rStyle w:val="AERbodytextChar"/>
                <w:rFonts w:eastAsia="Calibri"/>
              </w:rPr>
              <w:t>insurance cap event</w:t>
            </w:r>
          </w:p>
          <w:p w:rsidR="007A1046" w:rsidRPr="00855C20" w:rsidRDefault="005D6860" w:rsidP="005D6860">
            <w:pPr>
              <w:pStyle w:val="AERbulletlistfirststyle"/>
              <w:rPr>
                <w:rStyle w:val="AERbodytextChar"/>
                <w:rFonts w:eastAsia="Calibri"/>
              </w:rPr>
            </w:pPr>
            <w:r w:rsidRPr="00855C20">
              <w:rPr>
                <w:rStyle w:val="AERbodytextChar"/>
                <w:rFonts w:eastAsia="Calibri"/>
              </w:rPr>
              <w:t>natural disaster event</w:t>
            </w:r>
          </w:p>
          <w:p w:rsidR="005D6860" w:rsidRPr="005D6860" w:rsidRDefault="007A1046" w:rsidP="005D6860">
            <w:pPr>
              <w:pStyle w:val="AERbulletlistfirststyle"/>
            </w:pPr>
            <w:proofErr w:type="gramStart"/>
            <w:r w:rsidRPr="00855C20">
              <w:rPr>
                <w:rStyle w:val="AERbodytextChar"/>
                <w:rFonts w:eastAsia="Calibri"/>
              </w:rPr>
              <w:t>insurance</w:t>
            </w:r>
            <w:proofErr w:type="gramEnd"/>
            <w:r w:rsidRPr="00855C20">
              <w:rPr>
                <w:rStyle w:val="AERbodytextChar"/>
                <w:rFonts w:eastAsia="Calibri"/>
              </w:rPr>
              <w:t xml:space="preserve"> event</w:t>
            </w:r>
            <w:r w:rsidR="005D6860" w:rsidRPr="00855C20">
              <w:rPr>
                <w:rStyle w:val="AERbodytextChar"/>
                <w:rFonts w:eastAsia="Calibri"/>
              </w:rPr>
              <w:t>.</w:t>
            </w:r>
          </w:p>
        </w:tc>
      </w:tr>
      <w:tr w:rsidR="005D6860" w:rsidRPr="007A08A0" w:rsidTr="005D6860">
        <w:tc>
          <w:tcPr>
            <w:tcW w:w="8693" w:type="dxa"/>
          </w:tcPr>
          <w:p w:rsidR="005D6860" w:rsidRPr="005D6860" w:rsidRDefault="005D6860" w:rsidP="007C53F4">
            <w:r w:rsidRPr="005D6860">
              <w:t xml:space="preserve">In accordance with clause 6.12.1(15) the AER's decision is to approve </w:t>
            </w:r>
            <w:r w:rsidR="007C53F4">
              <w:t>Ergon Energy's</w:t>
            </w:r>
            <w:r w:rsidRPr="005D6860">
              <w:t xml:space="preserve"> proposed negotiating framework. The negotiating framework that is to apply to </w:t>
            </w:r>
            <w:r w:rsidR="007C53F4">
              <w:t>Ergon Energy</w:t>
            </w:r>
            <w:r w:rsidRPr="005D6860">
              <w:t xml:space="preserve"> is set out at attachment 17 of the preliminary decision. </w:t>
            </w:r>
          </w:p>
        </w:tc>
      </w:tr>
      <w:tr w:rsidR="005D6860" w:rsidRPr="007A08A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17503D">
            <w:r w:rsidRPr="005D6860">
              <w:t xml:space="preserve">In accordance with clause 6.12.1(16) the AER's decision is to apply the negotiated distribution services criteria published in November 2014 to </w:t>
            </w:r>
            <w:r w:rsidR="0017503D">
              <w:t>Ergon Energy</w:t>
            </w:r>
            <w:r w:rsidRPr="005D6860">
              <w:t>. This is set out is at attachment 17of the preliminary decision.</w:t>
            </w:r>
          </w:p>
        </w:tc>
      </w:tr>
      <w:tr w:rsidR="005D6860" w:rsidRPr="007A08A0" w:rsidTr="005D6860">
        <w:tc>
          <w:tcPr>
            <w:tcW w:w="8693" w:type="dxa"/>
          </w:tcPr>
          <w:p w:rsidR="005D6860" w:rsidRPr="005D6860" w:rsidRDefault="005D6860" w:rsidP="00FC7487">
            <w:r w:rsidRPr="005D6860">
              <w:t>In accordance with clause 6.12.1(17) the AER's decision on the procedures for assigning retail customers to tariff classes</w:t>
            </w:r>
            <w:r w:rsidR="00FC7487">
              <w:t xml:space="preserve"> for Ergon Energy</w:t>
            </w:r>
            <w:r w:rsidRPr="005D6860">
              <w:t xml:space="preserve"> is set out at attachment 14 of the preliminary decision. </w:t>
            </w:r>
          </w:p>
        </w:tc>
      </w:tr>
      <w:tr w:rsidR="005D6860" w:rsidRPr="007A08A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17503D">
            <w:r w:rsidRPr="005D6860">
              <w:t>In accordance with clause 6.12.1(18) the AER's decision on regulatory depreciation is that the forecast depreciation approach is to be used to establish the RAB at the commencement of E</w:t>
            </w:r>
            <w:r w:rsidR="0017503D">
              <w:t>rgon Energy's</w:t>
            </w:r>
            <w:r w:rsidRPr="005D6860">
              <w:t xml:space="preserve"> regulatory control period (1 July 2020). This is discussed in attachment 2 of the preliminary decision. </w:t>
            </w:r>
          </w:p>
        </w:tc>
      </w:tr>
      <w:tr w:rsidR="005D6860" w:rsidRPr="007A08A0" w:rsidTr="005D6860">
        <w:tc>
          <w:tcPr>
            <w:tcW w:w="8693" w:type="dxa"/>
          </w:tcPr>
          <w:p w:rsidR="005D6860" w:rsidRPr="005D6860" w:rsidRDefault="005D6860" w:rsidP="00C552EA">
            <w:r w:rsidRPr="005D6860">
              <w:t xml:space="preserve">In accordance with clause 6.12.1(19) the AER's decision on how </w:t>
            </w:r>
            <w:r w:rsidR="0017503D">
              <w:t xml:space="preserve">Ergon Energy </w:t>
            </w:r>
            <w:r w:rsidRPr="005D6860">
              <w:t xml:space="preserve">is to report to the AER on its recovery of designated pricing proposal charges is to set this out in its annual pricing proposal. </w:t>
            </w:r>
            <w:r w:rsidRPr="006C6CA7">
              <w:t xml:space="preserve">The AER accepts </w:t>
            </w:r>
            <w:r w:rsidR="0017503D" w:rsidRPr="006C6CA7">
              <w:t>Ergon Energy's</w:t>
            </w:r>
            <w:r w:rsidRPr="006C6CA7">
              <w:t xml:space="preserve"> proposed methodology </w:t>
            </w:r>
            <w:r w:rsidR="000E5ADE" w:rsidRPr="006C6CA7">
              <w:t>to account for under and over recovery of charges. H</w:t>
            </w:r>
            <w:r w:rsidRPr="006C6CA7">
              <w:t>owever</w:t>
            </w:r>
            <w:r w:rsidR="000E5ADE" w:rsidRPr="006C6CA7">
              <w:t xml:space="preserve">, we require Ergon Energy to </w:t>
            </w:r>
            <w:r w:rsidR="00C552EA" w:rsidRPr="006C6CA7">
              <w:t xml:space="preserve">treat </w:t>
            </w:r>
            <w:r w:rsidR="000E5ADE" w:rsidRPr="006C6CA7">
              <w:t xml:space="preserve">specific </w:t>
            </w:r>
            <w:r w:rsidR="00C552EA" w:rsidRPr="006C6CA7">
              <w:t xml:space="preserve">charges as designated pricing proposal charges in </w:t>
            </w:r>
            <w:r w:rsidRPr="006C6CA7">
              <w:t>subsequent pricing proposals</w:t>
            </w:r>
            <w:r w:rsidRPr="005D6860">
              <w:t>. This is discussed in attachment 14 of the preliminary decision.</w:t>
            </w:r>
          </w:p>
        </w:tc>
      </w:tr>
      <w:tr w:rsidR="005D6860" w:rsidRPr="007A08A0" w:rsidTr="005D6860">
        <w:trPr>
          <w:cnfStyle w:val="000000010000" w:firstRow="0" w:lastRow="0" w:firstColumn="0" w:lastColumn="0" w:oddVBand="0" w:evenVBand="0" w:oddHBand="0" w:evenHBand="1" w:firstRowFirstColumn="0" w:firstRowLastColumn="0" w:lastRowFirstColumn="0" w:lastRowLastColumn="0"/>
        </w:trPr>
        <w:tc>
          <w:tcPr>
            <w:tcW w:w="8693" w:type="dxa"/>
          </w:tcPr>
          <w:p w:rsidR="005D6860" w:rsidRPr="005D6860" w:rsidRDefault="005D6860" w:rsidP="00C552EA">
            <w:r w:rsidRPr="005D6860">
              <w:t>In accordance with clause 6.12.1(20) the AER's decision is</w:t>
            </w:r>
            <w:r w:rsidRPr="00C552EA">
              <w:t xml:space="preserve"> </w:t>
            </w:r>
            <w:r w:rsidRPr="006C6CA7">
              <w:t xml:space="preserve">we require </w:t>
            </w:r>
            <w:r w:rsidR="0017503D" w:rsidRPr="006C6CA7">
              <w:t xml:space="preserve">Ergon Energy </w:t>
            </w:r>
            <w:r w:rsidRPr="006C6CA7">
              <w:t xml:space="preserve">to maintain a jurisdictional scheme </w:t>
            </w:r>
            <w:proofErr w:type="spellStart"/>
            <w:r w:rsidRPr="006C6CA7">
              <w:t>unders</w:t>
            </w:r>
            <w:proofErr w:type="spellEnd"/>
            <w:r w:rsidRPr="006C6CA7">
              <w:t xml:space="preserve"> and overs account.</w:t>
            </w:r>
            <w:r w:rsidRPr="005D6860">
              <w:t xml:space="preserve"> It must provide information on this account to us in its annual pricing proposal as set out in attachment 14 of the preliminary decision.</w:t>
            </w:r>
          </w:p>
        </w:tc>
      </w:tr>
      <w:tr w:rsidR="005D6860" w:rsidTr="005D6860">
        <w:tc>
          <w:tcPr>
            <w:tcW w:w="8693" w:type="dxa"/>
          </w:tcPr>
          <w:p w:rsidR="005D6860" w:rsidRPr="005D6860" w:rsidRDefault="005D6860" w:rsidP="007215E8">
            <w:r w:rsidRPr="005D6860">
              <w:t xml:space="preserve">In accordance with clause 6.12.1(21) the AER approves </w:t>
            </w:r>
            <w:r w:rsidR="007215E8">
              <w:t xml:space="preserve">a </w:t>
            </w:r>
            <w:r w:rsidR="007215E8" w:rsidRPr="007215E8">
              <w:t xml:space="preserve">modified version of the </w:t>
            </w:r>
            <w:r w:rsidRPr="005D6860">
              <w:t xml:space="preserve">connection policy proposed by </w:t>
            </w:r>
            <w:r w:rsidR="0017503D">
              <w:t>Ergon Energy</w:t>
            </w:r>
            <w:r w:rsidRPr="005D6860">
              <w:t xml:space="preserve"> in its regulatory proposal. This is set out in attachment 18 of the preliminary decision</w:t>
            </w:r>
          </w:p>
        </w:tc>
      </w:tr>
    </w:tbl>
    <w:p w:rsidR="00DE563D" w:rsidRDefault="00DE563D" w:rsidP="00DE563D"/>
    <w:p w:rsidR="00521204" w:rsidRDefault="00B52B05" w:rsidP="004F337E">
      <w:pPr>
        <w:pStyle w:val="Heading7"/>
        <w:numPr>
          <w:ilvl w:val="0"/>
          <w:numId w:val="0"/>
        </w:numPr>
      </w:pPr>
      <w:bookmarkStart w:id="101" w:name="_Toc418685534"/>
      <w:r>
        <w:t>B</w:t>
      </w:r>
      <w:r>
        <w:tab/>
      </w:r>
      <w:r w:rsidR="00521204">
        <w:t>List of submissions</w:t>
      </w:r>
      <w:bookmarkEnd w:id="101"/>
    </w:p>
    <w:p w:rsidR="00E72157" w:rsidRDefault="00E72157" w:rsidP="00E72157">
      <w:pPr>
        <w:numPr>
          <w:ilvl w:val="0"/>
          <w:numId w:val="25"/>
        </w:numPr>
      </w:pPr>
      <w:r>
        <w:t>We received 33 submissions in response to Ergon Energy's regulatory proposal as listed below:</w:t>
      </w:r>
    </w:p>
    <w:tbl>
      <w:tblPr>
        <w:tblStyle w:val="AERtable-text0"/>
        <w:tblW w:w="0" w:type="auto"/>
        <w:tblLook w:val="04A0" w:firstRow="1" w:lastRow="0" w:firstColumn="1" w:lastColumn="0" w:noHBand="0" w:noVBand="1"/>
      </w:tblPr>
      <w:tblGrid>
        <w:gridCol w:w="534"/>
        <w:gridCol w:w="4819"/>
        <w:gridCol w:w="1559"/>
        <w:gridCol w:w="142"/>
        <w:gridCol w:w="1639"/>
      </w:tblGrid>
      <w:tr w:rsidR="00E72157" w:rsidTr="005D6860">
        <w:trPr>
          <w:cnfStyle w:val="100000000000" w:firstRow="1" w:lastRow="0" w:firstColumn="0" w:lastColumn="0" w:oddVBand="0" w:evenVBand="0" w:oddHBand="0" w:evenHBand="0" w:firstRowFirstColumn="0" w:firstRowLastColumn="0" w:lastRowFirstColumn="0" w:lastRowLastColumn="0"/>
          <w:tblHeader/>
        </w:trPr>
        <w:tc>
          <w:tcPr>
            <w:tcW w:w="534" w:type="dxa"/>
          </w:tcPr>
          <w:p w:rsidR="00E72157" w:rsidRDefault="00E72157" w:rsidP="00E72157"/>
        </w:tc>
        <w:tc>
          <w:tcPr>
            <w:tcW w:w="4819" w:type="dxa"/>
          </w:tcPr>
          <w:p w:rsidR="00E72157" w:rsidRPr="00E72157" w:rsidRDefault="00E72157" w:rsidP="00E72157">
            <w:r>
              <w:t>Submission from</w:t>
            </w:r>
          </w:p>
        </w:tc>
        <w:tc>
          <w:tcPr>
            <w:tcW w:w="1559" w:type="dxa"/>
          </w:tcPr>
          <w:p w:rsidR="00E72157" w:rsidRPr="00E72157" w:rsidRDefault="00E72157" w:rsidP="00E72157">
            <w:r>
              <w:t>Date received</w:t>
            </w:r>
          </w:p>
        </w:tc>
        <w:tc>
          <w:tcPr>
            <w:tcW w:w="1781" w:type="dxa"/>
            <w:gridSpan w:val="2"/>
          </w:tcPr>
          <w:p w:rsidR="00E72157" w:rsidRPr="00E72157" w:rsidRDefault="00E72157" w:rsidP="00E72157">
            <w:r>
              <w:t>Submission on</w:t>
            </w:r>
          </w:p>
        </w:tc>
      </w:tr>
      <w:tr w:rsidR="00E72157" w:rsidTr="005D6860">
        <w:tc>
          <w:tcPr>
            <w:tcW w:w="534" w:type="dxa"/>
          </w:tcPr>
          <w:p w:rsidR="00E72157" w:rsidRPr="00E72157" w:rsidRDefault="00E72157" w:rsidP="00E72157">
            <w:r>
              <w:t>1</w:t>
            </w:r>
          </w:p>
        </w:tc>
        <w:tc>
          <w:tcPr>
            <w:tcW w:w="4819" w:type="dxa"/>
            <w:vAlign w:val="top"/>
          </w:tcPr>
          <w:p w:rsidR="00E72157" w:rsidRPr="00E72157" w:rsidRDefault="00E72157" w:rsidP="00E72157">
            <w:r w:rsidRPr="001E65EA">
              <w:t>Queensland Consumer</w:t>
            </w:r>
            <w:r w:rsidRPr="00E72157">
              <w:t>s Association</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2</w:t>
            </w:r>
          </w:p>
        </w:tc>
        <w:tc>
          <w:tcPr>
            <w:tcW w:w="4819" w:type="dxa"/>
            <w:vAlign w:val="top"/>
          </w:tcPr>
          <w:p w:rsidR="00E72157" w:rsidRPr="00E72157" w:rsidRDefault="00E72157" w:rsidP="00E72157">
            <w:r w:rsidRPr="001E65EA">
              <w:t>Darling Downs Cotton Growers</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c>
          <w:tcPr>
            <w:tcW w:w="534" w:type="dxa"/>
          </w:tcPr>
          <w:p w:rsidR="00E72157" w:rsidRPr="00E72157" w:rsidRDefault="00E72157" w:rsidP="00E72157">
            <w:r>
              <w:t>3</w:t>
            </w:r>
          </w:p>
        </w:tc>
        <w:tc>
          <w:tcPr>
            <w:tcW w:w="4819" w:type="dxa"/>
            <w:vAlign w:val="top"/>
          </w:tcPr>
          <w:p w:rsidR="00E72157" w:rsidRPr="00E72157" w:rsidRDefault="00E72157" w:rsidP="00E72157">
            <w:r w:rsidRPr="001E65EA">
              <w:t>Energy Retailers Association of Australia (ERAA)</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4</w:t>
            </w:r>
          </w:p>
        </w:tc>
        <w:tc>
          <w:tcPr>
            <w:tcW w:w="4819" w:type="dxa"/>
            <w:vAlign w:val="top"/>
          </w:tcPr>
          <w:p w:rsidR="00E72157" w:rsidRPr="00E72157" w:rsidRDefault="00E72157" w:rsidP="00E72157">
            <w:r w:rsidRPr="001E65EA">
              <w:t>Local Government Association of Queensland</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c>
          <w:tcPr>
            <w:tcW w:w="534" w:type="dxa"/>
          </w:tcPr>
          <w:p w:rsidR="00E72157" w:rsidRPr="00E72157" w:rsidRDefault="00E72157" w:rsidP="00E72157">
            <w:r>
              <w:t>5</w:t>
            </w:r>
          </w:p>
        </w:tc>
        <w:tc>
          <w:tcPr>
            <w:tcW w:w="4819" w:type="dxa"/>
            <w:vAlign w:val="top"/>
          </w:tcPr>
          <w:p w:rsidR="00E72157" w:rsidRPr="00E72157" w:rsidRDefault="00E72157" w:rsidP="00E72157">
            <w:r w:rsidRPr="001E65EA">
              <w:t>Cotton Australia</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6</w:t>
            </w:r>
          </w:p>
        </w:tc>
        <w:tc>
          <w:tcPr>
            <w:tcW w:w="4819" w:type="dxa"/>
            <w:vAlign w:val="top"/>
          </w:tcPr>
          <w:p w:rsidR="00E72157" w:rsidRPr="00E72157" w:rsidRDefault="00E72157" w:rsidP="00E72157">
            <w:proofErr w:type="spellStart"/>
            <w:r w:rsidRPr="001E65EA">
              <w:t>AngloAmerican</w:t>
            </w:r>
            <w:proofErr w:type="spellEnd"/>
            <w:r w:rsidRPr="00E72157">
              <w:t xml:space="preserve"> (Confidential submission)</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c>
          <w:tcPr>
            <w:tcW w:w="534" w:type="dxa"/>
          </w:tcPr>
          <w:p w:rsidR="00E72157" w:rsidRPr="00E72157" w:rsidRDefault="00E72157" w:rsidP="00E72157">
            <w:r>
              <w:t>7</w:t>
            </w:r>
          </w:p>
        </w:tc>
        <w:tc>
          <w:tcPr>
            <w:tcW w:w="4819" w:type="dxa"/>
            <w:vAlign w:val="top"/>
          </w:tcPr>
          <w:p w:rsidR="00E72157" w:rsidRPr="00E72157" w:rsidRDefault="00E72157" w:rsidP="00E72157">
            <w:r w:rsidRPr="00371DEF">
              <w:t>SPA Consulting Engineers</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8</w:t>
            </w:r>
          </w:p>
        </w:tc>
        <w:tc>
          <w:tcPr>
            <w:tcW w:w="4819" w:type="dxa"/>
            <w:vAlign w:val="top"/>
          </w:tcPr>
          <w:p w:rsidR="00E72157" w:rsidRPr="00E72157" w:rsidRDefault="00E72157" w:rsidP="00E72157">
            <w:r w:rsidRPr="00371DEF">
              <w:t>Vector Limited</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and SA distributors</w:t>
            </w:r>
          </w:p>
        </w:tc>
      </w:tr>
      <w:tr w:rsidR="00E72157" w:rsidTr="005D6860">
        <w:tc>
          <w:tcPr>
            <w:tcW w:w="534" w:type="dxa"/>
          </w:tcPr>
          <w:p w:rsidR="00E72157" w:rsidRPr="00E72157" w:rsidRDefault="00E72157" w:rsidP="00E72157">
            <w:r>
              <w:t>9</w:t>
            </w:r>
          </w:p>
        </w:tc>
        <w:tc>
          <w:tcPr>
            <w:tcW w:w="4819" w:type="dxa"/>
            <w:vAlign w:val="top"/>
          </w:tcPr>
          <w:p w:rsidR="00E72157" w:rsidRPr="00E72157" w:rsidRDefault="00E72157" w:rsidP="00E72157">
            <w:r w:rsidRPr="00371DEF">
              <w:t>Canegrowers</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10</w:t>
            </w:r>
          </w:p>
        </w:tc>
        <w:tc>
          <w:tcPr>
            <w:tcW w:w="4819" w:type="dxa"/>
            <w:vAlign w:val="top"/>
          </w:tcPr>
          <w:p w:rsidR="00E72157" w:rsidRPr="00E72157" w:rsidRDefault="00E72157" w:rsidP="00E72157">
            <w:r w:rsidRPr="00371DEF">
              <w:t>Townsville Enterprise</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c>
          <w:tcPr>
            <w:tcW w:w="534" w:type="dxa"/>
          </w:tcPr>
          <w:p w:rsidR="00E72157" w:rsidRPr="00E72157" w:rsidRDefault="00E72157" w:rsidP="00E72157">
            <w:r>
              <w:t>11</w:t>
            </w:r>
          </w:p>
        </w:tc>
        <w:tc>
          <w:tcPr>
            <w:tcW w:w="4819" w:type="dxa"/>
            <w:vAlign w:val="top"/>
          </w:tcPr>
          <w:p w:rsidR="00E72157" w:rsidRPr="00E72157" w:rsidRDefault="00E72157" w:rsidP="00E72157">
            <w:r w:rsidRPr="00371DEF">
              <w:t>FNQ Regional Organisation of Councils</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12</w:t>
            </w:r>
          </w:p>
        </w:tc>
        <w:tc>
          <w:tcPr>
            <w:tcW w:w="4819" w:type="dxa"/>
            <w:vAlign w:val="top"/>
          </w:tcPr>
          <w:p w:rsidR="00E72157" w:rsidRPr="00E72157" w:rsidRDefault="00E72157" w:rsidP="00E72157">
            <w:r w:rsidRPr="00371DEF">
              <w:t>Urban Development Institute of Australia (UDIA) Queensland</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c>
          <w:tcPr>
            <w:tcW w:w="534" w:type="dxa"/>
          </w:tcPr>
          <w:p w:rsidR="00E72157" w:rsidRPr="00E72157" w:rsidRDefault="00E72157" w:rsidP="00E72157">
            <w:r>
              <w:t>13</w:t>
            </w:r>
          </w:p>
        </w:tc>
        <w:tc>
          <w:tcPr>
            <w:tcW w:w="4819" w:type="dxa"/>
            <w:vAlign w:val="top"/>
          </w:tcPr>
          <w:p w:rsidR="00E72157" w:rsidRPr="00E72157" w:rsidRDefault="00E72157" w:rsidP="00E72157">
            <w:r w:rsidRPr="00371DEF">
              <w:t>Central Highlands Cotton Growers &amp; Irrigators Inc</w:t>
            </w:r>
            <w:r w:rsidRPr="00E72157">
              <w:t>.</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14</w:t>
            </w:r>
          </w:p>
        </w:tc>
        <w:tc>
          <w:tcPr>
            <w:tcW w:w="4819" w:type="dxa"/>
            <w:vAlign w:val="top"/>
          </w:tcPr>
          <w:p w:rsidR="00E72157" w:rsidRPr="00E72157" w:rsidRDefault="00E72157" w:rsidP="00E72157">
            <w:r w:rsidRPr="00371DEF">
              <w:t>Bundaberg Regional Irrigators Group</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Ergon Energy</w:t>
            </w:r>
          </w:p>
        </w:tc>
      </w:tr>
      <w:tr w:rsidR="00E72157" w:rsidTr="005D6860">
        <w:tc>
          <w:tcPr>
            <w:tcW w:w="534" w:type="dxa"/>
          </w:tcPr>
          <w:p w:rsidR="00E72157" w:rsidRPr="00E72157" w:rsidRDefault="00E72157" w:rsidP="00E72157">
            <w:r>
              <w:t>15</w:t>
            </w:r>
          </w:p>
        </w:tc>
        <w:tc>
          <w:tcPr>
            <w:tcW w:w="4819" w:type="dxa"/>
            <w:vAlign w:val="top"/>
          </w:tcPr>
          <w:p w:rsidR="00E72157" w:rsidRPr="00E72157" w:rsidRDefault="00E72157" w:rsidP="00E72157">
            <w:r w:rsidRPr="00371DEF">
              <w:t>Alliance of Electricity Consumers</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16</w:t>
            </w:r>
          </w:p>
        </w:tc>
        <w:tc>
          <w:tcPr>
            <w:tcW w:w="4819" w:type="dxa"/>
            <w:vAlign w:val="top"/>
          </w:tcPr>
          <w:p w:rsidR="00E72157" w:rsidRPr="00E72157" w:rsidRDefault="00E72157" w:rsidP="00E72157">
            <w:r w:rsidRPr="001E65EA">
              <w:t>Electrical Trades Union (ETU)</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c>
          <w:tcPr>
            <w:tcW w:w="534" w:type="dxa"/>
          </w:tcPr>
          <w:p w:rsidR="00E72157" w:rsidRPr="00E72157" w:rsidRDefault="00E72157" w:rsidP="00E72157">
            <w:r>
              <w:t>17</w:t>
            </w:r>
          </w:p>
        </w:tc>
        <w:tc>
          <w:tcPr>
            <w:tcW w:w="4819" w:type="dxa"/>
            <w:vAlign w:val="top"/>
          </w:tcPr>
          <w:p w:rsidR="00E72157" w:rsidRPr="00E72157" w:rsidRDefault="00E72157" w:rsidP="00E72157">
            <w:r w:rsidRPr="001E65EA">
              <w:t>Australian PV Institute</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18</w:t>
            </w:r>
          </w:p>
        </w:tc>
        <w:tc>
          <w:tcPr>
            <w:tcW w:w="4819" w:type="dxa"/>
            <w:vAlign w:val="top"/>
          </w:tcPr>
          <w:p w:rsidR="00E72157" w:rsidRPr="00E72157" w:rsidRDefault="00E72157" w:rsidP="00E72157">
            <w:r w:rsidRPr="001E65EA">
              <w:t>Canegrowers Isis</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c>
          <w:tcPr>
            <w:tcW w:w="534" w:type="dxa"/>
          </w:tcPr>
          <w:p w:rsidR="00E72157" w:rsidRPr="00E72157" w:rsidRDefault="00E72157" w:rsidP="00E72157">
            <w:r>
              <w:t>19</w:t>
            </w:r>
          </w:p>
        </w:tc>
        <w:tc>
          <w:tcPr>
            <w:tcW w:w="4819" w:type="dxa"/>
            <w:vAlign w:val="top"/>
          </w:tcPr>
          <w:p w:rsidR="00E72157" w:rsidRPr="00E72157" w:rsidRDefault="00E72157" w:rsidP="00E72157">
            <w:r w:rsidRPr="001E65EA">
              <w:t xml:space="preserve">Origin </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rsidRPr="00371DEF">
              <w:t>20</w:t>
            </w:r>
          </w:p>
        </w:tc>
        <w:tc>
          <w:tcPr>
            <w:tcW w:w="4819" w:type="dxa"/>
            <w:vAlign w:val="top"/>
          </w:tcPr>
          <w:p w:rsidR="00E72157" w:rsidRPr="00E72157" w:rsidRDefault="00E72157" w:rsidP="00E72157">
            <w:r w:rsidRPr="00371DEF">
              <w:t>Ergon Energy</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c>
          <w:tcPr>
            <w:tcW w:w="534" w:type="dxa"/>
          </w:tcPr>
          <w:p w:rsidR="00E72157" w:rsidRPr="00E72157" w:rsidRDefault="00E72157" w:rsidP="00E72157">
            <w:r>
              <w:t>21</w:t>
            </w:r>
          </w:p>
        </w:tc>
        <w:tc>
          <w:tcPr>
            <w:tcW w:w="4819" w:type="dxa"/>
            <w:vAlign w:val="top"/>
          </w:tcPr>
          <w:p w:rsidR="00E72157" w:rsidRPr="00E72157" w:rsidRDefault="00E72157" w:rsidP="00E72157">
            <w:r w:rsidRPr="00371DEF">
              <w:t>National Irrigators’ Council</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22</w:t>
            </w:r>
          </w:p>
        </w:tc>
        <w:tc>
          <w:tcPr>
            <w:tcW w:w="4819" w:type="dxa"/>
            <w:vAlign w:val="top"/>
          </w:tcPr>
          <w:p w:rsidR="00E72157" w:rsidRPr="00E72157" w:rsidRDefault="00E72157" w:rsidP="00E72157">
            <w:r w:rsidRPr="00371DEF">
              <w:t>Queensland Resources Council (QRC)</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c>
          <w:tcPr>
            <w:tcW w:w="534" w:type="dxa"/>
          </w:tcPr>
          <w:p w:rsidR="00E72157" w:rsidRPr="00E72157" w:rsidRDefault="00E72157" w:rsidP="00E72157">
            <w:r>
              <w:t>23</w:t>
            </w:r>
          </w:p>
        </w:tc>
        <w:tc>
          <w:tcPr>
            <w:tcW w:w="4819" w:type="dxa"/>
            <w:vAlign w:val="top"/>
          </w:tcPr>
          <w:p w:rsidR="00E72157" w:rsidRPr="00E72157" w:rsidRDefault="00E72157" w:rsidP="00E72157">
            <w:r w:rsidRPr="00371DEF">
              <w:t>Cummings Economics</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24</w:t>
            </w:r>
          </w:p>
        </w:tc>
        <w:tc>
          <w:tcPr>
            <w:tcW w:w="4819" w:type="dxa"/>
            <w:vAlign w:val="top"/>
          </w:tcPr>
          <w:p w:rsidR="00E72157" w:rsidRPr="00E72157" w:rsidRDefault="00E72157" w:rsidP="00E72157">
            <w:r w:rsidRPr="001E65EA">
              <w:t>Regional Development Australia Far North Queensland &amp; Torres Strait Inc</w:t>
            </w:r>
            <w:r w:rsidRPr="00E72157">
              <w:t>.</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c>
          <w:tcPr>
            <w:tcW w:w="534" w:type="dxa"/>
          </w:tcPr>
          <w:p w:rsidR="00E72157" w:rsidRPr="00E72157" w:rsidRDefault="00E72157" w:rsidP="00E72157">
            <w:r>
              <w:t>25</w:t>
            </w:r>
          </w:p>
        </w:tc>
        <w:tc>
          <w:tcPr>
            <w:tcW w:w="4819" w:type="dxa"/>
            <w:vAlign w:val="top"/>
          </w:tcPr>
          <w:p w:rsidR="00E72157" w:rsidRPr="00E72157" w:rsidRDefault="00E72157" w:rsidP="00E72157">
            <w:r w:rsidRPr="001E65EA">
              <w:t>Queensland Council of Social Service (QCOSS)</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26</w:t>
            </w:r>
          </w:p>
        </w:tc>
        <w:tc>
          <w:tcPr>
            <w:tcW w:w="4819" w:type="dxa"/>
            <w:vAlign w:val="top"/>
          </w:tcPr>
          <w:p w:rsidR="00E72157" w:rsidRPr="00E72157" w:rsidRDefault="00E72157" w:rsidP="00E72157">
            <w:r>
              <w:t xml:space="preserve">Consumer </w:t>
            </w:r>
            <w:r w:rsidRPr="00E72157">
              <w:t>Challenge Panel Sub-Panel 2</w:t>
            </w:r>
          </w:p>
        </w:tc>
        <w:tc>
          <w:tcPr>
            <w:tcW w:w="1701" w:type="dxa"/>
            <w:gridSpan w:val="2"/>
          </w:tcPr>
          <w:p w:rsidR="00E72157" w:rsidRPr="00E72157" w:rsidRDefault="00E72157" w:rsidP="00E72157">
            <w:r>
              <w:t>30/01/2015</w:t>
            </w:r>
          </w:p>
        </w:tc>
        <w:tc>
          <w:tcPr>
            <w:tcW w:w="1639" w:type="dxa"/>
          </w:tcPr>
          <w:p w:rsidR="00E72157" w:rsidRPr="00E72157" w:rsidRDefault="00E72157" w:rsidP="00E72157">
            <w:r>
              <w:t>Qld distributors</w:t>
            </w:r>
          </w:p>
        </w:tc>
      </w:tr>
      <w:tr w:rsidR="00E72157" w:rsidTr="005D6860">
        <w:tc>
          <w:tcPr>
            <w:tcW w:w="534" w:type="dxa"/>
          </w:tcPr>
          <w:p w:rsidR="00E72157" w:rsidRPr="00E72157" w:rsidRDefault="00E72157" w:rsidP="00E72157">
            <w:r>
              <w:t>27</w:t>
            </w:r>
          </w:p>
        </w:tc>
        <w:tc>
          <w:tcPr>
            <w:tcW w:w="4819" w:type="dxa"/>
            <w:vAlign w:val="top"/>
          </w:tcPr>
          <w:p w:rsidR="00E72157" w:rsidRPr="00E72157" w:rsidRDefault="00E72157" w:rsidP="00E72157">
            <w:r w:rsidRPr="001E65EA">
              <w:t>Total Environment Centre</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28</w:t>
            </w:r>
          </w:p>
        </w:tc>
        <w:tc>
          <w:tcPr>
            <w:tcW w:w="4819" w:type="dxa"/>
            <w:vAlign w:val="top"/>
          </w:tcPr>
          <w:p w:rsidR="00E72157" w:rsidRPr="00E72157" w:rsidRDefault="00E72157" w:rsidP="00E72157">
            <w:r w:rsidRPr="001E65EA">
              <w:t>Australians in Retirement</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Qld distributors</w:t>
            </w:r>
          </w:p>
        </w:tc>
      </w:tr>
      <w:tr w:rsidR="00E72157" w:rsidTr="005D6860">
        <w:tc>
          <w:tcPr>
            <w:tcW w:w="534" w:type="dxa"/>
          </w:tcPr>
          <w:p w:rsidR="00E72157" w:rsidRPr="00E72157" w:rsidRDefault="00E72157" w:rsidP="00E72157">
            <w:r>
              <w:t>29</w:t>
            </w:r>
          </w:p>
        </w:tc>
        <w:tc>
          <w:tcPr>
            <w:tcW w:w="4819" w:type="dxa"/>
            <w:vAlign w:val="top"/>
          </w:tcPr>
          <w:p w:rsidR="00E72157" w:rsidRPr="00E72157" w:rsidRDefault="00E72157" w:rsidP="00E72157">
            <w:r w:rsidRPr="001E65EA">
              <w:t>Chamber of Commerce &amp; Industry Queensland (CCIQ</w:t>
            </w:r>
            <w:r w:rsidRPr="00E72157">
              <w:t>)</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Ergon Energy</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30</w:t>
            </w:r>
          </w:p>
        </w:tc>
        <w:tc>
          <w:tcPr>
            <w:tcW w:w="4819" w:type="dxa"/>
            <w:vAlign w:val="top"/>
          </w:tcPr>
          <w:p w:rsidR="00E72157" w:rsidRPr="00E72157" w:rsidRDefault="00E72157" w:rsidP="00E72157">
            <w:r w:rsidRPr="001E65EA">
              <w:t xml:space="preserve">COTA Qld </w:t>
            </w:r>
          </w:p>
        </w:tc>
        <w:tc>
          <w:tcPr>
            <w:tcW w:w="1701" w:type="dxa"/>
            <w:gridSpan w:val="2"/>
          </w:tcPr>
          <w:p w:rsidR="00E72157" w:rsidRPr="00E72157" w:rsidRDefault="00E72157" w:rsidP="00E72157">
            <w:r>
              <w:t>3</w:t>
            </w:r>
            <w:r w:rsidRPr="00E72157">
              <w:t>0/01/2015</w:t>
            </w:r>
          </w:p>
        </w:tc>
        <w:tc>
          <w:tcPr>
            <w:tcW w:w="1639" w:type="dxa"/>
          </w:tcPr>
          <w:p w:rsidR="00E72157" w:rsidRPr="00E72157" w:rsidRDefault="00E72157" w:rsidP="00E72157">
            <w:r>
              <w:t>Ergon Energy</w:t>
            </w:r>
          </w:p>
        </w:tc>
      </w:tr>
      <w:tr w:rsidR="00E72157" w:rsidTr="005D6860">
        <w:tc>
          <w:tcPr>
            <w:tcW w:w="534" w:type="dxa"/>
          </w:tcPr>
          <w:p w:rsidR="00E72157" w:rsidRPr="00E72157" w:rsidRDefault="00E72157" w:rsidP="00E72157">
            <w:r>
              <w:t>31</w:t>
            </w:r>
          </w:p>
        </w:tc>
        <w:tc>
          <w:tcPr>
            <w:tcW w:w="4819" w:type="dxa"/>
            <w:vAlign w:val="top"/>
          </w:tcPr>
          <w:p w:rsidR="00E72157" w:rsidRPr="00E72157" w:rsidRDefault="00E72157" w:rsidP="00E72157">
            <w:r>
              <w:t>Energy Users Association of Australian (EUAA)</w:t>
            </w:r>
          </w:p>
        </w:tc>
        <w:tc>
          <w:tcPr>
            <w:tcW w:w="1701" w:type="dxa"/>
            <w:gridSpan w:val="2"/>
          </w:tcPr>
          <w:p w:rsidR="00E72157" w:rsidRPr="00E72157" w:rsidRDefault="00E72157" w:rsidP="00E72157">
            <w:r>
              <w:t>30/01/2015</w:t>
            </w:r>
          </w:p>
        </w:tc>
        <w:tc>
          <w:tcPr>
            <w:tcW w:w="1639" w:type="dxa"/>
          </w:tcPr>
          <w:p w:rsidR="00E72157" w:rsidRPr="00E72157" w:rsidRDefault="00E72157" w:rsidP="00E72157">
            <w:r>
              <w:t>Ergon Energy</w:t>
            </w:r>
          </w:p>
        </w:tc>
      </w:tr>
      <w:tr w:rsidR="00E72157" w:rsidTr="005D6860">
        <w:trPr>
          <w:cnfStyle w:val="000000010000" w:firstRow="0" w:lastRow="0" w:firstColumn="0" w:lastColumn="0" w:oddVBand="0" w:evenVBand="0" w:oddHBand="0" w:evenHBand="1" w:firstRowFirstColumn="0" w:firstRowLastColumn="0" w:lastRowFirstColumn="0" w:lastRowLastColumn="0"/>
        </w:trPr>
        <w:tc>
          <w:tcPr>
            <w:tcW w:w="534" w:type="dxa"/>
          </w:tcPr>
          <w:p w:rsidR="00E72157" w:rsidRPr="00E72157" w:rsidRDefault="00E72157" w:rsidP="00E72157">
            <w:r>
              <w:t>32</w:t>
            </w:r>
          </w:p>
        </w:tc>
        <w:tc>
          <w:tcPr>
            <w:tcW w:w="4819" w:type="dxa"/>
          </w:tcPr>
          <w:p w:rsidR="00E72157" w:rsidRPr="00E72157" w:rsidRDefault="00E72157" w:rsidP="00E72157">
            <w:r w:rsidRPr="001E65EA">
              <w:t>Queensland Farmers Federation</w:t>
            </w:r>
          </w:p>
        </w:tc>
        <w:tc>
          <w:tcPr>
            <w:tcW w:w="1701" w:type="dxa"/>
            <w:gridSpan w:val="2"/>
          </w:tcPr>
          <w:p w:rsidR="00E72157" w:rsidRPr="00E72157" w:rsidRDefault="00E72157" w:rsidP="00E72157">
            <w:r w:rsidRPr="00371DEF">
              <w:t>0</w:t>
            </w:r>
            <w:r w:rsidRPr="00E72157">
              <w:t>5/02/2015</w:t>
            </w:r>
          </w:p>
        </w:tc>
        <w:tc>
          <w:tcPr>
            <w:tcW w:w="1639" w:type="dxa"/>
          </w:tcPr>
          <w:p w:rsidR="00E72157" w:rsidRPr="00E72157" w:rsidRDefault="00E72157" w:rsidP="00E72157">
            <w:r>
              <w:t>Qld distributors</w:t>
            </w:r>
          </w:p>
        </w:tc>
      </w:tr>
      <w:tr w:rsidR="00E72157" w:rsidRPr="00371DEF" w:rsidTr="005D6860">
        <w:tc>
          <w:tcPr>
            <w:tcW w:w="534" w:type="dxa"/>
          </w:tcPr>
          <w:p w:rsidR="00E72157" w:rsidRPr="00E72157" w:rsidRDefault="00E72157" w:rsidP="00E72157">
            <w:r>
              <w:t>33</w:t>
            </w:r>
          </w:p>
        </w:tc>
        <w:tc>
          <w:tcPr>
            <w:tcW w:w="4819" w:type="dxa"/>
          </w:tcPr>
          <w:p w:rsidR="00E72157" w:rsidRPr="00E72157" w:rsidRDefault="00E72157" w:rsidP="00E72157">
            <w:proofErr w:type="spellStart"/>
            <w:r w:rsidRPr="00371DEF">
              <w:t>Mulpha</w:t>
            </w:r>
            <w:proofErr w:type="spellEnd"/>
            <w:r w:rsidRPr="00371DEF">
              <w:t xml:space="preserve"> Australia Ltd</w:t>
            </w:r>
            <w:r w:rsidRPr="00E72157">
              <w:t xml:space="preserve"> </w:t>
            </w:r>
          </w:p>
        </w:tc>
        <w:tc>
          <w:tcPr>
            <w:tcW w:w="1701" w:type="dxa"/>
            <w:gridSpan w:val="2"/>
          </w:tcPr>
          <w:p w:rsidR="00E72157" w:rsidRPr="00E72157" w:rsidRDefault="00E72157" w:rsidP="00E72157">
            <w:r>
              <w:t>11/02/2015</w:t>
            </w:r>
          </w:p>
        </w:tc>
        <w:tc>
          <w:tcPr>
            <w:tcW w:w="1639" w:type="dxa"/>
          </w:tcPr>
          <w:p w:rsidR="00E72157" w:rsidRPr="00E72157" w:rsidRDefault="00E72157" w:rsidP="00E72157">
            <w:r w:rsidRPr="00371DEF">
              <w:t>Ergon Energy</w:t>
            </w:r>
          </w:p>
        </w:tc>
      </w:tr>
    </w:tbl>
    <w:p w:rsidR="00E72157" w:rsidRDefault="00E72157" w:rsidP="00E72157"/>
    <w:p w:rsidR="00E72157" w:rsidRDefault="00E72157" w:rsidP="00E72157"/>
    <w:p w:rsidR="00CB0279" w:rsidRPr="00290C63" w:rsidRDefault="00CB0279" w:rsidP="00290C63"/>
    <w:sectPr w:rsidR="00CB0279" w:rsidRPr="00290C63" w:rsidSect="00DE563D">
      <w:pgSz w:w="11906" w:h="16838" w:code="9"/>
      <w:pgMar w:top="1440" w:right="1700" w:bottom="1582" w:left="1729"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E7C" w:rsidRPr="00290C63" w:rsidRDefault="00EE7E7C" w:rsidP="00290C63">
      <w:r>
        <w:separator/>
      </w:r>
    </w:p>
    <w:p w:rsidR="00EE7E7C" w:rsidRDefault="00EE7E7C"/>
  </w:endnote>
  <w:endnote w:type="continuationSeparator" w:id="0">
    <w:p w:rsidR="00EE7E7C" w:rsidRPr="00290C63" w:rsidRDefault="00EE7E7C" w:rsidP="00290C63">
      <w:r>
        <w:continuationSeparator/>
      </w:r>
    </w:p>
    <w:p w:rsidR="00EE7E7C" w:rsidRDefault="00EE7E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autami">
    <w:panose1 w:val="020B0502040204020203"/>
    <w:charset w:val="01"/>
    <w:family w:val="roman"/>
    <w:notTrueType/>
    <w:pitch w:val="variable"/>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E7C" w:rsidRPr="00290C63" w:rsidRDefault="00EE7E7C"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EE7E7C" w:rsidRDefault="00EE7E7C"/>
  <w:p w:rsidR="00EE7E7C" w:rsidRDefault="00EE7E7C"/>
  <w:p w:rsidR="00EE7E7C" w:rsidRDefault="00EE7E7C"/>
  <w:p w:rsidR="00EE7E7C" w:rsidRDefault="00EE7E7C"/>
  <w:p w:rsidR="00EE7E7C" w:rsidRDefault="00EE7E7C"/>
  <w:p w:rsidR="00EE7E7C" w:rsidRDefault="00EE7E7C"/>
  <w:p w:rsidR="00EE7E7C" w:rsidRDefault="00EE7E7C"/>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3450613"/>
      <w:docPartObj>
        <w:docPartGallery w:val="Page Numbers (Bottom of Page)"/>
        <w:docPartUnique/>
      </w:docPartObj>
    </w:sdtPr>
    <w:sdtEndPr>
      <w:rPr>
        <w:noProof/>
      </w:rPr>
    </w:sdtEndPr>
    <w:sdtContent>
      <w:p w:rsidR="00EE7E7C" w:rsidRDefault="00EE7E7C">
        <w:pPr>
          <w:pStyle w:val="Footer"/>
        </w:pPr>
        <w:r>
          <w:fldChar w:fldCharType="begin"/>
        </w:r>
        <w:r>
          <w:instrText xml:space="preserve"> PAGE   \* MERGEFORMAT </w:instrText>
        </w:r>
        <w:r>
          <w:fldChar w:fldCharType="separate"/>
        </w:r>
        <w:r w:rsidR="00A9055F">
          <w:rPr>
            <w:noProof/>
          </w:rPr>
          <w:t>37</w:t>
        </w:r>
        <w:r>
          <w:rPr>
            <w:noProof/>
          </w:rPr>
          <w:fldChar w:fldCharType="end"/>
        </w:r>
        <w:r>
          <w:rPr>
            <w:noProof/>
          </w:rPr>
          <w:t xml:space="preserve">      </w:t>
        </w:r>
        <w:r>
          <w:t xml:space="preserve">          </w:t>
        </w:r>
        <w:r>
          <w:tab/>
          <w:t xml:space="preserve">                        </w:t>
        </w:r>
        <w:r>
          <w:rPr>
            <w:noProof/>
          </w:rPr>
          <w:t xml:space="preserve">  </w:t>
        </w:r>
        <w:r>
          <w:t>Overview</w:t>
        </w:r>
        <w:r>
          <w:rPr>
            <w:rFonts w:cs="Gautami"/>
            <w:noProof/>
          </w:rPr>
          <w:t xml:space="preserve"> | </w:t>
        </w:r>
        <w:r>
          <w:t xml:space="preserve">Ergon Energy </w:t>
        </w:r>
        <w:r>
          <w:rPr>
            <w:rFonts w:cs="Gautami"/>
            <w:noProof/>
          </w:rPr>
          <w:t>determination 2015–20</w:t>
        </w:r>
      </w:p>
    </w:sdtContent>
  </w:sdt>
  <w:p w:rsidR="00EE7E7C" w:rsidRDefault="00EE7E7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E7C" w:rsidRPr="00290C63" w:rsidRDefault="00EE7E7C"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EE7E7C" w:rsidRDefault="00EE7E7C">
    <w:pPr>
      <w:pStyle w:val="Footer"/>
    </w:pPr>
  </w:p>
  <w:p w:rsidR="00EE7E7C" w:rsidRDefault="00EE7E7C"/>
  <w:p w:rsidR="00EE7E7C" w:rsidRDefault="00EE7E7C"/>
  <w:p w:rsidR="00EE7E7C" w:rsidRDefault="00EE7E7C"/>
  <w:p w:rsidR="00EE7E7C" w:rsidRDefault="00EE7E7C"/>
  <w:p w:rsidR="00EE7E7C" w:rsidRDefault="00EE7E7C"/>
  <w:p w:rsidR="00EE7E7C" w:rsidRDefault="00EE7E7C"/>
  <w:p w:rsidR="00EE7E7C" w:rsidRDefault="00EE7E7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E7C" w:rsidRPr="00290C63" w:rsidRDefault="00EE7E7C" w:rsidP="00290C63">
      <w:r>
        <w:separator/>
      </w:r>
    </w:p>
    <w:p w:rsidR="00EE7E7C" w:rsidRDefault="00EE7E7C"/>
  </w:footnote>
  <w:footnote w:type="continuationSeparator" w:id="0">
    <w:p w:rsidR="00EE7E7C" w:rsidRPr="00290C63" w:rsidRDefault="00EE7E7C" w:rsidP="00290C63">
      <w:r>
        <w:continuationSeparator/>
      </w:r>
    </w:p>
    <w:p w:rsidR="00EE7E7C" w:rsidRDefault="00EE7E7C"/>
  </w:footnote>
  <w:footnote w:id="1">
    <w:p w:rsidR="00EE7E7C" w:rsidRDefault="00EE7E7C" w:rsidP="00D44A58">
      <w:pPr>
        <w:pStyle w:val="FootnoteText"/>
      </w:pPr>
      <w:r>
        <w:rPr>
          <w:rStyle w:val="FootnoteReference"/>
        </w:rPr>
        <w:footnoteRef/>
      </w:r>
      <w:r>
        <w:t xml:space="preserve"> </w:t>
      </w:r>
      <w:r>
        <w:tab/>
      </w:r>
      <w:proofErr w:type="gramStart"/>
      <w:r>
        <w:t>NEL, s. 7.</w:t>
      </w:r>
      <w:proofErr w:type="gramEnd"/>
    </w:p>
  </w:footnote>
  <w:footnote w:id="2">
    <w:p w:rsidR="00EE7E7C" w:rsidRDefault="00EE7E7C" w:rsidP="00D44A58">
      <w:pPr>
        <w:pStyle w:val="FootnoteText"/>
      </w:pPr>
      <w:r>
        <w:rPr>
          <w:rStyle w:val="FootnoteReference"/>
        </w:rPr>
        <w:footnoteRef/>
      </w:r>
      <w:r>
        <w:t xml:space="preserve"> </w:t>
      </w:r>
      <w:r>
        <w:tab/>
      </w:r>
      <w:proofErr w:type="gramStart"/>
      <w:r>
        <w:t>NER, cl. 6.8.2.</w:t>
      </w:r>
      <w:proofErr w:type="gramEnd"/>
    </w:p>
  </w:footnote>
  <w:footnote w:id="3">
    <w:p w:rsidR="00EE7E7C" w:rsidRDefault="00EE7E7C" w:rsidP="00D44A58">
      <w:pPr>
        <w:pStyle w:val="FootnoteText"/>
      </w:pPr>
      <w:r>
        <w:rPr>
          <w:rStyle w:val="FootnoteReference"/>
        </w:rPr>
        <w:footnoteRef/>
      </w:r>
      <w:r>
        <w:t xml:space="preserve"> </w:t>
      </w:r>
      <w:r>
        <w:tab/>
      </w:r>
      <w:proofErr w:type="gramStart"/>
      <w:r>
        <w:t xml:space="preserve">NER, </w:t>
      </w:r>
      <w:proofErr w:type="spellStart"/>
      <w:r>
        <w:t>cll</w:t>
      </w:r>
      <w:proofErr w:type="spellEnd"/>
      <w:r>
        <w:t>.</w:t>
      </w:r>
      <w:proofErr w:type="gramEnd"/>
      <w:r>
        <w:t xml:space="preserve"> 6.3.1 and 6.8.2.</w:t>
      </w:r>
    </w:p>
  </w:footnote>
  <w:footnote w:id="4">
    <w:p w:rsidR="00EE7E7C" w:rsidRDefault="00EE7E7C" w:rsidP="00D44A58">
      <w:pPr>
        <w:pStyle w:val="FootnoteText"/>
      </w:pPr>
      <w:r>
        <w:rPr>
          <w:rStyle w:val="FootnoteReference"/>
        </w:rPr>
        <w:footnoteRef/>
      </w:r>
      <w:r>
        <w:t xml:space="preserve"> </w:t>
      </w:r>
      <w:r>
        <w:tab/>
        <w:t xml:space="preserve">Hansard, </w:t>
      </w:r>
      <w:r w:rsidRPr="00C07FA6">
        <w:rPr>
          <w:rStyle w:val="AERtextitalic"/>
        </w:rPr>
        <w:t>SA House of Assembly</w:t>
      </w:r>
      <w:r>
        <w:t>, 9 February 2005, p. 1452.</w:t>
      </w:r>
    </w:p>
  </w:footnote>
  <w:footnote w:id="5">
    <w:p w:rsidR="00EE7E7C" w:rsidRDefault="00EE7E7C" w:rsidP="001F21C7">
      <w:pPr>
        <w:pStyle w:val="FootnoteText"/>
      </w:pPr>
      <w:r>
        <w:rPr>
          <w:rStyle w:val="FootnoteReference"/>
        </w:rPr>
        <w:footnoteRef/>
      </w:r>
      <w:r>
        <w:t xml:space="preserve"> </w:t>
      </w:r>
      <w:r>
        <w:tab/>
        <w:t xml:space="preserve">This amount excludes other additional factors that will be recovered as part of </w:t>
      </w:r>
      <w:proofErr w:type="spellStart"/>
      <w:r>
        <w:t>DUoS</w:t>
      </w:r>
      <w:proofErr w:type="spellEnd"/>
      <w:r>
        <w:t xml:space="preserve"> but not within the building block revenue, such as the Solar Bonus Scheme feed-in tariff (</w:t>
      </w:r>
      <w:proofErr w:type="spellStart"/>
      <w:r>
        <w:t>FiT</w:t>
      </w:r>
      <w:proofErr w:type="spellEnd"/>
      <w:r>
        <w:t xml:space="preserve">). The total expected revenue including the </w:t>
      </w:r>
      <w:proofErr w:type="spellStart"/>
      <w:r>
        <w:t>additionals</w:t>
      </w:r>
      <w:proofErr w:type="spellEnd"/>
      <w:r>
        <w:t xml:space="preserve"> is $7083.7 million.</w:t>
      </w:r>
    </w:p>
  </w:footnote>
  <w:footnote w:id="6">
    <w:p w:rsidR="00CA781A" w:rsidRDefault="00CA781A">
      <w:pPr>
        <w:pStyle w:val="FootnoteText"/>
      </w:pPr>
      <w:r>
        <w:rPr>
          <w:rStyle w:val="FootnoteReference"/>
        </w:rPr>
        <w:footnoteRef/>
      </w:r>
      <w:r>
        <w:t xml:space="preserve"> </w:t>
      </w:r>
      <w:r>
        <w:tab/>
      </w:r>
      <w:r w:rsidRPr="002B5EB8">
        <w:t xml:space="preserve">This </w:t>
      </w:r>
      <w:r>
        <w:t>amount</w:t>
      </w:r>
      <w:r w:rsidRPr="002B5EB8">
        <w:t xml:space="preserve"> </w:t>
      </w:r>
      <w:r>
        <w:t>ex</w:t>
      </w:r>
      <w:r w:rsidRPr="002B5EB8">
        <w:t xml:space="preserve">cludes other </w:t>
      </w:r>
      <w:r>
        <w:t xml:space="preserve">additional </w:t>
      </w:r>
      <w:r w:rsidRPr="002B5EB8">
        <w:t xml:space="preserve">factors that </w:t>
      </w:r>
      <w:r>
        <w:t xml:space="preserve">will be recovered as part of </w:t>
      </w:r>
      <w:proofErr w:type="spellStart"/>
      <w:r>
        <w:t>DUoS</w:t>
      </w:r>
      <w:proofErr w:type="spellEnd"/>
      <w:r w:rsidRPr="002B5EB8">
        <w:t xml:space="preserve"> but not within the building block revenue, such as the Solar Bonus Scheme feed-in tariff (</w:t>
      </w:r>
      <w:proofErr w:type="spellStart"/>
      <w:r w:rsidRPr="002B5EB8">
        <w:t>FiT</w:t>
      </w:r>
      <w:proofErr w:type="spellEnd"/>
      <w:r w:rsidRPr="002B5EB8">
        <w:t>)</w:t>
      </w:r>
      <w:r>
        <w:t xml:space="preserve">. Ergon Energy proposed </w:t>
      </w:r>
      <w:proofErr w:type="gramStart"/>
      <w:r>
        <w:t>a total</w:t>
      </w:r>
      <w:proofErr w:type="gramEnd"/>
      <w:r>
        <w:t xml:space="preserve"> expected revenue including the </w:t>
      </w:r>
      <w:proofErr w:type="spellStart"/>
      <w:r>
        <w:t>additionals</w:t>
      </w:r>
      <w:proofErr w:type="spellEnd"/>
      <w:r>
        <w:t xml:space="preserve"> of $9303.9 million.</w:t>
      </w:r>
    </w:p>
  </w:footnote>
  <w:footnote w:id="7">
    <w:p w:rsidR="00EE7E7C" w:rsidRDefault="00EE7E7C" w:rsidP="004A440A">
      <w:pPr>
        <w:pStyle w:val="FootnoteText"/>
      </w:pPr>
      <w:r>
        <w:rPr>
          <w:rStyle w:val="FootnoteReference"/>
        </w:rPr>
        <w:footnoteRef/>
      </w:r>
      <w:r>
        <w:t xml:space="preserve"> </w:t>
      </w:r>
      <w:r>
        <w:tab/>
        <w:t xml:space="preserve">Customers who applied for the Queensland Solar Bonus Scheme </w:t>
      </w:r>
      <w:proofErr w:type="spellStart"/>
      <w:r>
        <w:t>FiT</w:t>
      </w:r>
      <w:proofErr w:type="spellEnd"/>
      <w:r>
        <w:t xml:space="preserve"> before 10 July 2012 are currently </w:t>
      </w:r>
      <w:r w:rsidRPr="00B738B6">
        <w:t>receiving 44 cents and will continue to receive that rate provided ongoing eligibility requirements are met</w:t>
      </w:r>
      <w:r>
        <w:t xml:space="preserve">. New customers </w:t>
      </w:r>
      <w:r w:rsidRPr="00A7499C">
        <w:t>must approach their electricity retailer to obtain a market feed-in tariff rate.</w:t>
      </w:r>
      <w:r>
        <w:t xml:space="preserve"> </w:t>
      </w:r>
      <w:r w:rsidRPr="00C30ACC">
        <w:t xml:space="preserve">We note that the SBS and arrangements to recover </w:t>
      </w:r>
      <w:proofErr w:type="spellStart"/>
      <w:r w:rsidRPr="00C30ACC">
        <w:t>FiT</w:t>
      </w:r>
      <w:proofErr w:type="spellEnd"/>
      <w:r w:rsidRPr="00C30ACC">
        <w:t xml:space="preserve"> related costs are subject to change by the Qld</w:t>
      </w:r>
      <w:r>
        <w:t xml:space="preserve"> </w:t>
      </w:r>
      <w:r w:rsidRPr="00C30ACC">
        <w:t>Government.</w:t>
      </w:r>
    </w:p>
    <w:p w:rsidR="00EE7E7C" w:rsidRDefault="00EE7E7C" w:rsidP="004A440A"/>
    <w:p w:rsidR="00EE7E7C" w:rsidRDefault="00EE7E7C" w:rsidP="004A440A">
      <w:pPr>
        <w:pStyle w:val="FootnoteText"/>
      </w:pPr>
    </w:p>
  </w:footnote>
  <w:footnote w:id="8">
    <w:p w:rsidR="00EE7E7C" w:rsidRDefault="00EE7E7C" w:rsidP="00211F3B">
      <w:pPr>
        <w:pStyle w:val="FootnoteText"/>
      </w:pPr>
      <w:r>
        <w:rPr>
          <w:rStyle w:val="FootnoteReference"/>
        </w:rPr>
        <w:footnoteRef/>
      </w:r>
      <w:r>
        <w:t xml:space="preserve"> </w:t>
      </w:r>
      <w:r>
        <w:tab/>
        <w:t>How these key cost drivers impact total revenue is further explained in section 2 of this Overview.</w:t>
      </w:r>
    </w:p>
  </w:footnote>
  <w:footnote w:id="9">
    <w:p w:rsidR="00EE7E7C" w:rsidRDefault="00EE7E7C">
      <w:pPr>
        <w:pStyle w:val="FootnoteText"/>
      </w:pPr>
      <w:r>
        <w:rPr>
          <w:rStyle w:val="FootnoteReference"/>
        </w:rPr>
        <w:footnoteRef/>
      </w:r>
      <w:r>
        <w:t xml:space="preserve"> </w:t>
      </w:r>
      <w:r>
        <w:tab/>
      </w:r>
      <w:r w:rsidRPr="00535FC7">
        <w:t xml:space="preserve">DEWS, </w:t>
      </w:r>
      <w:r w:rsidRPr="00535FC7">
        <w:rPr>
          <w:rStyle w:val="AERtextitalic"/>
        </w:rPr>
        <w:t>Changes to electricity network reliability standards</w:t>
      </w:r>
      <w:r w:rsidRPr="00535FC7">
        <w:t>; Refer to https://www.dews.qld.gov.au/policies-initiatives/electricity-sector-reform/supply/electricity-network-reliability-standards</w:t>
      </w:r>
    </w:p>
  </w:footnote>
  <w:footnote w:id="10">
    <w:p w:rsidR="00EE7E7C" w:rsidRDefault="00EE7E7C" w:rsidP="00552236">
      <w:pPr>
        <w:pStyle w:val="FootnoteText"/>
      </w:pPr>
      <w:r>
        <w:rPr>
          <w:rStyle w:val="FootnoteReference"/>
        </w:rPr>
        <w:footnoteRef/>
      </w:r>
      <w:r>
        <w:t xml:space="preserve"> </w:t>
      </w:r>
      <w:r>
        <w:tab/>
      </w:r>
      <w:proofErr w:type="gramStart"/>
      <w:r>
        <w:t>NER, cl. 6.5.2(b).</w:t>
      </w:r>
      <w:proofErr w:type="gramEnd"/>
    </w:p>
  </w:footnote>
  <w:footnote w:id="11">
    <w:p w:rsidR="0074351E" w:rsidRDefault="0074351E">
      <w:pPr>
        <w:pStyle w:val="FootnoteText"/>
      </w:pPr>
      <w:r>
        <w:rPr>
          <w:rStyle w:val="FootnoteReference"/>
        </w:rPr>
        <w:footnoteRef/>
      </w:r>
      <w:r>
        <w:t xml:space="preserve"> </w:t>
      </w:r>
      <w:r>
        <w:tab/>
      </w:r>
      <w:r w:rsidRPr="009D1563">
        <w:t xml:space="preserve">The rate of return that </w:t>
      </w:r>
      <w:r>
        <w:t>Ergon Energy</w:t>
      </w:r>
      <w:r w:rsidRPr="009D1563">
        <w:t xml:space="preserve"> included in its proposal is an indicative value. Its proposal includes provision for the AER to adjust this value based on updated information that was not available when </w:t>
      </w:r>
      <w:r>
        <w:t>Ergon Energy</w:t>
      </w:r>
      <w:r w:rsidRPr="009D1563">
        <w:t xml:space="preserve"> submitted its proposal.</w:t>
      </w:r>
    </w:p>
  </w:footnote>
  <w:footnote w:id="12">
    <w:p w:rsidR="00EE7E7C" w:rsidRDefault="00EE7E7C" w:rsidP="00552236">
      <w:pPr>
        <w:pStyle w:val="FootnoteText"/>
      </w:pPr>
      <w:r>
        <w:rPr>
          <w:rStyle w:val="FootnoteReference"/>
        </w:rPr>
        <w:footnoteRef/>
      </w:r>
      <w:r>
        <w:t xml:space="preserve"> </w:t>
      </w:r>
      <w:r>
        <w:tab/>
        <w:t>AER</w:t>
      </w:r>
      <w:r w:rsidRPr="00812C7D">
        <w:rPr>
          <w:rStyle w:val="AERtextitalic"/>
        </w:rPr>
        <w:t>, Rate of Return Guideline</w:t>
      </w:r>
      <w:r>
        <w:t xml:space="preserve">, December 2013: </w:t>
      </w:r>
      <w:hyperlink r:id="rId1" w:history="1">
        <w:r w:rsidRPr="006926DD">
          <w:rPr>
            <w:rStyle w:val="Hyperlink"/>
            <w:sz w:val="16"/>
          </w:rPr>
          <w:t>http://www.aer.gov.au/node/18859</w:t>
        </w:r>
      </w:hyperlink>
      <w:r>
        <w:rPr>
          <w:rStyle w:val="Hyperlink"/>
        </w:rPr>
        <w:t>.</w:t>
      </w:r>
      <w:r>
        <w:t xml:space="preserve"> </w:t>
      </w:r>
    </w:p>
  </w:footnote>
  <w:footnote w:id="13">
    <w:p w:rsidR="00EE7E7C" w:rsidRDefault="00EE7E7C" w:rsidP="00552236">
      <w:pPr>
        <w:pStyle w:val="FootnoteText"/>
      </w:pPr>
      <w:r>
        <w:rPr>
          <w:rStyle w:val="FootnoteReference"/>
        </w:rPr>
        <w:footnoteRef/>
      </w:r>
      <w:r>
        <w:t xml:space="preserve"> </w:t>
      </w:r>
      <w:r>
        <w:tab/>
      </w:r>
      <w:proofErr w:type="gramStart"/>
      <w:r>
        <w:t xml:space="preserve">For example, </w:t>
      </w:r>
      <w:proofErr w:type="spellStart"/>
      <w:r>
        <w:t>TasNetworks</w:t>
      </w:r>
      <w:proofErr w:type="spellEnd"/>
      <w:r>
        <w:t xml:space="preserve">, </w:t>
      </w:r>
      <w:r w:rsidRPr="00291C14">
        <w:rPr>
          <w:rStyle w:val="AERtextitalic"/>
        </w:rPr>
        <w:t>Regulatory Proposal</w:t>
      </w:r>
      <w:r>
        <w:t>, June 2014.</w:t>
      </w:r>
      <w:proofErr w:type="gramEnd"/>
    </w:p>
  </w:footnote>
  <w:footnote w:id="14">
    <w:p w:rsidR="00EE7E7C" w:rsidRDefault="00EE7E7C" w:rsidP="00B87D8C">
      <w:pPr>
        <w:pStyle w:val="FootnoteText"/>
      </w:pPr>
      <w:r>
        <w:rPr>
          <w:rStyle w:val="FootnoteReference"/>
        </w:rPr>
        <w:footnoteRef/>
      </w:r>
      <w:r>
        <w:t xml:space="preserve"> </w:t>
      </w:r>
      <w:r>
        <w:tab/>
      </w:r>
      <w:proofErr w:type="gramStart"/>
      <w:r>
        <w:t xml:space="preserve">NER, </w:t>
      </w:r>
      <w:proofErr w:type="spellStart"/>
      <w:r>
        <w:t>cll</w:t>
      </w:r>
      <w:proofErr w:type="spellEnd"/>
      <w:r>
        <w:t>.</w:t>
      </w:r>
      <w:proofErr w:type="gramEnd"/>
      <w:r>
        <w:t xml:space="preserve"> 6.5.6(</w:t>
      </w:r>
      <w:proofErr w:type="gramStart"/>
      <w:r>
        <w:t>a</w:t>
      </w:r>
      <w:proofErr w:type="gramEnd"/>
      <w:r>
        <w:t>).</w:t>
      </w:r>
    </w:p>
  </w:footnote>
  <w:footnote w:id="15">
    <w:p w:rsidR="00EE7E7C" w:rsidRDefault="00EE7E7C" w:rsidP="00B87D8C">
      <w:pPr>
        <w:pStyle w:val="FootnoteText"/>
      </w:pPr>
      <w:r>
        <w:rPr>
          <w:rStyle w:val="FootnoteReference"/>
        </w:rPr>
        <w:footnoteRef/>
      </w:r>
      <w:r>
        <w:t xml:space="preserve"> </w:t>
      </w:r>
      <w:r>
        <w:tab/>
      </w:r>
      <w:proofErr w:type="gramStart"/>
      <w:r>
        <w:t xml:space="preserve">The </w:t>
      </w:r>
      <w:proofErr w:type="spellStart"/>
      <w:r>
        <w:t>opex</w:t>
      </w:r>
      <w:proofErr w:type="spellEnd"/>
      <w:r>
        <w:t xml:space="preserve"> criteria </w:t>
      </w:r>
      <w:r>
        <w:rPr>
          <w:rFonts w:cs="Arial"/>
        </w:rPr>
        <w:t>−</w:t>
      </w:r>
      <w:r>
        <w:t xml:space="preserve"> NER, cl. 6.5.6(c).</w:t>
      </w:r>
      <w:proofErr w:type="gramEnd"/>
    </w:p>
  </w:footnote>
  <w:footnote w:id="16">
    <w:p w:rsidR="00EE7E7C" w:rsidRDefault="00EE7E7C" w:rsidP="00B87D8C">
      <w:pPr>
        <w:pStyle w:val="FootnoteText"/>
      </w:pPr>
      <w:r>
        <w:rPr>
          <w:rStyle w:val="FootnoteReference"/>
        </w:rPr>
        <w:footnoteRef/>
      </w:r>
      <w:r>
        <w:t xml:space="preserve"> </w:t>
      </w:r>
      <w:r>
        <w:tab/>
      </w:r>
      <w:proofErr w:type="gramStart"/>
      <w:r>
        <w:t>NER, cl. 6.12.1(4).</w:t>
      </w:r>
      <w:proofErr w:type="gramEnd"/>
    </w:p>
  </w:footnote>
  <w:footnote w:id="17">
    <w:p w:rsidR="00EE7E7C" w:rsidRDefault="00EE7E7C" w:rsidP="00B87D8C">
      <w:pPr>
        <w:pStyle w:val="FootnoteText"/>
      </w:pPr>
      <w:r>
        <w:rPr>
          <w:rStyle w:val="FootnoteReference"/>
        </w:rPr>
        <w:footnoteRef/>
      </w:r>
      <w:r>
        <w:t xml:space="preserve"> </w:t>
      </w:r>
      <w:r>
        <w:tab/>
        <w:t xml:space="preserve">See attachment 7 </w:t>
      </w:r>
      <w:r>
        <w:rPr>
          <w:rFonts w:cs="Arial"/>
        </w:rPr>
        <w:t>−</w:t>
      </w:r>
      <w:r>
        <w:t xml:space="preserve"> Operating expenditure for more details.</w:t>
      </w:r>
    </w:p>
  </w:footnote>
  <w:footnote w:id="18">
    <w:p w:rsidR="00EE7E7C" w:rsidRDefault="00EE7E7C" w:rsidP="00B87D8C">
      <w:pPr>
        <w:pStyle w:val="FootnoteText"/>
      </w:pPr>
      <w:r>
        <w:rPr>
          <w:rStyle w:val="FootnoteReference"/>
        </w:rPr>
        <w:footnoteRef/>
      </w:r>
      <w:r>
        <w:t xml:space="preserve"> </w:t>
      </w:r>
      <w:r>
        <w:tab/>
        <w:t xml:space="preserve">See attachment 6 </w:t>
      </w:r>
      <w:r>
        <w:rPr>
          <w:rFonts w:cs="Arial"/>
        </w:rPr>
        <w:t>−</w:t>
      </w:r>
      <w:r>
        <w:t xml:space="preserve"> Capital expenditure, and attachment 7 </w:t>
      </w:r>
      <w:r>
        <w:rPr>
          <w:rFonts w:cs="Arial"/>
        </w:rPr>
        <w:t>−</w:t>
      </w:r>
      <w:r>
        <w:t xml:space="preserve"> operating expenditure for more details. </w:t>
      </w:r>
    </w:p>
  </w:footnote>
  <w:footnote w:id="19">
    <w:p w:rsidR="00EE7E7C" w:rsidRDefault="00EE7E7C" w:rsidP="00B87D8C">
      <w:pPr>
        <w:pStyle w:val="FootnoteText"/>
      </w:pPr>
      <w:r>
        <w:rPr>
          <w:rStyle w:val="FootnoteReference"/>
        </w:rPr>
        <w:footnoteRef/>
      </w:r>
      <w:r>
        <w:t xml:space="preserve"> </w:t>
      </w:r>
      <w:r>
        <w:tab/>
      </w:r>
      <w:r w:rsidRPr="00D85350">
        <w:t>In May 2012, the</w:t>
      </w:r>
      <w:r>
        <w:t xml:space="preserve"> (former) </w:t>
      </w:r>
      <w:r w:rsidRPr="00D85350">
        <w:t>Queensland Government set up an interdepartmental committee (IDC) to examine electricity sector reform in response to rising costs in the electricity sector. The IDC commissioned an independent panel of experts, the IRP, to investigate areas of inefficiencies in the Queensland service providers. The task of th</w:t>
      </w:r>
      <w:r>
        <w:t xml:space="preserve">e IRP was to develop options to </w:t>
      </w:r>
      <w:r w:rsidRPr="00D85350">
        <w:t>improve the efficiency of capital and operating expenditure</w:t>
      </w:r>
      <w:r>
        <w:t xml:space="preserve"> and </w:t>
      </w:r>
      <w:r w:rsidRPr="00D85350">
        <w:t>deliver savings in corporate and overhead costs.</w:t>
      </w:r>
      <w:r>
        <w:t xml:space="preserve"> </w:t>
      </w:r>
      <w:r w:rsidRPr="00D85350">
        <w:t>In May 2013, the IRP found that through a series of reforms, Energex and Ergon could together achieve an estimated $1</w:t>
      </w:r>
      <w:r>
        <w:t xml:space="preserve"> </w:t>
      </w:r>
      <w:r w:rsidRPr="00D85350">
        <w:t>4</w:t>
      </w:r>
      <w:r>
        <w:t>00</w:t>
      </w:r>
      <w:r w:rsidRPr="00D85350">
        <w:t xml:space="preserve"> </w:t>
      </w:r>
      <w:r>
        <w:t>m</w:t>
      </w:r>
      <w:r w:rsidRPr="00D85350">
        <w:t xml:space="preserve">illion reduction in operational costs over the 2015-20 regulatory control </w:t>
      </w:r>
      <w:proofErr w:type="gramStart"/>
      <w:r w:rsidRPr="00D85350">
        <w:t>period</w:t>
      </w:r>
      <w:proofErr w:type="gramEnd"/>
      <w:r w:rsidRPr="00D85350">
        <w:t>. The IRP made 45 recommendations, including 18 which focused on overhead expenses and operational efficiencies.</w:t>
      </w:r>
    </w:p>
  </w:footnote>
  <w:footnote w:id="20">
    <w:p w:rsidR="00EE7E7C" w:rsidRDefault="00EE7E7C" w:rsidP="00B87D8C">
      <w:pPr>
        <w:pStyle w:val="FootnoteText"/>
      </w:pPr>
      <w:r>
        <w:rPr>
          <w:rStyle w:val="FootnoteReference"/>
        </w:rPr>
        <w:footnoteRef/>
      </w:r>
      <w:r>
        <w:t xml:space="preserve"> </w:t>
      </w:r>
      <w:r>
        <w:tab/>
        <w:t>For the reasons set out in attachment 7, we consider that the adjustments we have made are at least sufficient to take into account the environmental operating factors that may affect Ergon Energy's costs.</w:t>
      </w:r>
    </w:p>
  </w:footnote>
  <w:footnote w:id="21">
    <w:p w:rsidR="00EE7E7C" w:rsidRDefault="00EE7E7C" w:rsidP="00FA32F9">
      <w:pPr>
        <w:pStyle w:val="FootnoteText"/>
      </w:pPr>
      <w:r>
        <w:rPr>
          <w:rStyle w:val="FootnoteReference"/>
        </w:rPr>
        <w:footnoteRef/>
      </w:r>
      <w:r>
        <w:t xml:space="preserve"> </w:t>
      </w:r>
      <w:r>
        <w:tab/>
        <w:t>NEL, s. 16(1</w:t>
      </w:r>
      <w:proofErr w:type="gramStart"/>
      <w:r>
        <w:t>)(</w:t>
      </w:r>
      <w:proofErr w:type="gramEnd"/>
      <w:r>
        <w:t>d).</w:t>
      </w:r>
    </w:p>
  </w:footnote>
  <w:footnote w:id="22">
    <w:p w:rsidR="00EE7E7C" w:rsidRDefault="00EE7E7C">
      <w:pPr>
        <w:pStyle w:val="FootnoteText"/>
      </w:pPr>
      <w:r>
        <w:rPr>
          <w:rStyle w:val="FootnoteReference"/>
        </w:rPr>
        <w:footnoteRef/>
      </w:r>
      <w:r>
        <w:t xml:space="preserve"> </w:t>
      </w:r>
      <w:r>
        <w:tab/>
        <w:t xml:space="preserve">Because Ergon Energy has a balance on its </w:t>
      </w:r>
      <w:proofErr w:type="spellStart"/>
      <w:r>
        <w:t>unders</w:t>
      </w:r>
      <w:proofErr w:type="spellEnd"/>
      <w:r>
        <w:t>/overs account at the end of the 2010–15 regulatory control period, this will also be included as a building block. This is not shown in the illustration as typically a service provider should be aiming for a zero balance.</w:t>
      </w:r>
    </w:p>
  </w:footnote>
  <w:footnote w:id="23">
    <w:p w:rsidR="00EE7E7C" w:rsidRDefault="00EE7E7C">
      <w:pPr>
        <w:pStyle w:val="FootnoteText"/>
      </w:pPr>
      <w:r>
        <w:rPr>
          <w:rStyle w:val="FootnoteReference"/>
        </w:rPr>
        <w:footnoteRef/>
      </w:r>
      <w:r>
        <w:t xml:space="preserve"> </w:t>
      </w:r>
      <w:r>
        <w:tab/>
      </w:r>
      <w:proofErr w:type="gramStart"/>
      <w:r>
        <w:t xml:space="preserve">NER, </w:t>
      </w:r>
      <w:proofErr w:type="spellStart"/>
      <w:r>
        <w:t>cll</w:t>
      </w:r>
      <w:proofErr w:type="spellEnd"/>
      <w:r>
        <w:t>.</w:t>
      </w:r>
      <w:proofErr w:type="gramEnd"/>
      <w:r>
        <w:t xml:space="preserve"> 6.5.1 and S6.2.</w:t>
      </w:r>
    </w:p>
  </w:footnote>
  <w:footnote w:id="24">
    <w:p w:rsidR="00EE7E7C" w:rsidRDefault="00EE7E7C" w:rsidP="00137617">
      <w:pPr>
        <w:pStyle w:val="FootnoteText"/>
      </w:pPr>
      <w:r>
        <w:rPr>
          <w:rStyle w:val="FootnoteReference"/>
        </w:rPr>
        <w:footnoteRef/>
      </w:r>
      <w:r>
        <w:t xml:space="preserve"> </w:t>
      </w:r>
      <w:r>
        <w:tab/>
      </w:r>
      <w:proofErr w:type="gramStart"/>
      <w:r>
        <w:t>NER, cl. 6.5.2(a).</w:t>
      </w:r>
      <w:proofErr w:type="gramEnd"/>
    </w:p>
  </w:footnote>
  <w:footnote w:id="25">
    <w:p w:rsidR="00EE7E7C" w:rsidRDefault="00EE7E7C" w:rsidP="00137617">
      <w:pPr>
        <w:pStyle w:val="FootnoteText"/>
      </w:pPr>
      <w:r>
        <w:rPr>
          <w:rStyle w:val="FootnoteReference"/>
        </w:rPr>
        <w:footnoteRef/>
      </w:r>
      <w:r>
        <w:t xml:space="preserve"> </w:t>
      </w:r>
      <w:r>
        <w:tab/>
      </w:r>
      <w:proofErr w:type="gramStart"/>
      <w:r>
        <w:t>NER, cl. 6.5.2(b).</w:t>
      </w:r>
      <w:proofErr w:type="gramEnd"/>
    </w:p>
  </w:footnote>
  <w:footnote w:id="26">
    <w:p w:rsidR="00EE7E7C" w:rsidRDefault="00EE7E7C" w:rsidP="00137617">
      <w:pPr>
        <w:pStyle w:val="FootnoteText"/>
      </w:pPr>
      <w:r>
        <w:rPr>
          <w:rStyle w:val="FootnoteReference"/>
        </w:rPr>
        <w:footnoteRef/>
      </w:r>
      <w:r>
        <w:t xml:space="preserve"> </w:t>
      </w:r>
      <w:r>
        <w:tab/>
        <w:t>The nominal vanilla WACC combines a post-tax return on equity and a pre-tax return on debt, for consistency with other building blocks.</w:t>
      </w:r>
    </w:p>
  </w:footnote>
  <w:footnote w:id="27">
    <w:p w:rsidR="0074351E" w:rsidRDefault="0074351E">
      <w:pPr>
        <w:pStyle w:val="FootnoteText"/>
      </w:pPr>
      <w:r>
        <w:rPr>
          <w:rStyle w:val="FootnoteReference"/>
        </w:rPr>
        <w:footnoteRef/>
      </w:r>
      <w:r>
        <w:t xml:space="preserve"> </w:t>
      </w:r>
      <w:r>
        <w:tab/>
      </w:r>
      <w:r w:rsidRPr="009D1563">
        <w:t xml:space="preserve">The rate of return that </w:t>
      </w:r>
      <w:r>
        <w:t xml:space="preserve">Ergon Energy </w:t>
      </w:r>
      <w:r w:rsidRPr="009D1563">
        <w:t xml:space="preserve">included in its proposal is an indicative value. Its proposal includes provision for the AER to adjust this value based on updated information that was not available when </w:t>
      </w:r>
      <w:r>
        <w:t>Ergon Energy</w:t>
      </w:r>
      <w:r w:rsidRPr="009D1563">
        <w:t xml:space="preserve"> submitted its proposal.</w:t>
      </w:r>
    </w:p>
  </w:footnote>
  <w:footnote w:id="28">
    <w:p w:rsidR="00EE7E7C" w:rsidRDefault="00EE7E7C" w:rsidP="00137617">
      <w:pPr>
        <w:pStyle w:val="FootnoteText"/>
      </w:pPr>
      <w:r>
        <w:rPr>
          <w:rStyle w:val="FootnoteReference"/>
        </w:rPr>
        <w:footnoteRef/>
      </w:r>
      <w:r>
        <w:t xml:space="preserve"> </w:t>
      </w:r>
      <w:r>
        <w:tab/>
        <w:t>NER, cl. 6.5.2(</w:t>
      </w:r>
      <w:proofErr w:type="spellStart"/>
      <w:r>
        <w:t>i</w:t>
      </w:r>
      <w:proofErr w:type="spellEnd"/>
      <w:proofErr w:type="gramStart"/>
      <w:r>
        <w:t>)(</w:t>
      </w:r>
      <w:proofErr w:type="gramEnd"/>
      <w:r>
        <w:t>2).</w:t>
      </w:r>
    </w:p>
  </w:footnote>
  <w:footnote w:id="29">
    <w:p w:rsidR="00EE7E7C" w:rsidRDefault="00EE7E7C" w:rsidP="00137617">
      <w:pPr>
        <w:pStyle w:val="FootnoteText"/>
      </w:pPr>
      <w:r>
        <w:rPr>
          <w:rStyle w:val="FootnoteReference"/>
        </w:rPr>
        <w:footnoteRef/>
      </w:r>
      <w:r>
        <w:t xml:space="preserve"> </w:t>
      </w:r>
      <w:r>
        <w:tab/>
      </w:r>
      <w:proofErr w:type="gramStart"/>
      <w:r>
        <w:t>NER, cl. 6.5.2(b).</w:t>
      </w:r>
      <w:proofErr w:type="gramEnd"/>
    </w:p>
  </w:footnote>
  <w:footnote w:id="30">
    <w:p w:rsidR="00EE7E7C" w:rsidRDefault="00EE7E7C" w:rsidP="00137617">
      <w:pPr>
        <w:pStyle w:val="FootnoteText"/>
      </w:pPr>
      <w:r>
        <w:rPr>
          <w:rStyle w:val="FootnoteReference"/>
        </w:rPr>
        <w:footnoteRef/>
      </w:r>
      <w:r>
        <w:t xml:space="preserve"> </w:t>
      </w:r>
      <w:r>
        <w:tab/>
      </w:r>
      <w:r w:rsidRPr="00BB36FA">
        <w:t xml:space="preserve">AEMC, </w:t>
      </w:r>
      <w:r w:rsidRPr="00B670B8">
        <w:rPr>
          <w:rStyle w:val="AERtextitalic"/>
        </w:rPr>
        <w:t>Rule determination: National electricity amendment (Economic regulation of network service providers) Rule 2012: National gas amendment (Price and revenue regulation of gas services) Rule 2012</w:t>
      </w:r>
      <w:r w:rsidRPr="00BB36FA">
        <w:t>, 29 November 2012, p. 67</w:t>
      </w:r>
      <w:r>
        <w:t xml:space="preserve"> (AEMC, </w:t>
      </w:r>
      <w:r w:rsidRPr="00CB6337">
        <w:rPr>
          <w:rStyle w:val="AERtextitalic"/>
        </w:rPr>
        <w:t>Final rule change determination</w:t>
      </w:r>
      <w:r>
        <w:t>, November 2012);</w:t>
      </w:r>
      <w:r w:rsidRPr="006F6849">
        <w:t xml:space="preserve"> </w:t>
      </w:r>
      <w:r w:rsidRPr="00BB36FA">
        <w:t xml:space="preserve">AEMC, </w:t>
      </w:r>
      <w:r w:rsidRPr="00C62026">
        <w:rPr>
          <w:rStyle w:val="AERtextitalic"/>
        </w:rPr>
        <w:t xml:space="preserve">Final </w:t>
      </w:r>
      <w:r>
        <w:rPr>
          <w:rStyle w:val="AERtextitalic"/>
        </w:rPr>
        <w:t xml:space="preserve">rule change </w:t>
      </w:r>
      <w:r w:rsidRPr="00C62026">
        <w:rPr>
          <w:rStyle w:val="AERtextitalic"/>
        </w:rPr>
        <w:t>determination</w:t>
      </w:r>
      <w:r w:rsidRPr="00BB36FA">
        <w:t>, November 2012, p.</w:t>
      </w:r>
      <w:r>
        <w:t xml:space="preserve"> </w:t>
      </w:r>
      <w:r w:rsidRPr="00BB36FA">
        <w:t>iv</w:t>
      </w:r>
      <w:r>
        <w:t xml:space="preserve">, </w:t>
      </w:r>
      <w:r w:rsidRPr="0000722D">
        <w:t xml:space="preserve">AEMC, </w:t>
      </w:r>
      <w:r w:rsidRPr="0000722D">
        <w:rPr>
          <w:rStyle w:val="AERtextitalic"/>
        </w:rPr>
        <w:t xml:space="preserve">Final rule </w:t>
      </w:r>
      <w:r>
        <w:rPr>
          <w:rStyle w:val="AERtextitalic"/>
        </w:rPr>
        <w:t xml:space="preserve">change </w:t>
      </w:r>
      <w:r w:rsidRPr="0000722D">
        <w:rPr>
          <w:rStyle w:val="AERtextitalic"/>
        </w:rPr>
        <w:t>determination</w:t>
      </w:r>
      <w:r w:rsidRPr="0000722D">
        <w:t xml:space="preserve">, </w:t>
      </w:r>
      <w:r>
        <w:t>November</w:t>
      </w:r>
      <w:r w:rsidRPr="0000722D">
        <w:t xml:space="preserve"> 2012, </w:t>
      </w:r>
      <w:r>
        <w:t xml:space="preserve">p. 38; The High Court of NZ stated: 'In determining WACC, precision is therefore an elusive and perhaps non-existent quality. Setting WACC is, we suggest, more of an art than a science. The use of WACC, in conjunction with RAB values, to set prices and revenue in price-quality regulation gives significance to WACC estimates that may not exist outside this context.' </w:t>
      </w:r>
      <w:r w:rsidRPr="006307C5">
        <w:rPr>
          <w:rStyle w:val="AERtextitalic"/>
        </w:rPr>
        <w:t>Wellington International Airport Ltd &amp; Others v Commerce Commission</w:t>
      </w:r>
      <w:r>
        <w:t xml:space="preserve"> [2013] NZHC 3289, para. 1189.</w:t>
      </w:r>
    </w:p>
  </w:footnote>
  <w:footnote w:id="31">
    <w:p w:rsidR="00EE7E7C" w:rsidRDefault="00EE7E7C" w:rsidP="00137617">
      <w:pPr>
        <w:pStyle w:val="FootnoteText"/>
      </w:pPr>
      <w:r>
        <w:rPr>
          <w:rStyle w:val="FootnoteReference"/>
        </w:rPr>
        <w:footnoteRef/>
      </w:r>
      <w:r>
        <w:t xml:space="preserve"> </w:t>
      </w:r>
      <w:r>
        <w:tab/>
        <w:t xml:space="preserve">ENA, </w:t>
      </w:r>
      <w:r w:rsidRPr="00E67A17">
        <w:rPr>
          <w:rStyle w:val="AERtextitalic"/>
        </w:rPr>
        <w:t xml:space="preserve">Response to the Draft Rate of Return </w:t>
      </w:r>
      <w:r>
        <w:rPr>
          <w:rStyle w:val="AERtextitalic"/>
        </w:rPr>
        <w:t>Guideline</w:t>
      </w:r>
      <w:r w:rsidRPr="00E67A17">
        <w:rPr>
          <w:rStyle w:val="AERtextitalic"/>
        </w:rPr>
        <w:t xml:space="preserve"> of the AER</w:t>
      </w:r>
      <w:r>
        <w:t xml:space="preserve">, 11 October 2013, p. 1; </w:t>
      </w:r>
      <w:r w:rsidRPr="00746651">
        <w:t xml:space="preserve">AER, </w:t>
      </w:r>
      <w:r w:rsidRPr="00746651">
        <w:rPr>
          <w:rStyle w:val="AERtextitalic"/>
        </w:rPr>
        <w:t xml:space="preserve">Better regulation: Explanatory statement rate of return </w:t>
      </w:r>
      <w:r>
        <w:rPr>
          <w:rStyle w:val="AERtextitalic"/>
        </w:rPr>
        <w:t>Guideline</w:t>
      </w:r>
      <w:r w:rsidRPr="00746651">
        <w:rPr>
          <w:rStyle w:val="AERtextitalic"/>
        </w:rPr>
        <w:t>, Appendices</w:t>
      </w:r>
      <w:r w:rsidRPr="00746651">
        <w:t xml:space="preserve">, December 2013, </w:t>
      </w:r>
      <w:r>
        <w:t xml:space="preserve">Appendix I, </w:t>
      </w:r>
      <w:r w:rsidRPr="00746651">
        <w:t>Table I.4, pp.185–186.</w:t>
      </w:r>
    </w:p>
  </w:footnote>
  <w:footnote w:id="32">
    <w:p w:rsidR="00EE7E7C" w:rsidRDefault="00EE7E7C" w:rsidP="00137617">
      <w:pPr>
        <w:pStyle w:val="FootnoteText"/>
      </w:pPr>
      <w:r>
        <w:rPr>
          <w:rStyle w:val="FootnoteReference"/>
        </w:rPr>
        <w:footnoteRef/>
      </w:r>
      <w:r>
        <w:t xml:space="preserve"> </w:t>
      </w:r>
      <w:r>
        <w:tab/>
      </w:r>
      <w:proofErr w:type="gramStart"/>
      <w:r w:rsidRPr="00835CE1">
        <w:t>NER, cl.</w:t>
      </w:r>
      <w:r>
        <w:t xml:space="preserve"> </w:t>
      </w:r>
      <w:r w:rsidRPr="00835CE1">
        <w:t>6.</w:t>
      </w:r>
      <w:r>
        <w:t>5</w:t>
      </w:r>
      <w:r w:rsidRPr="00835CE1">
        <w:t>.2(m)</w:t>
      </w:r>
      <w:r>
        <w:t>.</w:t>
      </w:r>
      <w:proofErr w:type="gramEnd"/>
    </w:p>
  </w:footnote>
  <w:footnote w:id="33">
    <w:p w:rsidR="00EE7E7C" w:rsidRDefault="00EE7E7C">
      <w:pPr>
        <w:pStyle w:val="FootnoteText"/>
      </w:pPr>
      <w:r>
        <w:rPr>
          <w:rStyle w:val="FootnoteReference"/>
        </w:rPr>
        <w:footnoteRef/>
      </w:r>
      <w:r>
        <w:t xml:space="preserve"> </w:t>
      </w:r>
      <w:r>
        <w:tab/>
      </w:r>
      <w:proofErr w:type="gramStart"/>
      <w:r>
        <w:t>NER.</w:t>
      </w:r>
      <w:proofErr w:type="gramEnd"/>
      <w:r>
        <w:t xml:space="preserve"> </w:t>
      </w:r>
      <w:proofErr w:type="gramStart"/>
      <w:r>
        <w:t>cl. 6.5.2(m).</w:t>
      </w:r>
      <w:proofErr w:type="gramEnd"/>
    </w:p>
  </w:footnote>
  <w:footnote w:id="34">
    <w:p w:rsidR="00EE7E7C" w:rsidRDefault="00EE7E7C" w:rsidP="00137617">
      <w:pPr>
        <w:pStyle w:val="FootnoteText"/>
      </w:pPr>
      <w:r>
        <w:rPr>
          <w:rStyle w:val="FootnoteReference"/>
        </w:rPr>
        <w:footnoteRef/>
      </w:r>
      <w:r>
        <w:t xml:space="preserve"> </w:t>
      </w:r>
      <w:r>
        <w:tab/>
        <w:t>This involved determining the return on debt by reference to the return on BBB+ rated bonds over a 10-40 business day averaging period that occurred as close as practicable to the start of the 2015</w:t>
      </w:r>
      <w:r>
        <w:rPr>
          <w:rFonts w:cs="Arial"/>
        </w:rPr>
        <w:t>−</w:t>
      </w:r>
      <w:r>
        <w:t>20 regulatory control period.</w:t>
      </w:r>
    </w:p>
  </w:footnote>
  <w:footnote w:id="35">
    <w:p w:rsidR="00EE7E7C" w:rsidRDefault="00EE7E7C" w:rsidP="00137617">
      <w:pPr>
        <w:pStyle w:val="FootnoteText"/>
      </w:pPr>
      <w:r>
        <w:rPr>
          <w:rStyle w:val="FootnoteReference"/>
        </w:rPr>
        <w:footnoteRef/>
      </w:r>
      <w:r>
        <w:t xml:space="preserve"> </w:t>
      </w:r>
      <w:r>
        <w:tab/>
        <w:t xml:space="preserve">In broad terms, this means that over the longer term the return on debt for any year will represent the average return on debt over the previous ten years. </w:t>
      </w:r>
    </w:p>
  </w:footnote>
  <w:footnote w:id="36">
    <w:p w:rsidR="00EE7E7C" w:rsidRDefault="00EE7E7C" w:rsidP="00CB6BE6">
      <w:pPr>
        <w:pStyle w:val="FootnoteText"/>
      </w:pPr>
      <w:r>
        <w:rPr>
          <w:rStyle w:val="FootnoteReference"/>
        </w:rPr>
        <w:footnoteRef/>
      </w:r>
      <w:r>
        <w:t xml:space="preserve"> </w:t>
      </w:r>
      <w:r>
        <w:tab/>
        <w:t xml:space="preserve">Ergon Energy, </w:t>
      </w:r>
      <w:r w:rsidRPr="00CB6BE6">
        <w:rPr>
          <w:rStyle w:val="AERtextitalic"/>
        </w:rPr>
        <w:t>Regulatory proposal</w:t>
      </w:r>
      <w:r>
        <w:t>, October 2014, p. 122.</w:t>
      </w:r>
    </w:p>
  </w:footnote>
  <w:footnote w:id="37">
    <w:p w:rsidR="00EE7E7C" w:rsidRDefault="00EE7E7C">
      <w:pPr>
        <w:pStyle w:val="FootnoteText"/>
      </w:pPr>
      <w:r>
        <w:rPr>
          <w:rStyle w:val="FootnoteReference"/>
        </w:rPr>
        <w:footnoteRef/>
      </w:r>
      <w:r>
        <w:t xml:space="preserve"> </w:t>
      </w:r>
      <w:r>
        <w:tab/>
        <w:t>NER, cl. 6.5.2(e</w:t>
      </w:r>
      <w:proofErr w:type="gramStart"/>
      <w:r>
        <w:t>)(</w:t>
      </w:r>
      <w:proofErr w:type="gramEnd"/>
      <w:r>
        <w:t>1).</w:t>
      </w:r>
    </w:p>
  </w:footnote>
  <w:footnote w:id="38">
    <w:p w:rsidR="00EE7E7C" w:rsidRDefault="00EE7E7C" w:rsidP="00137617">
      <w:pPr>
        <w:pStyle w:val="FootnoteText"/>
      </w:pPr>
      <w:r>
        <w:rPr>
          <w:rStyle w:val="FootnoteReference"/>
        </w:rPr>
        <w:footnoteRef/>
      </w:r>
      <w:r>
        <w:t xml:space="preserve"> </w:t>
      </w:r>
      <w:r>
        <w:tab/>
        <w:t xml:space="preserve">McKenzie &amp; </w:t>
      </w:r>
      <w:proofErr w:type="spellStart"/>
      <w:r>
        <w:t>Partington</w:t>
      </w:r>
      <w:proofErr w:type="spellEnd"/>
      <w:r>
        <w:t xml:space="preserve">, </w:t>
      </w:r>
      <w:r w:rsidRPr="00555743">
        <w:rPr>
          <w:rStyle w:val="AERtextitalic"/>
        </w:rPr>
        <w:t>Part A: Return on equity, Report to the AER</w:t>
      </w:r>
      <w:r>
        <w:t xml:space="preserve">, October 2014, p. 13; John Handley, </w:t>
      </w:r>
      <w:r w:rsidRPr="00450C4F">
        <w:rPr>
          <w:rStyle w:val="AERtextitalic"/>
        </w:rPr>
        <w:t>Advice on return on equity, Report prepared for the AER</w:t>
      </w:r>
      <w:r>
        <w:t>, October 2014, p. 3.</w:t>
      </w:r>
    </w:p>
  </w:footnote>
  <w:footnote w:id="39">
    <w:p w:rsidR="00EE7E7C" w:rsidRDefault="00EE7E7C" w:rsidP="00137617">
      <w:pPr>
        <w:pStyle w:val="FootnoteText"/>
      </w:pPr>
      <w:r>
        <w:rPr>
          <w:rStyle w:val="FootnoteReference"/>
        </w:rPr>
        <w:footnoteRef/>
      </w:r>
      <w:r>
        <w:t xml:space="preserve"> </w:t>
      </w:r>
      <w:r>
        <w:tab/>
        <w:t>Our task is to determine the efficient financing costs commensurate with the risk of providing regulated network service by an efficient benchmark entity (allowed rate of return objective). Risks in this context are those which are compensated via the return on equity (systematic risks).</w:t>
      </w:r>
    </w:p>
  </w:footnote>
  <w:footnote w:id="40">
    <w:p w:rsidR="00EE7E7C" w:rsidRDefault="00EE7E7C" w:rsidP="00CF68FB">
      <w:pPr>
        <w:pStyle w:val="FootnoteText"/>
      </w:pPr>
      <w:r>
        <w:rPr>
          <w:rStyle w:val="FootnoteReference"/>
        </w:rPr>
        <w:footnoteRef/>
      </w:r>
      <w:r>
        <w:t xml:space="preserve"> </w:t>
      </w:r>
      <w:r>
        <w:tab/>
        <w:t xml:space="preserve">Ergon Energy, </w:t>
      </w:r>
      <w:r w:rsidRPr="00812C7D">
        <w:rPr>
          <w:rStyle w:val="AERtextitalic"/>
        </w:rPr>
        <w:t>Regulatory proposal</w:t>
      </w:r>
      <w:r>
        <w:t>, October 2014, p. 122.</w:t>
      </w:r>
    </w:p>
  </w:footnote>
  <w:footnote w:id="41">
    <w:p w:rsidR="00EE7E7C" w:rsidRDefault="00EE7E7C" w:rsidP="00002F59">
      <w:pPr>
        <w:pStyle w:val="FootnoteText"/>
      </w:pPr>
      <w:r>
        <w:rPr>
          <w:rStyle w:val="FootnoteReference"/>
        </w:rPr>
        <w:footnoteRef/>
      </w:r>
      <w:r>
        <w:t xml:space="preserve"> </w:t>
      </w:r>
      <w:r>
        <w:tab/>
      </w:r>
      <w:r w:rsidRPr="00E5005D">
        <w:t xml:space="preserve">Grant Samuel, </w:t>
      </w:r>
      <w:proofErr w:type="spellStart"/>
      <w:r w:rsidRPr="00E5005D">
        <w:rPr>
          <w:rStyle w:val="AERtextitalic"/>
        </w:rPr>
        <w:t>Envestra</w:t>
      </w:r>
      <w:proofErr w:type="spellEnd"/>
      <w:r w:rsidRPr="00E5005D">
        <w:rPr>
          <w:rStyle w:val="AERtextitalic"/>
        </w:rPr>
        <w:t>: Financial services guide and independent expert’s report</w:t>
      </w:r>
      <w:r w:rsidRPr="00E5005D">
        <w:t>, March 2014, Appendix 3.</w:t>
      </w:r>
    </w:p>
  </w:footnote>
  <w:footnote w:id="42">
    <w:p w:rsidR="00EE7E7C" w:rsidRDefault="00EE7E7C" w:rsidP="00002F59">
      <w:pPr>
        <w:pStyle w:val="FootnoteText"/>
      </w:pPr>
      <w:r>
        <w:rPr>
          <w:rStyle w:val="FootnoteReference"/>
        </w:rPr>
        <w:footnoteRef/>
      </w:r>
      <w:r>
        <w:t xml:space="preserve"> </w:t>
      </w:r>
      <w:r>
        <w:tab/>
      </w:r>
      <w:proofErr w:type="spellStart"/>
      <w:r>
        <w:t>ActewAGL</w:t>
      </w:r>
      <w:proofErr w:type="spellEnd"/>
      <w:r>
        <w:t xml:space="preserve">, </w:t>
      </w:r>
      <w:proofErr w:type="spellStart"/>
      <w:r>
        <w:t>Ausgrid</w:t>
      </w:r>
      <w:proofErr w:type="spellEnd"/>
      <w:r>
        <w:t xml:space="preserve">, </w:t>
      </w:r>
      <w:proofErr w:type="spellStart"/>
      <w:r>
        <w:t>Directlink</w:t>
      </w:r>
      <w:proofErr w:type="spellEnd"/>
      <w:r>
        <w:t xml:space="preserve">, Endeavour Energy, Energex, Ergon Energy, Essential Energy, </w:t>
      </w:r>
      <w:proofErr w:type="spellStart"/>
      <w:r>
        <w:t>Jemena</w:t>
      </w:r>
      <w:proofErr w:type="spellEnd"/>
      <w:r>
        <w:t xml:space="preserve"> Gas Networks, SA Power Networks, </w:t>
      </w:r>
      <w:proofErr w:type="spellStart"/>
      <w:r>
        <w:t>TasNetworks</w:t>
      </w:r>
      <w:proofErr w:type="spellEnd"/>
      <w:r>
        <w:t xml:space="preserve">, and </w:t>
      </w:r>
      <w:proofErr w:type="spellStart"/>
      <w:r>
        <w:t>TransGrid</w:t>
      </w:r>
      <w:proofErr w:type="spellEnd"/>
      <w:r>
        <w:t>.</w:t>
      </w:r>
    </w:p>
  </w:footnote>
  <w:footnote w:id="43">
    <w:p w:rsidR="00EE7E7C" w:rsidRDefault="00EE7E7C" w:rsidP="00002F59">
      <w:pPr>
        <w:pStyle w:val="FootnoteText"/>
      </w:pPr>
      <w:r>
        <w:rPr>
          <w:rStyle w:val="FootnoteReference"/>
        </w:rPr>
        <w:footnoteRef/>
      </w:r>
      <w:r>
        <w:t xml:space="preserve"> </w:t>
      </w:r>
      <w:r>
        <w:tab/>
        <w:t xml:space="preserve">Energy Users Association of Australia, </w:t>
      </w:r>
      <w:r w:rsidRPr="0039101B">
        <w:rPr>
          <w:rStyle w:val="AERtextitalic"/>
        </w:rPr>
        <w:t>Submission to NSW DNSP Revised Revenue Proposal to AER Draft Determination (2014 to 2019)</w:t>
      </w:r>
      <w:r>
        <w:t>, February 2015, pp. 15–16</w:t>
      </w:r>
      <w:r w:rsidRPr="00E5005D">
        <w:t xml:space="preserve">; Origin Energy, </w:t>
      </w:r>
      <w:r w:rsidRPr="003D19E3">
        <w:rPr>
          <w:rStyle w:val="AERtextitalic"/>
        </w:rPr>
        <w:t xml:space="preserve">Submission to </w:t>
      </w:r>
      <w:proofErr w:type="spellStart"/>
      <w:r w:rsidRPr="003D19E3">
        <w:rPr>
          <w:rStyle w:val="AERtextitalic"/>
        </w:rPr>
        <w:t>ActewAGL’s</w:t>
      </w:r>
      <w:proofErr w:type="spellEnd"/>
      <w:r w:rsidRPr="003D19E3">
        <w:rPr>
          <w:rStyle w:val="AERtextitalic"/>
        </w:rPr>
        <w:t xml:space="preserve"> regulatory proposal for 2014–19</w:t>
      </w:r>
      <w:r w:rsidRPr="00E5005D">
        <w:t>, August 2014, p. 4.</w:t>
      </w:r>
    </w:p>
  </w:footnote>
  <w:footnote w:id="44">
    <w:p w:rsidR="00EE7E7C" w:rsidRDefault="00EE7E7C" w:rsidP="00D44A58">
      <w:pPr>
        <w:pStyle w:val="FootnoteText"/>
      </w:pPr>
      <w:r>
        <w:rPr>
          <w:rStyle w:val="FootnoteReference"/>
        </w:rPr>
        <w:footnoteRef/>
      </w:r>
      <w:r>
        <w:t xml:space="preserve"> </w:t>
      </w:r>
      <w:r>
        <w:tab/>
      </w:r>
      <w:r w:rsidRPr="00890E69">
        <w:rPr>
          <w:rStyle w:val="AERtextitalic"/>
        </w:rPr>
        <w:t>Income Tax Assessment Act 1997</w:t>
      </w:r>
      <w:r>
        <w:t>, parts 3–6.</w:t>
      </w:r>
    </w:p>
  </w:footnote>
  <w:footnote w:id="45">
    <w:p w:rsidR="00EE7E7C" w:rsidRDefault="00EE7E7C" w:rsidP="00D44A58">
      <w:pPr>
        <w:pStyle w:val="FootnoteText"/>
      </w:pPr>
      <w:r>
        <w:rPr>
          <w:rStyle w:val="FootnoteReference"/>
        </w:rPr>
        <w:footnoteRef/>
      </w:r>
      <w:r>
        <w:t xml:space="preserve"> </w:t>
      </w:r>
      <w:r>
        <w:tab/>
      </w:r>
      <w:proofErr w:type="gramStart"/>
      <w:r>
        <w:t xml:space="preserve">NER, </w:t>
      </w:r>
      <w:proofErr w:type="spellStart"/>
      <w:r>
        <w:t>cll</w:t>
      </w:r>
      <w:proofErr w:type="spellEnd"/>
      <w:r>
        <w:t>.</w:t>
      </w:r>
      <w:proofErr w:type="gramEnd"/>
      <w:r>
        <w:t xml:space="preserve"> 6.4.3(</w:t>
      </w:r>
      <w:proofErr w:type="gramStart"/>
      <w:r>
        <w:t>a</w:t>
      </w:r>
      <w:proofErr w:type="gramEnd"/>
      <w:r>
        <w:t>)(4), 6.4.3(b)(4), 6.5.3.</w:t>
      </w:r>
    </w:p>
  </w:footnote>
  <w:footnote w:id="46">
    <w:p w:rsidR="00EE7E7C" w:rsidRDefault="00EE7E7C">
      <w:pPr>
        <w:pStyle w:val="FootnoteText"/>
      </w:pPr>
      <w:r>
        <w:rPr>
          <w:rStyle w:val="FootnoteReference"/>
        </w:rPr>
        <w:footnoteRef/>
      </w:r>
      <w:r>
        <w:t xml:space="preserve"> </w:t>
      </w:r>
      <w:r>
        <w:tab/>
      </w:r>
      <w:proofErr w:type="gramStart"/>
      <w:r>
        <w:t>NER, cl. 6.12.1(8).</w:t>
      </w:r>
      <w:proofErr w:type="gramEnd"/>
    </w:p>
  </w:footnote>
  <w:footnote w:id="47">
    <w:p w:rsidR="00EE7E7C" w:rsidRDefault="00EE7E7C" w:rsidP="00D44A58">
      <w:pPr>
        <w:pStyle w:val="FootnoteText"/>
      </w:pPr>
      <w:r>
        <w:rPr>
          <w:rStyle w:val="FootnoteReference"/>
        </w:rPr>
        <w:footnoteRef/>
      </w:r>
      <w:r>
        <w:t xml:space="preserve"> </w:t>
      </w:r>
      <w:r>
        <w:tab/>
      </w:r>
      <w:proofErr w:type="gramStart"/>
      <w:r>
        <w:t>NER, cl. 6.5.5(b).</w:t>
      </w:r>
      <w:proofErr w:type="gramEnd"/>
    </w:p>
  </w:footnote>
  <w:footnote w:id="48">
    <w:p w:rsidR="00EE7E7C" w:rsidRDefault="00EE7E7C" w:rsidP="006D60D4">
      <w:pPr>
        <w:pStyle w:val="FootnoteText"/>
      </w:pPr>
      <w:r>
        <w:rPr>
          <w:rStyle w:val="FootnoteReference"/>
        </w:rPr>
        <w:footnoteRef/>
      </w:r>
      <w:r>
        <w:t xml:space="preserve"> </w:t>
      </w:r>
      <w:r>
        <w:tab/>
        <w:t>NER, cl 6.5.5(b</w:t>
      </w:r>
      <w:proofErr w:type="gramStart"/>
      <w:r>
        <w:t>)(</w:t>
      </w:r>
      <w:proofErr w:type="gramEnd"/>
      <w:r>
        <w:t>1).</w:t>
      </w:r>
    </w:p>
  </w:footnote>
  <w:footnote w:id="49">
    <w:p w:rsidR="00EE7E7C" w:rsidRDefault="00EE7E7C" w:rsidP="006D60D4">
      <w:pPr>
        <w:pStyle w:val="FootnoteText"/>
      </w:pPr>
      <w:r>
        <w:rPr>
          <w:rStyle w:val="FootnoteReference"/>
        </w:rPr>
        <w:footnoteRef/>
      </w:r>
      <w:r>
        <w:t xml:space="preserve"> </w:t>
      </w:r>
      <w:r>
        <w:tab/>
        <w:t>NER, cl 6.5.5(a</w:t>
      </w:r>
      <w:proofErr w:type="gramStart"/>
      <w:r>
        <w:t>)(</w:t>
      </w:r>
      <w:proofErr w:type="gramEnd"/>
      <w:r>
        <w:t>1).</w:t>
      </w:r>
    </w:p>
  </w:footnote>
  <w:footnote w:id="50">
    <w:p w:rsidR="00EE7E7C" w:rsidRDefault="00EE7E7C" w:rsidP="00E85E76">
      <w:pPr>
        <w:pStyle w:val="FootnoteText"/>
      </w:pPr>
      <w:r>
        <w:rPr>
          <w:rStyle w:val="FootnoteReference"/>
        </w:rPr>
        <w:footnoteRef/>
      </w:r>
      <w:r>
        <w:t xml:space="preserve"> </w:t>
      </w:r>
      <w:r>
        <w:tab/>
      </w:r>
      <w:proofErr w:type="gramStart"/>
      <w:r>
        <w:t>NER, cl. 6.5.6(c).</w:t>
      </w:r>
      <w:proofErr w:type="gramEnd"/>
    </w:p>
  </w:footnote>
  <w:footnote w:id="51">
    <w:p w:rsidR="00EE7E7C" w:rsidRDefault="00EE7E7C" w:rsidP="00E85E76">
      <w:pPr>
        <w:pStyle w:val="FootnoteText"/>
      </w:pPr>
      <w:r>
        <w:rPr>
          <w:rStyle w:val="FootnoteReference"/>
        </w:rPr>
        <w:footnoteRef/>
      </w:r>
      <w:r>
        <w:t xml:space="preserve"> </w:t>
      </w:r>
      <w:r>
        <w:tab/>
      </w:r>
      <w:proofErr w:type="gramStart"/>
      <w:r>
        <w:t>NER, cl. 6.5.6(d).</w:t>
      </w:r>
      <w:proofErr w:type="gramEnd"/>
    </w:p>
  </w:footnote>
  <w:footnote w:id="52">
    <w:p w:rsidR="00EE7E7C" w:rsidRDefault="00EE7E7C" w:rsidP="00E85E76">
      <w:pPr>
        <w:pStyle w:val="FootnoteText"/>
      </w:pPr>
      <w:r>
        <w:rPr>
          <w:rStyle w:val="FootnoteReference"/>
        </w:rPr>
        <w:footnoteRef/>
      </w:r>
      <w:r>
        <w:t xml:space="preserve"> </w:t>
      </w:r>
      <w:r>
        <w:tab/>
        <w:t>NER, cl. 6.12.1(4</w:t>
      </w:r>
      <w:proofErr w:type="gramStart"/>
      <w:r>
        <w:t>)(</w:t>
      </w:r>
      <w:proofErr w:type="gramEnd"/>
      <w:r>
        <w:t>ii).</w:t>
      </w:r>
    </w:p>
  </w:footnote>
  <w:footnote w:id="53">
    <w:p w:rsidR="00EE7E7C" w:rsidRDefault="00EE7E7C" w:rsidP="00E85E76">
      <w:pPr>
        <w:pStyle w:val="FootnoteText"/>
      </w:pPr>
      <w:r>
        <w:rPr>
          <w:rStyle w:val="FootnoteReference"/>
        </w:rPr>
        <w:footnoteRef/>
      </w:r>
      <w:r>
        <w:t xml:space="preserve"> </w:t>
      </w:r>
      <w:r>
        <w:tab/>
      </w:r>
      <w:proofErr w:type="gramStart"/>
      <w:r>
        <w:t xml:space="preserve">Commissioned by the Interdepartmental Committee </w:t>
      </w:r>
      <w:r w:rsidRPr="00E45F6E">
        <w:t xml:space="preserve">on Electricity Sector Reform </w:t>
      </w:r>
      <w:r>
        <w:t>(IDC), initiated by the Queensland Government.</w:t>
      </w:r>
      <w:proofErr w:type="gramEnd"/>
    </w:p>
  </w:footnote>
  <w:footnote w:id="54">
    <w:p w:rsidR="00EE7E7C" w:rsidRDefault="00EE7E7C" w:rsidP="00E85E76">
      <w:pPr>
        <w:pStyle w:val="FootnoteText"/>
      </w:pPr>
      <w:r>
        <w:rPr>
          <w:rStyle w:val="FootnoteReference"/>
        </w:rPr>
        <w:footnoteRef/>
      </w:r>
      <w:r>
        <w:t xml:space="preserve"> </w:t>
      </w:r>
      <w:r>
        <w:tab/>
      </w:r>
      <w:r w:rsidRPr="00B94DD1">
        <w:t xml:space="preserve">ACCC/AER (2012), Benchmarking </w:t>
      </w:r>
      <w:proofErr w:type="spellStart"/>
      <w:r w:rsidRPr="00B94DD1">
        <w:t>Opex</w:t>
      </w:r>
      <w:proofErr w:type="spellEnd"/>
      <w:r w:rsidRPr="00B94DD1">
        <w:t xml:space="preserve"> and Capex in Energy Networks, ACCC/AER Working Paper number 6, May.  </w:t>
      </w:r>
    </w:p>
  </w:footnote>
  <w:footnote w:id="55">
    <w:p w:rsidR="00EE7E7C" w:rsidRDefault="00EE7E7C" w:rsidP="00E85E76">
      <w:pPr>
        <w:pStyle w:val="FootnoteText"/>
      </w:pPr>
      <w:r>
        <w:rPr>
          <w:rStyle w:val="FootnoteReference"/>
        </w:rPr>
        <w:footnoteRef/>
      </w:r>
      <w:r>
        <w:t xml:space="preserve"> </w:t>
      </w:r>
      <w:r>
        <w:tab/>
      </w:r>
      <w:proofErr w:type="gramStart"/>
      <w:r>
        <w:t xml:space="preserve">Economic Insights, </w:t>
      </w:r>
      <w:r w:rsidRPr="00E85E76">
        <w:rPr>
          <w:rStyle w:val="AERtextitalic"/>
        </w:rPr>
        <w:t>Response to Consultants’ Reports on Economic Benchmarking of Electricity DNSPs</w:t>
      </w:r>
      <w:r>
        <w:t>, April 2015, pp. iv-xi.</w:t>
      </w:r>
      <w:proofErr w:type="gramEnd"/>
    </w:p>
  </w:footnote>
  <w:footnote w:id="56">
    <w:p w:rsidR="00EE7E7C" w:rsidRDefault="00EE7E7C" w:rsidP="00E85E76">
      <w:pPr>
        <w:pStyle w:val="FootnoteText"/>
      </w:pPr>
      <w:r>
        <w:rPr>
          <w:rStyle w:val="FootnoteReference"/>
        </w:rPr>
        <w:footnoteRef/>
      </w:r>
      <w:r>
        <w:t xml:space="preserve"> </w:t>
      </w:r>
      <w:r>
        <w:tab/>
      </w:r>
      <w:proofErr w:type="gramStart"/>
      <w:r>
        <w:t xml:space="preserve">Deloitte, </w:t>
      </w:r>
      <w:r w:rsidRPr="004C26A3">
        <w:rPr>
          <w:rStyle w:val="AERtextitalic"/>
        </w:rPr>
        <w:t xml:space="preserve">Queensland distribution network service providers - </w:t>
      </w:r>
      <w:proofErr w:type="spellStart"/>
      <w:r w:rsidRPr="004C26A3">
        <w:rPr>
          <w:rStyle w:val="AERtextitalic"/>
        </w:rPr>
        <w:t>opex</w:t>
      </w:r>
      <w:proofErr w:type="spellEnd"/>
      <w:r w:rsidRPr="004C26A3">
        <w:rPr>
          <w:rStyle w:val="AERtextitalic"/>
        </w:rPr>
        <w:t xml:space="preserve"> performance analysis</w:t>
      </w:r>
      <w:r>
        <w:t>, April 2015, pp. iv-xix.</w:t>
      </w:r>
      <w:proofErr w:type="gramEnd"/>
    </w:p>
  </w:footnote>
  <w:footnote w:id="57">
    <w:p w:rsidR="00EE7E7C" w:rsidRDefault="00EE7E7C" w:rsidP="00E85E76">
      <w:pPr>
        <w:pStyle w:val="FootnoteText"/>
      </w:pPr>
      <w:r>
        <w:rPr>
          <w:rStyle w:val="FootnoteReference"/>
        </w:rPr>
        <w:footnoteRef/>
      </w:r>
      <w:r>
        <w:t xml:space="preserve"> </w:t>
      </w:r>
      <w:r>
        <w:tab/>
      </w:r>
      <w:proofErr w:type="gramStart"/>
      <w:r>
        <w:t xml:space="preserve">Deloitte, </w:t>
      </w:r>
      <w:r w:rsidRPr="004C26A3">
        <w:rPr>
          <w:rStyle w:val="AERtextitalic"/>
        </w:rPr>
        <w:t xml:space="preserve">Queensland distribution network service providers - </w:t>
      </w:r>
      <w:proofErr w:type="spellStart"/>
      <w:r w:rsidRPr="004C26A3">
        <w:rPr>
          <w:rStyle w:val="AERtextitalic"/>
        </w:rPr>
        <w:t>opex</w:t>
      </w:r>
      <w:proofErr w:type="spellEnd"/>
      <w:r w:rsidRPr="004C26A3">
        <w:rPr>
          <w:rStyle w:val="AERtextitalic"/>
        </w:rPr>
        <w:t xml:space="preserve"> performance analysis</w:t>
      </w:r>
      <w:r>
        <w:t>, April 2015, pp. iv-xix.</w:t>
      </w:r>
      <w:proofErr w:type="gramEnd"/>
    </w:p>
  </w:footnote>
  <w:footnote w:id="58">
    <w:p w:rsidR="00EE7E7C" w:rsidRDefault="00EE7E7C" w:rsidP="00E85E76">
      <w:pPr>
        <w:pStyle w:val="FootnoteText"/>
      </w:pPr>
      <w:r>
        <w:rPr>
          <w:rStyle w:val="FootnoteReference"/>
        </w:rPr>
        <w:footnoteRef/>
      </w:r>
      <w:r>
        <w:t xml:space="preserve"> </w:t>
      </w:r>
      <w:r>
        <w:tab/>
      </w:r>
      <w:proofErr w:type="gramStart"/>
      <w:r>
        <w:t xml:space="preserve">Economic Insights, </w:t>
      </w:r>
      <w:r w:rsidRPr="00E85E76">
        <w:rPr>
          <w:rStyle w:val="AERtextitalic"/>
        </w:rPr>
        <w:t>Response to Consultants’ Reports on Economic Benchmarking of Electricity DNSPs</w:t>
      </w:r>
      <w:r>
        <w:t>, April 2015, pp. iv-xi.</w:t>
      </w:r>
      <w:proofErr w:type="gramEnd"/>
    </w:p>
  </w:footnote>
  <w:footnote w:id="59">
    <w:p w:rsidR="00EE7E7C" w:rsidRDefault="00EE7E7C" w:rsidP="00765883">
      <w:pPr>
        <w:pStyle w:val="FootnoteText"/>
      </w:pPr>
      <w:r>
        <w:rPr>
          <w:rStyle w:val="FootnoteReference"/>
        </w:rPr>
        <w:footnoteRef/>
      </w:r>
      <w:r>
        <w:t xml:space="preserve"> </w:t>
      </w:r>
      <w:r>
        <w:tab/>
      </w:r>
      <w:r w:rsidRPr="0046015E">
        <w:t>NER, cl</w:t>
      </w:r>
      <w:r>
        <w:t>.</w:t>
      </w:r>
      <w:r w:rsidRPr="0046015E">
        <w:t xml:space="preserve"> 6.4.3(a</w:t>
      </w:r>
      <w:proofErr w:type="gramStart"/>
      <w:r w:rsidRPr="0046015E">
        <w:t>)(</w:t>
      </w:r>
      <w:proofErr w:type="gramEnd"/>
      <w:r w:rsidRPr="0046015E">
        <w:t>4).</w:t>
      </w:r>
    </w:p>
  </w:footnote>
  <w:footnote w:id="60">
    <w:p w:rsidR="00EE7E7C" w:rsidRDefault="00EE7E7C">
      <w:pPr>
        <w:pStyle w:val="FootnoteText"/>
      </w:pPr>
      <w:r>
        <w:rPr>
          <w:rStyle w:val="FootnoteReference"/>
        </w:rPr>
        <w:footnoteRef/>
      </w:r>
      <w:r>
        <w:t xml:space="preserve"> </w:t>
      </w:r>
      <w:r>
        <w:tab/>
        <w:t xml:space="preserve">AER, </w:t>
      </w:r>
      <w:r w:rsidRPr="00027FAB">
        <w:rPr>
          <w:rStyle w:val="AERtextitalic"/>
        </w:rPr>
        <w:t>Final F&amp;A for Energex and Ergon Energy</w:t>
      </w:r>
      <w:r>
        <w:t>, April 2014.</w:t>
      </w:r>
    </w:p>
  </w:footnote>
  <w:footnote w:id="61">
    <w:p w:rsidR="00EE7E7C" w:rsidRDefault="00EE7E7C" w:rsidP="0086170C">
      <w:pPr>
        <w:pStyle w:val="FootnoteText"/>
      </w:pPr>
      <w:r>
        <w:rPr>
          <w:rStyle w:val="FootnoteReference"/>
        </w:rPr>
        <w:footnoteRef/>
      </w:r>
      <w:r>
        <w:t xml:space="preserve"> </w:t>
      </w:r>
      <w:r>
        <w:tab/>
        <w:t xml:space="preserve">See attachment 13 for standard control services and attachment 16 for alternative control services. </w:t>
      </w:r>
    </w:p>
  </w:footnote>
  <w:footnote w:id="62">
    <w:p w:rsidR="00EE7E7C" w:rsidRDefault="00EE7E7C" w:rsidP="00AC7A13">
      <w:pPr>
        <w:pStyle w:val="FootnoteText"/>
      </w:pPr>
      <w:r>
        <w:rPr>
          <w:rStyle w:val="FootnoteReference"/>
        </w:rPr>
        <w:footnoteRef/>
      </w:r>
      <w:r>
        <w:t xml:space="preserve"> </w:t>
      </w:r>
      <w:r>
        <w:tab/>
      </w:r>
      <w:r w:rsidRPr="00D00F1A">
        <w:t>AEMC,</w:t>
      </w:r>
      <w:r>
        <w:t xml:space="preserve"> </w:t>
      </w:r>
      <w:r w:rsidRPr="00A638CE">
        <w:rPr>
          <w:rStyle w:val="AERtextitalic"/>
        </w:rPr>
        <w:t xml:space="preserve">Draft Rule </w:t>
      </w:r>
      <w:r>
        <w:rPr>
          <w:rStyle w:val="AERtextitalic"/>
        </w:rPr>
        <w:t xml:space="preserve">Determination: </w:t>
      </w:r>
      <w:r w:rsidRPr="00A638CE">
        <w:rPr>
          <w:rStyle w:val="AERtextitalic"/>
        </w:rPr>
        <w:t>National Electricity Amendment (Expanding competition in metering and related services) Rule 2015</w:t>
      </w:r>
      <w:r>
        <w:t>, 26 March 2015.</w:t>
      </w:r>
    </w:p>
  </w:footnote>
  <w:footnote w:id="63">
    <w:p w:rsidR="00EE7E7C" w:rsidRDefault="00EE7E7C" w:rsidP="009834DB">
      <w:pPr>
        <w:pStyle w:val="FootnoteText"/>
      </w:pPr>
      <w:r>
        <w:rPr>
          <w:rStyle w:val="FootnoteReference"/>
        </w:rPr>
        <w:footnoteRef/>
      </w:r>
      <w:r>
        <w:t xml:space="preserve"> </w:t>
      </w:r>
      <w:r>
        <w:tab/>
        <w:t xml:space="preserve">These concepts are explained more fully in the explanatory statement to the EBSS, AER, </w:t>
      </w:r>
      <w:r w:rsidRPr="00F73B92">
        <w:rPr>
          <w:rStyle w:val="AERtextitalic"/>
        </w:rPr>
        <w:t>Efficiency benefit sharing scheme for electricity network service providers - explanatory statement</w:t>
      </w:r>
      <w:r>
        <w:t xml:space="preserve">, November 2013. </w:t>
      </w:r>
    </w:p>
  </w:footnote>
  <w:footnote w:id="64">
    <w:p w:rsidR="00EE7E7C" w:rsidRDefault="00EE7E7C" w:rsidP="00002F59">
      <w:pPr>
        <w:pStyle w:val="FootnoteText"/>
      </w:pPr>
      <w:r>
        <w:rPr>
          <w:rStyle w:val="FootnoteReference"/>
        </w:rPr>
        <w:footnoteRef/>
      </w:r>
      <w:r>
        <w:t xml:space="preserve"> </w:t>
      </w:r>
      <w:r>
        <w:tab/>
      </w:r>
      <w:r w:rsidRPr="008A7B7A">
        <w:t>For capex, the sharing of underspends and overspends happens at the end of each regulatory control period when we update a network service provider's RAB to include new capex. If a network service provider spends less than its approved forecast during a period, it will benefit within that period. Consumers benefit at the end of that period when the RAB is updated to include less capex compared to if the service provider had spent the full amount of the capex forecast.</w:t>
      </w:r>
    </w:p>
  </w:footnote>
  <w:footnote w:id="65">
    <w:p w:rsidR="00EE7E7C" w:rsidRDefault="00EE7E7C" w:rsidP="00D44A58">
      <w:pPr>
        <w:pStyle w:val="FootnoteText"/>
      </w:pPr>
      <w:r>
        <w:rPr>
          <w:rStyle w:val="FootnoteReference"/>
        </w:rPr>
        <w:footnoteRef/>
      </w:r>
      <w:r>
        <w:t xml:space="preserve"> </w:t>
      </w:r>
      <w:r>
        <w:tab/>
        <w:t xml:space="preserve">Ergon Energy, </w:t>
      </w:r>
      <w:r w:rsidRPr="00ED2DF0">
        <w:rPr>
          <w:rStyle w:val="AERtextitalic"/>
        </w:rPr>
        <w:t>Regulatory Proposal</w:t>
      </w:r>
      <w:r>
        <w:rPr>
          <w:rStyle w:val="AERtextitalic"/>
        </w:rPr>
        <w:t xml:space="preserve">, </w:t>
      </w:r>
      <w:r>
        <w:t>October 2014, p. 29.</w:t>
      </w:r>
    </w:p>
  </w:footnote>
  <w:footnote w:id="66">
    <w:p w:rsidR="00EE7E7C" w:rsidRDefault="00EE7E7C" w:rsidP="00AC7A13">
      <w:pPr>
        <w:pStyle w:val="FootnoteText"/>
      </w:pPr>
      <w:r>
        <w:rPr>
          <w:rStyle w:val="FootnoteReference"/>
        </w:rPr>
        <w:footnoteRef/>
      </w:r>
      <w:r>
        <w:t xml:space="preserve"> </w:t>
      </w:r>
      <w:r>
        <w:tab/>
      </w:r>
      <w:r w:rsidRPr="004254AB">
        <w:t xml:space="preserve">AER, </w:t>
      </w:r>
      <w:r w:rsidRPr="004254AB">
        <w:rPr>
          <w:rStyle w:val="AERtextitalic"/>
        </w:rPr>
        <w:t>Electricity distribution network service providers—service target performance incentive scheme</w:t>
      </w:r>
      <w:r w:rsidRPr="004254AB">
        <w:t xml:space="preserve">, 1 November 2009. (AER, </w:t>
      </w:r>
      <w:r w:rsidRPr="004254AB">
        <w:rPr>
          <w:rStyle w:val="AERtextitalic"/>
        </w:rPr>
        <w:t>Electricity distribution STPIS</w:t>
      </w:r>
      <w:r w:rsidRPr="004254AB">
        <w:t>, Nov 2009</w:t>
      </w:r>
    </w:p>
  </w:footnote>
  <w:footnote w:id="67">
    <w:p w:rsidR="00EE7E7C" w:rsidRDefault="00EE7E7C" w:rsidP="00D44A58">
      <w:pPr>
        <w:pStyle w:val="FootnoteText"/>
      </w:pPr>
      <w:r>
        <w:rPr>
          <w:rStyle w:val="FootnoteReference"/>
        </w:rPr>
        <w:footnoteRef/>
      </w:r>
      <w:r>
        <w:t xml:space="preserve"> </w:t>
      </w:r>
      <w:r>
        <w:tab/>
      </w:r>
      <w:proofErr w:type="gramStart"/>
      <w:r>
        <w:t>NEL, s. 7.</w:t>
      </w:r>
      <w:proofErr w:type="gramEnd"/>
    </w:p>
  </w:footnote>
  <w:footnote w:id="68">
    <w:p w:rsidR="00EE7E7C" w:rsidRDefault="00EE7E7C" w:rsidP="00D44A58">
      <w:pPr>
        <w:pStyle w:val="FootnoteText"/>
      </w:pPr>
      <w:r>
        <w:rPr>
          <w:rStyle w:val="FootnoteReference"/>
        </w:rPr>
        <w:footnoteRef/>
      </w:r>
      <w:r>
        <w:t xml:space="preserve"> </w:t>
      </w:r>
      <w:r>
        <w:tab/>
      </w:r>
      <w:proofErr w:type="gramStart"/>
      <w:r>
        <w:t>NEL, s. 7A.</w:t>
      </w:r>
      <w:proofErr w:type="gramEnd"/>
    </w:p>
  </w:footnote>
  <w:footnote w:id="69">
    <w:p w:rsidR="00EE7E7C" w:rsidRDefault="00EE7E7C" w:rsidP="00D44A58">
      <w:pPr>
        <w:pStyle w:val="FootnoteText"/>
      </w:pPr>
      <w:r>
        <w:rPr>
          <w:rStyle w:val="FootnoteReference"/>
        </w:rPr>
        <w:footnoteRef/>
      </w:r>
      <w:r>
        <w:t xml:space="preserve"> </w:t>
      </w:r>
      <w:r>
        <w:tab/>
      </w:r>
      <w:proofErr w:type="gramStart"/>
      <w:r>
        <w:t>NEL, s. 16(2).</w:t>
      </w:r>
      <w:proofErr w:type="gramEnd"/>
    </w:p>
  </w:footnote>
  <w:footnote w:id="70">
    <w:p w:rsidR="00EE7E7C" w:rsidRDefault="00EE7E7C" w:rsidP="00D44A58">
      <w:pPr>
        <w:pStyle w:val="FootnoteText"/>
      </w:pPr>
      <w:r>
        <w:rPr>
          <w:rStyle w:val="FootnoteReference"/>
        </w:rPr>
        <w:footnoteRef/>
      </w:r>
      <w:r>
        <w:t xml:space="preserve"> </w:t>
      </w:r>
      <w:r>
        <w:tab/>
      </w:r>
      <w:proofErr w:type="gramStart"/>
      <w:r>
        <w:t>Hansard, SA House of Assembly, 27 September 2007 p. 965; Hansard, SA House of Assembly, 26 September 2013, p. 7173.</w:t>
      </w:r>
      <w:proofErr w:type="gramEnd"/>
    </w:p>
  </w:footnote>
  <w:footnote w:id="71">
    <w:p w:rsidR="00EE7E7C" w:rsidRDefault="00EE7E7C" w:rsidP="00D44A58">
      <w:pPr>
        <w:pStyle w:val="FootnoteText"/>
      </w:pPr>
      <w:r>
        <w:rPr>
          <w:rStyle w:val="FootnoteReference"/>
        </w:rPr>
        <w:footnoteRef/>
      </w:r>
      <w:r>
        <w:t xml:space="preserve"> </w:t>
      </w:r>
      <w:r>
        <w:tab/>
      </w:r>
      <w:proofErr w:type="gramStart"/>
      <w:r>
        <w:t>NEL, s. 88.</w:t>
      </w:r>
      <w:proofErr w:type="gramEnd"/>
    </w:p>
    <w:p w:rsidR="00EE7E7C" w:rsidRDefault="00EE7E7C" w:rsidP="00D44A58">
      <w:pPr>
        <w:pStyle w:val="FootnoteText"/>
      </w:pPr>
      <w:r>
        <w:tab/>
      </w:r>
      <w:r w:rsidRPr="000102D7">
        <w:t xml:space="preserve">AEMC, </w:t>
      </w:r>
      <w:r w:rsidRPr="000102D7">
        <w:rPr>
          <w:rStyle w:val="AERtextitalic"/>
        </w:rPr>
        <w:t>Rule Determination National Electricity Amendment (Economic Regulation of Network Service Providers) Rule 2012, National Gas Amendment (Price and Revenue Regulation of Gas Services) Rule 2012</w:t>
      </w:r>
      <w:r>
        <w:rPr>
          <w:rStyle w:val="AERtextitalic"/>
        </w:rPr>
        <w:t xml:space="preserve">, </w:t>
      </w:r>
      <w:r w:rsidRPr="00BC0992">
        <w:rPr>
          <w:rStyle w:val="AERtextsize8"/>
        </w:rPr>
        <w:t>p</w:t>
      </w:r>
      <w:r>
        <w:rPr>
          <w:rStyle w:val="AERtextsize8"/>
        </w:rPr>
        <w:t>. 8.</w:t>
      </w:r>
    </w:p>
  </w:footnote>
  <w:footnote w:id="72">
    <w:p w:rsidR="00EE7E7C" w:rsidRDefault="00EE7E7C" w:rsidP="00D44A58">
      <w:pPr>
        <w:pStyle w:val="FootnoteText"/>
      </w:pPr>
      <w:r>
        <w:rPr>
          <w:rStyle w:val="FootnoteReference"/>
        </w:rPr>
        <w:footnoteRef/>
      </w:r>
      <w:r>
        <w:t xml:space="preserve"> </w:t>
      </w:r>
      <w:r>
        <w:tab/>
      </w:r>
      <w:r w:rsidRPr="000102D7">
        <w:t xml:space="preserve">AEMC, </w:t>
      </w:r>
      <w:r w:rsidRPr="000102D7">
        <w:rPr>
          <w:rStyle w:val="AERtextitalic"/>
        </w:rPr>
        <w:t xml:space="preserve">Rule Determination National Electricity Amendment (Economic Regulation of </w:t>
      </w:r>
      <w:r>
        <w:rPr>
          <w:rStyle w:val="AERtextitalic"/>
        </w:rPr>
        <w:t>Transmission Services</w:t>
      </w:r>
      <w:r w:rsidRPr="000102D7">
        <w:rPr>
          <w:rStyle w:val="AERtextitalic"/>
        </w:rPr>
        <w:t>) Rule 20</w:t>
      </w:r>
      <w:r>
        <w:rPr>
          <w:rStyle w:val="AERtextitalic"/>
        </w:rPr>
        <w:t xml:space="preserve">06 No. 18,  </w:t>
      </w:r>
      <w:r>
        <w:t xml:space="preserve">p. 33-34; </w:t>
      </w:r>
      <w:r>
        <w:tab/>
      </w:r>
      <w:r w:rsidRPr="000102D7">
        <w:t xml:space="preserve">AEMC, </w:t>
      </w:r>
      <w:r w:rsidRPr="000102D7">
        <w:rPr>
          <w:rStyle w:val="AERtextitalic"/>
        </w:rPr>
        <w:t>Rule Determination National Electricity Amendment (Economic Regulation of Network Service Providers) Rule 2012, National Gas Amendment (Price and Revenue Regulation of Gas Services) Rule 2012</w:t>
      </w:r>
      <w:r>
        <w:rPr>
          <w:rStyle w:val="AERtextitalic"/>
        </w:rPr>
        <w:t xml:space="preserve">,  </w:t>
      </w:r>
      <w:r w:rsidRPr="00BC0992">
        <w:rPr>
          <w:rStyle w:val="AERtextsize8"/>
        </w:rPr>
        <w:t>p</w:t>
      </w:r>
      <w:r>
        <w:rPr>
          <w:rStyle w:val="AERtextsize8"/>
        </w:rPr>
        <w:t xml:space="preserve">p. 35-6.   </w:t>
      </w:r>
    </w:p>
  </w:footnote>
  <w:footnote w:id="73">
    <w:p w:rsidR="00EE7E7C" w:rsidRDefault="00EE7E7C" w:rsidP="00D44A58">
      <w:pPr>
        <w:pStyle w:val="FootnoteText"/>
      </w:pPr>
      <w:r>
        <w:rPr>
          <w:rStyle w:val="FootnoteReference"/>
        </w:rPr>
        <w:footnoteRef/>
      </w:r>
      <w:r>
        <w:t xml:space="preserve"> </w:t>
      </w:r>
      <w:r>
        <w:tab/>
        <w:t>Hansard, SA House of Assembly, 9 February 2005, pp. 1451</w:t>
      </w:r>
      <w:r>
        <w:rPr>
          <w:rFonts w:cs="Gautami"/>
        </w:rPr>
        <w:t>–</w:t>
      </w:r>
      <w:r>
        <w:t>1460.</w:t>
      </w:r>
    </w:p>
    <w:p w:rsidR="00EE7E7C" w:rsidRDefault="00EE7E7C" w:rsidP="00D44A58">
      <w:pPr>
        <w:pStyle w:val="FootnoteText"/>
      </w:pPr>
      <w:r>
        <w:tab/>
        <w:t>Hansard, SA House of Assembly, 27 September 2007, pp. 963</w:t>
      </w:r>
      <w:r>
        <w:rPr>
          <w:rFonts w:cs="Gautami"/>
        </w:rPr>
        <w:t>–</w:t>
      </w:r>
      <w:r>
        <w:t xml:space="preserve">972. </w:t>
      </w:r>
    </w:p>
    <w:p w:rsidR="00EE7E7C" w:rsidRDefault="00EE7E7C" w:rsidP="00D44A58">
      <w:pPr>
        <w:pStyle w:val="FootnoteText"/>
      </w:pPr>
      <w:r>
        <w:tab/>
        <w:t>Hansard, SA House of Assembly, 26 September 2013, pp. 7171</w:t>
      </w:r>
      <w:r>
        <w:rPr>
          <w:rFonts w:cs="Gautami"/>
        </w:rPr>
        <w:t>–</w:t>
      </w:r>
      <w:r>
        <w:t>7176.</w:t>
      </w:r>
    </w:p>
  </w:footnote>
  <w:footnote w:id="74">
    <w:p w:rsidR="00EE7E7C" w:rsidRDefault="00EE7E7C" w:rsidP="00D44A58">
      <w:pPr>
        <w:pStyle w:val="FootnoteText"/>
      </w:pPr>
      <w:r>
        <w:rPr>
          <w:rStyle w:val="FootnoteReference"/>
        </w:rPr>
        <w:footnoteRef/>
      </w:r>
      <w:r>
        <w:tab/>
        <w:t>Hansard, SA House of Assembly, 26 September 2013, p. 7173.</w:t>
      </w:r>
    </w:p>
  </w:footnote>
  <w:footnote w:id="75">
    <w:p w:rsidR="00EE7E7C" w:rsidRDefault="00EE7E7C" w:rsidP="00D44A58">
      <w:pPr>
        <w:pStyle w:val="FootnoteText"/>
      </w:pPr>
      <w:r>
        <w:rPr>
          <w:rStyle w:val="FootnoteReference"/>
        </w:rPr>
        <w:footnoteRef/>
      </w:r>
      <w:r>
        <w:t xml:space="preserve"> </w:t>
      </w:r>
      <w:r>
        <w:tab/>
        <w:t>Hansard, SA House of Assembly, 9 February 2005, p. 1452.</w:t>
      </w:r>
    </w:p>
  </w:footnote>
  <w:footnote w:id="76">
    <w:p w:rsidR="00EE7E7C" w:rsidRPr="001114AA" w:rsidRDefault="00EE7E7C" w:rsidP="00D44A58">
      <w:pPr>
        <w:pStyle w:val="FootnoteText"/>
      </w:pPr>
      <w:r>
        <w:rPr>
          <w:rStyle w:val="FootnoteReference"/>
        </w:rPr>
        <w:footnoteRef/>
      </w:r>
      <w:r>
        <w:t xml:space="preserve"> </w:t>
      </w:r>
      <w:r>
        <w:tab/>
      </w:r>
      <w:r>
        <w:rPr>
          <w:rStyle w:val="AERtextitalic"/>
        </w:rPr>
        <w:t>Re Michael: Ex parte Epic Energy</w:t>
      </w:r>
      <w:r w:rsidRPr="001114AA">
        <w:t xml:space="preserve"> [2002] WASCA 231 at [143].</w:t>
      </w:r>
    </w:p>
    <w:p w:rsidR="00EE7E7C" w:rsidRDefault="00EE7E7C" w:rsidP="00D44A58">
      <w:pPr>
        <w:pStyle w:val="FootnoteText"/>
      </w:pPr>
      <w:r>
        <w:tab/>
        <w:t>Energy Ministers also accept this view – see Hansard, SA House of Assembly, 26 September 2013 p. 7172.</w:t>
      </w:r>
    </w:p>
    <w:p w:rsidR="00EE7E7C" w:rsidRDefault="00EE7E7C" w:rsidP="00D44A58">
      <w:pPr>
        <w:pStyle w:val="FootnoteText"/>
      </w:pPr>
      <w:r>
        <w:tab/>
      </w:r>
      <w:r w:rsidRPr="000102D7">
        <w:t xml:space="preserve">AEMC, </w:t>
      </w:r>
      <w:r w:rsidRPr="000102D7">
        <w:rPr>
          <w:rStyle w:val="AERtextitalic"/>
        </w:rPr>
        <w:t xml:space="preserve">Rule Determination National Electricity Amendment (Economic Regulation of </w:t>
      </w:r>
      <w:r>
        <w:rPr>
          <w:rStyle w:val="AERtextitalic"/>
        </w:rPr>
        <w:t>Transmission Services</w:t>
      </w:r>
      <w:r w:rsidRPr="000102D7">
        <w:rPr>
          <w:rStyle w:val="AERtextitalic"/>
        </w:rPr>
        <w:t>) Rule 20</w:t>
      </w:r>
      <w:r>
        <w:rPr>
          <w:rStyle w:val="AERtextitalic"/>
        </w:rPr>
        <w:t xml:space="preserve">06 No. 18, </w:t>
      </w:r>
      <w:r>
        <w:t>p. 50.</w:t>
      </w:r>
    </w:p>
  </w:footnote>
  <w:footnote w:id="77">
    <w:p w:rsidR="00EE7E7C" w:rsidRDefault="00EE7E7C" w:rsidP="00D44A58">
      <w:pPr>
        <w:pStyle w:val="FootnoteText"/>
      </w:pPr>
      <w:r>
        <w:rPr>
          <w:rStyle w:val="FootnoteReference"/>
        </w:rPr>
        <w:footnoteRef/>
      </w:r>
      <w:r>
        <w:t xml:space="preserve"> </w:t>
      </w:r>
      <w:r>
        <w:tab/>
        <w:t xml:space="preserve">NEL, s. </w:t>
      </w:r>
      <w:proofErr w:type="gramStart"/>
      <w:r>
        <w:t>7A(</w:t>
      </w:r>
      <w:proofErr w:type="gramEnd"/>
      <w:r>
        <w:t>7).</w:t>
      </w:r>
    </w:p>
  </w:footnote>
  <w:footnote w:id="78">
    <w:p w:rsidR="00EE7E7C" w:rsidRDefault="00EE7E7C" w:rsidP="00D44A58">
      <w:pPr>
        <w:pStyle w:val="FootnoteText"/>
      </w:pPr>
      <w:r>
        <w:rPr>
          <w:rStyle w:val="FootnoteReference"/>
        </w:rPr>
        <w:footnoteRef/>
      </w:r>
      <w:r>
        <w:t xml:space="preserve"> </w:t>
      </w:r>
      <w:r>
        <w:tab/>
        <w:t xml:space="preserve">NEL, s. </w:t>
      </w:r>
      <w:proofErr w:type="gramStart"/>
      <w:r>
        <w:t>7A(</w:t>
      </w:r>
      <w:proofErr w:type="gramEnd"/>
      <w:r>
        <w:t>6).</w:t>
      </w:r>
    </w:p>
  </w:footnote>
  <w:footnote w:id="79">
    <w:p w:rsidR="00EE7E7C" w:rsidRDefault="00EE7E7C" w:rsidP="00D44A58">
      <w:pPr>
        <w:pStyle w:val="FootnoteText"/>
      </w:pPr>
      <w:r>
        <w:rPr>
          <w:rStyle w:val="FootnoteReference"/>
        </w:rPr>
        <w:footnoteRef/>
      </w:r>
      <w:r>
        <w:t xml:space="preserve"> </w:t>
      </w:r>
      <w:r>
        <w:tab/>
        <w:t>NEL, ss. 16(1</w:t>
      </w:r>
      <w:proofErr w:type="gramStart"/>
      <w:r>
        <w:t>)(</w:t>
      </w:r>
      <w:proofErr w:type="gramEnd"/>
      <w:r>
        <w:t xml:space="preserve">d) and 71P(2a)(c). AEMC, </w:t>
      </w:r>
      <w:r>
        <w:rPr>
          <w:rStyle w:val="AERtextitalic"/>
        </w:rPr>
        <w:t>Rule Determination National Electricity Amendment (Economic Regulation of Network Service Providers) Rule 2012, National Gas Amendment (Price and Revenue Regulation of Gas Services) Rule 2012,</w:t>
      </w:r>
      <w:r>
        <w:t xml:space="preserve"> pp. </w:t>
      </w:r>
      <w:proofErr w:type="spellStart"/>
      <w:r>
        <w:t>i</w:t>
      </w:r>
      <w:proofErr w:type="spellEnd"/>
      <w:r>
        <w:t>, iii, iv, vi, vii, 8, 24 32, 36, 38, 45, 49, 67, 68, 90, 96 106, 112 and 113.</w:t>
      </w:r>
    </w:p>
    <w:p w:rsidR="00EE7E7C" w:rsidRDefault="00EE7E7C" w:rsidP="00D44A58">
      <w:pPr>
        <w:pStyle w:val="FootnoteText"/>
      </w:pPr>
      <w:r>
        <w:tab/>
        <w:t>Hansard, SA House of Assembly, 26 September 2013 p. 7172.</w:t>
      </w:r>
    </w:p>
  </w:footnote>
  <w:footnote w:id="80">
    <w:p w:rsidR="00EE7E7C" w:rsidRDefault="00EE7E7C" w:rsidP="00D44A58">
      <w:pPr>
        <w:pStyle w:val="FootnoteText"/>
      </w:pPr>
      <w:r>
        <w:rPr>
          <w:rStyle w:val="FootnoteReference"/>
        </w:rPr>
        <w:footnoteRef/>
      </w:r>
      <w:r>
        <w:t xml:space="preserve"> </w:t>
      </w:r>
      <w:r>
        <w:tab/>
      </w:r>
      <w:proofErr w:type="gramStart"/>
      <w:r>
        <w:t>For example, NER, cl. 6.5.2(b) and (c), 6.5.6(a) and 6.5.7(a).</w:t>
      </w:r>
      <w:proofErr w:type="gramEnd"/>
    </w:p>
    <w:p w:rsidR="00EE7E7C" w:rsidRDefault="00EE7E7C" w:rsidP="00D44A58">
      <w:pPr>
        <w:pStyle w:val="FootnoteText"/>
      </w:pPr>
      <w:r>
        <w:tab/>
        <w:t xml:space="preserve">AEMC, </w:t>
      </w:r>
      <w:r>
        <w:rPr>
          <w:rStyle w:val="AERtextitalic"/>
        </w:rPr>
        <w:t>Rule Determination National Electricity Amendment (Economic Regulation of Network Service Providers) Rule 2012, National Gas Amendment (Price and Revenue Regulation of Gas Services) Rule 2012,</w:t>
      </w:r>
      <w:r>
        <w:t xml:space="preserve"> pp. xi, 10, 19, 32 and 35.</w:t>
      </w:r>
    </w:p>
  </w:footnote>
  <w:footnote w:id="81">
    <w:p w:rsidR="00EE7E7C" w:rsidRDefault="00EE7E7C" w:rsidP="00D44A58">
      <w:pPr>
        <w:pStyle w:val="FootnoteText"/>
      </w:pPr>
      <w:r>
        <w:rPr>
          <w:rStyle w:val="FootnoteReference"/>
        </w:rPr>
        <w:footnoteRef/>
      </w:r>
      <w:r>
        <w:t xml:space="preserve"> </w:t>
      </w:r>
      <w:r>
        <w:tab/>
        <w:t xml:space="preserve">AEMC, </w:t>
      </w:r>
      <w:r>
        <w:rPr>
          <w:rStyle w:val="AERtextitalic"/>
        </w:rPr>
        <w:t>Rule Determination National Electricity Amendment (Economic Regulation of Network Service Providers) Rule 2012, National Gas Amendment (Price and Revenue Regulation of Gas Services) Rule 2012,</w:t>
      </w:r>
      <w:r>
        <w:t xml:space="preserve"> esp. pp. 166–170.</w:t>
      </w:r>
    </w:p>
  </w:footnote>
  <w:footnote w:id="82">
    <w:p w:rsidR="00EE7E7C" w:rsidRDefault="00EE7E7C" w:rsidP="00D44A58">
      <w:pPr>
        <w:pStyle w:val="FootnoteText"/>
      </w:pPr>
      <w:r>
        <w:rPr>
          <w:rStyle w:val="FootnoteReference"/>
        </w:rPr>
        <w:footnoteRef/>
      </w:r>
      <w:r>
        <w:t xml:space="preserve"> </w:t>
      </w:r>
      <w:r>
        <w:tab/>
        <w:t>Hansard, SA House of Assembly, 26 September 2013 p. 7171.</w:t>
      </w:r>
    </w:p>
  </w:footnote>
  <w:footnote w:id="83">
    <w:p w:rsidR="00EE7E7C" w:rsidRDefault="00EE7E7C" w:rsidP="00D44A58">
      <w:pPr>
        <w:pStyle w:val="FootnoteText"/>
      </w:pPr>
      <w:r>
        <w:rPr>
          <w:rStyle w:val="FootnoteReference"/>
        </w:rPr>
        <w:footnoteRef/>
      </w:r>
      <w:r>
        <w:t xml:space="preserve"> </w:t>
      </w:r>
      <w:r>
        <w:tab/>
        <w:t>NEL, ss. 2, 16, 71A and 71P which focus the AER’s decision making and merits review at the overall decision, rather than its constituent components.</w:t>
      </w:r>
    </w:p>
    <w:p w:rsidR="00EE7E7C" w:rsidRDefault="00EE7E7C" w:rsidP="00D44A58">
      <w:pPr>
        <w:pStyle w:val="FootnoteText"/>
      </w:pPr>
      <w:r>
        <w:tab/>
        <w:t>Hansard, SA House of Assembly, 26 September 2013, pp. 7171 and 7173; See also NEL, ss. 2, 16 and 71A which focus the AER’s decision making and merits review at the overall decision, rather than its constituent components.</w:t>
      </w:r>
    </w:p>
    <w:p w:rsidR="00EE7E7C" w:rsidRDefault="00EE7E7C" w:rsidP="00D44A58">
      <w:pPr>
        <w:pStyle w:val="FootnoteText"/>
      </w:pPr>
      <w:r>
        <w:tab/>
      </w:r>
      <w:proofErr w:type="gramStart"/>
      <w:r>
        <w:t xml:space="preserve">SCER, </w:t>
      </w:r>
      <w:hyperlink r:id="rId2" w:history="1">
        <w:r>
          <w:rPr>
            <w:rStyle w:val="AERtextitalic"/>
          </w:rPr>
          <w:t>Regulation Impact Statement – Limited Merits Review of Decision-Making in the Electricity and Gas Regulatory Frameworks</w:t>
        </w:r>
      </w:hyperlink>
      <w:r>
        <w:rPr>
          <w:rStyle w:val="FootnoteReference"/>
        </w:rPr>
        <w:t>,</w:t>
      </w:r>
      <w:r>
        <w:t xml:space="preserve"> 6 June 2013, pp. </w:t>
      </w:r>
      <w:proofErr w:type="spellStart"/>
      <w:r>
        <w:t>i</w:t>
      </w:r>
      <w:proofErr w:type="spellEnd"/>
      <w:r>
        <w:t>, ii, 6</w:t>
      </w:r>
      <w:r>
        <w:rPr>
          <w:rFonts w:cs="Gautami"/>
        </w:rPr>
        <w:t>–</w:t>
      </w:r>
      <w:r>
        <w:t>7, 10, 36, 41 and 76.</w:t>
      </w:r>
      <w:proofErr w:type="gramEnd"/>
    </w:p>
  </w:footnote>
  <w:footnote w:id="84">
    <w:p w:rsidR="00EE7E7C" w:rsidRDefault="00EE7E7C" w:rsidP="00D44A58">
      <w:pPr>
        <w:pStyle w:val="FootnoteText"/>
      </w:pPr>
      <w:r>
        <w:rPr>
          <w:rStyle w:val="FootnoteReference"/>
        </w:rPr>
        <w:footnoteRef/>
      </w:r>
      <w:r>
        <w:t xml:space="preserve"> </w:t>
      </w:r>
      <w:r>
        <w:tab/>
      </w:r>
      <w:proofErr w:type="gramStart"/>
      <w:r>
        <w:t>NEL, s. 16(c).</w:t>
      </w:r>
      <w:proofErr w:type="gramEnd"/>
    </w:p>
  </w:footnote>
  <w:footnote w:id="85">
    <w:p w:rsidR="00EE7E7C" w:rsidRDefault="00EE7E7C" w:rsidP="00D44A58">
      <w:pPr>
        <w:pStyle w:val="FootnoteText"/>
      </w:pPr>
      <w:r>
        <w:rPr>
          <w:rStyle w:val="FootnoteReference"/>
        </w:rPr>
        <w:footnoteRef/>
      </w:r>
      <w:r>
        <w:t xml:space="preserve"> </w:t>
      </w:r>
      <w:r>
        <w:tab/>
        <w:t>NEL, s. 16(1</w:t>
      </w:r>
      <w:proofErr w:type="gramStart"/>
      <w:r>
        <w:t>)(</w:t>
      </w:r>
      <w:proofErr w:type="gramEnd"/>
      <w:r>
        <w:t>d).</w:t>
      </w:r>
    </w:p>
  </w:footnote>
  <w:footnote w:id="86">
    <w:p w:rsidR="00EE7E7C" w:rsidRDefault="00EE7E7C">
      <w:pPr>
        <w:pStyle w:val="FootnoteText"/>
      </w:pPr>
      <w:r>
        <w:rPr>
          <w:rStyle w:val="FootnoteReference"/>
        </w:rPr>
        <w:footnoteRef/>
      </w:r>
      <w:r>
        <w:t xml:space="preserve"> </w:t>
      </w:r>
      <w:r>
        <w:tab/>
      </w:r>
      <w:proofErr w:type="gramStart"/>
      <w:r>
        <w:t>NER, cl. 6.11.2(c).</w:t>
      </w:r>
      <w:proofErr w:type="gramEnd"/>
    </w:p>
  </w:footnote>
  <w:footnote w:id="87">
    <w:p w:rsidR="00EE7E7C" w:rsidRDefault="00EE7E7C" w:rsidP="00D44A58">
      <w:pPr>
        <w:pStyle w:val="FootnoteText"/>
      </w:pPr>
      <w:r>
        <w:rPr>
          <w:rStyle w:val="FootnoteReference"/>
        </w:rPr>
        <w:footnoteRef/>
      </w:r>
      <w:r>
        <w:t xml:space="preserve"> </w:t>
      </w:r>
      <w:r>
        <w:tab/>
        <w:t xml:space="preserve">SCER, </w:t>
      </w:r>
      <w:r w:rsidRPr="002921E2">
        <w:rPr>
          <w:rStyle w:val="AERtextitalic"/>
        </w:rPr>
        <w:t>Regulation Impact Statement: Limited Merits Review of Decision-Making in the Electricity and Gas Regulatory Frameworks – Decision Paper</w:t>
      </w:r>
      <w:r w:rsidRPr="00356A31">
        <w:t>, 6 June 2013</w:t>
      </w:r>
      <w:r>
        <w:t>,</w:t>
      </w:r>
      <w:r w:rsidRPr="00356A31">
        <w:t xml:space="preserve"> p. 6</w:t>
      </w:r>
      <w:r>
        <w:t>.</w:t>
      </w:r>
    </w:p>
  </w:footnote>
  <w:footnote w:id="88">
    <w:p w:rsidR="00EE7E7C" w:rsidRDefault="00EE7E7C" w:rsidP="00D44A58">
      <w:pPr>
        <w:pStyle w:val="FootnoteText"/>
      </w:pPr>
      <w:r>
        <w:rPr>
          <w:rStyle w:val="FootnoteReference"/>
        </w:rPr>
        <w:footnoteRef/>
      </w:r>
      <w:r>
        <w:t xml:space="preserve"> </w:t>
      </w:r>
      <w:r>
        <w:tab/>
        <w:t>NEL, s. 16(1</w:t>
      </w:r>
      <w:proofErr w:type="gramStart"/>
      <w:r>
        <w:t>)(</w:t>
      </w:r>
      <w:proofErr w:type="gramEnd"/>
      <w:r>
        <w:t>b).</w:t>
      </w:r>
    </w:p>
  </w:footnote>
  <w:footnote w:id="89">
    <w:p w:rsidR="00EE7E7C" w:rsidRDefault="00EE7E7C" w:rsidP="00D44A58">
      <w:pPr>
        <w:pStyle w:val="FootnoteText"/>
      </w:pPr>
      <w:r>
        <w:rPr>
          <w:rStyle w:val="FootnoteReference"/>
        </w:rPr>
        <w:footnoteRef/>
      </w:r>
      <w:r>
        <w:t xml:space="preserve"> </w:t>
      </w:r>
      <w:r>
        <w:tab/>
      </w:r>
      <w:proofErr w:type="gramStart"/>
      <w:r>
        <w:t xml:space="preserve">AER, </w:t>
      </w:r>
      <w:r w:rsidRPr="009D1CE9">
        <w:rPr>
          <w:rStyle w:val="AERtextitalic"/>
        </w:rPr>
        <w:t>Overview of the Better Regulation reform package</w:t>
      </w:r>
      <w:r>
        <w:t>, April 2014, pp. 4 and 7</w:t>
      </w:r>
      <w:r w:rsidRPr="00356A31">
        <w:t>–</w:t>
      </w:r>
      <w:r>
        <w:t>13.</w:t>
      </w:r>
      <w:proofErr w:type="gramEnd"/>
    </w:p>
  </w:footnote>
  <w:footnote w:id="90">
    <w:p w:rsidR="00EE7E7C" w:rsidRDefault="00EE7E7C" w:rsidP="00D44A58">
      <w:pPr>
        <w:pStyle w:val="FootnoteText"/>
      </w:pPr>
      <w:r>
        <w:rPr>
          <w:rStyle w:val="FootnoteReference"/>
        </w:rPr>
        <w:footnoteRef/>
      </w:r>
      <w:r>
        <w:t xml:space="preserve"> </w:t>
      </w:r>
      <w:r>
        <w:tab/>
      </w:r>
      <w:proofErr w:type="gramStart"/>
      <w:r>
        <w:t xml:space="preserve">AER, </w:t>
      </w:r>
      <w:r w:rsidRPr="009D1CE9">
        <w:rPr>
          <w:rStyle w:val="AERtextitalic"/>
        </w:rPr>
        <w:t>Overview of the Better Regulation reform package</w:t>
      </w:r>
      <w:r>
        <w:t>, April 2014, pp. 4 and 7</w:t>
      </w:r>
      <w:r>
        <w:rPr>
          <w:rFonts w:cs="Gautami"/>
        </w:rPr>
        <w:t>–</w:t>
      </w:r>
      <w:r>
        <w:t>13.</w:t>
      </w:r>
      <w:proofErr w:type="gramEnd"/>
    </w:p>
  </w:footnote>
  <w:footnote w:id="91">
    <w:p w:rsidR="00EE7E7C" w:rsidRDefault="00EE7E7C">
      <w:pPr>
        <w:pStyle w:val="FootnoteText"/>
      </w:pPr>
      <w:r>
        <w:rPr>
          <w:rStyle w:val="FootnoteReference"/>
        </w:rPr>
        <w:footnoteRef/>
      </w:r>
      <w:r>
        <w:t xml:space="preserve"> </w:t>
      </w:r>
      <w:r>
        <w:tab/>
        <w:t>www.aer.gov.au/Better-regulation-reform-program</w:t>
      </w:r>
    </w:p>
  </w:footnote>
  <w:footnote w:id="92">
    <w:p w:rsidR="00EE7E7C" w:rsidRDefault="00EE7E7C" w:rsidP="00D44A58">
      <w:pPr>
        <w:pStyle w:val="FootnoteText"/>
      </w:pPr>
      <w:r>
        <w:rPr>
          <w:rStyle w:val="FootnoteReference"/>
        </w:rPr>
        <w:footnoteRef/>
      </w:r>
      <w:r>
        <w:t xml:space="preserve"> </w:t>
      </w:r>
      <w:r>
        <w:tab/>
        <w:t xml:space="preserve">AEMC, </w:t>
      </w:r>
      <w:r w:rsidRPr="003A0E03">
        <w:rPr>
          <w:rStyle w:val="AERtextitalic"/>
        </w:rPr>
        <w:t>Final Rule Determination, National Electricity Amendment (Economic Regulation of Network Service Providers) Rule 2012</w:t>
      </w:r>
      <w:r>
        <w:t xml:space="preserve">, 29 November 2012. </w:t>
      </w:r>
    </w:p>
  </w:footnote>
  <w:footnote w:id="93">
    <w:p w:rsidR="00EE7E7C" w:rsidRDefault="00EE7E7C" w:rsidP="00D44A58">
      <w:pPr>
        <w:pStyle w:val="FootnoteText"/>
      </w:pPr>
      <w:r>
        <w:rPr>
          <w:rStyle w:val="FootnoteReference"/>
        </w:rPr>
        <w:footnoteRef/>
      </w:r>
      <w:r>
        <w:t xml:space="preserve"> </w:t>
      </w:r>
      <w:r>
        <w:tab/>
      </w:r>
      <w:proofErr w:type="gramStart"/>
      <w:r>
        <w:t>NER, cl. 11.60.4.</w:t>
      </w:r>
      <w:proofErr w:type="gramEnd"/>
    </w:p>
  </w:footnote>
  <w:footnote w:id="94">
    <w:p w:rsidR="00EE7E7C" w:rsidRDefault="00EE7E7C" w:rsidP="00D44A58">
      <w:pPr>
        <w:pStyle w:val="FootnoteText"/>
      </w:pPr>
      <w:r>
        <w:rPr>
          <w:rStyle w:val="FootnoteReference"/>
        </w:rPr>
        <w:footnoteRef/>
      </w:r>
      <w:r>
        <w:t xml:space="preserve"> </w:t>
      </w:r>
      <w:r>
        <w:tab/>
      </w:r>
      <w:proofErr w:type="gramStart"/>
      <w:r>
        <w:t xml:space="preserve">NER, </w:t>
      </w:r>
      <w:proofErr w:type="spellStart"/>
      <w:r>
        <w:t>cll</w:t>
      </w:r>
      <w:proofErr w:type="spellEnd"/>
      <w:r>
        <w:t>.</w:t>
      </w:r>
      <w:proofErr w:type="gramEnd"/>
      <w:r>
        <w:t xml:space="preserve"> 6.11.2 and 11.60.4(a).</w:t>
      </w:r>
    </w:p>
  </w:footnote>
  <w:footnote w:id="95">
    <w:p w:rsidR="00EE7E7C" w:rsidRDefault="00EE7E7C" w:rsidP="00D44A58">
      <w:pPr>
        <w:pStyle w:val="FootnoteText"/>
      </w:pPr>
      <w:r>
        <w:rPr>
          <w:rStyle w:val="FootnoteReference"/>
        </w:rPr>
        <w:footnoteRef/>
      </w:r>
      <w:r>
        <w:t xml:space="preserve"> </w:t>
      </w:r>
      <w:r>
        <w:tab/>
      </w:r>
      <w:proofErr w:type="gramStart"/>
      <w:r>
        <w:t>NER, cl. 11.60.4(b).</w:t>
      </w:r>
      <w:proofErr w:type="gramEnd"/>
    </w:p>
  </w:footnote>
  <w:footnote w:id="96">
    <w:p w:rsidR="00EE7E7C" w:rsidRDefault="00EE7E7C" w:rsidP="00D44A58">
      <w:pPr>
        <w:pStyle w:val="FootnoteText"/>
      </w:pPr>
      <w:r>
        <w:rPr>
          <w:rStyle w:val="FootnoteReference"/>
        </w:rPr>
        <w:footnoteRef/>
      </w:r>
      <w:r>
        <w:t xml:space="preserve"> </w:t>
      </w:r>
      <w:r>
        <w:tab/>
      </w:r>
      <w:proofErr w:type="gramStart"/>
      <w:r>
        <w:t>NER, cl. 11.60.4(c).</w:t>
      </w:r>
      <w:proofErr w:type="gramEnd"/>
    </w:p>
  </w:footnote>
  <w:footnote w:id="97">
    <w:p w:rsidR="00EE7E7C" w:rsidRDefault="00EE7E7C" w:rsidP="005D6860">
      <w:pPr>
        <w:pStyle w:val="FootnoteText"/>
      </w:pPr>
      <w:r>
        <w:rPr>
          <w:rStyle w:val="FootnoteReference"/>
        </w:rPr>
        <w:footnoteRef/>
      </w:r>
      <w:r>
        <w:t xml:space="preserve"> </w:t>
      </w:r>
      <w:r>
        <w:tab/>
      </w:r>
      <w:proofErr w:type="gramStart"/>
      <w:r>
        <w:t>NER, cl. 6.12.1.</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8">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0">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6">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8">
    <w:nsid w:val="5ECE4384"/>
    <w:multiLevelType w:val="multilevel"/>
    <w:tmpl w:val="70B2CAD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9">
    <w:nsid w:val="60D81340"/>
    <w:multiLevelType w:val="multilevel"/>
    <w:tmpl w:val="950A1C52"/>
    <w:numStyleLink w:val="AERHeadings"/>
  </w:abstractNum>
  <w:abstractNum w:abstractNumId="30">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1">
    <w:nsid w:val="6DE36827"/>
    <w:multiLevelType w:val="multilevel"/>
    <w:tmpl w:val="950A1C52"/>
    <w:numStyleLink w:val="AERHeadings"/>
  </w:abstractNum>
  <w:abstractNum w:abstractNumId="32">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771C5121"/>
    <w:multiLevelType w:val="multilevel"/>
    <w:tmpl w:val="950A1C52"/>
    <w:numStyleLink w:val="AERHeadings"/>
  </w:abstractNum>
  <w:abstractNum w:abstractNumId="35">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35"/>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0"/>
  </w:num>
  <w:num w:numId="13">
    <w:abstractNumId w:val="21"/>
  </w:num>
  <w:num w:numId="14">
    <w:abstractNumId w:val="10"/>
  </w:num>
  <w:num w:numId="15">
    <w:abstractNumId w:val="13"/>
  </w:num>
  <w:num w:numId="16">
    <w:abstractNumId w:val="23"/>
  </w:num>
  <w:num w:numId="17">
    <w:abstractNumId w:val="9"/>
  </w:num>
  <w:num w:numId="18">
    <w:abstractNumId w:val="17"/>
  </w:num>
  <w:num w:numId="19">
    <w:abstractNumId w:val="24"/>
  </w:num>
  <w:num w:numId="20">
    <w:abstractNumId w:val="32"/>
  </w:num>
  <w:num w:numId="21">
    <w:abstractNumId w:val="14"/>
  </w:num>
  <w:num w:numId="22">
    <w:abstractNumId w:val="27"/>
  </w:num>
  <w:num w:numId="23">
    <w:abstractNumId w:val="25"/>
  </w:num>
  <w:num w:numId="24">
    <w:abstractNumId w:val="19"/>
  </w:num>
  <w:num w:numId="25">
    <w:abstractNumId w:val="26"/>
  </w:num>
  <w:num w:numId="26">
    <w:abstractNumId w:val="28"/>
  </w:num>
  <w:num w:numId="27">
    <w:abstractNumId w:val="20"/>
  </w:num>
  <w:num w:numId="28">
    <w:abstractNumId w:val="18"/>
  </w:num>
  <w:num w:numId="29">
    <w:abstractNumId w:val="16"/>
  </w:num>
  <w:num w:numId="30">
    <w:abstractNumId w:val="33"/>
  </w:num>
  <w:num w:numId="31">
    <w:abstractNumId w:val="15"/>
  </w:num>
  <w:num w:numId="32">
    <w:abstractNumId w:val="22"/>
  </w:num>
  <w:num w:numId="33">
    <w:abstractNumId w:val="19"/>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19"/>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19"/>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1"/>
  </w:num>
  <w:num w:numId="37">
    <w:abstractNumId w:val="34"/>
  </w:num>
  <w:num w:numId="38">
    <w:abstractNumId w:val="29"/>
  </w:num>
  <w:num w:numId="39">
    <w:abstractNumId w:val="12"/>
  </w:num>
  <w:num w:numId="40">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wNPBZrkJWEO/+J8EkriKcbNKHf6ezGcoYSykozB2FB0=" w:saltValue="e7iVrB6CaL/I84ZWTY4t8A==" w:algorithmName="SHA-256"/>
  <w:defaultTabStop w:val="340"/>
  <w:characterSpacingControl w:val="doNotCompress"/>
  <w:hdrShapeDefaults>
    <o:shapedefaults v:ext="edit" spidmax="262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S:\AER\QldSA DX 2015-20 resets\Ergon\Ergon PD - Public\Ergon Energy - Overview and attachments - Public\AER - Preliminary decision Ergon Energy - Overview - April 2015.docx"/>
  </w:docVars>
  <w:rsids>
    <w:rsidRoot w:val="00961A4A"/>
    <w:rsid w:val="00002F59"/>
    <w:rsid w:val="00003B47"/>
    <w:rsid w:val="000043D8"/>
    <w:rsid w:val="00006779"/>
    <w:rsid w:val="0001344D"/>
    <w:rsid w:val="0001599B"/>
    <w:rsid w:val="00021202"/>
    <w:rsid w:val="00021FD2"/>
    <w:rsid w:val="000232E2"/>
    <w:rsid w:val="0002517F"/>
    <w:rsid w:val="00027FAB"/>
    <w:rsid w:val="00031E55"/>
    <w:rsid w:val="0003578C"/>
    <w:rsid w:val="00063247"/>
    <w:rsid w:val="00070F9F"/>
    <w:rsid w:val="0007137B"/>
    <w:rsid w:val="00074762"/>
    <w:rsid w:val="000803BF"/>
    <w:rsid w:val="00085663"/>
    <w:rsid w:val="00085EBF"/>
    <w:rsid w:val="00087349"/>
    <w:rsid w:val="00091BD2"/>
    <w:rsid w:val="00096E56"/>
    <w:rsid w:val="000A3020"/>
    <w:rsid w:val="000A4914"/>
    <w:rsid w:val="000A6C7B"/>
    <w:rsid w:val="000D023E"/>
    <w:rsid w:val="000D0E42"/>
    <w:rsid w:val="000D122C"/>
    <w:rsid w:val="000E14A1"/>
    <w:rsid w:val="000E1819"/>
    <w:rsid w:val="000E26C1"/>
    <w:rsid w:val="000E4821"/>
    <w:rsid w:val="000E5ADE"/>
    <w:rsid w:val="000E6C72"/>
    <w:rsid w:val="000F4E48"/>
    <w:rsid w:val="001061FD"/>
    <w:rsid w:val="00116B93"/>
    <w:rsid w:val="00116EB2"/>
    <w:rsid w:val="00124609"/>
    <w:rsid w:val="00126A4C"/>
    <w:rsid w:val="00127EA0"/>
    <w:rsid w:val="00135547"/>
    <w:rsid w:val="00136EE7"/>
    <w:rsid w:val="00137617"/>
    <w:rsid w:val="00137991"/>
    <w:rsid w:val="00142D52"/>
    <w:rsid w:val="0014573B"/>
    <w:rsid w:val="00147A97"/>
    <w:rsid w:val="001558D1"/>
    <w:rsid w:val="001573E4"/>
    <w:rsid w:val="00160756"/>
    <w:rsid w:val="00163E61"/>
    <w:rsid w:val="0017232E"/>
    <w:rsid w:val="00174102"/>
    <w:rsid w:val="0017503D"/>
    <w:rsid w:val="00175066"/>
    <w:rsid w:val="00176FDA"/>
    <w:rsid w:val="00180157"/>
    <w:rsid w:val="00184F43"/>
    <w:rsid w:val="00185CB9"/>
    <w:rsid w:val="00186F77"/>
    <w:rsid w:val="001926A4"/>
    <w:rsid w:val="00192AD5"/>
    <w:rsid w:val="001B030A"/>
    <w:rsid w:val="001B45A0"/>
    <w:rsid w:val="001B6025"/>
    <w:rsid w:val="001D055E"/>
    <w:rsid w:val="001D62DF"/>
    <w:rsid w:val="001E20CE"/>
    <w:rsid w:val="001E442E"/>
    <w:rsid w:val="001F21C7"/>
    <w:rsid w:val="001F43C0"/>
    <w:rsid w:val="001F492E"/>
    <w:rsid w:val="001F6C64"/>
    <w:rsid w:val="001F6DA3"/>
    <w:rsid w:val="002010BC"/>
    <w:rsid w:val="00202E03"/>
    <w:rsid w:val="00203032"/>
    <w:rsid w:val="0020492C"/>
    <w:rsid w:val="00211F3B"/>
    <w:rsid w:val="00215BF4"/>
    <w:rsid w:val="00224DB9"/>
    <w:rsid w:val="00227D9F"/>
    <w:rsid w:val="002301AE"/>
    <w:rsid w:val="00233775"/>
    <w:rsid w:val="00236338"/>
    <w:rsid w:val="0024002F"/>
    <w:rsid w:val="00245E1C"/>
    <w:rsid w:val="00247351"/>
    <w:rsid w:val="00251745"/>
    <w:rsid w:val="00263AC0"/>
    <w:rsid w:val="00264264"/>
    <w:rsid w:val="00264312"/>
    <w:rsid w:val="0026696E"/>
    <w:rsid w:val="0026772D"/>
    <w:rsid w:val="00272D97"/>
    <w:rsid w:val="00280BBB"/>
    <w:rsid w:val="00284A27"/>
    <w:rsid w:val="00286874"/>
    <w:rsid w:val="00290C63"/>
    <w:rsid w:val="0029182B"/>
    <w:rsid w:val="0029393C"/>
    <w:rsid w:val="00295A13"/>
    <w:rsid w:val="00296B65"/>
    <w:rsid w:val="002A7DEF"/>
    <w:rsid w:val="002B181D"/>
    <w:rsid w:val="002B5EB8"/>
    <w:rsid w:val="002B66DD"/>
    <w:rsid w:val="002C0C8A"/>
    <w:rsid w:val="002E40B0"/>
    <w:rsid w:val="002E7B22"/>
    <w:rsid w:val="002F187E"/>
    <w:rsid w:val="002F7986"/>
    <w:rsid w:val="003012E3"/>
    <w:rsid w:val="00301B40"/>
    <w:rsid w:val="003029EE"/>
    <w:rsid w:val="00305CC8"/>
    <w:rsid w:val="00307F6D"/>
    <w:rsid w:val="00316873"/>
    <w:rsid w:val="00316C1C"/>
    <w:rsid w:val="003177A2"/>
    <w:rsid w:val="00321127"/>
    <w:rsid w:val="003222CA"/>
    <w:rsid w:val="00323635"/>
    <w:rsid w:val="003271B5"/>
    <w:rsid w:val="00327A1E"/>
    <w:rsid w:val="00331264"/>
    <w:rsid w:val="003346D9"/>
    <w:rsid w:val="00334C8D"/>
    <w:rsid w:val="00335C91"/>
    <w:rsid w:val="00337983"/>
    <w:rsid w:val="0034277C"/>
    <w:rsid w:val="00343A18"/>
    <w:rsid w:val="003478FC"/>
    <w:rsid w:val="003518B3"/>
    <w:rsid w:val="003656E6"/>
    <w:rsid w:val="003838D8"/>
    <w:rsid w:val="003846F1"/>
    <w:rsid w:val="00386C0F"/>
    <w:rsid w:val="00393804"/>
    <w:rsid w:val="0039418C"/>
    <w:rsid w:val="003B484F"/>
    <w:rsid w:val="003B7C4E"/>
    <w:rsid w:val="003C226E"/>
    <w:rsid w:val="003D0951"/>
    <w:rsid w:val="003D3FD6"/>
    <w:rsid w:val="003D5540"/>
    <w:rsid w:val="003D7294"/>
    <w:rsid w:val="003E0CA0"/>
    <w:rsid w:val="003E2E30"/>
    <w:rsid w:val="003F067D"/>
    <w:rsid w:val="003F0EB0"/>
    <w:rsid w:val="003F174D"/>
    <w:rsid w:val="003F40DF"/>
    <w:rsid w:val="00412FB4"/>
    <w:rsid w:val="00414143"/>
    <w:rsid w:val="00437D0B"/>
    <w:rsid w:val="0045777E"/>
    <w:rsid w:val="00467A03"/>
    <w:rsid w:val="00480B4B"/>
    <w:rsid w:val="004819CC"/>
    <w:rsid w:val="00485DC4"/>
    <w:rsid w:val="004920AB"/>
    <w:rsid w:val="00493049"/>
    <w:rsid w:val="00496655"/>
    <w:rsid w:val="004A43D1"/>
    <w:rsid w:val="004A440A"/>
    <w:rsid w:val="004B43FB"/>
    <w:rsid w:val="004B4412"/>
    <w:rsid w:val="004B5D69"/>
    <w:rsid w:val="004B7424"/>
    <w:rsid w:val="004C348C"/>
    <w:rsid w:val="004D55BA"/>
    <w:rsid w:val="004D7CA8"/>
    <w:rsid w:val="004E22EC"/>
    <w:rsid w:val="004F337E"/>
    <w:rsid w:val="004F6243"/>
    <w:rsid w:val="005014F2"/>
    <w:rsid w:val="00513B87"/>
    <w:rsid w:val="00521204"/>
    <w:rsid w:val="00530128"/>
    <w:rsid w:val="00532467"/>
    <w:rsid w:val="00532591"/>
    <w:rsid w:val="005351DB"/>
    <w:rsid w:val="0053522B"/>
    <w:rsid w:val="00535FC7"/>
    <w:rsid w:val="00545347"/>
    <w:rsid w:val="00547AB3"/>
    <w:rsid w:val="00552236"/>
    <w:rsid w:val="00553A0E"/>
    <w:rsid w:val="00554895"/>
    <w:rsid w:val="00555E9F"/>
    <w:rsid w:val="00563CF1"/>
    <w:rsid w:val="00564A4D"/>
    <w:rsid w:val="00564E48"/>
    <w:rsid w:val="00567BA5"/>
    <w:rsid w:val="00571B35"/>
    <w:rsid w:val="00571D57"/>
    <w:rsid w:val="00575E55"/>
    <w:rsid w:val="005768FE"/>
    <w:rsid w:val="00577A09"/>
    <w:rsid w:val="00580A5E"/>
    <w:rsid w:val="005829C2"/>
    <w:rsid w:val="00584D8F"/>
    <w:rsid w:val="0058680A"/>
    <w:rsid w:val="00594106"/>
    <w:rsid w:val="005A2CA6"/>
    <w:rsid w:val="005A404D"/>
    <w:rsid w:val="005B1E3C"/>
    <w:rsid w:val="005B75DF"/>
    <w:rsid w:val="005C26CC"/>
    <w:rsid w:val="005D022C"/>
    <w:rsid w:val="005D02D0"/>
    <w:rsid w:val="005D5505"/>
    <w:rsid w:val="005D6754"/>
    <w:rsid w:val="005D6860"/>
    <w:rsid w:val="005D7BA2"/>
    <w:rsid w:val="005E36C2"/>
    <w:rsid w:val="005E6437"/>
    <w:rsid w:val="005E6F7B"/>
    <w:rsid w:val="005F5637"/>
    <w:rsid w:val="00604E9F"/>
    <w:rsid w:val="00606EEF"/>
    <w:rsid w:val="00615C6B"/>
    <w:rsid w:val="00621304"/>
    <w:rsid w:val="00621DCE"/>
    <w:rsid w:val="00621DF6"/>
    <w:rsid w:val="00626935"/>
    <w:rsid w:val="00632D6D"/>
    <w:rsid w:val="006339EC"/>
    <w:rsid w:val="00637E40"/>
    <w:rsid w:val="00642C3E"/>
    <w:rsid w:val="006434E4"/>
    <w:rsid w:val="006523F2"/>
    <w:rsid w:val="0066104A"/>
    <w:rsid w:val="00663DAD"/>
    <w:rsid w:val="006724F2"/>
    <w:rsid w:val="00672DF7"/>
    <w:rsid w:val="00675E20"/>
    <w:rsid w:val="00676679"/>
    <w:rsid w:val="00683C89"/>
    <w:rsid w:val="00686DC6"/>
    <w:rsid w:val="006945CC"/>
    <w:rsid w:val="006A3E8D"/>
    <w:rsid w:val="006A47B9"/>
    <w:rsid w:val="006B2395"/>
    <w:rsid w:val="006B32D8"/>
    <w:rsid w:val="006B4CF9"/>
    <w:rsid w:val="006B5A27"/>
    <w:rsid w:val="006B7AC8"/>
    <w:rsid w:val="006C007F"/>
    <w:rsid w:val="006C08BD"/>
    <w:rsid w:val="006C5491"/>
    <w:rsid w:val="006C6CA7"/>
    <w:rsid w:val="006C7D9C"/>
    <w:rsid w:val="006C7E47"/>
    <w:rsid w:val="006D0D02"/>
    <w:rsid w:val="006D4F9F"/>
    <w:rsid w:val="006D550F"/>
    <w:rsid w:val="006D55D6"/>
    <w:rsid w:val="006D60D4"/>
    <w:rsid w:val="006F5B64"/>
    <w:rsid w:val="006F7A2B"/>
    <w:rsid w:val="00701CAB"/>
    <w:rsid w:val="007059DA"/>
    <w:rsid w:val="00706E1F"/>
    <w:rsid w:val="00707563"/>
    <w:rsid w:val="00711572"/>
    <w:rsid w:val="00711D79"/>
    <w:rsid w:val="0071214F"/>
    <w:rsid w:val="00714BA4"/>
    <w:rsid w:val="00717224"/>
    <w:rsid w:val="007215E8"/>
    <w:rsid w:val="0072348C"/>
    <w:rsid w:val="00723C73"/>
    <w:rsid w:val="00724A37"/>
    <w:rsid w:val="00726223"/>
    <w:rsid w:val="007303C3"/>
    <w:rsid w:val="00732121"/>
    <w:rsid w:val="00732517"/>
    <w:rsid w:val="007342E7"/>
    <w:rsid w:val="0073509B"/>
    <w:rsid w:val="007429BE"/>
    <w:rsid w:val="00743223"/>
    <w:rsid w:val="0074351E"/>
    <w:rsid w:val="00746E01"/>
    <w:rsid w:val="00757BDF"/>
    <w:rsid w:val="00763E5D"/>
    <w:rsid w:val="00764144"/>
    <w:rsid w:val="0076554C"/>
    <w:rsid w:val="00765883"/>
    <w:rsid w:val="00767740"/>
    <w:rsid w:val="00777EE6"/>
    <w:rsid w:val="0078193A"/>
    <w:rsid w:val="00782EEA"/>
    <w:rsid w:val="007875C1"/>
    <w:rsid w:val="00793EF6"/>
    <w:rsid w:val="007A1046"/>
    <w:rsid w:val="007A7D33"/>
    <w:rsid w:val="007B2C72"/>
    <w:rsid w:val="007B4172"/>
    <w:rsid w:val="007C1C53"/>
    <w:rsid w:val="007C2102"/>
    <w:rsid w:val="007C4A9F"/>
    <w:rsid w:val="007C53F4"/>
    <w:rsid w:val="007C74BB"/>
    <w:rsid w:val="007D41CB"/>
    <w:rsid w:val="007D53A4"/>
    <w:rsid w:val="007D575B"/>
    <w:rsid w:val="007E13F3"/>
    <w:rsid w:val="007E4904"/>
    <w:rsid w:val="007E4CB5"/>
    <w:rsid w:val="007F066B"/>
    <w:rsid w:val="00801779"/>
    <w:rsid w:val="008033C4"/>
    <w:rsid w:val="00806C88"/>
    <w:rsid w:val="0081034E"/>
    <w:rsid w:val="0081351D"/>
    <w:rsid w:val="00815E75"/>
    <w:rsid w:val="008344F6"/>
    <w:rsid w:val="0083510F"/>
    <w:rsid w:val="00843869"/>
    <w:rsid w:val="00847333"/>
    <w:rsid w:val="0084737C"/>
    <w:rsid w:val="00850F3A"/>
    <w:rsid w:val="00851209"/>
    <w:rsid w:val="00855C20"/>
    <w:rsid w:val="00856657"/>
    <w:rsid w:val="0085683E"/>
    <w:rsid w:val="00857F5C"/>
    <w:rsid w:val="0086170C"/>
    <w:rsid w:val="00861A32"/>
    <w:rsid w:val="00877377"/>
    <w:rsid w:val="00882AA3"/>
    <w:rsid w:val="008837AC"/>
    <w:rsid w:val="00884EF4"/>
    <w:rsid w:val="008A164E"/>
    <w:rsid w:val="008A4F48"/>
    <w:rsid w:val="008A587D"/>
    <w:rsid w:val="008B35CD"/>
    <w:rsid w:val="008B5FCC"/>
    <w:rsid w:val="008C5486"/>
    <w:rsid w:val="008D01E1"/>
    <w:rsid w:val="008D1661"/>
    <w:rsid w:val="008D184C"/>
    <w:rsid w:val="008D29C5"/>
    <w:rsid w:val="008E1976"/>
    <w:rsid w:val="008E216B"/>
    <w:rsid w:val="008E7031"/>
    <w:rsid w:val="008E77DE"/>
    <w:rsid w:val="008F07A3"/>
    <w:rsid w:val="008F7439"/>
    <w:rsid w:val="00900E1B"/>
    <w:rsid w:val="009019F6"/>
    <w:rsid w:val="009233EE"/>
    <w:rsid w:val="0092374B"/>
    <w:rsid w:val="009263AD"/>
    <w:rsid w:val="00931045"/>
    <w:rsid w:val="00931488"/>
    <w:rsid w:val="009460AA"/>
    <w:rsid w:val="0095062B"/>
    <w:rsid w:val="00951978"/>
    <w:rsid w:val="00955577"/>
    <w:rsid w:val="00961A4A"/>
    <w:rsid w:val="00961FDD"/>
    <w:rsid w:val="009661DE"/>
    <w:rsid w:val="009663A7"/>
    <w:rsid w:val="00967DB8"/>
    <w:rsid w:val="0097177A"/>
    <w:rsid w:val="009744F1"/>
    <w:rsid w:val="00976F86"/>
    <w:rsid w:val="009806CA"/>
    <w:rsid w:val="009834DB"/>
    <w:rsid w:val="00983C25"/>
    <w:rsid w:val="009856B7"/>
    <w:rsid w:val="00985C86"/>
    <w:rsid w:val="009908E6"/>
    <w:rsid w:val="00995FA9"/>
    <w:rsid w:val="009A5FC3"/>
    <w:rsid w:val="009B192D"/>
    <w:rsid w:val="009B74B0"/>
    <w:rsid w:val="009C015C"/>
    <w:rsid w:val="009D2A8E"/>
    <w:rsid w:val="009D6B46"/>
    <w:rsid w:val="009E6D73"/>
    <w:rsid w:val="009F4940"/>
    <w:rsid w:val="009F4D95"/>
    <w:rsid w:val="009F5BA1"/>
    <w:rsid w:val="00A013FF"/>
    <w:rsid w:val="00A01B03"/>
    <w:rsid w:val="00A02A88"/>
    <w:rsid w:val="00A0562E"/>
    <w:rsid w:val="00A0726D"/>
    <w:rsid w:val="00A14571"/>
    <w:rsid w:val="00A32FBB"/>
    <w:rsid w:val="00A415B5"/>
    <w:rsid w:val="00A428EE"/>
    <w:rsid w:val="00A4478A"/>
    <w:rsid w:val="00A44852"/>
    <w:rsid w:val="00A44B25"/>
    <w:rsid w:val="00A53C15"/>
    <w:rsid w:val="00A57D04"/>
    <w:rsid w:val="00A60A26"/>
    <w:rsid w:val="00A61598"/>
    <w:rsid w:val="00A61E93"/>
    <w:rsid w:val="00A61FC4"/>
    <w:rsid w:val="00A67906"/>
    <w:rsid w:val="00A73D60"/>
    <w:rsid w:val="00A7499C"/>
    <w:rsid w:val="00A774E1"/>
    <w:rsid w:val="00A84A99"/>
    <w:rsid w:val="00A84F46"/>
    <w:rsid w:val="00A871F4"/>
    <w:rsid w:val="00A9055F"/>
    <w:rsid w:val="00A947F5"/>
    <w:rsid w:val="00A971D8"/>
    <w:rsid w:val="00AA165C"/>
    <w:rsid w:val="00AB0C36"/>
    <w:rsid w:val="00AB18D4"/>
    <w:rsid w:val="00AB5A12"/>
    <w:rsid w:val="00AC1B2C"/>
    <w:rsid w:val="00AC3264"/>
    <w:rsid w:val="00AC59DC"/>
    <w:rsid w:val="00AC7A13"/>
    <w:rsid w:val="00AD24FF"/>
    <w:rsid w:val="00AE1BF1"/>
    <w:rsid w:val="00AE54BC"/>
    <w:rsid w:val="00AE735C"/>
    <w:rsid w:val="00AF0DD2"/>
    <w:rsid w:val="00B02C46"/>
    <w:rsid w:val="00B07C79"/>
    <w:rsid w:val="00B1069F"/>
    <w:rsid w:val="00B13048"/>
    <w:rsid w:val="00B1716D"/>
    <w:rsid w:val="00B17A1D"/>
    <w:rsid w:val="00B207A0"/>
    <w:rsid w:val="00B2791B"/>
    <w:rsid w:val="00B311B6"/>
    <w:rsid w:val="00B438EC"/>
    <w:rsid w:val="00B47B6C"/>
    <w:rsid w:val="00B50731"/>
    <w:rsid w:val="00B50ECE"/>
    <w:rsid w:val="00B514DD"/>
    <w:rsid w:val="00B52AF0"/>
    <w:rsid w:val="00B52B05"/>
    <w:rsid w:val="00B53B9B"/>
    <w:rsid w:val="00B561BD"/>
    <w:rsid w:val="00B56E03"/>
    <w:rsid w:val="00B63855"/>
    <w:rsid w:val="00B72BBA"/>
    <w:rsid w:val="00B738B6"/>
    <w:rsid w:val="00B8080B"/>
    <w:rsid w:val="00B80D8B"/>
    <w:rsid w:val="00B851EA"/>
    <w:rsid w:val="00B87BA5"/>
    <w:rsid w:val="00B87C39"/>
    <w:rsid w:val="00B87D8C"/>
    <w:rsid w:val="00B91C80"/>
    <w:rsid w:val="00BA4665"/>
    <w:rsid w:val="00BB2FB2"/>
    <w:rsid w:val="00BB3304"/>
    <w:rsid w:val="00BC109C"/>
    <w:rsid w:val="00BC7FCA"/>
    <w:rsid w:val="00BD3446"/>
    <w:rsid w:val="00BE1F1B"/>
    <w:rsid w:val="00BE410D"/>
    <w:rsid w:val="00BE47B5"/>
    <w:rsid w:val="00BE6134"/>
    <w:rsid w:val="00BF7396"/>
    <w:rsid w:val="00C10501"/>
    <w:rsid w:val="00C17F16"/>
    <w:rsid w:val="00C25FA6"/>
    <w:rsid w:val="00C268F7"/>
    <w:rsid w:val="00C30ACC"/>
    <w:rsid w:val="00C347E8"/>
    <w:rsid w:val="00C52741"/>
    <w:rsid w:val="00C52D9F"/>
    <w:rsid w:val="00C538A9"/>
    <w:rsid w:val="00C53B5A"/>
    <w:rsid w:val="00C53DEA"/>
    <w:rsid w:val="00C53E80"/>
    <w:rsid w:val="00C54F5A"/>
    <w:rsid w:val="00C552EA"/>
    <w:rsid w:val="00C569B4"/>
    <w:rsid w:val="00C62A33"/>
    <w:rsid w:val="00C67A92"/>
    <w:rsid w:val="00C77A8D"/>
    <w:rsid w:val="00C80FF0"/>
    <w:rsid w:val="00C86679"/>
    <w:rsid w:val="00C90005"/>
    <w:rsid w:val="00CA24A7"/>
    <w:rsid w:val="00CA3E4E"/>
    <w:rsid w:val="00CA489E"/>
    <w:rsid w:val="00CA781A"/>
    <w:rsid w:val="00CB0279"/>
    <w:rsid w:val="00CB1DB2"/>
    <w:rsid w:val="00CB666B"/>
    <w:rsid w:val="00CB6BE6"/>
    <w:rsid w:val="00CC142F"/>
    <w:rsid w:val="00CC7F1D"/>
    <w:rsid w:val="00CD1983"/>
    <w:rsid w:val="00CD209A"/>
    <w:rsid w:val="00CD3A15"/>
    <w:rsid w:val="00CD423E"/>
    <w:rsid w:val="00CE7238"/>
    <w:rsid w:val="00CF28CD"/>
    <w:rsid w:val="00CF68FB"/>
    <w:rsid w:val="00D006AE"/>
    <w:rsid w:val="00D01CF0"/>
    <w:rsid w:val="00D0442A"/>
    <w:rsid w:val="00D04D3E"/>
    <w:rsid w:val="00D06839"/>
    <w:rsid w:val="00D07E74"/>
    <w:rsid w:val="00D277D8"/>
    <w:rsid w:val="00D44A58"/>
    <w:rsid w:val="00D47A91"/>
    <w:rsid w:val="00D516D7"/>
    <w:rsid w:val="00D61388"/>
    <w:rsid w:val="00D61A54"/>
    <w:rsid w:val="00D62105"/>
    <w:rsid w:val="00D64DEA"/>
    <w:rsid w:val="00D7168E"/>
    <w:rsid w:val="00D71E57"/>
    <w:rsid w:val="00D739C2"/>
    <w:rsid w:val="00D76904"/>
    <w:rsid w:val="00D76CC2"/>
    <w:rsid w:val="00D80893"/>
    <w:rsid w:val="00D84854"/>
    <w:rsid w:val="00D90A13"/>
    <w:rsid w:val="00D92C04"/>
    <w:rsid w:val="00D92CF1"/>
    <w:rsid w:val="00D92D38"/>
    <w:rsid w:val="00D950F5"/>
    <w:rsid w:val="00DA2278"/>
    <w:rsid w:val="00DA2734"/>
    <w:rsid w:val="00DA4752"/>
    <w:rsid w:val="00DA61F3"/>
    <w:rsid w:val="00DA7177"/>
    <w:rsid w:val="00DA7FC0"/>
    <w:rsid w:val="00DB0F93"/>
    <w:rsid w:val="00DB1A67"/>
    <w:rsid w:val="00DB48AA"/>
    <w:rsid w:val="00DB5074"/>
    <w:rsid w:val="00DB5803"/>
    <w:rsid w:val="00DB75E0"/>
    <w:rsid w:val="00DC28B6"/>
    <w:rsid w:val="00DC7981"/>
    <w:rsid w:val="00DE1093"/>
    <w:rsid w:val="00DE3DDF"/>
    <w:rsid w:val="00DE4EFA"/>
    <w:rsid w:val="00DE5520"/>
    <w:rsid w:val="00DE563D"/>
    <w:rsid w:val="00DF598E"/>
    <w:rsid w:val="00DF6579"/>
    <w:rsid w:val="00E01A6A"/>
    <w:rsid w:val="00E04818"/>
    <w:rsid w:val="00E050E3"/>
    <w:rsid w:val="00E06442"/>
    <w:rsid w:val="00E06AEA"/>
    <w:rsid w:val="00E07EC3"/>
    <w:rsid w:val="00E137AB"/>
    <w:rsid w:val="00E171EE"/>
    <w:rsid w:val="00E216DF"/>
    <w:rsid w:val="00E23993"/>
    <w:rsid w:val="00E24B7E"/>
    <w:rsid w:val="00E25B8C"/>
    <w:rsid w:val="00E2745F"/>
    <w:rsid w:val="00E4170D"/>
    <w:rsid w:val="00E445B3"/>
    <w:rsid w:val="00E47CF8"/>
    <w:rsid w:val="00E51AA4"/>
    <w:rsid w:val="00E54DBD"/>
    <w:rsid w:val="00E65C85"/>
    <w:rsid w:val="00E66199"/>
    <w:rsid w:val="00E72157"/>
    <w:rsid w:val="00E729F3"/>
    <w:rsid w:val="00E755EC"/>
    <w:rsid w:val="00E7624D"/>
    <w:rsid w:val="00E8525F"/>
    <w:rsid w:val="00E85E76"/>
    <w:rsid w:val="00EA2E57"/>
    <w:rsid w:val="00EA3D42"/>
    <w:rsid w:val="00EA6B1B"/>
    <w:rsid w:val="00EA7077"/>
    <w:rsid w:val="00EB1969"/>
    <w:rsid w:val="00EB2C17"/>
    <w:rsid w:val="00EC13AB"/>
    <w:rsid w:val="00EC2491"/>
    <w:rsid w:val="00EC5051"/>
    <w:rsid w:val="00EC636A"/>
    <w:rsid w:val="00ED575F"/>
    <w:rsid w:val="00ED7111"/>
    <w:rsid w:val="00ED7323"/>
    <w:rsid w:val="00EE28F3"/>
    <w:rsid w:val="00EE73C4"/>
    <w:rsid w:val="00EE74F9"/>
    <w:rsid w:val="00EE76D5"/>
    <w:rsid w:val="00EE7E7C"/>
    <w:rsid w:val="00EF5110"/>
    <w:rsid w:val="00F10379"/>
    <w:rsid w:val="00F10411"/>
    <w:rsid w:val="00F15882"/>
    <w:rsid w:val="00F171E0"/>
    <w:rsid w:val="00F179ED"/>
    <w:rsid w:val="00F20BD3"/>
    <w:rsid w:val="00F255A4"/>
    <w:rsid w:val="00F33D89"/>
    <w:rsid w:val="00F35F61"/>
    <w:rsid w:val="00F36EA5"/>
    <w:rsid w:val="00F373A5"/>
    <w:rsid w:val="00F47559"/>
    <w:rsid w:val="00F47C1B"/>
    <w:rsid w:val="00F64C7B"/>
    <w:rsid w:val="00F676DD"/>
    <w:rsid w:val="00F75A26"/>
    <w:rsid w:val="00F76706"/>
    <w:rsid w:val="00F83FAD"/>
    <w:rsid w:val="00F85FC8"/>
    <w:rsid w:val="00F87E7F"/>
    <w:rsid w:val="00F901DD"/>
    <w:rsid w:val="00F93941"/>
    <w:rsid w:val="00F94605"/>
    <w:rsid w:val="00F952A0"/>
    <w:rsid w:val="00FA32F9"/>
    <w:rsid w:val="00FA3C7F"/>
    <w:rsid w:val="00FA4416"/>
    <w:rsid w:val="00FB09D9"/>
    <w:rsid w:val="00FB0ABB"/>
    <w:rsid w:val="00FB4F2B"/>
    <w:rsid w:val="00FB74E2"/>
    <w:rsid w:val="00FC10C4"/>
    <w:rsid w:val="00FC7487"/>
    <w:rsid w:val="00FD11E3"/>
    <w:rsid w:val="00FD5614"/>
    <w:rsid w:val="00FD73BF"/>
    <w:rsid w:val="00FE0BE1"/>
    <w:rsid w:val="00FE1DE9"/>
    <w:rsid w:val="00FE36AF"/>
    <w:rsid w:val="00FE3944"/>
    <w:rsid w:val="00FE39C2"/>
    <w:rsid w:val="00FE3C32"/>
    <w:rsid w:val="00FE64AE"/>
    <w:rsid w:val="00FF1D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62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ind w:left="680" w:hanging="68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ind w:left="680" w:hanging="680"/>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ind w:left="1021" w:hanging="1021"/>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ind w:left="1021" w:hanging="1021"/>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5D6860"/>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5D6860"/>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5D6860"/>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5D6860"/>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5D6860"/>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ind w:left="680" w:hanging="68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ind w:left="680" w:hanging="680"/>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ind w:left="1021" w:hanging="1021"/>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ind w:left="1021" w:hanging="1021"/>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5D6860"/>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5D6860"/>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5D6860"/>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5D6860"/>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5D6860"/>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2005889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5.emf"/><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image" Target="media/image8.png"/><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4.emf"/><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24" Type="http://schemas.openxmlformats.org/officeDocument/2006/relationships/image" Target="media/image10.emf"/><Relationship Id="rId5" Type="http://schemas.microsoft.com/office/2007/relationships/stylesWithEffects" Target="stylesWithEffects.xml"/><Relationship Id="rId15" Type="http://schemas.openxmlformats.org/officeDocument/2006/relationships/image" Target="media/image2.emf"/><Relationship Id="rId23" Type="http://schemas.openxmlformats.org/officeDocument/2006/relationships/image" Target="media/image9.emf"/><Relationship Id="rId10" Type="http://schemas.openxmlformats.org/officeDocument/2006/relationships/image" Target="media/image1.jpeg"/><Relationship Id="rId19" Type="http://schemas.openxmlformats.org/officeDocument/2006/relationships/image" Target="media/image6.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image" Target="cid:image001.png@01D07D05.A6FC3780"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scer.gov.au/files/2013/09/LMR-Decision-RIS-June-2013.pdf" TargetMode="External"/><Relationship Id="rId1" Type="http://schemas.openxmlformats.org/officeDocument/2006/relationships/hyperlink" Target="http://www.aer.gov.au/node/18859"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D994B78-5924-4C50-8EA7-2525E9FD0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E076C6E4</Template>
  <TotalTime>0</TotalTime>
  <Pages>61</Pages>
  <Words>16618</Words>
  <Characters>94729</Characters>
  <Application>Microsoft Office Word</Application>
  <DocSecurity>0</DocSecurity>
  <Lines>789</Lines>
  <Paragraphs>222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111125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2015-05-06T04:25:00Z</dcterms:created>
  <dcterms:modified xsi:type="dcterms:W3CDTF">2015-05-06T04:25:00Z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