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5E6FE77B" wp14:editId="061041D6">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5C0A7F">
            <w:t>PRELIMINARY</w:t>
          </w:r>
          <w:r w:rsidR="00DA4752">
            <w:t xml:space="preserve"> DECISION</w:t>
          </w:r>
        </w:p>
        <w:p w:rsidR="00415F31" w:rsidRDefault="006A1C93" w:rsidP="008F07A3">
          <w:pPr>
            <w:pStyle w:val="ReportSubtitle"/>
          </w:pPr>
          <w:r>
            <w:t>Jemena</w:t>
          </w:r>
          <w:r w:rsidR="0070011E">
            <w:t xml:space="preserve"> distribution</w:t>
          </w:r>
          <w:r w:rsidR="00415F31">
            <w:t xml:space="preserve"> </w:t>
          </w:r>
          <w:r w:rsidR="00DA4752">
            <w:t>determination</w:t>
          </w:r>
        </w:p>
        <w:p w:rsidR="000A6C7B" w:rsidRDefault="005C0A7F" w:rsidP="008F07A3">
          <w:pPr>
            <w:pStyle w:val="ReportSubtitle"/>
          </w:pPr>
          <w:r>
            <w:t xml:space="preserve"> 20</w:t>
          </w:r>
          <w:r w:rsidR="00DA4752">
            <w:t xml:space="preserve">16 to </w:t>
          </w:r>
          <w:r>
            <w:t>2020</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EB606C">
            <w:t>1</w:t>
          </w:r>
          <w:r w:rsidR="00ED0EC2">
            <w:t>2</w:t>
          </w:r>
          <w:r w:rsidR="00DA4752">
            <w:t xml:space="preserve"> </w:t>
          </w:r>
          <w:r w:rsidR="00415F31">
            <w:rPr>
              <w:rFonts w:cs="Arial"/>
            </w:rPr>
            <w:t>–</w:t>
          </w:r>
          <w:r w:rsidR="00DA4752">
            <w:t xml:space="preserve"> </w:t>
          </w:r>
          <w:r w:rsidR="00ED0EC2">
            <w:t>Demand management incentive scheme</w:t>
          </w:r>
        </w:p>
        <w:p w:rsidR="000A6C7B" w:rsidRPr="00327A1E" w:rsidRDefault="005C0A7F" w:rsidP="00327A1E">
          <w:pPr>
            <w:pStyle w:val="ReportDate"/>
          </w:pPr>
          <w:r>
            <w:t xml:space="preserve">October </w:t>
          </w:r>
          <w:r w:rsidR="00DA4752">
            <w:t>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32507455"/>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5C0A7F">
        <w:t>preliminary</w:t>
      </w:r>
      <w:r w:rsidR="00415F31">
        <w:t xml:space="preserve"> decision on </w:t>
      </w:r>
      <w:r w:rsidR="006A1C93">
        <w:t>Jemena</w:t>
      </w:r>
      <w:r w:rsidR="005C0A7F">
        <w:t>'s</w:t>
      </w:r>
      <w:r w:rsidR="00415F31">
        <w:t xml:space="preserve"> revenue proposal 201</w:t>
      </w:r>
      <w:r w:rsidR="005C0A7F">
        <w:t>6</w:t>
      </w:r>
      <w:r w:rsidR="00415F31" w:rsidRPr="00D904FA">
        <w:t>–</w:t>
      </w:r>
      <w:r w:rsidR="005C0A7F">
        <w:t>20</w:t>
      </w:r>
      <w:r w:rsidR="00415F31">
        <w:t xml:space="preserve">. It should be read with </w:t>
      </w:r>
      <w:r w:rsidR="005C0A7F">
        <w:t xml:space="preserve">all </w:t>
      </w:r>
      <w:r w:rsidR="00415F31">
        <w:t xml:space="preserve">other parts of the </w:t>
      </w:r>
      <w:r w:rsidR="005C0A7F">
        <w:t xml:space="preserve">preliminary </w:t>
      </w:r>
      <w:r w:rsidR="00415F31">
        <w:t>decision.</w:t>
      </w:r>
    </w:p>
    <w:p w:rsidR="00415F31" w:rsidRDefault="00415F31" w:rsidP="00DE772C">
      <w:pPr>
        <w:numPr>
          <w:ilvl w:val="0"/>
          <w:numId w:val="24"/>
        </w:numPr>
        <w:spacing w:before="0" w:after="240" w:line="288" w:lineRule="auto"/>
        <w:jc w:val="both"/>
      </w:pPr>
      <w:r>
        <w:t xml:space="preserve">The </w:t>
      </w:r>
      <w:r w:rsidR="005C0A7F">
        <w:t xml:space="preserve">preliminary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Attachment 1 - Annual revenue requirement</w:t>
      </w:r>
    </w:p>
    <w:p w:rsidR="0070011E" w:rsidRDefault="0070011E" w:rsidP="0070011E">
      <w:r>
        <w:t>Attachment 2 - Regulatory asset base</w:t>
      </w:r>
    </w:p>
    <w:p w:rsidR="0070011E" w:rsidRDefault="0070011E" w:rsidP="0070011E">
      <w:r>
        <w:t>Attachment 3 - Rate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Attachment 9 - Efficiency benefit sharing scheme</w:t>
      </w:r>
    </w:p>
    <w:p w:rsidR="0070011E" w:rsidRDefault="0070011E" w:rsidP="0070011E">
      <w:r>
        <w:t>Attachment 10 - Capital expenditure sharing scheme</w:t>
      </w:r>
    </w:p>
    <w:p w:rsidR="0070011E" w:rsidRDefault="0070011E" w:rsidP="0070011E">
      <w:r>
        <w:t>Attachment 11 - Service target performance incentive scheme</w:t>
      </w:r>
    </w:p>
    <w:p w:rsidR="0070011E" w:rsidRDefault="0070011E" w:rsidP="0070011E">
      <w:r>
        <w:t>Attachment 12 - Demand management incentive scheme</w:t>
      </w:r>
    </w:p>
    <w:p w:rsidR="0070011E" w:rsidRDefault="0070011E" w:rsidP="0070011E">
      <w:r>
        <w:t>Attachment 13 - Classification of services</w:t>
      </w:r>
    </w:p>
    <w:p w:rsidR="0070011E" w:rsidRDefault="0070011E" w:rsidP="0070011E">
      <w:r>
        <w:t>Attachment 14 - Control mechanism</w:t>
      </w:r>
    </w:p>
    <w:p w:rsidR="0070011E" w:rsidRDefault="0070011E" w:rsidP="0070011E">
      <w:r>
        <w:t>Attachment 15 - Pass through events</w:t>
      </w:r>
    </w:p>
    <w:p w:rsidR="0070011E" w:rsidRDefault="0070011E" w:rsidP="0070011E">
      <w:r>
        <w:t>Attachment 16 - Alternative control services</w:t>
      </w:r>
    </w:p>
    <w:p w:rsidR="0070011E" w:rsidRDefault="0070011E" w:rsidP="0070011E">
      <w:r>
        <w:t>Attachment 17 - Negotiated services framework and criteria</w:t>
      </w:r>
    </w:p>
    <w:p w:rsidR="00A261B7" w:rsidRDefault="0070011E" w:rsidP="0070011E">
      <w:r>
        <w:t>Attach</w:t>
      </w:r>
      <w:r w:rsidR="009A5113">
        <w:t xml:space="preserve">ment 18 - </w:t>
      </w:r>
      <w:r w:rsidR="00A261B7">
        <w:t>f-</w:t>
      </w:r>
      <w:r w:rsidR="00A261B7" w:rsidRPr="001663B6">
        <w:t>factor scheme</w:t>
      </w:r>
    </w:p>
    <w:p w:rsidR="00DE563D" w:rsidRPr="00A72B34" w:rsidRDefault="00DE563D" w:rsidP="00DE772C">
      <w:pPr>
        <w:pStyle w:val="UnnumberedHeading"/>
        <w:numPr>
          <w:ilvl w:val="0"/>
          <w:numId w:val="23"/>
        </w:numPr>
      </w:pPr>
      <w:bookmarkStart w:id="5" w:name="_Toc403144133"/>
      <w:bookmarkStart w:id="6" w:name="_Toc432507456"/>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AA332E" w:rsidRDefault="00091B15">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32507455" w:history="1">
            <w:r w:rsidR="00AA332E" w:rsidRPr="00D10CE4">
              <w:rPr>
                <w:rStyle w:val="Hyperlink"/>
              </w:rPr>
              <w:t>Note</w:t>
            </w:r>
            <w:r w:rsidR="00AA332E">
              <w:rPr>
                <w:webHidden/>
              </w:rPr>
              <w:tab/>
            </w:r>
            <w:r w:rsidR="00AA332E">
              <w:rPr>
                <w:webHidden/>
              </w:rPr>
              <w:fldChar w:fldCharType="begin"/>
            </w:r>
            <w:r w:rsidR="00AA332E">
              <w:rPr>
                <w:webHidden/>
              </w:rPr>
              <w:instrText xml:space="preserve"> PAGEREF _Toc432507455 \h </w:instrText>
            </w:r>
            <w:r w:rsidR="00AA332E">
              <w:rPr>
                <w:webHidden/>
              </w:rPr>
            </w:r>
            <w:r w:rsidR="00AA332E">
              <w:rPr>
                <w:webHidden/>
              </w:rPr>
              <w:fldChar w:fldCharType="separate"/>
            </w:r>
            <w:r w:rsidR="00AA332E">
              <w:rPr>
                <w:webHidden/>
              </w:rPr>
              <w:t>12-2</w:t>
            </w:r>
            <w:r w:rsidR="00AA332E">
              <w:rPr>
                <w:webHidden/>
              </w:rPr>
              <w:fldChar w:fldCharType="end"/>
            </w:r>
          </w:hyperlink>
        </w:p>
        <w:p w:rsidR="00AA332E" w:rsidRDefault="00230671">
          <w:pPr>
            <w:pStyle w:val="TOC1"/>
            <w:rPr>
              <w:rFonts w:asciiTheme="minorHAnsi" w:eastAsiaTheme="minorEastAsia" w:hAnsiTheme="minorHAnsi"/>
              <w:b w:val="0"/>
              <w:color w:val="auto"/>
              <w:sz w:val="22"/>
              <w:lang w:val="en-AU" w:eastAsia="en-AU"/>
            </w:rPr>
          </w:pPr>
          <w:hyperlink w:anchor="_Toc432507456" w:history="1">
            <w:r w:rsidR="00AA332E" w:rsidRPr="00D10CE4">
              <w:rPr>
                <w:rStyle w:val="Hyperlink"/>
              </w:rPr>
              <w:t>Contents</w:t>
            </w:r>
            <w:r w:rsidR="00AA332E">
              <w:rPr>
                <w:webHidden/>
              </w:rPr>
              <w:tab/>
            </w:r>
            <w:r w:rsidR="00AA332E">
              <w:rPr>
                <w:webHidden/>
              </w:rPr>
              <w:fldChar w:fldCharType="begin"/>
            </w:r>
            <w:r w:rsidR="00AA332E">
              <w:rPr>
                <w:webHidden/>
              </w:rPr>
              <w:instrText xml:space="preserve"> PAGEREF _Toc432507456 \h </w:instrText>
            </w:r>
            <w:r w:rsidR="00AA332E">
              <w:rPr>
                <w:webHidden/>
              </w:rPr>
            </w:r>
            <w:r w:rsidR="00AA332E">
              <w:rPr>
                <w:webHidden/>
              </w:rPr>
              <w:fldChar w:fldCharType="separate"/>
            </w:r>
            <w:r w:rsidR="00AA332E">
              <w:rPr>
                <w:webHidden/>
              </w:rPr>
              <w:t>12-3</w:t>
            </w:r>
            <w:r w:rsidR="00AA332E">
              <w:rPr>
                <w:webHidden/>
              </w:rPr>
              <w:fldChar w:fldCharType="end"/>
            </w:r>
          </w:hyperlink>
        </w:p>
        <w:p w:rsidR="00AA332E" w:rsidRDefault="00230671">
          <w:pPr>
            <w:pStyle w:val="TOC1"/>
            <w:rPr>
              <w:rFonts w:asciiTheme="minorHAnsi" w:eastAsiaTheme="minorEastAsia" w:hAnsiTheme="minorHAnsi"/>
              <w:b w:val="0"/>
              <w:color w:val="auto"/>
              <w:sz w:val="22"/>
              <w:lang w:val="en-AU" w:eastAsia="en-AU"/>
            </w:rPr>
          </w:pPr>
          <w:hyperlink w:anchor="_Toc432507457" w:history="1">
            <w:r w:rsidR="00AA332E" w:rsidRPr="00D10CE4">
              <w:rPr>
                <w:rStyle w:val="Hyperlink"/>
              </w:rPr>
              <w:t>Shortened forms</w:t>
            </w:r>
            <w:r w:rsidR="00AA332E">
              <w:rPr>
                <w:webHidden/>
              </w:rPr>
              <w:tab/>
            </w:r>
            <w:r w:rsidR="00AA332E">
              <w:rPr>
                <w:webHidden/>
              </w:rPr>
              <w:fldChar w:fldCharType="begin"/>
            </w:r>
            <w:r w:rsidR="00AA332E">
              <w:rPr>
                <w:webHidden/>
              </w:rPr>
              <w:instrText xml:space="preserve"> PAGEREF _Toc432507457 \h </w:instrText>
            </w:r>
            <w:r w:rsidR="00AA332E">
              <w:rPr>
                <w:webHidden/>
              </w:rPr>
            </w:r>
            <w:r w:rsidR="00AA332E">
              <w:rPr>
                <w:webHidden/>
              </w:rPr>
              <w:fldChar w:fldCharType="separate"/>
            </w:r>
            <w:r w:rsidR="00AA332E">
              <w:rPr>
                <w:webHidden/>
              </w:rPr>
              <w:t>12-4</w:t>
            </w:r>
            <w:r w:rsidR="00AA332E">
              <w:rPr>
                <w:webHidden/>
              </w:rPr>
              <w:fldChar w:fldCharType="end"/>
            </w:r>
          </w:hyperlink>
        </w:p>
        <w:p w:rsidR="00AA332E" w:rsidRDefault="00230671">
          <w:pPr>
            <w:pStyle w:val="TOC1"/>
            <w:rPr>
              <w:rFonts w:asciiTheme="minorHAnsi" w:eastAsiaTheme="minorEastAsia" w:hAnsiTheme="minorHAnsi"/>
              <w:b w:val="0"/>
              <w:color w:val="auto"/>
              <w:sz w:val="22"/>
              <w:lang w:val="en-AU" w:eastAsia="en-AU"/>
            </w:rPr>
          </w:pPr>
          <w:hyperlink w:anchor="_Toc432507458" w:history="1">
            <w:r w:rsidR="00AA332E" w:rsidRPr="00D10CE4">
              <w:rPr>
                <w:rStyle w:val="Hyperlink"/>
              </w:rPr>
              <w:t>12</w:t>
            </w:r>
            <w:r w:rsidR="00AA332E">
              <w:rPr>
                <w:rFonts w:asciiTheme="minorHAnsi" w:eastAsiaTheme="minorEastAsia" w:hAnsiTheme="minorHAnsi"/>
                <w:b w:val="0"/>
                <w:color w:val="auto"/>
                <w:sz w:val="22"/>
                <w:lang w:val="en-AU" w:eastAsia="en-AU"/>
              </w:rPr>
              <w:tab/>
            </w:r>
            <w:r w:rsidR="00AA332E" w:rsidRPr="00D10CE4">
              <w:rPr>
                <w:rStyle w:val="Hyperlink"/>
              </w:rPr>
              <w:t>Demand management incentive scheme</w:t>
            </w:r>
            <w:r w:rsidR="00AA332E">
              <w:rPr>
                <w:webHidden/>
              </w:rPr>
              <w:tab/>
            </w:r>
            <w:r w:rsidR="00AA332E">
              <w:rPr>
                <w:webHidden/>
              </w:rPr>
              <w:fldChar w:fldCharType="begin"/>
            </w:r>
            <w:r w:rsidR="00AA332E">
              <w:rPr>
                <w:webHidden/>
              </w:rPr>
              <w:instrText xml:space="preserve"> PAGEREF _Toc432507458 \h </w:instrText>
            </w:r>
            <w:r w:rsidR="00AA332E">
              <w:rPr>
                <w:webHidden/>
              </w:rPr>
            </w:r>
            <w:r w:rsidR="00AA332E">
              <w:rPr>
                <w:webHidden/>
              </w:rPr>
              <w:fldChar w:fldCharType="separate"/>
            </w:r>
            <w:r w:rsidR="00AA332E">
              <w:rPr>
                <w:webHidden/>
              </w:rPr>
              <w:t>12-6</w:t>
            </w:r>
            <w:r w:rsidR="00AA332E">
              <w:rPr>
                <w:webHidden/>
              </w:rPr>
              <w:fldChar w:fldCharType="end"/>
            </w:r>
          </w:hyperlink>
        </w:p>
        <w:p w:rsidR="00AA332E" w:rsidRDefault="00230671">
          <w:pPr>
            <w:pStyle w:val="TOC2"/>
            <w:tabs>
              <w:tab w:val="left" w:pos="1276"/>
            </w:tabs>
            <w:rPr>
              <w:rFonts w:asciiTheme="minorHAnsi" w:eastAsiaTheme="minorEastAsia" w:hAnsiTheme="minorHAnsi"/>
              <w:b w:val="0"/>
              <w:color w:val="auto"/>
              <w:sz w:val="22"/>
              <w:lang w:eastAsia="en-AU"/>
            </w:rPr>
          </w:pPr>
          <w:hyperlink w:anchor="_Toc432507459" w:history="1">
            <w:r w:rsidR="00AA332E" w:rsidRPr="00D10CE4">
              <w:rPr>
                <w:rStyle w:val="Hyperlink"/>
              </w:rPr>
              <w:t>12.1</w:t>
            </w:r>
            <w:r w:rsidR="00AA332E">
              <w:rPr>
                <w:rFonts w:asciiTheme="minorHAnsi" w:eastAsiaTheme="minorEastAsia" w:hAnsiTheme="minorHAnsi"/>
                <w:b w:val="0"/>
                <w:color w:val="auto"/>
                <w:sz w:val="22"/>
                <w:lang w:eastAsia="en-AU"/>
              </w:rPr>
              <w:tab/>
            </w:r>
            <w:r w:rsidR="00AA332E" w:rsidRPr="00D10CE4">
              <w:rPr>
                <w:rStyle w:val="Hyperlink"/>
              </w:rPr>
              <w:t>Preliminary decision</w:t>
            </w:r>
            <w:r w:rsidR="00AA332E">
              <w:rPr>
                <w:webHidden/>
              </w:rPr>
              <w:tab/>
            </w:r>
            <w:r w:rsidR="00AA332E">
              <w:rPr>
                <w:webHidden/>
              </w:rPr>
              <w:fldChar w:fldCharType="begin"/>
            </w:r>
            <w:r w:rsidR="00AA332E">
              <w:rPr>
                <w:webHidden/>
              </w:rPr>
              <w:instrText xml:space="preserve"> PAGEREF _Toc432507459 \h </w:instrText>
            </w:r>
            <w:r w:rsidR="00AA332E">
              <w:rPr>
                <w:webHidden/>
              </w:rPr>
            </w:r>
            <w:r w:rsidR="00AA332E">
              <w:rPr>
                <w:webHidden/>
              </w:rPr>
              <w:fldChar w:fldCharType="separate"/>
            </w:r>
            <w:r w:rsidR="00AA332E">
              <w:rPr>
                <w:webHidden/>
              </w:rPr>
              <w:t>12-7</w:t>
            </w:r>
            <w:r w:rsidR="00AA332E">
              <w:rPr>
                <w:webHidden/>
              </w:rPr>
              <w:fldChar w:fldCharType="end"/>
            </w:r>
          </w:hyperlink>
        </w:p>
        <w:p w:rsidR="00AA332E" w:rsidRDefault="00230671">
          <w:pPr>
            <w:pStyle w:val="TOC2"/>
            <w:tabs>
              <w:tab w:val="left" w:pos="1276"/>
            </w:tabs>
            <w:rPr>
              <w:rFonts w:asciiTheme="minorHAnsi" w:eastAsiaTheme="minorEastAsia" w:hAnsiTheme="minorHAnsi"/>
              <w:b w:val="0"/>
              <w:color w:val="auto"/>
              <w:sz w:val="22"/>
              <w:lang w:eastAsia="en-AU"/>
            </w:rPr>
          </w:pPr>
          <w:hyperlink w:anchor="_Toc432507460" w:history="1">
            <w:r w:rsidR="00AA332E" w:rsidRPr="00D10CE4">
              <w:rPr>
                <w:rStyle w:val="Hyperlink"/>
              </w:rPr>
              <w:t>12.2</w:t>
            </w:r>
            <w:r w:rsidR="00AA332E">
              <w:rPr>
                <w:rFonts w:asciiTheme="minorHAnsi" w:eastAsiaTheme="minorEastAsia" w:hAnsiTheme="minorHAnsi"/>
                <w:b w:val="0"/>
                <w:color w:val="auto"/>
                <w:sz w:val="22"/>
                <w:lang w:eastAsia="en-AU"/>
              </w:rPr>
              <w:tab/>
            </w:r>
            <w:r w:rsidR="00AA332E" w:rsidRPr="00D10CE4">
              <w:rPr>
                <w:rStyle w:val="Hyperlink"/>
              </w:rPr>
              <w:t>Jemena's proposal</w:t>
            </w:r>
            <w:r w:rsidR="00AA332E">
              <w:rPr>
                <w:webHidden/>
              </w:rPr>
              <w:tab/>
            </w:r>
            <w:r w:rsidR="00AA332E">
              <w:rPr>
                <w:webHidden/>
              </w:rPr>
              <w:fldChar w:fldCharType="begin"/>
            </w:r>
            <w:r w:rsidR="00AA332E">
              <w:rPr>
                <w:webHidden/>
              </w:rPr>
              <w:instrText xml:space="preserve"> PAGEREF _Toc432507460 \h </w:instrText>
            </w:r>
            <w:r w:rsidR="00AA332E">
              <w:rPr>
                <w:webHidden/>
              </w:rPr>
            </w:r>
            <w:r w:rsidR="00AA332E">
              <w:rPr>
                <w:webHidden/>
              </w:rPr>
              <w:fldChar w:fldCharType="separate"/>
            </w:r>
            <w:r w:rsidR="00AA332E">
              <w:rPr>
                <w:webHidden/>
              </w:rPr>
              <w:t>12-7</w:t>
            </w:r>
            <w:r w:rsidR="00AA332E">
              <w:rPr>
                <w:webHidden/>
              </w:rPr>
              <w:fldChar w:fldCharType="end"/>
            </w:r>
          </w:hyperlink>
        </w:p>
        <w:p w:rsidR="00AA332E" w:rsidRDefault="00230671">
          <w:pPr>
            <w:pStyle w:val="TOC2"/>
            <w:tabs>
              <w:tab w:val="left" w:pos="1276"/>
            </w:tabs>
            <w:rPr>
              <w:rFonts w:asciiTheme="minorHAnsi" w:eastAsiaTheme="minorEastAsia" w:hAnsiTheme="minorHAnsi"/>
              <w:b w:val="0"/>
              <w:color w:val="auto"/>
              <w:sz w:val="22"/>
              <w:lang w:eastAsia="en-AU"/>
            </w:rPr>
          </w:pPr>
          <w:hyperlink w:anchor="_Toc432507461" w:history="1">
            <w:r w:rsidR="00AA332E" w:rsidRPr="00D10CE4">
              <w:rPr>
                <w:rStyle w:val="Hyperlink"/>
              </w:rPr>
              <w:t>12.3</w:t>
            </w:r>
            <w:r w:rsidR="00AA332E">
              <w:rPr>
                <w:rFonts w:asciiTheme="minorHAnsi" w:eastAsiaTheme="minorEastAsia" w:hAnsiTheme="minorHAnsi"/>
                <w:b w:val="0"/>
                <w:color w:val="auto"/>
                <w:sz w:val="22"/>
                <w:lang w:eastAsia="en-AU"/>
              </w:rPr>
              <w:tab/>
            </w:r>
            <w:r w:rsidR="00AA332E" w:rsidRPr="00D10CE4">
              <w:rPr>
                <w:rStyle w:val="Hyperlink"/>
              </w:rPr>
              <w:t>AER’s assessment approach</w:t>
            </w:r>
            <w:r w:rsidR="00AA332E">
              <w:rPr>
                <w:webHidden/>
              </w:rPr>
              <w:tab/>
            </w:r>
            <w:r w:rsidR="00AA332E">
              <w:rPr>
                <w:webHidden/>
              </w:rPr>
              <w:fldChar w:fldCharType="begin"/>
            </w:r>
            <w:r w:rsidR="00AA332E">
              <w:rPr>
                <w:webHidden/>
              </w:rPr>
              <w:instrText xml:space="preserve"> PAGEREF _Toc432507461 \h </w:instrText>
            </w:r>
            <w:r w:rsidR="00AA332E">
              <w:rPr>
                <w:webHidden/>
              </w:rPr>
            </w:r>
            <w:r w:rsidR="00AA332E">
              <w:rPr>
                <w:webHidden/>
              </w:rPr>
              <w:fldChar w:fldCharType="separate"/>
            </w:r>
            <w:r w:rsidR="00AA332E">
              <w:rPr>
                <w:webHidden/>
              </w:rPr>
              <w:t>12-7</w:t>
            </w:r>
            <w:r w:rsidR="00AA332E">
              <w:rPr>
                <w:webHidden/>
              </w:rPr>
              <w:fldChar w:fldCharType="end"/>
            </w:r>
          </w:hyperlink>
        </w:p>
        <w:p w:rsidR="00AA332E" w:rsidRDefault="00230671">
          <w:pPr>
            <w:pStyle w:val="TOC2"/>
            <w:tabs>
              <w:tab w:val="left" w:pos="1276"/>
            </w:tabs>
            <w:rPr>
              <w:rFonts w:asciiTheme="minorHAnsi" w:eastAsiaTheme="minorEastAsia" w:hAnsiTheme="minorHAnsi"/>
              <w:b w:val="0"/>
              <w:color w:val="auto"/>
              <w:sz w:val="22"/>
              <w:lang w:eastAsia="en-AU"/>
            </w:rPr>
          </w:pPr>
          <w:hyperlink w:anchor="_Toc432507462" w:history="1">
            <w:r w:rsidR="00AA332E" w:rsidRPr="00D10CE4">
              <w:rPr>
                <w:rStyle w:val="Hyperlink"/>
              </w:rPr>
              <w:t>12.4</w:t>
            </w:r>
            <w:r w:rsidR="00AA332E">
              <w:rPr>
                <w:rFonts w:asciiTheme="minorHAnsi" w:eastAsiaTheme="minorEastAsia" w:hAnsiTheme="minorHAnsi"/>
                <w:b w:val="0"/>
                <w:color w:val="auto"/>
                <w:sz w:val="22"/>
                <w:lang w:eastAsia="en-AU"/>
              </w:rPr>
              <w:tab/>
            </w:r>
            <w:r w:rsidR="00AA332E" w:rsidRPr="00D10CE4">
              <w:rPr>
                <w:rStyle w:val="Hyperlink"/>
              </w:rPr>
              <w:t>Reasons for preliminary decision</w:t>
            </w:r>
            <w:r w:rsidR="00AA332E">
              <w:rPr>
                <w:webHidden/>
              </w:rPr>
              <w:tab/>
            </w:r>
            <w:r w:rsidR="00AA332E">
              <w:rPr>
                <w:webHidden/>
              </w:rPr>
              <w:fldChar w:fldCharType="begin"/>
            </w:r>
            <w:r w:rsidR="00AA332E">
              <w:rPr>
                <w:webHidden/>
              </w:rPr>
              <w:instrText xml:space="preserve"> PAGEREF _Toc432507462 \h </w:instrText>
            </w:r>
            <w:r w:rsidR="00AA332E">
              <w:rPr>
                <w:webHidden/>
              </w:rPr>
            </w:r>
            <w:r w:rsidR="00AA332E">
              <w:rPr>
                <w:webHidden/>
              </w:rPr>
              <w:fldChar w:fldCharType="separate"/>
            </w:r>
            <w:r w:rsidR="00AA332E">
              <w:rPr>
                <w:webHidden/>
              </w:rPr>
              <w:t>12-8</w:t>
            </w:r>
            <w:r w:rsidR="00AA332E">
              <w:rPr>
                <w:webHidden/>
              </w:rPr>
              <w:fldChar w:fldCharType="end"/>
            </w:r>
          </w:hyperlink>
        </w:p>
        <w:p w:rsidR="00DE563D" w:rsidRDefault="00091B15" w:rsidP="00091B15">
          <w:pPr>
            <w:pStyle w:val="TOC1"/>
          </w:pPr>
          <w:r>
            <w:rPr>
              <w:color w:val="auto"/>
              <w:sz w:val="22"/>
            </w:rPr>
            <w:fldChar w:fldCharType="end"/>
          </w:r>
        </w:p>
      </w:sdtContent>
    </w:sdt>
    <w:p w:rsidR="00DE563D" w:rsidRDefault="00C84560">
      <w:pPr>
        <w:spacing w:line="240" w:lineRule="auto"/>
      </w:pPr>
      <w:r>
        <w:t xml:space="preserve"> </w:t>
      </w:r>
    </w:p>
    <w:p w:rsidR="00415F31" w:rsidRPr="00271F7C" w:rsidRDefault="00DE563D" w:rsidP="00DE772C">
      <w:pPr>
        <w:pStyle w:val="UnnumberedHeading"/>
        <w:numPr>
          <w:ilvl w:val="0"/>
          <w:numId w:val="23"/>
        </w:numPr>
      </w:pPr>
      <w:bookmarkStart w:id="7" w:name="_Toc404700925"/>
      <w:bookmarkStart w:id="8" w:name="_Toc432507457"/>
      <w:r>
        <w:lastRenderedPageBreak/>
        <w:t>Shortened forms</w:t>
      </w:r>
      <w:bookmarkEnd w:id="7"/>
      <w:bookmarkEnd w:id="8"/>
    </w:p>
    <w:tbl>
      <w:tblPr>
        <w:tblStyle w:val="AERtable-text0"/>
        <w:tblW w:w="0" w:type="auto"/>
        <w:tblLook w:val="04A0" w:firstRow="1" w:lastRow="0" w:firstColumn="1" w:lastColumn="0" w:noHBand="0" w:noVBand="1"/>
      </w:tblPr>
      <w:tblGrid>
        <w:gridCol w:w="4349"/>
        <w:gridCol w:w="4344"/>
      </w:tblGrid>
      <w:tr w:rsidR="001F05A4" w:rsidTr="000D3016">
        <w:trPr>
          <w:cnfStyle w:val="100000000000" w:firstRow="1" w:lastRow="0" w:firstColumn="0" w:lastColumn="0" w:oddVBand="0" w:evenVBand="0" w:oddHBand="0" w:evenHBand="0" w:firstRowFirstColumn="0" w:firstRowLastColumn="0" w:lastRowFirstColumn="0" w:lastRowLastColumn="0"/>
          <w:tblHeader/>
        </w:trPr>
        <w:tc>
          <w:tcPr>
            <w:tcW w:w="4349" w:type="dxa"/>
          </w:tcPr>
          <w:p w:rsidR="001F05A4" w:rsidRDefault="001F05A4" w:rsidP="00DE772C">
            <w:pPr>
              <w:numPr>
                <w:ilvl w:val="0"/>
                <w:numId w:val="24"/>
              </w:numPr>
            </w:pPr>
            <w:r>
              <w:t>Shortened form</w:t>
            </w:r>
          </w:p>
        </w:tc>
        <w:tc>
          <w:tcPr>
            <w:tcW w:w="4344" w:type="dxa"/>
          </w:tcPr>
          <w:p w:rsidR="001F05A4" w:rsidRDefault="001F05A4" w:rsidP="00DE772C">
            <w:pPr>
              <w:numPr>
                <w:ilvl w:val="0"/>
                <w:numId w:val="24"/>
              </w:numPr>
            </w:pPr>
            <w:r>
              <w:t>Extended form</w:t>
            </w:r>
          </w:p>
        </w:tc>
      </w:tr>
      <w:tr w:rsidR="005C4C9C" w:rsidTr="005C4C9C">
        <w:tc>
          <w:tcPr>
            <w:tcW w:w="4349" w:type="dxa"/>
          </w:tcPr>
          <w:p w:rsidR="005C4C9C" w:rsidRPr="005C4C9C" w:rsidRDefault="005C4C9C" w:rsidP="005C4C9C">
            <w:pPr>
              <w:numPr>
                <w:ilvl w:val="0"/>
                <w:numId w:val="24"/>
              </w:numPr>
            </w:pPr>
            <w:r w:rsidRPr="005C4C9C">
              <w:t>AEMC</w:t>
            </w:r>
          </w:p>
        </w:tc>
        <w:tc>
          <w:tcPr>
            <w:tcW w:w="4344" w:type="dxa"/>
          </w:tcPr>
          <w:p w:rsidR="005C4C9C" w:rsidRPr="005C4C9C" w:rsidRDefault="005C4C9C" w:rsidP="005C4C9C">
            <w:pPr>
              <w:numPr>
                <w:ilvl w:val="0"/>
                <w:numId w:val="24"/>
              </w:numPr>
            </w:pPr>
            <w:r w:rsidRPr="005C4C9C">
              <w:t>Australian Energy Market Commission</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AEMO</w:t>
            </w:r>
          </w:p>
        </w:tc>
        <w:tc>
          <w:tcPr>
            <w:tcW w:w="4344" w:type="dxa"/>
          </w:tcPr>
          <w:p w:rsidR="005C4C9C" w:rsidRPr="005C4C9C" w:rsidRDefault="005C4C9C" w:rsidP="005C4C9C">
            <w:pPr>
              <w:numPr>
                <w:ilvl w:val="0"/>
                <w:numId w:val="24"/>
              </w:numPr>
            </w:pPr>
            <w:r w:rsidRPr="005C4C9C">
              <w:t>Australian Energy Market Operator</w:t>
            </w:r>
          </w:p>
        </w:tc>
      </w:tr>
      <w:tr w:rsidR="005C4C9C" w:rsidTr="005C4C9C">
        <w:tc>
          <w:tcPr>
            <w:tcW w:w="4349" w:type="dxa"/>
          </w:tcPr>
          <w:p w:rsidR="005C4C9C" w:rsidRPr="005C4C9C" w:rsidRDefault="005C4C9C" w:rsidP="005C4C9C">
            <w:pPr>
              <w:numPr>
                <w:ilvl w:val="0"/>
                <w:numId w:val="24"/>
              </w:numPr>
            </w:pPr>
            <w:r w:rsidRPr="005C4C9C">
              <w:t>AER</w:t>
            </w:r>
          </w:p>
        </w:tc>
        <w:tc>
          <w:tcPr>
            <w:tcW w:w="4344" w:type="dxa"/>
          </w:tcPr>
          <w:p w:rsidR="005C4C9C" w:rsidRPr="005C4C9C" w:rsidRDefault="005C4C9C" w:rsidP="005C4C9C">
            <w:pPr>
              <w:numPr>
                <w:ilvl w:val="0"/>
                <w:numId w:val="24"/>
              </w:numPr>
            </w:pPr>
            <w:r w:rsidRPr="005C4C9C">
              <w:t>Australian Energy Regulator</w:t>
            </w:r>
          </w:p>
        </w:tc>
      </w:tr>
      <w:tr w:rsidR="00E70FFF"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E70FFF" w:rsidRPr="005C4C9C" w:rsidRDefault="00E70FFF" w:rsidP="005C4C9C">
            <w:pPr>
              <w:numPr>
                <w:ilvl w:val="0"/>
                <w:numId w:val="24"/>
              </w:numPr>
            </w:pPr>
            <w:r>
              <w:t>AMI</w:t>
            </w:r>
          </w:p>
        </w:tc>
        <w:tc>
          <w:tcPr>
            <w:tcW w:w="4344" w:type="dxa"/>
          </w:tcPr>
          <w:p w:rsidR="00E70FFF" w:rsidRPr="005C4C9C" w:rsidRDefault="00E70FFF" w:rsidP="005C4C9C">
            <w:pPr>
              <w:numPr>
                <w:ilvl w:val="0"/>
                <w:numId w:val="24"/>
              </w:numPr>
            </w:pPr>
            <w:r>
              <w:t>advanced metering infrastructure</w:t>
            </w:r>
          </w:p>
        </w:tc>
      </w:tr>
      <w:tr w:rsidR="005C4C9C" w:rsidTr="005C4C9C">
        <w:tc>
          <w:tcPr>
            <w:tcW w:w="4349" w:type="dxa"/>
          </w:tcPr>
          <w:p w:rsidR="005C4C9C" w:rsidRPr="005C4C9C" w:rsidRDefault="005C4C9C" w:rsidP="005C4C9C">
            <w:pPr>
              <w:numPr>
                <w:ilvl w:val="0"/>
                <w:numId w:val="24"/>
              </w:numPr>
            </w:pPr>
            <w:proofErr w:type="spellStart"/>
            <w:r w:rsidRPr="005C4C9C">
              <w:t>augex</w:t>
            </w:r>
            <w:proofErr w:type="spellEnd"/>
          </w:p>
        </w:tc>
        <w:tc>
          <w:tcPr>
            <w:tcW w:w="4344" w:type="dxa"/>
          </w:tcPr>
          <w:p w:rsidR="005C4C9C" w:rsidRPr="005C4C9C" w:rsidRDefault="005C4C9C" w:rsidP="005C4C9C">
            <w:pPr>
              <w:numPr>
                <w:ilvl w:val="0"/>
                <w:numId w:val="24"/>
              </w:numPr>
            </w:pPr>
            <w:r w:rsidRPr="005C4C9C">
              <w:t>augmentation expenditure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capex</w:t>
            </w:r>
          </w:p>
        </w:tc>
        <w:tc>
          <w:tcPr>
            <w:tcW w:w="4344" w:type="dxa"/>
          </w:tcPr>
          <w:p w:rsidR="005C4C9C" w:rsidRPr="005C4C9C" w:rsidRDefault="005C4C9C" w:rsidP="005C4C9C">
            <w:pPr>
              <w:numPr>
                <w:ilvl w:val="0"/>
                <w:numId w:val="24"/>
              </w:numPr>
            </w:pPr>
            <w:r w:rsidRPr="005C4C9C">
              <w:t>capital expenditure</w:t>
            </w:r>
          </w:p>
        </w:tc>
      </w:tr>
      <w:tr w:rsidR="005C4C9C" w:rsidTr="005C4C9C">
        <w:tc>
          <w:tcPr>
            <w:tcW w:w="4349" w:type="dxa"/>
          </w:tcPr>
          <w:p w:rsidR="005C4C9C" w:rsidRPr="005C4C9C" w:rsidRDefault="005C4C9C" w:rsidP="005C4C9C">
            <w:pPr>
              <w:numPr>
                <w:ilvl w:val="0"/>
                <w:numId w:val="24"/>
              </w:numPr>
            </w:pPr>
            <w:r w:rsidRPr="005C4C9C">
              <w:t>CCP</w:t>
            </w:r>
          </w:p>
        </w:tc>
        <w:tc>
          <w:tcPr>
            <w:tcW w:w="4344" w:type="dxa"/>
          </w:tcPr>
          <w:p w:rsidR="005C4C9C" w:rsidRPr="005C4C9C" w:rsidRDefault="005C4C9C" w:rsidP="005C4C9C">
            <w:pPr>
              <w:numPr>
                <w:ilvl w:val="0"/>
                <w:numId w:val="24"/>
              </w:numPr>
            </w:pPr>
            <w:r w:rsidRPr="005C4C9C">
              <w:t>Consumer Challenge Panel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CESS</w:t>
            </w:r>
          </w:p>
        </w:tc>
        <w:tc>
          <w:tcPr>
            <w:tcW w:w="4344" w:type="dxa"/>
          </w:tcPr>
          <w:p w:rsidR="005C4C9C" w:rsidRPr="005C4C9C" w:rsidRDefault="005C4C9C" w:rsidP="005C4C9C">
            <w:pPr>
              <w:numPr>
                <w:ilvl w:val="0"/>
                <w:numId w:val="24"/>
              </w:numPr>
            </w:pPr>
            <w:r w:rsidRPr="005C4C9C">
              <w:t>capital expenditure sharing scheme</w:t>
            </w:r>
          </w:p>
        </w:tc>
      </w:tr>
      <w:tr w:rsidR="005C4C9C" w:rsidTr="005C4C9C">
        <w:tc>
          <w:tcPr>
            <w:tcW w:w="4349" w:type="dxa"/>
          </w:tcPr>
          <w:p w:rsidR="005C4C9C" w:rsidRPr="005C4C9C" w:rsidRDefault="005C4C9C" w:rsidP="005C4C9C">
            <w:pPr>
              <w:numPr>
                <w:ilvl w:val="0"/>
                <w:numId w:val="24"/>
              </w:numPr>
            </w:pPr>
            <w:r w:rsidRPr="005C4C9C">
              <w:t>CPI</w:t>
            </w:r>
          </w:p>
        </w:tc>
        <w:tc>
          <w:tcPr>
            <w:tcW w:w="4344" w:type="dxa"/>
          </w:tcPr>
          <w:p w:rsidR="005C4C9C" w:rsidRPr="005C4C9C" w:rsidRDefault="005C4C9C" w:rsidP="005C4C9C">
            <w:pPr>
              <w:numPr>
                <w:ilvl w:val="0"/>
                <w:numId w:val="24"/>
              </w:numPr>
            </w:pPr>
            <w:r w:rsidRPr="005C4C9C">
              <w:t>consumer price index</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DRP</w:t>
            </w:r>
          </w:p>
        </w:tc>
        <w:tc>
          <w:tcPr>
            <w:tcW w:w="4344" w:type="dxa"/>
          </w:tcPr>
          <w:p w:rsidR="005C4C9C" w:rsidRPr="005C4C9C" w:rsidRDefault="005C4C9C" w:rsidP="005C4C9C">
            <w:pPr>
              <w:numPr>
                <w:ilvl w:val="0"/>
                <w:numId w:val="24"/>
              </w:numPr>
            </w:pPr>
            <w:r w:rsidRPr="005C4C9C">
              <w:t>debt risk premium</w:t>
            </w:r>
          </w:p>
        </w:tc>
      </w:tr>
      <w:tr w:rsidR="005C4C9C" w:rsidTr="005C4C9C">
        <w:tc>
          <w:tcPr>
            <w:tcW w:w="4349" w:type="dxa"/>
          </w:tcPr>
          <w:p w:rsidR="005C4C9C" w:rsidRPr="005C4C9C" w:rsidRDefault="005C4C9C" w:rsidP="005C4C9C">
            <w:pPr>
              <w:numPr>
                <w:ilvl w:val="0"/>
                <w:numId w:val="24"/>
              </w:numPr>
            </w:pPr>
            <w:r w:rsidRPr="005C4C9C">
              <w:t>DMIA</w:t>
            </w:r>
          </w:p>
        </w:tc>
        <w:tc>
          <w:tcPr>
            <w:tcW w:w="4344" w:type="dxa"/>
          </w:tcPr>
          <w:p w:rsidR="005C4C9C" w:rsidRPr="005C4C9C" w:rsidRDefault="005C4C9C" w:rsidP="005C4C9C">
            <w:pPr>
              <w:numPr>
                <w:ilvl w:val="0"/>
                <w:numId w:val="24"/>
              </w:numPr>
            </w:pPr>
            <w:r w:rsidRPr="005C4C9C">
              <w:t>demand management innovation allowance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DMIS</w:t>
            </w:r>
          </w:p>
        </w:tc>
        <w:tc>
          <w:tcPr>
            <w:tcW w:w="4344" w:type="dxa"/>
          </w:tcPr>
          <w:p w:rsidR="005C4C9C" w:rsidRPr="005C4C9C" w:rsidRDefault="005C4C9C" w:rsidP="005C4C9C">
            <w:pPr>
              <w:numPr>
                <w:ilvl w:val="0"/>
                <w:numId w:val="24"/>
              </w:numPr>
            </w:pPr>
            <w:r w:rsidRPr="005C4C9C">
              <w:t>demand management incentive scheme</w:t>
            </w:r>
          </w:p>
        </w:tc>
      </w:tr>
      <w:tr w:rsidR="005C4C9C" w:rsidTr="005C4C9C">
        <w:tc>
          <w:tcPr>
            <w:tcW w:w="4349" w:type="dxa"/>
          </w:tcPr>
          <w:p w:rsidR="005C4C9C" w:rsidRPr="005C4C9C" w:rsidRDefault="005C4C9C" w:rsidP="005C4C9C">
            <w:pPr>
              <w:numPr>
                <w:ilvl w:val="0"/>
                <w:numId w:val="24"/>
              </w:numPr>
            </w:pPr>
            <w:r w:rsidRPr="005C4C9C">
              <w:t>distributor</w:t>
            </w:r>
          </w:p>
        </w:tc>
        <w:tc>
          <w:tcPr>
            <w:tcW w:w="4344" w:type="dxa"/>
          </w:tcPr>
          <w:p w:rsidR="005C4C9C" w:rsidRPr="005C4C9C" w:rsidRDefault="005C4C9C" w:rsidP="005C4C9C">
            <w:pPr>
              <w:numPr>
                <w:ilvl w:val="0"/>
                <w:numId w:val="24"/>
              </w:numPr>
            </w:pPr>
            <w:r w:rsidRPr="005C4C9C">
              <w:t>distribution network service provider</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proofErr w:type="spellStart"/>
            <w:r w:rsidRPr="005C4C9C">
              <w:t>DUoS</w:t>
            </w:r>
            <w:proofErr w:type="spellEnd"/>
          </w:p>
        </w:tc>
        <w:tc>
          <w:tcPr>
            <w:tcW w:w="4344" w:type="dxa"/>
          </w:tcPr>
          <w:p w:rsidR="005C4C9C" w:rsidRPr="005C4C9C" w:rsidRDefault="005C4C9C" w:rsidP="005C4C9C">
            <w:pPr>
              <w:numPr>
                <w:ilvl w:val="0"/>
                <w:numId w:val="24"/>
              </w:numPr>
            </w:pPr>
            <w:r w:rsidRPr="005C4C9C">
              <w:t>distribution use of system</w:t>
            </w:r>
          </w:p>
        </w:tc>
      </w:tr>
      <w:tr w:rsidR="005C4C9C" w:rsidTr="005C4C9C">
        <w:tc>
          <w:tcPr>
            <w:tcW w:w="4349" w:type="dxa"/>
          </w:tcPr>
          <w:p w:rsidR="005C4C9C" w:rsidRPr="005C4C9C" w:rsidRDefault="005C4C9C" w:rsidP="005C4C9C">
            <w:pPr>
              <w:numPr>
                <w:ilvl w:val="0"/>
                <w:numId w:val="24"/>
              </w:numPr>
            </w:pPr>
            <w:r w:rsidRPr="005C4C9C">
              <w:t>EBSS</w:t>
            </w:r>
          </w:p>
        </w:tc>
        <w:tc>
          <w:tcPr>
            <w:tcW w:w="4344" w:type="dxa"/>
          </w:tcPr>
          <w:p w:rsidR="005C4C9C" w:rsidRPr="005C4C9C" w:rsidRDefault="005C4C9C" w:rsidP="005C4C9C">
            <w:pPr>
              <w:numPr>
                <w:ilvl w:val="0"/>
                <w:numId w:val="24"/>
              </w:numPr>
            </w:pPr>
            <w:r w:rsidRPr="005C4C9C">
              <w:t>efficiency benefit sharing scheme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ERP</w:t>
            </w:r>
          </w:p>
        </w:tc>
        <w:tc>
          <w:tcPr>
            <w:tcW w:w="4344" w:type="dxa"/>
          </w:tcPr>
          <w:p w:rsidR="005C4C9C" w:rsidRPr="005C4C9C" w:rsidRDefault="005C4C9C" w:rsidP="005C4C9C">
            <w:pPr>
              <w:numPr>
                <w:ilvl w:val="0"/>
                <w:numId w:val="24"/>
              </w:numPr>
            </w:pPr>
            <w:r w:rsidRPr="005C4C9C">
              <w:t>equity risk premium</w:t>
            </w:r>
          </w:p>
        </w:tc>
      </w:tr>
      <w:tr w:rsidR="005C4C9C" w:rsidTr="005C4C9C">
        <w:tc>
          <w:tcPr>
            <w:tcW w:w="4349" w:type="dxa"/>
          </w:tcPr>
          <w:p w:rsidR="005C4C9C" w:rsidRPr="005C4C9C" w:rsidRDefault="005C4C9C" w:rsidP="005C4C9C">
            <w:pPr>
              <w:numPr>
                <w:ilvl w:val="0"/>
                <w:numId w:val="24"/>
              </w:numPr>
            </w:pPr>
            <w:r w:rsidRPr="005C4C9C">
              <w:t>Expenditure Assessment Guideline</w:t>
            </w:r>
          </w:p>
        </w:tc>
        <w:tc>
          <w:tcPr>
            <w:tcW w:w="4344" w:type="dxa"/>
          </w:tcPr>
          <w:p w:rsidR="005C4C9C" w:rsidRPr="005C4C9C" w:rsidRDefault="005C0A7F" w:rsidP="005C4C9C">
            <w:pPr>
              <w:numPr>
                <w:ilvl w:val="0"/>
                <w:numId w:val="24"/>
              </w:numPr>
            </w:pPr>
            <w:r>
              <w:t>Expenditure Forecast A</w:t>
            </w:r>
            <w:r w:rsidR="005C4C9C" w:rsidRPr="005C4C9C">
              <w:t>ssessment Guideline for electricity distribution</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F&amp;A</w:t>
            </w:r>
          </w:p>
        </w:tc>
        <w:tc>
          <w:tcPr>
            <w:tcW w:w="4344" w:type="dxa"/>
          </w:tcPr>
          <w:p w:rsidR="005C4C9C" w:rsidRPr="005C4C9C" w:rsidRDefault="005C4C9C" w:rsidP="005C4C9C">
            <w:pPr>
              <w:numPr>
                <w:ilvl w:val="0"/>
                <w:numId w:val="24"/>
              </w:numPr>
            </w:pPr>
            <w:r w:rsidRPr="005C4C9C">
              <w:t>framework and approach</w:t>
            </w:r>
          </w:p>
        </w:tc>
      </w:tr>
      <w:tr w:rsidR="005C4C9C" w:rsidTr="005C4C9C">
        <w:tc>
          <w:tcPr>
            <w:tcW w:w="4349" w:type="dxa"/>
          </w:tcPr>
          <w:p w:rsidR="005C4C9C" w:rsidRPr="005C4C9C" w:rsidRDefault="005C4C9C" w:rsidP="005C4C9C">
            <w:pPr>
              <w:numPr>
                <w:ilvl w:val="0"/>
                <w:numId w:val="24"/>
              </w:numPr>
            </w:pPr>
            <w:r w:rsidRPr="005C4C9C">
              <w:t>MRP</w:t>
            </w:r>
          </w:p>
        </w:tc>
        <w:tc>
          <w:tcPr>
            <w:tcW w:w="4344" w:type="dxa"/>
          </w:tcPr>
          <w:p w:rsidR="005C4C9C" w:rsidRPr="005C4C9C" w:rsidRDefault="005C4C9C" w:rsidP="005C4C9C">
            <w:pPr>
              <w:numPr>
                <w:ilvl w:val="0"/>
                <w:numId w:val="24"/>
              </w:numPr>
            </w:pPr>
            <w:r w:rsidRPr="005C4C9C">
              <w:t>market risk premium</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NEL</w:t>
            </w:r>
          </w:p>
        </w:tc>
        <w:tc>
          <w:tcPr>
            <w:tcW w:w="4344" w:type="dxa"/>
          </w:tcPr>
          <w:p w:rsidR="005C4C9C" w:rsidRPr="005C4C9C" w:rsidRDefault="005C4C9C" w:rsidP="005C4C9C">
            <w:pPr>
              <w:numPr>
                <w:ilvl w:val="0"/>
                <w:numId w:val="24"/>
              </w:numPr>
            </w:pPr>
            <w:r w:rsidRPr="005C4C9C">
              <w:t>national electricity law</w:t>
            </w:r>
          </w:p>
        </w:tc>
      </w:tr>
      <w:tr w:rsidR="005C4C9C" w:rsidTr="005C4C9C">
        <w:tc>
          <w:tcPr>
            <w:tcW w:w="4349" w:type="dxa"/>
          </w:tcPr>
          <w:p w:rsidR="005C4C9C" w:rsidRPr="005C4C9C" w:rsidRDefault="005C4C9C" w:rsidP="005C4C9C">
            <w:pPr>
              <w:numPr>
                <w:ilvl w:val="0"/>
                <w:numId w:val="24"/>
              </w:numPr>
            </w:pPr>
            <w:r w:rsidRPr="005C4C9C">
              <w:t>NEM</w:t>
            </w:r>
          </w:p>
        </w:tc>
        <w:tc>
          <w:tcPr>
            <w:tcW w:w="4344" w:type="dxa"/>
          </w:tcPr>
          <w:p w:rsidR="005C4C9C" w:rsidRPr="005C4C9C" w:rsidRDefault="005C4C9C" w:rsidP="005C4C9C">
            <w:pPr>
              <w:numPr>
                <w:ilvl w:val="0"/>
                <w:numId w:val="24"/>
              </w:numPr>
            </w:pPr>
            <w:r w:rsidRPr="005C4C9C">
              <w:t>national electricity market</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NEO</w:t>
            </w:r>
          </w:p>
        </w:tc>
        <w:tc>
          <w:tcPr>
            <w:tcW w:w="4344" w:type="dxa"/>
          </w:tcPr>
          <w:p w:rsidR="005C4C9C" w:rsidRPr="005C4C9C" w:rsidRDefault="005C4C9C" w:rsidP="005C4C9C">
            <w:pPr>
              <w:numPr>
                <w:ilvl w:val="0"/>
                <w:numId w:val="24"/>
              </w:numPr>
            </w:pPr>
            <w:r w:rsidRPr="005C4C9C">
              <w:t>national electricity objective</w:t>
            </w:r>
          </w:p>
        </w:tc>
      </w:tr>
      <w:tr w:rsidR="005C4C9C" w:rsidTr="005C4C9C">
        <w:tc>
          <w:tcPr>
            <w:tcW w:w="4349" w:type="dxa"/>
          </w:tcPr>
          <w:p w:rsidR="005C4C9C" w:rsidRPr="005C4C9C" w:rsidRDefault="005C4C9C" w:rsidP="005C4C9C">
            <w:pPr>
              <w:numPr>
                <w:ilvl w:val="0"/>
                <w:numId w:val="24"/>
              </w:numPr>
            </w:pPr>
            <w:r w:rsidRPr="005C4C9C">
              <w:t>NER</w:t>
            </w:r>
          </w:p>
        </w:tc>
        <w:tc>
          <w:tcPr>
            <w:tcW w:w="4344" w:type="dxa"/>
          </w:tcPr>
          <w:p w:rsidR="005C4C9C" w:rsidRPr="005C4C9C" w:rsidRDefault="005C4C9C" w:rsidP="005C4C9C">
            <w:pPr>
              <w:numPr>
                <w:ilvl w:val="0"/>
                <w:numId w:val="24"/>
              </w:numPr>
            </w:pPr>
            <w:r w:rsidRPr="005C4C9C">
              <w:t>national electricity rules</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NSP</w:t>
            </w:r>
          </w:p>
        </w:tc>
        <w:tc>
          <w:tcPr>
            <w:tcW w:w="4344" w:type="dxa"/>
          </w:tcPr>
          <w:p w:rsidR="005C4C9C" w:rsidRPr="005C4C9C" w:rsidRDefault="005C4C9C" w:rsidP="005C4C9C">
            <w:pPr>
              <w:numPr>
                <w:ilvl w:val="0"/>
                <w:numId w:val="24"/>
              </w:numPr>
            </w:pPr>
            <w:r w:rsidRPr="005C4C9C">
              <w:t>network service provider</w:t>
            </w:r>
          </w:p>
        </w:tc>
      </w:tr>
      <w:tr w:rsidR="005C4C9C" w:rsidTr="005C4C9C">
        <w:tc>
          <w:tcPr>
            <w:tcW w:w="4349" w:type="dxa"/>
          </w:tcPr>
          <w:p w:rsidR="005C4C9C" w:rsidRPr="005C4C9C" w:rsidRDefault="005C4C9C" w:rsidP="005C4C9C">
            <w:pPr>
              <w:numPr>
                <w:ilvl w:val="0"/>
                <w:numId w:val="24"/>
              </w:numPr>
            </w:pPr>
            <w:r w:rsidRPr="005C4C9C">
              <w:t>opex</w:t>
            </w:r>
          </w:p>
        </w:tc>
        <w:tc>
          <w:tcPr>
            <w:tcW w:w="4344" w:type="dxa"/>
          </w:tcPr>
          <w:p w:rsidR="005C4C9C" w:rsidRPr="005C4C9C" w:rsidRDefault="005C4C9C" w:rsidP="005C4C9C">
            <w:pPr>
              <w:numPr>
                <w:ilvl w:val="0"/>
                <w:numId w:val="24"/>
              </w:numPr>
            </w:pPr>
            <w:r w:rsidRPr="005C4C9C">
              <w:t>operating expenditure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PPI</w:t>
            </w:r>
          </w:p>
        </w:tc>
        <w:tc>
          <w:tcPr>
            <w:tcW w:w="4344" w:type="dxa"/>
          </w:tcPr>
          <w:p w:rsidR="005C4C9C" w:rsidRPr="005C4C9C" w:rsidRDefault="005C4C9C" w:rsidP="005C4C9C">
            <w:pPr>
              <w:numPr>
                <w:ilvl w:val="0"/>
                <w:numId w:val="24"/>
              </w:numPr>
            </w:pPr>
            <w:r w:rsidRPr="005C4C9C">
              <w:t>partial performance indicators</w:t>
            </w:r>
          </w:p>
        </w:tc>
      </w:tr>
      <w:tr w:rsidR="005C4C9C" w:rsidTr="005C4C9C">
        <w:tc>
          <w:tcPr>
            <w:tcW w:w="4349" w:type="dxa"/>
          </w:tcPr>
          <w:p w:rsidR="005C4C9C" w:rsidRPr="005C4C9C" w:rsidRDefault="005C4C9C" w:rsidP="005C4C9C">
            <w:pPr>
              <w:numPr>
                <w:ilvl w:val="0"/>
                <w:numId w:val="24"/>
              </w:numPr>
            </w:pPr>
            <w:r w:rsidRPr="005C4C9C">
              <w:t>PTRM</w:t>
            </w:r>
          </w:p>
        </w:tc>
        <w:tc>
          <w:tcPr>
            <w:tcW w:w="4344" w:type="dxa"/>
          </w:tcPr>
          <w:p w:rsidR="005C4C9C" w:rsidRPr="005C4C9C" w:rsidRDefault="005C4C9C" w:rsidP="005C4C9C">
            <w:pPr>
              <w:numPr>
                <w:ilvl w:val="0"/>
                <w:numId w:val="24"/>
              </w:numPr>
            </w:pPr>
            <w:r w:rsidRPr="005C4C9C">
              <w:t>post-tax revenue model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RAB</w:t>
            </w:r>
          </w:p>
        </w:tc>
        <w:tc>
          <w:tcPr>
            <w:tcW w:w="4344" w:type="dxa"/>
          </w:tcPr>
          <w:p w:rsidR="005C4C9C" w:rsidRPr="005C4C9C" w:rsidRDefault="005C4C9C" w:rsidP="005C4C9C">
            <w:pPr>
              <w:numPr>
                <w:ilvl w:val="0"/>
                <w:numId w:val="24"/>
              </w:numPr>
            </w:pPr>
            <w:r w:rsidRPr="005C4C9C">
              <w:t>regulatory asset base</w:t>
            </w:r>
          </w:p>
        </w:tc>
      </w:tr>
      <w:tr w:rsidR="005C4C9C" w:rsidTr="005C4C9C">
        <w:tc>
          <w:tcPr>
            <w:tcW w:w="4349" w:type="dxa"/>
          </w:tcPr>
          <w:p w:rsidR="005C4C9C" w:rsidRPr="005C4C9C" w:rsidRDefault="005C4C9C" w:rsidP="005C4C9C">
            <w:pPr>
              <w:numPr>
                <w:ilvl w:val="0"/>
                <w:numId w:val="24"/>
              </w:numPr>
            </w:pPr>
            <w:r w:rsidRPr="005C4C9C">
              <w:t>RBA</w:t>
            </w:r>
          </w:p>
        </w:tc>
        <w:tc>
          <w:tcPr>
            <w:tcW w:w="4344" w:type="dxa"/>
          </w:tcPr>
          <w:p w:rsidR="005C4C9C" w:rsidRPr="005C4C9C" w:rsidRDefault="005C4C9C" w:rsidP="005C4C9C">
            <w:pPr>
              <w:numPr>
                <w:ilvl w:val="0"/>
                <w:numId w:val="24"/>
              </w:numPr>
            </w:pPr>
            <w:r w:rsidRPr="005C4C9C">
              <w:t>Reserve Bank of Australia</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proofErr w:type="spellStart"/>
            <w:r w:rsidRPr="005C4C9C">
              <w:t>repex</w:t>
            </w:r>
            <w:proofErr w:type="spellEnd"/>
          </w:p>
        </w:tc>
        <w:tc>
          <w:tcPr>
            <w:tcW w:w="4344" w:type="dxa"/>
          </w:tcPr>
          <w:p w:rsidR="005C4C9C" w:rsidRPr="005C4C9C" w:rsidRDefault="005C4C9C" w:rsidP="005C4C9C">
            <w:pPr>
              <w:numPr>
                <w:ilvl w:val="0"/>
                <w:numId w:val="24"/>
              </w:numPr>
            </w:pPr>
            <w:r w:rsidRPr="005C4C9C">
              <w:t>replacement expenditure</w:t>
            </w:r>
          </w:p>
        </w:tc>
      </w:tr>
      <w:tr w:rsidR="005C4C9C" w:rsidTr="005C4C9C">
        <w:tc>
          <w:tcPr>
            <w:tcW w:w="4349" w:type="dxa"/>
          </w:tcPr>
          <w:p w:rsidR="005C4C9C" w:rsidRPr="005C4C9C" w:rsidRDefault="005C4C9C" w:rsidP="005C4C9C">
            <w:pPr>
              <w:numPr>
                <w:ilvl w:val="0"/>
                <w:numId w:val="24"/>
              </w:numPr>
            </w:pPr>
            <w:r w:rsidRPr="005C4C9C">
              <w:lastRenderedPageBreak/>
              <w:t>RFM</w:t>
            </w:r>
          </w:p>
        </w:tc>
        <w:tc>
          <w:tcPr>
            <w:tcW w:w="4344" w:type="dxa"/>
          </w:tcPr>
          <w:p w:rsidR="005C4C9C" w:rsidRPr="005C4C9C" w:rsidRDefault="005C4C9C" w:rsidP="005C4C9C">
            <w:pPr>
              <w:numPr>
                <w:ilvl w:val="0"/>
                <w:numId w:val="24"/>
              </w:numPr>
            </w:pPr>
            <w:r w:rsidRPr="005C4C9C">
              <w:t>roll forward model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RIN</w:t>
            </w:r>
          </w:p>
        </w:tc>
        <w:tc>
          <w:tcPr>
            <w:tcW w:w="4344" w:type="dxa"/>
          </w:tcPr>
          <w:p w:rsidR="005C4C9C" w:rsidRPr="005C4C9C" w:rsidRDefault="005C4C9C" w:rsidP="005C4C9C">
            <w:pPr>
              <w:numPr>
                <w:ilvl w:val="0"/>
                <w:numId w:val="24"/>
              </w:numPr>
            </w:pPr>
            <w:r w:rsidRPr="005C4C9C">
              <w:t>regulatory information notice</w:t>
            </w:r>
          </w:p>
        </w:tc>
      </w:tr>
      <w:tr w:rsidR="005C4C9C" w:rsidTr="005C4C9C">
        <w:tc>
          <w:tcPr>
            <w:tcW w:w="4349" w:type="dxa"/>
          </w:tcPr>
          <w:p w:rsidR="005C4C9C" w:rsidRPr="005C4C9C" w:rsidRDefault="005C4C9C" w:rsidP="005C4C9C">
            <w:pPr>
              <w:numPr>
                <w:ilvl w:val="0"/>
                <w:numId w:val="24"/>
              </w:numPr>
            </w:pPr>
            <w:r w:rsidRPr="005C4C9C">
              <w:t>RPP</w:t>
            </w:r>
          </w:p>
        </w:tc>
        <w:tc>
          <w:tcPr>
            <w:tcW w:w="4344" w:type="dxa"/>
          </w:tcPr>
          <w:p w:rsidR="005C4C9C" w:rsidRPr="005C4C9C" w:rsidRDefault="005C4C9C" w:rsidP="005C4C9C">
            <w:pPr>
              <w:numPr>
                <w:ilvl w:val="0"/>
                <w:numId w:val="24"/>
              </w:numPr>
            </w:pPr>
            <w:r w:rsidRPr="005C4C9C">
              <w:t>revenue and pricing principles</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SAIDI</w:t>
            </w:r>
          </w:p>
        </w:tc>
        <w:tc>
          <w:tcPr>
            <w:tcW w:w="4344" w:type="dxa"/>
          </w:tcPr>
          <w:p w:rsidR="005C4C9C" w:rsidRPr="005C4C9C" w:rsidRDefault="005C4C9C" w:rsidP="005C4C9C">
            <w:pPr>
              <w:numPr>
                <w:ilvl w:val="0"/>
                <w:numId w:val="24"/>
              </w:numPr>
            </w:pPr>
            <w:r w:rsidRPr="005C4C9C">
              <w:t>system average interruption duration index</w:t>
            </w:r>
          </w:p>
        </w:tc>
      </w:tr>
      <w:tr w:rsidR="005C4C9C" w:rsidTr="005C4C9C">
        <w:tc>
          <w:tcPr>
            <w:tcW w:w="4349" w:type="dxa"/>
          </w:tcPr>
          <w:p w:rsidR="005C4C9C" w:rsidRPr="005C4C9C" w:rsidRDefault="005C4C9C" w:rsidP="005C4C9C">
            <w:pPr>
              <w:numPr>
                <w:ilvl w:val="0"/>
                <w:numId w:val="24"/>
              </w:numPr>
            </w:pPr>
            <w:r w:rsidRPr="005C4C9C">
              <w:t>SAIFI</w:t>
            </w:r>
          </w:p>
        </w:tc>
        <w:tc>
          <w:tcPr>
            <w:tcW w:w="4344" w:type="dxa"/>
          </w:tcPr>
          <w:p w:rsidR="005C4C9C" w:rsidRPr="005C4C9C" w:rsidRDefault="005C4C9C" w:rsidP="005C4C9C">
            <w:pPr>
              <w:numPr>
                <w:ilvl w:val="0"/>
                <w:numId w:val="24"/>
              </w:numPr>
            </w:pPr>
            <w:r w:rsidRPr="005C4C9C">
              <w:t>system average interruption frequency index</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SLCAPM</w:t>
            </w:r>
          </w:p>
        </w:tc>
        <w:tc>
          <w:tcPr>
            <w:tcW w:w="4344" w:type="dxa"/>
          </w:tcPr>
          <w:p w:rsidR="005C4C9C" w:rsidRPr="005C4C9C" w:rsidRDefault="005C4C9C" w:rsidP="005C4C9C">
            <w:pPr>
              <w:numPr>
                <w:ilvl w:val="0"/>
                <w:numId w:val="24"/>
              </w:numPr>
            </w:pPr>
            <w:r w:rsidRPr="005C4C9C">
              <w:t>Sharpe-</w:t>
            </w:r>
            <w:proofErr w:type="spellStart"/>
            <w:r w:rsidRPr="005C4C9C">
              <w:t>Lintner</w:t>
            </w:r>
            <w:proofErr w:type="spellEnd"/>
            <w:r w:rsidRPr="005C4C9C">
              <w:t xml:space="preserve"> capital asset pricing model</w:t>
            </w:r>
          </w:p>
        </w:tc>
      </w:tr>
      <w:tr w:rsidR="005C4C9C" w:rsidTr="005C4C9C">
        <w:tc>
          <w:tcPr>
            <w:tcW w:w="4349" w:type="dxa"/>
          </w:tcPr>
          <w:p w:rsidR="005C4C9C" w:rsidRPr="005C4C9C" w:rsidRDefault="005C4C9C" w:rsidP="005C4C9C">
            <w:pPr>
              <w:numPr>
                <w:ilvl w:val="0"/>
                <w:numId w:val="24"/>
              </w:numPr>
            </w:pPr>
            <w:r w:rsidRPr="005C4C9C">
              <w:t>STPIS</w:t>
            </w:r>
          </w:p>
        </w:tc>
        <w:tc>
          <w:tcPr>
            <w:tcW w:w="4344" w:type="dxa"/>
          </w:tcPr>
          <w:p w:rsidR="005C4C9C" w:rsidRPr="005C4C9C" w:rsidRDefault="005C4C9C" w:rsidP="005C4C9C">
            <w:pPr>
              <w:numPr>
                <w:ilvl w:val="0"/>
                <w:numId w:val="24"/>
              </w:numPr>
            </w:pPr>
            <w:r w:rsidRPr="005C4C9C">
              <w:t>service target performance incentive scheme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WACC</w:t>
            </w:r>
          </w:p>
        </w:tc>
        <w:tc>
          <w:tcPr>
            <w:tcW w:w="4344" w:type="dxa"/>
          </w:tcPr>
          <w:p w:rsidR="005C4C9C" w:rsidRPr="005C4C9C" w:rsidRDefault="005C4C9C" w:rsidP="005C4C9C">
            <w:pPr>
              <w:numPr>
                <w:ilvl w:val="0"/>
                <w:numId w:val="24"/>
              </w:numPr>
            </w:pPr>
            <w:r w:rsidRPr="005C4C9C">
              <w:t>weighted average cost of capital</w:t>
            </w:r>
          </w:p>
        </w:tc>
      </w:tr>
    </w:tbl>
    <w:p w:rsidR="00DE563D" w:rsidRPr="00436A39" w:rsidRDefault="00DE563D" w:rsidP="00DE772C">
      <w:pPr>
        <w:numPr>
          <w:ilvl w:val="0"/>
          <w:numId w:val="24"/>
        </w:numPr>
      </w:pPr>
    </w:p>
    <w:p w:rsidR="00DE563D" w:rsidRDefault="00ED0EC2" w:rsidP="00ED0EC2">
      <w:pPr>
        <w:pStyle w:val="Heading1"/>
      </w:pPr>
      <w:bookmarkStart w:id="9" w:name="_Toc432507458"/>
      <w:r>
        <w:lastRenderedPageBreak/>
        <w:t>Demand management incentive scheme</w:t>
      </w:r>
      <w:bookmarkEnd w:id="9"/>
    </w:p>
    <w:p w:rsidR="00BF2ED7" w:rsidRPr="00BF2ED7" w:rsidRDefault="00BF2ED7" w:rsidP="00BF2ED7">
      <w:pPr>
        <w:numPr>
          <w:ilvl w:val="0"/>
          <w:numId w:val="24"/>
        </w:numPr>
      </w:pPr>
      <w:r w:rsidRPr="00DC0769">
        <w:t xml:space="preserve">The National Electricity Rules (NER) </w:t>
      </w:r>
      <w:proofErr w:type="gramStart"/>
      <w:r w:rsidRPr="00DC0769">
        <w:t>require</w:t>
      </w:r>
      <w:proofErr w:type="gramEnd"/>
      <w:r w:rsidRPr="00DC0769">
        <w:t xml:space="preserve"> us to develop and implement mechanisms to incentivise distributors to consider efficient alternatives to building more network.</w:t>
      </w:r>
      <w:r w:rsidRPr="00DC0769">
        <w:rPr>
          <w:rStyle w:val="FootnoteReference"/>
        </w:rPr>
        <w:footnoteReference w:id="1"/>
      </w:r>
      <w:r w:rsidRPr="00DC0769">
        <w:t xml:space="preserve"> To meet this requirement, and motivated by the need to improve distributors' capability in the demand management area, we implemented a demand management incentive scheme (DMIS)</w:t>
      </w:r>
      <w:r w:rsidRPr="005153C1">
        <w:rPr>
          <w:rStyle w:val="FootnoteReference"/>
        </w:rPr>
        <w:footnoteReference w:id="2"/>
      </w:r>
      <w:r>
        <w:t xml:space="preserve"> for Jemena</w:t>
      </w:r>
      <w:r w:rsidR="00AA332E">
        <w:t>'</w:t>
      </w:r>
      <w:r>
        <w:t>s</w:t>
      </w:r>
      <w:r w:rsidRPr="00DC0769">
        <w:t xml:space="preserve"> distribution determination for the 2011–15 regulatory control period.</w:t>
      </w:r>
    </w:p>
    <w:p w:rsidR="00BF2ED7" w:rsidRPr="00BF2ED7" w:rsidRDefault="00BF2ED7" w:rsidP="00BF2ED7">
      <w:pPr>
        <w:numPr>
          <w:ilvl w:val="0"/>
          <w:numId w:val="24"/>
        </w:numPr>
      </w:pPr>
      <w:r w:rsidRPr="00DC0769">
        <w:t>The current DMIS for Jemena includes the demand management innovation allowance (DMIA)</w:t>
      </w:r>
      <w:r>
        <w:t>.</w:t>
      </w:r>
      <w:r w:rsidRPr="005153C1">
        <w:rPr>
          <w:rStyle w:val="FootnoteReference"/>
        </w:rPr>
        <w:footnoteReference w:id="3"/>
      </w:r>
    </w:p>
    <w:p w:rsidR="00BF2ED7" w:rsidRDefault="00BF2ED7" w:rsidP="00BF2ED7">
      <w:pPr>
        <w:numPr>
          <w:ilvl w:val="0"/>
          <w:numId w:val="24"/>
        </w:numPr>
      </w:pPr>
      <w:r w:rsidRPr="00DC0769">
        <w:t xml:space="preserve">The DMIA is a capped allowance for distributors to investigate and conduct broad-based and/or peak demand management projects. </w:t>
      </w:r>
    </w:p>
    <w:p w:rsidR="00BF2ED7" w:rsidRPr="00DC0769" w:rsidRDefault="00BF2ED7" w:rsidP="00BF2ED7">
      <w:pPr>
        <w:numPr>
          <w:ilvl w:val="0"/>
          <w:numId w:val="24"/>
        </w:numPr>
      </w:pPr>
      <w:r>
        <w:t>The DMIS</w:t>
      </w:r>
      <w:r w:rsidRPr="00DC0769">
        <w:t xml:space="preserve"> contains two parts:</w:t>
      </w:r>
    </w:p>
    <w:p w:rsidR="00BF2ED7" w:rsidRPr="00BF2ED7" w:rsidRDefault="00BF2ED7" w:rsidP="00BF2ED7">
      <w:pPr>
        <w:pStyle w:val="AERbulletlistfirststyle"/>
        <w:rPr>
          <w:rStyle w:val="FootnoteReference"/>
        </w:rPr>
      </w:pPr>
      <w:r w:rsidRPr="00DC0769">
        <w:t>Part A provides for an innovation allowance to be incorporated into each distributor's revenue allowance for opex each year of the regulatory control period. Distributors prepare annual reports on their expenditure under the DMIA</w:t>
      </w:r>
      <w:r w:rsidRPr="00BF2ED7">
        <w:rPr>
          <w:rStyle w:val="FootnoteReference"/>
        </w:rPr>
        <w:footnoteReference w:id="4"/>
      </w:r>
      <w:r w:rsidRPr="00BF2ED7">
        <w:rPr>
          <w:rStyle w:val="FootnoteReference"/>
        </w:rPr>
        <w:t xml:space="preserve"> </w:t>
      </w:r>
      <w:r w:rsidRPr="00DC0769">
        <w:t xml:space="preserve"> in the previous year, which we then assess against specific criteria</w:t>
      </w:r>
      <w:r w:rsidRPr="00BF2ED7">
        <w:rPr>
          <w:rStyle w:val="FootnoteReference"/>
        </w:rPr>
        <w:t>.</w:t>
      </w:r>
      <w:r w:rsidRPr="00BF2ED7">
        <w:rPr>
          <w:rStyle w:val="FootnoteReference"/>
        </w:rPr>
        <w:footnoteReference w:id="5"/>
      </w:r>
    </w:p>
    <w:p w:rsidR="00BF2ED7" w:rsidRPr="00DC0769" w:rsidRDefault="00BF2ED7" w:rsidP="00BF2ED7">
      <w:pPr>
        <w:pStyle w:val="AERbulletlistfirststyle"/>
      </w:pPr>
      <w:r w:rsidRPr="00DC0769">
        <w:t xml:space="preserve">Part B compensates distributors for any foregone revenue demonstrated to have resulted from demand management initiatives approved under Part A. We applied this to Jemena during the 2011–15 regulatory control </w:t>
      </w:r>
      <w:proofErr w:type="gramStart"/>
      <w:r w:rsidRPr="00DC0769">
        <w:t>period</w:t>
      </w:r>
      <w:proofErr w:type="gramEnd"/>
      <w:r w:rsidRPr="00DC0769">
        <w:t>. However, Part B will no longer be applica</w:t>
      </w:r>
      <w:r w:rsidR="00E70FFF">
        <w:t>ble to Jemena during the 2016–</w:t>
      </w:r>
      <w:r w:rsidRPr="00DC0769">
        <w:t xml:space="preserve">20 regulatory control </w:t>
      </w:r>
      <w:proofErr w:type="gramStart"/>
      <w:r w:rsidRPr="00DC0769">
        <w:t>period</w:t>
      </w:r>
      <w:proofErr w:type="gramEnd"/>
      <w:r w:rsidRPr="00DC0769">
        <w:t xml:space="preserve"> given the move to a revenue cap form of control. </w:t>
      </w:r>
    </w:p>
    <w:p w:rsidR="00BF2ED7" w:rsidRPr="00DC0769" w:rsidRDefault="00BF2ED7" w:rsidP="00BF2ED7">
      <w:pPr>
        <w:numPr>
          <w:ilvl w:val="0"/>
          <w:numId w:val="24"/>
        </w:numPr>
      </w:pPr>
      <w:r w:rsidRPr="00DC0769">
        <w:t>Under the scheme, we return any underspend against the allowance to customers. Also, once we know the approved DMIA expenditure for each year of the current period, we compensate distributors for approved foregone revenue. We implement this as an adjustment to each distributor's innovation allowance in the following regulatory control period.</w:t>
      </w:r>
    </w:p>
    <w:p w:rsidR="00AA332E" w:rsidRDefault="00AA332E">
      <w:pPr>
        <w:spacing w:line="240" w:lineRule="auto"/>
        <w:rPr>
          <w:rFonts w:eastAsiaTheme="majorEastAsia" w:cstheme="majorBidi"/>
          <w:b/>
          <w:bCs/>
          <w:color w:val="70635A" w:themeColor="text2"/>
          <w:sz w:val="32"/>
          <w:szCs w:val="26"/>
        </w:rPr>
      </w:pPr>
      <w:bookmarkStart w:id="10" w:name="_Toc408404320"/>
      <w:r>
        <w:br w:type="page"/>
      </w:r>
    </w:p>
    <w:p w:rsidR="009A5113" w:rsidRDefault="005C0A7F" w:rsidP="009A5113">
      <w:pPr>
        <w:pStyle w:val="Heading2"/>
      </w:pPr>
      <w:bookmarkStart w:id="11" w:name="_Toc432507459"/>
      <w:r>
        <w:lastRenderedPageBreak/>
        <w:t>Preliminary</w:t>
      </w:r>
      <w:r w:rsidR="009A5113" w:rsidRPr="0074565D">
        <w:t xml:space="preserve"> decision</w:t>
      </w:r>
      <w:bookmarkEnd w:id="10"/>
      <w:bookmarkEnd w:id="11"/>
    </w:p>
    <w:p w:rsidR="00BF2ED7" w:rsidRPr="00BF2ED7" w:rsidRDefault="00BF2ED7" w:rsidP="00BF2ED7">
      <w:pPr>
        <w:numPr>
          <w:ilvl w:val="0"/>
          <w:numId w:val="24"/>
        </w:numPr>
      </w:pPr>
      <w:r w:rsidRPr="00BF2ED7">
        <w:rPr>
          <w:rStyle w:val="AERbody"/>
        </w:rPr>
        <w:t>We have determined to continue Part A of the DMI</w:t>
      </w:r>
      <w:r>
        <w:rPr>
          <w:rStyle w:val="AERbody"/>
        </w:rPr>
        <w:t>S</w:t>
      </w:r>
      <w:r w:rsidRPr="00BF2ED7">
        <w:rPr>
          <w:rStyle w:val="AERbody"/>
        </w:rPr>
        <w:t xml:space="preserve"> for Jemena in the 2016–20 regulatory control </w:t>
      </w:r>
      <w:proofErr w:type="gramStart"/>
      <w:r w:rsidRPr="00BF2ED7">
        <w:rPr>
          <w:rStyle w:val="AERbody"/>
        </w:rPr>
        <w:t>period</w:t>
      </w:r>
      <w:proofErr w:type="gramEnd"/>
      <w:r>
        <w:rPr>
          <w:rStyle w:val="AERbody"/>
        </w:rPr>
        <w:t xml:space="preserve"> (that is, the DMIA component)</w:t>
      </w:r>
      <w:r w:rsidRPr="00BF2ED7">
        <w:rPr>
          <w:rStyle w:val="AERbody"/>
        </w:rPr>
        <w:t>. We will not apply Part B of the DMI</w:t>
      </w:r>
      <w:r>
        <w:rPr>
          <w:rStyle w:val="AERbody"/>
        </w:rPr>
        <w:t>S</w:t>
      </w:r>
      <w:r w:rsidR="00E70FFF">
        <w:rPr>
          <w:rStyle w:val="AERbody"/>
        </w:rPr>
        <w:t xml:space="preserve"> to Jemena for the 2016–</w:t>
      </w:r>
      <w:r w:rsidRPr="00BF2ED7">
        <w:rPr>
          <w:rStyle w:val="AERbody"/>
        </w:rPr>
        <w:t xml:space="preserve">20 regulatory control </w:t>
      </w:r>
      <w:proofErr w:type="gramStart"/>
      <w:r w:rsidRPr="00BF2ED7">
        <w:rPr>
          <w:rStyle w:val="AERbody"/>
        </w:rPr>
        <w:t>period</w:t>
      </w:r>
      <w:proofErr w:type="gramEnd"/>
      <w:r w:rsidRPr="00BF2ED7">
        <w:rPr>
          <w:rStyle w:val="AERbody"/>
        </w:rPr>
        <w:t xml:space="preserve"> because we have decided to apply a revenue cap form of control. This is consistent with our proposed approach in our</w:t>
      </w:r>
      <w:r w:rsidR="00E70FFF">
        <w:rPr>
          <w:rStyle w:val="AERbody"/>
        </w:rPr>
        <w:t xml:space="preserve"> final</w:t>
      </w:r>
      <w:r w:rsidRPr="00BF2ED7">
        <w:rPr>
          <w:rStyle w:val="AERbody"/>
        </w:rPr>
        <w:t xml:space="preserve"> </w:t>
      </w:r>
      <w:r w:rsidR="00E70FFF">
        <w:rPr>
          <w:rStyle w:val="AERbody"/>
        </w:rPr>
        <w:t>framework and a</w:t>
      </w:r>
      <w:r w:rsidRPr="00BF2ED7">
        <w:rPr>
          <w:rStyle w:val="AERbody"/>
        </w:rPr>
        <w:t>pproach (F&amp;A)</w:t>
      </w:r>
      <w:r w:rsidRPr="00DC0769">
        <w:t>.</w:t>
      </w:r>
      <w:r w:rsidRPr="005153C1">
        <w:rPr>
          <w:rStyle w:val="FootnoteReference"/>
        </w:rPr>
        <w:footnoteReference w:id="6"/>
      </w:r>
    </w:p>
    <w:p w:rsidR="00BF2ED7" w:rsidRPr="00DC0769" w:rsidRDefault="00BF2ED7" w:rsidP="00BF2ED7">
      <w:pPr>
        <w:numPr>
          <w:ilvl w:val="0"/>
          <w:numId w:val="24"/>
        </w:numPr>
      </w:pPr>
      <w:r w:rsidRPr="00DC0769">
        <w:t xml:space="preserve">The current </w:t>
      </w:r>
      <w:r>
        <w:t xml:space="preserve">DMIA (Part A of the DMIS) </w:t>
      </w:r>
      <w:r w:rsidRPr="00DC0769">
        <w:t>amount of $</w:t>
      </w:r>
      <w:r>
        <w:t>0.2 million</w:t>
      </w:r>
      <w:r w:rsidRPr="00DC0769">
        <w:t xml:space="preserve"> ($2015) per annum will continue in the 2016–20 regulatory control period.</w:t>
      </w:r>
    </w:p>
    <w:p w:rsidR="009A5113" w:rsidRDefault="006A1C93" w:rsidP="009A5113">
      <w:pPr>
        <w:pStyle w:val="Heading2"/>
      </w:pPr>
      <w:bookmarkStart w:id="12" w:name="_Toc432507460"/>
      <w:r>
        <w:t>Jemena</w:t>
      </w:r>
      <w:r w:rsidR="005C0A7F">
        <w:t>'s proposal</w:t>
      </w:r>
      <w:bookmarkEnd w:id="12"/>
    </w:p>
    <w:p w:rsidR="00BF2ED7" w:rsidRPr="00E20192" w:rsidRDefault="00BF2ED7" w:rsidP="00BF2ED7">
      <w:pPr>
        <w:numPr>
          <w:ilvl w:val="0"/>
          <w:numId w:val="24"/>
        </w:numPr>
      </w:pPr>
      <w:r>
        <w:t>Jemena</w:t>
      </w:r>
      <w:r w:rsidRPr="00754F02">
        <w:t xml:space="preserve"> supported the proposed approach set out in our F&amp;A to continue applying Part A </w:t>
      </w:r>
      <w:r w:rsidR="00466AD6">
        <w:t>(</w:t>
      </w:r>
      <w:r w:rsidRPr="00754F02">
        <w:t>the DMIA</w:t>
      </w:r>
      <w:r w:rsidR="00466AD6">
        <w:t>) of the DMIS</w:t>
      </w:r>
      <w:r>
        <w:t xml:space="preserve">. </w:t>
      </w:r>
      <w:r w:rsidR="00466AD6">
        <w:t xml:space="preserve">However, </w:t>
      </w:r>
      <w:r>
        <w:t xml:space="preserve">Jemena </w:t>
      </w:r>
      <w:r w:rsidRPr="00754F02">
        <w:t>proposed an increase in the scale of the allowance to $</w:t>
      </w:r>
      <w:r>
        <w:t>5.6</w:t>
      </w:r>
      <w:r w:rsidRPr="00754F02">
        <w:t xml:space="preserve"> million ($</w:t>
      </w:r>
      <w:r>
        <w:t>1.1</w:t>
      </w:r>
      <w:r w:rsidRPr="00754F02">
        <w:t xml:space="preserve"> million per annum).</w:t>
      </w:r>
      <w:r w:rsidRPr="00E7665F">
        <w:rPr>
          <w:rStyle w:val="FootnoteReference"/>
        </w:rPr>
        <w:footnoteReference w:id="7"/>
      </w:r>
    </w:p>
    <w:p w:rsidR="00BF2ED7" w:rsidRPr="00BF2ED7" w:rsidRDefault="00BF2ED7" w:rsidP="00BF2ED7">
      <w:pPr>
        <w:numPr>
          <w:ilvl w:val="0"/>
          <w:numId w:val="24"/>
        </w:numPr>
      </w:pPr>
      <w:r>
        <w:t>Jemena propose</w:t>
      </w:r>
      <w:r w:rsidR="00E70FFF">
        <w:t>d</w:t>
      </w:r>
      <w:r w:rsidRPr="00E20192">
        <w:t xml:space="preserve"> to increase their DMIA to $</w:t>
      </w:r>
      <w:r>
        <w:t>5.6</w:t>
      </w:r>
      <w:r w:rsidRPr="00E20192">
        <w:t xml:space="preserve"> million to run a number of projects aimed at </w:t>
      </w:r>
      <w:r w:rsidRPr="00BF2ED7">
        <w:t xml:space="preserve">reducing </w:t>
      </w:r>
      <w:r w:rsidR="00F44B5E">
        <w:t xml:space="preserve">peak demand and </w:t>
      </w:r>
      <w:r w:rsidR="002E7BDB">
        <w:t>network augmentation and improving their knowledge of energy storage and demand response activities.</w:t>
      </w:r>
      <w:r w:rsidRPr="00BF2ED7">
        <w:t xml:space="preserve"> </w:t>
      </w:r>
    </w:p>
    <w:p w:rsidR="009A5113" w:rsidRDefault="009A5113" w:rsidP="009A5113">
      <w:pPr>
        <w:pStyle w:val="Heading2"/>
      </w:pPr>
      <w:bookmarkStart w:id="13" w:name="_Toc408404322"/>
      <w:bookmarkStart w:id="14" w:name="_Toc432507461"/>
      <w:r w:rsidRPr="0074565D">
        <w:t>AER’s assessment approach</w:t>
      </w:r>
      <w:bookmarkEnd w:id="13"/>
      <w:bookmarkEnd w:id="14"/>
    </w:p>
    <w:p w:rsidR="00BF2ED7" w:rsidRPr="00F65FB5" w:rsidRDefault="00BF2ED7" w:rsidP="00BF2ED7">
      <w:pPr>
        <w:numPr>
          <w:ilvl w:val="0"/>
          <w:numId w:val="24"/>
        </w:numPr>
      </w:pPr>
      <w:r w:rsidRPr="00F65FB5">
        <w:t xml:space="preserve">The </w:t>
      </w:r>
      <w:r w:rsidR="00E70FFF">
        <w:t>NER</w:t>
      </w:r>
      <w:r w:rsidRPr="00F65FB5">
        <w:t xml:space="preserve"> require</w:t>
      </w:r>
      <w:r w:rsidR="00E70FFF">
        <w:t>s</w:t>
      </w:r>
      <w:r w:rsidRPr="00F65FB5">
        <w:t xml:space="preserve"> us to have regard to several factors in developing and implementing a DMIS for Jemena.</w:t>
      </w:r>
      <w:r w:rsidRPr="00F65FB5">
        <w:rPr>
          <w:rStyle w:val="FootnoteReference"/>
        </w:rPr>
        <w:footnoteReference w:id="8"/>
      </w:r>
      <w:r w:rsidRPr="00F65FB5">
        <w:t xml:space="preserve"> These are:</w:t>
      </w:r>
    </w:p>
    <w:p w:rsidR="00BF2ED7" w:rsidRPr="00B03093" w:rsidRDefault="00BF2ED7" w:rsidP="00BF2ED7">
      <w:pPr>
        <w:pStyle w:val="AERbulletlistfirststyle"/>
      </w:pPr>
      <w:r w:rsidRPr="00B03093">
        <w:t>Benefits to consumers</w:t>
      </w:r>
    </w:p>
    <w:p w:rsidR="00BF2ED7" w:rsidRPr="00B03093" w:rsidRDefault="00BF2ED7" w:rsidP="00BF2ED7">
      <w:pPr>
        <w:pStyle w:val="AERbulletlistsecondstyle"/>
      </w:pPr>
      <w:r w:rsidRPr="00B03093">
        <w:t>the need to ensure that benefits to electricity consumers likely to result from the scheme are sufficient to warrant any reward or penalty under the scheme</w:t>
      </w:r>
    </w:p>
    <w:p w:rsidR="00BF2ED7" w:rsidRPr="00B03093" w:rsidRDefault="00BF2ED7" w:rsidP="00BF2ED7">
      <w:pPr>
        <w:pStyle w:val="AERbulletlistsecondstyle"/>
      </w:pPr>
      <w:proofErr w:type="gramStart"/>
      <w:r w:rsidRPr="00B03093">
        <w:t>the</w:t>
      </w:r>
      <w:proofErr w:type="gramEnd"/>
      <w:r w:rsidRPr="00B03093">
        <w:t xml:space="preserve"> willingness of customers or end users to pay for increases in costs resulting from implementing DMIS.</w:t>
      </w:r>
    </w:p>
    <w:p w:rsidR="00BF2ED7" w:rsidRPr="00B03093" w:rsidRDefault="00BF2ED7" w:rsidP="00BF2ED7">
      <w:pPr>
        <w:pStyle w:val="AERbulletlistfirststyle"/>
      </w:pPr>
      <w:r w:rsidRPr="00B03093">
        <w:t>Balanced incentives</w:t>
      </w:r>
    </w:p>
    <w:p w:rsidR="00BF2ED7" w:rsidRPr="00B03093" w:rsidRDefault="00BF2ED7" w:rsidP="00BF2ED7">
      <w:pPr>
        <w:pStyle w:val="AERbulletlistsecondstyle"/>
      </w:pPr>
      <w:r w:rsidRPr="00B03093">
        <w:t>the effect of a particular control mechanism (i.e. price as distinct from revenue regulation) on a distributor's incentives to adopt or implement efficient non-network alternatives</w:t>
      </w:r>
    </w:p>
    <w:p w:rsidR="00BF2ED7" w:rsidRPr="00B03093" w:rsidRDefault="00BF2ED7" w:rsidP="00BF2ED7">
      <w:pPr>
        <w:pStyle w:val="AERbulletlistsecondstyle"/>
      </w:pPr>
      <w:r w:rsidRPr="00B03093">
        <w:t xml:space="preserve">the effect of classification of services on a distributor's incentive to adopt or implement efficient embedded generator connections </w:t>
      </w:r>
    </w:p>
    <w:p w:rsidR="00BF2ED7" w:rsidRPr="00B03093" w:rsidRDefault="00BF2ED7" w:rsidP="00BF2ED7">
      <w:pPr>
        <w:pStyle w:val="AERbulletlistsecondstyle"/>
      </w:pPr>
      <w:r w:rsidRPr="00B03093">
        <w:t>the extent the distributor is able to offer efficient pricing structures</w:t>
      </w:r>
    </w:p>
    <w:p w:rsidR="00BF2ED7" w:rsidRPr="00B03093" w:rsidRDefault="00BF2ED7" w:rsidP="00BF2ED7">
      <w:pPr>
        <w:pStyle w:val="AERbulletlistsecondstyle"/>
      </w:pPr>
      <w:proofErr w:type="gramStart"/>
      <w:r w:rsidRPr="00B03093">
        <w:t>the</w:t>
      </w:r>
      <w:proofErr w:type="gramEnd"/>
      <w:r w:rsidRPr="00B03093">
        <w:t xml:space="preserve"> possible interactions between DMIS and other incentive schemes.</w:t>
      </w:r>
    </w:p>
    <w:p w:rsidR="00BF2ED7" w:rsidRPr="00B03093" w:rsidRDefault="00BF2ED7" w:rsidP="00BF2ED7">
      <w:pPr>
        <w:numPr>
          <w:ilvl w:val="0"/>
          <w:numId w:val="24"/>
        </w:numPr>
      </w:pPr>
      <w:r w:rsidRPr="00B03093">
        <w:lastRenderedPageBreak/>
        <w:t>We had regard to these factors in considering the proposed approach to the DMIS for Jemena as set out in our F&amp;A</w:t>
      </w:r>
      <w:r w:rsidRPr="00A17E7B">
        <w:rPr>
          <w:rStyle w:val="FootnoteReference"/>
        </w:rPr>
        <w:footnoteReference w:id="9"/>
      </w:r>
      <w:r w:rsidRPr="00BF2ED7">
        <w:t xml:space="preserve"> </w:t>
      </w:r>
      <w:r w:rsidRPr="00B03093">
        <w:t>and we have again taken these factors into account in making our preliminary decision.</w:t>
      </w:r>
    </w:p>
    <w:p w:rsidR="00874F34" w:rsidRDefault="009A5113" w:rsidP="00874F34">
      <w:pPr>
        <w:pStyle w:val="Heading2"/>
      </w:pPr>
      <w:bookmarkStart w:id="15" w:name="_Toc408404324"/>
      <w:bookmarkStart w:id="16" w:name="_Toc432507462"/>
      <w:r w:rsidRPr="0074565D">
        <w:t xml:space="preserve">Reasons for </w:t>
      </w:r>
      <w:r w:rsidR="00F674CB">
        <w:t>preliminary</w:t>
      </w:r>
      <w:r w:rsidR="00651CB2" w:rsidRPr="0074565D">
        <w:t xml:space="preserve"> </w:t>
      </w:r>
      <w:r w:rsidRPr="0074565D">
        <w:t>decision</w:t>
      </w:r>
      <w:bookmarkEnd w:id="15"/>
      <w:bookmarkEnd w:id="16"/>
      <w:r w:rsidRPr="0074565D">
        <w:t xml:space="preserve"> </w:t>
      </w:r>
    </w:p>
    <w:p w:rsidR="00BF2ED7" w:rsidRPr="00B03093" w:rsidRDefault="00BF2ED7" w:rsidP="00BF2ED7">
      <w:pPr>
        <w:numPr>
          <w:ilvl w:val="0"/>
          <w:numId w:val="24"/>
        </w:numPr>
      </w:pPr>
      <w:r w:rsidRPr="00B03093">
        <w:t>We have determined that the current innovation allowance amount of $</w:t>
      </w:r>
      <w:r w:rsidR="00634F1D">
        <w:t>0.2 million</w:t>
      </w:r>
      <w:r w:rsidRPr="00B03093">
        <w:t xml:space="preserve"> ($2015) per annum </w:t>
      </w:r>
      <w:r w:rsidR="00594238">
        <w:t xml:space="preserve">(or $1 million over the period) </w:t>
      </w:r>
      <w:r w:rsidRPr="00B03093">
        <w:t>will continue in the 2016–20 regulatory control period.</w:t>
      </w:r>
    </w:p>
    <w:p w:rsidR="00BF2ED7" w:rsidRDefault="00BF2ED7" w:rsidP="00BF2ED7">
      <w:pPr>
        <w:numPr>
          <w:ilvl w:val="0"/>
          <w:numId w:val="24"/>
        </w:numPr>
      </w:pPr>
      <w:r w:rsidRPr="00B03093">
        <w:t>Our F&amp;A stated that our intention to develop and implement a new DMIS for the 2016–20 regulatory control period was dependent on the progress of the rule change process arising from the AEMC’s Power of Choice review.</w:t>
      </w:r>
      <w:r w:rsidRPr="00B03093">
        <w:rPr>
          <w:rStyle w:val="FootnoteReference"/>
        </w:rPr>
        <w:footnoteReference w:id="10"/>
      </w:r>
      <w:r w:rsidRPr="00B03093">
        <w:t xml:space="preserve"> On 2</w:t>
      </w:r>
      <w:r w:rsidR="007F20DF">
        <w:t>0 August</w:t>
      </w:r>
      <w:r w:rsidRPr="00B03093">
        <w:t xml:space="preserve"> 2015, the AEMC released the </w:t>
      </w:r>
      <w:r w:rsidR="007F20DF">
        <w:t>final</w:t>
      </w:r>
      <w:r w:rsidRPr="00B03093">
        <w:t xml:space="preserve"> rule change determination.</w:t>
      </w:r>
      <w:r w:rsidR="007F20DF">
        <w:rPr>
          <w:rStyle w:val="FootnoteReference"/>
        </w:rPr>
        <w:footnoteReference w:id="11"/>
      </w:r>
      <w:r w:rsidRPr="00B03093">
        <w:t xml:space="preserve"> </w:t>
      </w:r>
    </w:p>
    <w:p w:rsidR="007F20DF" w:rsidRDefault="007F20DF" w:rsidP="00551A33">
      <w:pPr>
        <w:numPr>
          <w:ilvl w:val="0"/>
          <w:numId w:val="24"/>
        </w:numPr>
      </w:pPr>
      <w:r w:rsidRPr="00966603">
        <w:t>We received submissions from the Victorian Greenhouse Alliances (Alliance), the Department of Economic Development, Jobs, Transport and Resources (Department) and the Consumer Challenge Panel (CCP).</w:t>
      </w:r>
      <w:bookmarkStart w:id="17" w:name="_GoBack"/>
      <w:bookmarkEnd w:id="17"/>
    </w:p>
    <w:p w:rsidR="00634F1D" w:rsidRPr="00634F1D" w:rsidRDefault="00634F1D">
      <w:pPr>
        <w:pStyle w:val="ListParagraph"/>
        <w:numPr>
          <w:ilvl w:val="0"/>
          <w:numId w:val="24"/>
        </w:numPr>
      </w:pPr>
      <w:r w:rsidRPr="00634F1D">
        <w:t xml:space="preserve">The Alliance </w:t>
      </w:r>
      <w:r w:rsidR="00E70FFF">
        <w:t>submitted</w:t>
      </w:r>
      <w:r w:rsidR="007F20DF" w:rsidRPr="007F20DF">
        <w:t xml:space="preserve"> that we should consider the efficient costs for consumers through the application of an appropriate DMIS allowance and ensuring support for other forms of demand management expenditure where there is a compelling business case.</w:t>
      </w:r>
      <w:r w:rsidR="00551A33">
        <w:rPr>
          <w:rStyle w:val="FootnoteReference"/>
        </w:rPr>
        <w:footnoteReference w:id="12"/>
      </w:r>
      <w:r w:rsidR="007F20DF" w:rsidRPr="007F20DF">
        <w:t xml:space="preserve"> Regarding </w:t>
      </w:r>
      <w:r w:rsidR="007F20DF">
        <w:t>Jemena</w:t>
      </w:r>
      <w:r w:rsidR="007F20DF" w:rsidRPr="007F20DF">
        <w:t>, the Alliance conside</w:t>
      </w:r>
      <w:r w:rsidR="00E70FFF">
        <w:t>red</w:t>
      </w:r>
      <w:r w:rsidR="007F20DF" w:rsidRPr="007F20DF">
        <w:t xml:space="preserve"> </w:t>
      </w:r>
      <w:r w:rsidRPr="00634F1D">
        <w:t xml:space="preserve">there is no justification for </w:t>
      </w:r>
      <w:r w:rsidR="00E70FFF">
        <w:t>us</w:t>
      </w:r>
      <w:r w:rsidRPr="00634F1D">
        <w:t xml:space="preserve"> to curtail the modest allowance request proposed in the 2016–20 period.</w:t>
      </w:r>
      <w:r w:rsidRPr="00634F1D">
        <w:rPr>
          <w:rStyle w:val="FootnoteReference"/>
        </w:rPr>
        <w:footnoteReference w:id="13"/>
      </w:r>
    </w:p>
    <w:p w:rsidR="00634F1D" w:rsidRPr="00634F1D" w:rsidRDefault="00634F1D" w:rsidP="00634F1D">
      <w:pPr>
        <w:pStyle w:val="ListParagraph"/>
        <w:numPr>
          <w:ilvl w:val="0"/>
          <w:numId w:val="24"/>
        </w:numPr>
      </w:pPr>
      <w:r w:rsidRPr="00634F1D">
        <w:t xml:space="preserve">The </w:t>
      </w:r>
      <w:r w:rsidRPr="00634F1D">
        <w:rPr>
          <w:lang w:eastAsia="en-AU"/>
        </w:rPr>
        <w:t xml:space="preserve">Department </w:t>
      </w:r>
      <w:r w:rsidRPr="00634F1D">
        <w:t>submitted that the AER should ensure that any funding is consistent with the objectives of the DMIA and demand management initiatives are not funded through the DMIA when it is more appropriate for them to be funded through an opex or capex allowance, or through expenditure incentive schemes.</w:t>
      </w:r>
      <w:r w:rsidRPr="00634F1D">
        <w:rPr>
          <w:rStyle w:val="FootnoteReference"/>
        </w:rPr>
        <w:footnoteReference w:id="14"/>
      </w:r>
    </w:p>
    <w:p w:rsidR="007F20DF" w:rsidRDefault="007F20DF" w:rsidP="007F20DF">
      <w:pPr>
        <w:numPr>
          <w:ilvl w:val="0"/>
          <w:numId w:val="24"/>
        </w:numPr>
      </w:pPr>
      <w:r w:rsidRPr="00966603">
        <w:t xml:space="preserve">The CCP submitted that it is concerned at the large amounts that are included for demand management projects under the DMIA and that </w:t>
      </w:r>
      <w:r w:rsidR="00E70FFF">
        <w:t>we</w:t>
      </w:r>
      <w:r w:rsidRPr="00966603">
        <w:t xml:space="preserve"> </w:t>
      </w:r>
      <w:r w:rsidR="00F44B5E">
        <w:t xml:space="preserve">should </w:t>
      </w:r>
      <w:r w:rsidRPr="00966603">
        <w:t>ensure that there is no duplication and that the projects will provide benefits to consumers. The CCP recommend</w:t>
      </w:r>
      <w:r w:rsidR="00E70FFF">
        <w:t>ed</w:t>
      </w:r>
      <w:r w:rsidRPr="00966603">
        <w:t xml:space="preserve"> that no changes to the incentive schemes should be allowed.</w:t>
      </w:r>
      <w:r w:rsidRPr="002A047E">
        <w:rPr>
          <w:rStyle w:val="AERsuperscript"/>
        </w:rPr>
        <w:footnoteReference w:id="15"/>
      </w:r>
      <w:r w:rsidRPr="00966603">
        <w:t xml:space="preserve"> </w:t>
      </w:r>
    </w:p>
    <w:p w:rsidR="007F20DF" w:rsidRDefault="00BF2ED7" w:rsidP="007F20DF">
      <w:pPr>
        <w:numPr>
          <w:ilvl w:val="0"/>
          <w:numId w:val="24"/>
        </w:numPr>
      </w:pPr>
      <w:r w:rsidRPr="00F83362">
        <w:lastRenderedPageBreak/>
        <w:t xml:space="preserve">We acknowledge the need to reform the existing demand management incentive arrangements and the importance of demand management in deferring the need for network augmentation by alleviating network utilisation during peak usage periods. </w:t>
      </w:r>
      <w:r w:rsidR="00254E64">
        <w:t>However, quite separately to incentive or innovation allowances, t</w:t>
      </w:r>
      <w:r w:rsidRPr="00F83362">
        <w:t xml:space="preserve">he move to a revenue cap form of control removes any disincentive for distributors to reduce the quantity of electricity sold by pursuing demand management initiatives. More robust obligations to consider non-network alternatives </w:t>
      </w:r>
      <w:r w:rsidR="00254E64">
        <w:t xml:space="preserve">under </w:t>
      </w:r>
      <w:r w:rsidRPr="00F83362">
        <w:t xml:space="preserve">RIT-D requirements </w:t>
      </w:r>
      <w:r w:rsidR="00254E64">
        <w:t xml:space="preserve">also </w:t>
      </w:r>
      <w:r w:rsidRPr="00F83362">
        <w:t>provide distributors with opportunities to improve and expand their demand management programs.</w:t>
      </w:r>
    </w:p>
    <w:p w:rsidR="002D4026" w:rsidRDefault="00254E64" w:rsidP="007F20DF">
      <w:pPr>
        <w:numPr>
          <w:ilvl w:val="0"/>
          <w:numId w:val="24"/>
        </w:numPr>
      </w:pPr>
      <w:r>
        <w:t>W</w:t>
      </w:r>
      <w:r w:rsidR="00BF2ED7" w:rsidRPr="00F83362">
        <w:t xml:space="preserve">e recognise the importance of </w:t>
      </w:r>
      <w:r>
        <w:t xml:space="preserve">appropriate </w:t>
      </w:r>
      <w:r w:rsidR="00BF2ED7" w:rsidRPr="00F83362">
        <w:t xml:space="preserve">demand management incentives in order to defer network augmentation. </w:t>
      </w:r>
      <w:r>
        <w:t>I</w:t>
      </w:r>
      <w:r w:rsidR="00634F1D">
        <w:t>n response to submissions</w:t>
      </w:r>
      <w:r>
        <w:t>,</w:t>
      </w:r>
      <w:r w:rsidR="00634F1D">
        <w:t xml:space="preserve"> and consistent with our F&amp;A</w:t>
      </w:r>
      <w:r>
        <w:t>,</w:t>
      </w:r>
      <w:r w:rsidR="00634F1D">
        <w:t xml:space="preserve"> </w:t>
      </w:r>
      <w:r w:rsidR="00BF2ED7" w:rsidRPr="00F83362">
        <w:t xml:space="preserve">we do not consider it appropriate to develop an alternative incentive structure or increase the </w:t>
      </w:r>
      <w:r w:rsidR="00BF2ED7">
        <w:t xml:space="preserve">size of the </w:t>
      </w:r>
      <w:r w:rsidR="00BF2ED7" w:rsidRPr="00F83362">
        <w:t xml:space="preserve">DMIA in parallel to </w:t>
      </w:r>
      <w:r w:rsidR="007F20DF">
        <w:t>developing a new DMIS and DMIA</w:t>
      </w:r>
      <w:r w:rsidR="00BF2ED7" w:rsidRPr="00F83362">
        <w:t>.</w:t>
      </w:r>
      <w:r w:rsidR="00634F1D" w:rsidRPr="00634F1D">
        <w:t xml:space="preserve"> </w:t>
      </w:r>
      <w:r w:rsidR="00634F1D" w:rsidRPr="00D76A60">
        <w:t xml:space="preserve">The </w:t>
      </w:r>
      <w:r w:rsidR="00634F1D">
        <w:t xml:space="preserve">AEMC's </w:t>
      </w:r>
      <w:r w:rsidR="002D4026">
        <w:t>final</w:t>
      </w:r>
      <w:r w:rsidR="00634F1D" w:rsidRPr="00D76A60">
        <w:t xml:space="preserve"> </w:t>
      </w:r>
      <w:r w:rsidR="00634F1D">
        <w:t xml:space="preserve">rule </w:t>
      </w:r>
      <w:r w:rsidR="00634F1D" w:rsidRPr="00D76A60">
        <w:t>determination</w:t>
      </w:r>
      <w:r w:rsidR="00634F1D">
        <w:rPr>
          <w:rStyle w:val="FootnoteReference"/>
        </w:rPr>
        <w:footnoteReference w:id="16"/>
      </w:r>
      <w:r w:rsidR="00634F1D" w:rsidRPr="00D76A60">
        <w:t xml:space="preserve"> requires the AER to develop a demand management incentive scheme and allowance by 1 December 2016. </w:t>
      </w:r>
    </w:p>
    <w:p w:rsidR="00634F1D" w:rsidRDefault="00634F1D" w:rsidP="002D4026">
      <w:r>
        <w:t xml:space="preserve">We do not approve an increase in </w:t>
      </w:r>
      <w:r w:rsidR="002D4026">
        <w:t>Jemena</w:t>
      </w:r>
      <w:r w:rsidR="006F118E">
        <w:t>'s</w:t>
      </w:r>
      <w:r>
        <w:t xml:space="preserve"> allowance. Whilst </w:t>
      </w:r>
      <w:r w:rsidR="00D91477">
        <w:t>Jemena</w:t>
      </w:r>
      <w:r>
        <w:t xml:space="preserve"> have shown their commitment to demand management through the projects implemented in the 2011</w:t>
      </w:r>
      <w:r w:rsidR="00E70FFF">
        <w:rPr>
          <w:rFonts w:cs="Arial"/>
        </w:rPr>
        <w:t>─</w:t>
      </w:r>
      <w:r>
        <w:t>15 regulatory period we do not consider additional funding is appropriate at this stage. Any change to the current allowance (which was originally set by scaling the allowance to the relative size of each DNSP's average annual revenue)</w:t>
      </w:r>
      <w:r>
        <w:rPr>
          <w:rStyle w:val="FootnoteReference"/>
        </w:rPr>
        <w:footnoteReference w:id="17"/>
      </w:r>
      <w:r>
        <w:t xml:space="preserve"> should be considered at a whole of industry level, rather than each individual business. This will be done during the development of the new scheme</w:t>
      </w:r>
      <w:r w:rsidR="007F20DF">
        <w:t xml:space="preserve">. </w:t>
      </w:r>
      <w:r w:rsidR="007F20DF" w:rsidRPr="00E9728F">
        <w:t>This is supported by the CCP recommendation that the incentive scheme remain unchanged.</w:t>
      </w:r>
    </w:p>
    <w:p w:rsidR="00BF2ED7" w:rsidRPr="00B03093" w:rsidRDefault="00BF2ED7" w:rsidP="00BF2ED7">
      <w:pPr>
        <w:numPr>
          <w:ilvl w:val="0"/>
          <w:numId w:val="24"/>
        </w:numPr>
      </w:pPr>
      <w:r w:rsidRPr="00B03093">
        <w:t xml:space="preserve">For these reasons, </w:t>
      </w:r>
      <w:r w:rsidR="007F20DF">
        <w:t>we are not making any changes to the DMIS and</w:t>
      </w:r>
      <w:r w:rsidR="007F20DF" w:rsidRPr="00D76A60">
        <w:t xml:space="preserve"> </w:t>
      </w:r>
      <w:r w:rsidRPr="00B03093">
        <w:t>we have adopted the position proposed in our F&amp;A and approved DMIA allowances consistent with their current scale.</w:t>
      </w:r>
    </w:p>
    <w:p w:rsidR="00874F34" w:rsidRPr="00E70FFF" w:rsidRDefault="00BF2ED7" w:rsidP="00E70FFF">
      <w:r w:rsidRPr="00E70FFF">
        <w:t xml:space="preserve">Jemena proposed a </w:t>
      </w:r>
      <w:r w:rsidR="005E6DFD" w:rsidRPr="00E70FFF">
        <w:t xml:space="preserve">small </w:t>
      </w:r>
      <w:r w:rsidRPr="00E70FFF">
        <w:t>number of demand management costs as part of its total forecast operating expenditure building block. Our decision on Jemena</w:t>
      </w:r>
      <w:r w:rsidR="006F118E" w:rsidRPr="00E70FFF">
        <w:t>'s</w:t>
      </w:r>
      <w:r w:rsidRPr="00E70FFF">
        <w:t xml:space="preserve"> demand management related operating expenditure building block can be found in attachment 7.</w:t>
      </w:r>
    </w:p>
    <w:p w:rsidR="00474EC7" w:rsidRPr="00474EC7" w:rsidRDefault="00474EC7" w:rsidP="00474EC7"/>
    <w:sectPr w:rsidR="00474EC7" w:rsidRPr="00474EC7" w:rsidSect="00B757A6">
      <w:headerReference w:type="even" r:id="rId12"/>
      <w:footerReference w:type="even" r:id="rId13"/>
      <w:footerReference w:type="default" r:id="rId14"/>
      <w:headerReference w:type="first" r:id="rId15"/>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A4A" w:rsidRPr="00290C63" w:rsidRDefault="00961A4A" w:rsidP="00290C63">
      <w:r>
        <w:separator/>
      </w:r>
    </w:p>
    <w:p w:rsidR="00961A4A" w:rsidRDefault="00961A4A"/>
  </w:endnote>
  <w:endnote w:type="continuationSeparator" w:id="0">
    <w:p w:rsidR="00961A4A" w:rsidRPr="00290C63" w:rsidRDefault="00961A4A" w:rsidP="00290C63">
      <w:r>
        <w:continuationSeparator/>
      </w:r>
    </w:p>
    <w:p w:rsidR="00961A4A" w:rsidRDefault="00961A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dge Round">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2C" w:rsidRDefault="00DE772C">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DE772C" w:rsidRDefault="00DE772C">
    <w:pPr>
      <w:pStyle w:val="Footer"/>
    </w:pPr>
  </w:p>
  <w:p w:rsidR="00DE772C" w:rsidRDefault="00D17683">
    <w:pPr>
      <w:pStyle w:val="Footer"/>
    </w:pPr>
    <w:r>
      <w:fldChar w:fldCharType="begin"/>
    </w:r>
    <w:r>
      <w:instrText xml:space="preserve"> DOCPROPERTY DocumentID \* MERGEFORMAT </w:instrText>
    </w:r>
    <w:r>
      <w:fldChar w:fldCharType="separate"/>
    </w:r>
    <w:r w:rsidR="00D45694">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CA52A2" w:rsidRPr="00CA52A2" w:rsidRDefault="00CA52A2" w:rsidP="00CA52A2">
        <w:pPr>
          <w:pStyle w:val="Footer"/>
        </w:pPr>
        <w:r w:rsidRPr="00CA52A2">
          <w:fldChar w:fldCharType="begin"/>
        </w:r>
        <w:r>
          <w:instrText xml:space="preserve"> PAGE   \* MERGEFORMAT </w:instrText>
        </w:r>
        <w:r w:rsidRPr="00CA52A2">
          <w:fldChar w:fldCharType="separate"/>
        </w:r>
        <w:r w:rsidR="00EE6B9F">
          <w:rPr>
            <w:noProof/>
          </w:rPr>
          <w:t>12-9</w:t>
        </w:r>
        <w:r w:rsidRPr="00CA52A2">
          <w:fldChar w:fldCharType="end"/>
        </w:r>
        <w:r w:rsidRPr="00CA52A2">
          <w:t xml:space="preserve">          Attachment 1</w:t>
        </w:r>
        <w:r w:rsidR="00ED0EC2">
          <w:t>2</w:t>
        </w:r>
        <w:r w:rsidRPr="00CA52A2">
          <w:t xml:space="preserve"> – </w:t>
        </w:r>
        <w:r w:rsidR="00ED0EC2">
          <w:t>Demand management incentive scheme</w:t>
        </w:r>
        <w:r w:rsidR="00874F34">
          <w:t xml:space="preserve"> </w:t>
        </w:r>
        <w:r w:rsidRPr="00CA52A2">
          <w:t xml:space="preserve">| </w:t>
        </w:r>
        <w:r w:rsidR="006A1C93">
          <w:t>Jemena</w:t>
        </w:r>
        <w:r w:rsidRPr="00CA52A2">
          <w:t xml:space="preserve"> </w:t>
        </w:r>
        <w:r w:rsidR="001B7D00">
          <w:t>Preliminary decision 2016</w:t>
        </w:r>
        <w:r w:rsidRPr="00CA52A2">
          <w:t>–</w:t>
        </w:r>
        <w:r w:rsidR="001B7D00">
          <w:t>20</w:t>
        </w:r>
      </w:p>
    </w:sdtContent>
  </w:sdt>
  <w:p w:rsidR="00DE772C" w:rsidRDefault="00DE772C">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A4A" w:rsidRPr="00290C63" w:rsidRDefault="00961A4A" w:rsidP="00290C63">
      <w:r>
        <w:separator/>
      </w:r>
    </w:p>
    <w:p w:rsidR="00961A4A" w:rsidRDefault="00961A4A"/>
  </w:footnote>
  <w:footnote w:type="continuationSeparator" w:id="0">
    <w:p w:rsidR="00961A4A" w:rsidRPr="00290C63" w:rsidRDefault="00961A4A" w:rsidP="00290C63">
      <w:r>
        <w:continuationSeparator/>
      </w:r>
    </w:p>
    <w:p w:rsidR="00961A4A" w:rsidRDefault="00961A4A"/>
  </w:footnote>
  <w:footnote w:id="1">
    <w:p w:rsidR="00BF2ED7" w:rsidRDefault="00BF2ED7" w:rsidP="00BF2ED7">
      <w:pPr>
        <w:pStyle w:val="FootnoteText"/>
      </w:pPr>
      <w:r>
        <w:rPr>
          <w:rStyle w:val="FootnoteReference"/>
        </w:rPr>
        <w:footnoteRef/>
      </w:r>
      <w:r>
        <w:t xml:space="preserve"> </w:t>
      </w:r>
      <w:r>
        <w:tab/>
      </w:r>
      <w:proofErr w:type="gramStart"/>
      <w:r>
        <w:t>NER, cl. 6.6.3(a).</w:t>
      </w:r>
      <w:proofErr w:type="gramEnd"/>
      <w:r>
        <w:t xml:space="preserve"> </w:t>
      </w:r>
    </w:p>
  </w:footnote>
  <w:footnote w:id="2">
    <w:p w:rsidR="00BF2ED7" w:rsidRDefault="00BF2ED7" w:rsidP="00BF2ED7">
      <w:pPr>
        <w:pStyle w:val="FootnoteText"/>
      </w:pPr>
      <w:r>
        <w:rPr>
          <w:rStyle w:val="FootnoteReference"/>
        </w:rPr>
        <w:footnoteRef/>
      </w:r>
      <w:r>
        <w:t xml:space="preserve"> </w:t>
      </w:r>
      <w:r>
        <w:tab/>
        <w:t>The rules have since changed the name to '</w:t>
      </w:r>
      <w:r w:rsidRPr="000A4391">
        <w:t>Demand Management and Embedded Generation Connection Incentive Scheme</w:t>
      </w:r>
      <w:r>
        <w:t>'</w:t>
      </w:r>
      <w:r w:rsidRPr="000A4391">
        <w:t xml:space="preserve"> (DMEGCIS)</w:t>
      </w:r>
      <w:r>
        <w:t xml:space="preserve"> to explicitly cover innovation with respect to the connection of embedded generation. Our current and proposed DMIS includes embedded generation. We consider embedded generation to be one means of demand management, as it typically reduces demand for power drawn from a distribution network. </w:t>
      </w:r>
    </w:p>
  </w:footnote>
  <w:footnote w:id="3">
    <w:p w:rsidR="00BF2ED7" w:rsidRDefault="00BF2ED7" w:rsidP="00BF2ED7">
      <w:pPr>
        <w:pStyle w:val="FootnoteText"/>
      </w:pPr>
      <w:r>
        <w:rPr>
          <w:rStyle w:val="FootnoteReference"/>
        </w:rPr>
        <w:footnoteRef/>
      </w:r>
      <w:r>
        <w:t xml:space="preserve"> </w:t>
      </w:r>
      <w:r>
        <w:tab/>
      </w:r>
      <w:r w:rsidRPr="00F84878">
        <w:t xml:space="preserve">AER, </w:t>
      </w:r>
      <w:r w:rsidRPr="00F84878">
        <w:rPr>
          <w:rStyle w:val="AERtextitalic"/>
        </w:rPr>
        <w:t xml:space="preserve">Demand management </w:t>
      </w:r>
      <w:r w:rsidR="00AA332E">
        <w:rPr>
          <w:rStyle w:val="AERtextitalic"/>
        </w:rPr>
        <w:t>incentive scheme – Jemena, CitiP</w:t>
      </w:r>
      <w:r w:rsidRPr="00F84878">
        <w:rPr>
          <w:rStyle w:val="AERtextitalic"/>
        </w:rPr>
        <w:t>ower, Powercor, SP AusNet and United Energy: 2011–15</w:t>
      </w:r>
      <w:r w:rsidRPr="00F84878">
        <w:t xml:space="preserve">, April 2009. </w:t>
      </w:r>
    </w:p>
  </w:footnote>
  <w:footnote w:id="4">
    <w:p w:rsidR="00BF2ED7" w:rsidRDefault="00BF2ED7" w:rsidP="00BF2ED7">
      <w:pPr>
        <w:pStyle w:val="FootnoteText"/>
      </w:pPr>
      <w:r>
        <w:rPr>
          <w:rStyle w:val="FootnoteReference"/>
        </w:rPr>
        <w:footnoteRef/>
      </w:r>
      <w:r>
        <w:t xml:space="preserve"> </w:t>
      </w:r>
      <w:r>
        <w:tab/>
      </w:r>
      <w:r w:rsidRPr="00F84878">
        <w:t>The DMIA excludes the costs of demand management initiatives approved in our determination for the 2011</w:t>
      </w:r>
      <w:r w:rsidRPr="00F84878">
        <w:rPr>
          <w:rFonts w:cs="Gautami"/>
        </w:rPr>
        <w:t>–</w:t>
      </w:r>
      <w:r w:rsidRPr="00F84878">
        <w:t xml:space="preserve">15 regulatory control </w:t>
      </w:r>
      <w:proofErr w:type="gramStart"/>
      <w:r w:rsidRPr="00F84878">
        <w:t>period</w:t>
      </w:r>
      <w:proofErr w:type="gramEnd"/>
      <w:r w:rsidRPr="00F84878">
        <w:rPr>
          <w:rStyle w:val="AERtextitalic"/>
        </w:rPr>
        <w:t>.</w:t>
      </w:r>
    </w:p>
  </w:footnote>
  <w:footnote w:id="5">
    <w:p w:rsidR="00BF2ED7" w:rsidRDefault="00BF2ED7" w:rsidP="00BF2ED7">
      <w:pPr>
        <w:pStyle w:val="FootnoteText"/>
      </w:pPr>
      <w:r>
        <w:rPr>
          <w:rStyle w:val="FootnoteReference"/>
        </w:rPr>
        <w:footnoteRef/>
      </w:r>
      <w:r>
        <w:t xml:space="preserve"> </w:t>
      </w:r>
      <w:r>
        <w:tab/>
      </w:r>
      <w:r w:rsidRPr="00F84878">
        <w:t xml:space="preserve">AER, </w:t>
      </w:r>
      <w:r w:rsidRPr="00F84878">
        <w:rPr>
          <w:rStyle w:val="AERtextitalic"/>
        </w:rPr>
        <w:t xml:space="preserve">Demand management </w:t>
      </w:r>
      <w:r w:rsidR="00AA332E">
        <w:rPr>
          <w:rStyle w:val="AERtextitalic"/>
        </w:rPr>
        <w:t>incentive scheme – Jemena, CitiP</w:t>
      </w:r>
      <w:r w:rsidRPr="00F84878">
        <w:rPr>
          <w:rStyle w:val="AERtextitalic"/>
        </w:rPr>
        <w:t>ower, Powercor, SP AusNet and United Energy: 2011–15</w:t>
      </w:r>
      <w:r w:rsidRPr="00F84878">
        <w:t xml:space="preserve">, April 2009, pp. </w:t>
      </w:r>
      <w:r w:rsidR="00E70FFF">
        <w:t>5</w:t>
      </w:r>
      <w:r w:rsidR="00E70FFF">
        <w:rPr>
          <w:rFonts w:cs="Arial"/>
        </w:rPr>
        <w:t>─</w:t>
      </w:r>
      <w:r w:rsidR="00CA2DA0">
        <w:t>6</w:t>
      </w:r>
      <w:r w:rsidRPr="00F84878">
        <w:t>.</w:t>
      </w:r>
    </w:p>
  </w:footnote>
  <w:footnote w:id="6">
    <w:p w:rsidR="00BF2ED7" w:rsidRDefault="00BF2ED7" w:rsidP="00BF2ED7">
      <w:pPr>
        <w:pStyle w:val="FootnoteText"/>
      </w:pPr>
      <w:r>
        <w:rPr>
          <w:rStyle w:val="FootnoteReference"/>
        </w:rPr>
        <w:footnoteRef/>
      </w:r>
      <w:r>
        <w:t xml:space="preserve"> </w:t>
      </w:r>
      <w:r>
        <w:tab/>
        <w:t xml:space="preserve">AER, </w:t>
      </w:r>
      <w:r w:rsidRPr="00E70FFF">
        <w:rPr>
          <w:rStyle w:val="AERtextitalic"/>
        </w:rPr>
        <w:t>Final Framework and Approach for the Victorian Electricity Distributors</w:t>
      </w:r>
      <w:r>
        <w:t>, October 2014, p. 114.</w:t>
      </w:r>
    </w:p>
  </w:footnote>
  <w:footnote w:id="7">
    <w:p w:rsidR="00BF2ED7" w:rsidRPr="00E7665F" w:rsidRDefault="00BF2ED7" w:rsidP="00BF2ED7">
      <w:pPr>
        <w:pStyle w:val="FootnoteText"/>
      </w:pPr>
      <w:r>
        <w:rPr>
          <w:rStyle w:val="FootnoteReference"/>
        </w:rPr>
        <w:footnoteRef/>
      </w:r>
      <w:r>
        <w:t xml:space="preserve"> </w:t>
      </w:r>
      <w:r>
        <w:tab/>
      </w:r>
      <w:r w:rsidRPr="00470425">
        <w:t>Jemena</w:t>
      </w:r>
      <w:r w:rsidR="00E70FFF">
        <w:t>,</w:t>
      </w:r>
      <w:r w:rsidRPr="00470425">
        <w:t xml:space="preserve"> </w:t>
      </w:r>
      <w:r w:rsidRPr="00470425">
        <w:rPr>
          <w:rStyle w:val="AERtextitalic"/>
        </w:rPr>
        <w:t xml:space="preserve">Regulatory Proposal, </w:t>
      </w:r>
      <w:r w:rsidR="00E70FFF">
        <w:t>30 April 2015, pp. 43</w:t>
      </w:r>
      <w:r w:rsidR="00E70FFF">
        <w:rPr>
          <w:rFonts w:cs="Arial"/>
        </w:rPr>
        <w:t>─</w:t>
      </w:r>
      <w:r w:rsidRPr="00470425">
        <w:t>44</w:t>
      </w:r>
      <w:r w:rsidRPr="00754F02">
        <w:rPr>
          <w:color w:val="0070C0"/>
        </w:rPr>
        <w:t>.</w:t>
      </w:r>
    </w:p>
  </w:footnote>
  <w:footnote w:id="8">
    <w:p w:rsidR="00BF2ED7" w:rsidRDefault="00BF2ED7" w:rsidP="00BF2ED7">
      <w:pPr>
        <w:pStyle w:val="FootnoteText"/>
      </w:pPr>
      <w:r>
        <w:rPr>
          <w:rStyle w:val="FootnoteReference"/>
        </w:rPr>
        <w:footnoteRef/>
      </w:r>
      <w:r>
        <w:t xml:space="preserve"> </w:t>
      </w:r>
      <w:r>
        <w:tab/>
      </w:r>
      <w:proofErr w:type="gramStart"/>
      <w:r>
        <w:t>NER, cl</w:t>
      </w:r>
      <w:r w:rsidR="00E70FFF">
        <w:t>.</w:t>
      </w:r>
      <w:r>
        <w:t xml:space="preserve"> 6.6.3(b).</w:t>
      </w:r>
      <w:proofErr w:type="gramEnd"/>
    </w:p>
  </w:footnote>
  <w:footnote w:id="9">
    <w:p w:rsidR="00BF2ED7" w:rsidRDefault="00BF2ED7" w:rsidP="00BF2ED7">
      <w:pPr>
        <w:pStyle w:val="FootnoteText"/>
      </w:pPr>
      <w:r>
        <w:rPr>
          <w:rStyle w:val="FootnoteReference"/>
        </w:rPr>
        <w:footnoteRef/>
      </w:r>
      <w:r>
        <w:t xml:space="preserve"> </w:t>
      </w:r>
      <w:r>
        <w:tab/>
        <w:t xml:space="preserve">AER, </w:t>
      </w:r>
      <w:r w:rsidRPr="00E70FFF">
        <w:rPr>
          <w:rStyle w:val="AERtextitalic"/>
        </w:rPr>
        <w:t>Final Framework and Approach for the Victorian Electricity Distributors</w:t>
      </w:r>
      <w:r>
        <w:t>, October 2014, p. 114.</w:t>
      </w:r>
    </w:p>
  </w:footnote>
  <w:footnote w:id="10">
    <w:p w:rsidR="00BF2ED7" w:rsidRDefault="00BF2ED7" w:rsidP="00AA332E">
      <w:pPr>
        <w:pStyle w:val="FootnoteText"/>
      </w:pPr>
      <w:r>
        <w:rPr>
          <w:rStyle w:val="FootnoteReference"/>
        </w:rPr>
        <w:footnoteRef/>
      </w:r>
      <w:r>
        <w:t xml:space="preserve"> </w:t>
      </w:r>
      <w:r>
        <w:tab/>
        <w:t xml:space="preserve">AER, </w:t>
      </w:r>
      <w:r w:rsidRPr="00E70FFF">
        <w:rPr>
          <w:rStyle w:val="AERtextitalic"/>
        </w:rPr>
        <w:t>Final Framework and Approach for the Victorian Electricity Distributors</w:t>
      </w:r>
      <w:r>
        <w:t>, October 2014, p. 114.</w:t>
      </w:r>
      <w:r w:rsidR="006F118E">
        <w:t xml:space="preserve"> </w:t>
      </w:r>
      <w:r>
        <w:t>For information regarding the AEMC's Power of Choice Review, see</w:t>
      </w:r>
      <w:r w:rsidRPr="00AA332E">
        <w:t xml:space="preserve"> </w:t>
      </w:r>
      <w:hyperlink r:id="rId1" w:history="1">
        <w:r w:rsidR="00AA332E" w:rsidRPr="009A314B">
          <w:rPr>
            <w:rStyle w:val="Hyperlink"/>
            <w:sz w:val="16"/>
          </w:rPr>
          <w:t>http://www.aemc.gov.au/Major-Pages/Power-of-choice</w:t>
        </w:r>
      </w:hyperlink>
      <w:r w:rsidR="00AA332E">
        <w:t>.</w:t>
      </w:r>
      <w:r>
        <w:t xml:space="preserve"> The AEMC received a proposed rule change from COAG Energy Ministers and the Total Environment Centre.</w:t>
      </w:r>
    </w:p>
  </w:footnote>
  <w:footnote w:id="11">
    <w:p w:rsidR="007F20DF" w:rsidRDefault="007F20DF" w:rsidP="007F20DF">
      <w:pPr>
        <w:pStyle w:val="FootnoteText"/>
      </w:pPr>
      <w:r>
        <w:rPr>
          <w:rStyle w:val="FootnoteReference"/>
        </w:rPr>
        <w:footnoteRef/>
      </w:r>
      <w:r>
        <w:t xml:space="preserve"> </w:t>
      </w:r>
      <w:r>
        <w:tab/>
      </w:r>
      <w:r w:rsidRPr="007F20DF">
        <w:t xml:space="preserve">AEMC, </w:t>
      </w:r>
      <w:r w:rsidRPr="00E70FFF">
        <w:rPr>
          <w:rStyle w:val="AERtextitalic"/>
        </w:rPr>
        <w:t>Rule Determination, National Electricity Amendment (Demand Management Incentive Scheme) Rule 2015</w:t>
      </w:r>
      <w:r w:rsidRPr="007F20DF">
        <w:t>, 20 August 2015.</w:t>
      </w:r>
    </w:p>
  </w:footnote>
  <w:footnote w:id="12">
    <w:p w:rsidR="00551A33" w:rsidRDefault="00551A33" w:rsidP="00E70FFF">
      <w:pPr>
        <w:pStyle w:val="FootnoteText"/>
      </w:pPr>
      <w:r>
        <w:rPr>
          <w:rStyle w:val="FootnoteReference"/>
        </w:rPr>
        <w:footnoteRef/>
      </w:r>
      <w:r>
        <w:t xml:space="preserve"> </w:t>
      </w:r>
      <w:r>
        <w:tab/>
      </w:r>
      <w:r w:rsidRPr="00E70FFF">
        <w:t>Local Government</w:t>
      </w:r>
      <w:r w:rsidR="00E70FFF" w:rsidRPr="00E70FFF">
        <w:t>,</w:t>
      </w:r>
      <w:r w:rsidRPr="002D667A">
        <w:rPr>
          <w:rStyle w:val="AERtextitalic"/>
        </w:rPr>
        <w:t xml:space="preserve"> Response to the Victorian Electricity Distribution Price Review (EDPR) 2016-20</w:t>
      </w:r>
      <w:r>
        <w:t>, 13 July 2015, p. 26.</w:t>
      </w:r>
    </w:p>
  </w:footnote>
  <w:footnote w:id="13">
    <w:p w:rsidR="00634F1D" w:rsidRDefault="00634F1D" w:rsidP="00E70FFF">
      <w:pPr>
        <w:pStyle w:val="FootnoteText"/>
      </w:pPr>
      <w:r>
        <w:rPr>
          <w:rStyle w:val="FootnoteReference"/>
        </w:rPr>
        <w:footnoteRef/>
      </w:r>
      <w:r>
        <w:t xml:space="preserve"> </w:t>
      </w:r>
      <w:r>
        <w:tab/>
      </w:r>
      <w:r w:rsidRPr="00E70FFF">
        <w:t>Local Government</w:t>
      </w:r>
      <w:r w:rsidR="00E70FFF">
        <w:rPr>
          <w:rStyle w:val="AERtextitalic"/>
        </w:rPr>
        <w:t>,</w:t>
      </w:r>
      <w:r w:rsidRPr="002D667A">
        <w:rPr>
          <w:rStyle w:val="AERtextitalic"/>
        </w:rPr>
        <w:t xml:space="preserve"> Response to the Victorian Electricity Distribution Price Review (EDPR) 2016-20</w:t>
      </w:r>
      <w:r>
        <w:t>, 13 July 2015, p. 30.</w:t>
      </w:r>
    </w:p>
  </w:footnote>
  <w:footnote w:id="14">
    <w:p w:rsidR="00634F1D" w:rsidRDefault="00634F1D" w:rsidP="006F118E">
      <w:pPr>
        <w:pStyle w:val="FootnoteText"/>
      </w:pPr>
      <w:r>
        <w:rPr>
          <w:rStyle w:val="FootnoteReference"/>
        </w:rPr>
        <w:footnoteRef/>
      </w:r>
      <w:r>
        <w:t xml:space="preserve"> </w:t>
      </w:r>
      <w:r>
        <w:tab/>
      </w:r>
      <w:r w:rsidR="00E70FFF" w:rsidRPr="00966603">
        <w:t>Department of Economic Development, Jobs, Transport and Resources</w:t>
      </w:r>
      <w:r w:rsidR="00E70FFF">
        <w:t xml:space="preserve">, </w:t>
      </w:r>
      <w:r w:rsidRPr="002D667A">
        <w:rPr>
          <w:rStyle w:val="AERtextitalic"/>
        </w:rPr>
        <w:t>Submission to Victorian electricity distribution pricing review – 2016 to 2020</w:t>
      </w:r>
      <w:r>
        <w:t>, 13 July 2016, p. 13</w:t>
      </w:r>
      <w:r w:rsidR="00AA332E">
        <w:t>.</w:t>
      </w:r>
    </w:p>
  </w:footnote>
  <w:footnote w:id="15">
    <w:p w:rsidR="007F20DF" w:rsidRDefault="007F20DF" w:rsidP="007F20DF">
      <w:pPr>
        <w:pStyle w:val="FootnoteText"/>
      </w:pPr>
      <w:r>
        <w:rPr>
          <w:rStyle w:val="FootnoteReference"/>
        </w:rPr>
        <w:footnoteRef/>
      </w:r>
      <w:r>
        <w:t xml:space="preserve"> </w:t>
      </w:r>
      <w:r>
        <w:tab/>
        <w:t>C</w:t>
      </w:r>
      <w:r w:rsidR="004813C0">
        <w:t xml:space="preserve">onsumer Challenge Panel Sub Panel 3, </w:t>
      </w:r>
      <w:r w:rsidR="004813C0" w:rsidRPr="004813C0">
        <w:rPr>
          <w:rStyle w:val="Emphasis"/>
        </w:rPr>
        <w:t>Response to proposals from Victorian electricity distribution network service providers for a revenue reset for the 2016-20 regulatory period</w:t>
      </w:r>
      <w:r w:rsidR="004813C0">
        <w:t xml:space="preserve">, 10 August 2015, </w:t>
      </w:r>
      <w:r>
        <w:t>p. 10</w:t>
      </w:r>
      <w:r w:rsidR="004813C0">
        <w:t>.</w:t>
      </w:r>
      <w:r>
        <w:t xml:space="preserve"> </w:t>
      </w:r>
    </w:p>
  </w:footnote>
  <w:footnote w:id="16">
    <w:p w:rsidR="00E57A97" w:rsidRDefault="00634F1D" w:rsidP="00634F1D">
      <w:pPr>
        <w:pStyle w:val="FootnoteText"/>
      </w:pPr>
      <w:r>
        <w:rPr>
          <w:rStyle w:val="FootnoteReference"/>
        </w:rPr>
        <w:footnoteRef/>
      </w:r>
      <w:r>
        <w:t xml:space="preserve"> </w:t>
      </w:r>
      <w:r>
        <w:tab/>
      </w:r>
      <w:r w:rsidR="007F20DF" w:rsidRPr="00746498">
        <w:t xml:space="preserve">AEMC, </w:t>
      </w:r>
      <w:r w:rsidR="007F20DF" w:rsidRPr="00E70FFF">
        <w:rPr>
          <w:rStyle w:val="AERtextitalic"/>
        </w:rPr>
        <w:t>Rule Determination, National Electricity Amendment (Demand Management Incentive Sc</w:t>
      </w:r>
      <w:r w:rsidR="00F44B5E" w:rsidRPr="00E70FFF">
        <w:rPr>
          <w:rStyle w:val="AERtextitalic"/>
        </w:rPr>
        <w:t>heme) Rule 2015</w:t>
      </w:r>
      <w:r w:rsidR="00F44B5E">
        <w:t>, 20 August 2015</w:t>
      </w:r>
      <w:r w:rsidRPr="00746498">
        <w:t>:</w:t>
      </w:r>
      <w:r w:rsidR="00E57A97" w:rsidRPr="00E57A97">
        <w:t xml:space="preserve"> </w:t>
      </w:r>
      <w:hyperlink r:id="rId2" w:history="1">
        <w:r w:rsidR="00E57A97" w:rsidRPr="002A02EC">
          <w:rPr>
            <w:rStyle w:val="Hyperlink"/>
            <w:sz w:val="16"/>
          </w:rPr>
          <w:t>http://www.aemc.gov.au/getattachment/f866b41b-753b-471c-91cf-4f558ca130b2/Final-rule-determination.aspx</w:t>
        </w:r>
      </w:hyperlink>
      <w:r w:rsidR="00AA332E" w:rsidRPr="00F84878">
        <w:t>.</w:t>
      </w:r>
    </w:p>
  </w:footnote>
  <w:footnote w:id="17">
    <w:p w:rsidR="00634F1D" w:rsidRDefault="00634F1D" w:rsidP="00634F1D">
      <w:pPr>
        <w:pStyle w:val="FootnoteText"/>
      </w:pPr>
      <w:r>
        <w:rPr>
          <w:rStyle w:val="FootnoteReference"/>
        </w:rPr>
        <w:footnoteRef/>
      </w:r>
      <w:r>
        <w:t xml:space="preserve"> </w:t>
      </w:r>
      <w:r>
        <w:tab/>
      </w:r>
      <w:r w:rsidRPr="00F84878">
        <w:t xml:space="preserve">AER, </w:t>
      </w:r>
      <w:r w:rsidRPr="00F84878">
        <w:rPr>
          <w:rStyle w:val="AERtextitalic"/>
        </w:rPr>
        <w:t xml:space="preserve">Demand management </w:t>
      </w:r>
      <w:r w:rsidR="00AA332E">
        <w:rPr>
          <w:rStyle w:val="AERtextitalic"/>
        </w:rPr>
        <w:t>incentive scheme – Jemena, CitiP</w:t>
      </w:r>
      <w:r w:rsidRPr="00F84878">
        <w:rPr>
          <w:rStyle w:val="AERtextitalic"/>
        </w:rPr>
        <w:t>ower, Powercor, SP AusNet and United Energy: 2011–15</w:t>
      </w:r>
      <w:r w:rsidRPr="00F84878">
        <w:t>, April 2009.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2C" w:rsidRDefault="00230671">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DE772C">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2C" w:rsidRDefault="00230671">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035C22CC"/>
    <w:lvl w:ilvl="0">
      <w:start w:val="12"/>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6"/>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xoxqsTZ9nDKevXW5nYNpoIIUAIFcrzC8x7DF+MtqosU=" w:saltValue="C28DuE0FYigHwLAzkVjjAg=="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alewi\Desktop\Templates\ausnet - prelim decision - attachment 13.docx"/>
  </w:docVars>
  <w:rsids>
    <w:rsidRoot w:val="00961A4A"/>
    <w:rsid w:val="00010286"/>
    <w:rsid w:val="00021202"/>
    <w:rsid w:val="00021C2B"/>
    <w:rsid w:val="0002517F"/>
    <w:rsid w:val="00026495"/>
    <w:rsid w:val="0003578C"/>
    <w:rsid w:val="000401AF"/>
    <w:rsid w:val="00063247"/>
    <w:rsid w:val="00070F9F"/>
    <w:rsid w:val="0007137B"/>
    <w:rsid w:val="00085663"/>
    <w:rsid w:val="00085EBF"/>
    <w:rsid w:val="00091B15"/>
    <w:rsid w:val="000A3020"/>
    <w:rsid w:val="000A362D"/>
    <w:rsid w:val="000A6C7B"/>
    <w:rsid w:val="000C2B40"/>
    <w:rsid w:val="000D06C1"/>
    <w:rsid w:val="000D122C"/>
    <w:rsid w:val="000D3016"/>
    <w:rsid w:val="000E1819"/>
    <w:rsid w:val="000E4821"/>
    <w:rsid w:val="000E6C72"/>
    <w:rsid w:val="000F0B2B"/>
    <w:rsid w:val="000F3E72"/>
    <w:rsid w:val="000F48B1"/>
    <w:rsid w:val="00116EB2"/>
    <w:rsid w:val="00124609"/>
    <w:rsid w:val="00126A4C"/>
    <w:rsid w:val="00142AB6"/>
    <w:rsid w:val="0014573B"/>
    <w:rsid w:val="00145E57"/>
    <w:rsid w:val="001573E4"/>
    <w:rsid w:val="00160756"/>
    <w:rsid w:val="0017232E"/>
    <w:rsid w:val="00174102"/>
    <w:rsid w:val="001754EE"/>
    <w:rsid w:val="00180157"/>
    <w:rsid w:val="00185CB9"/>
    <w:rsid w:val="00186F77"/>
    <w:rsid w:val="001926A4"/>
    <w:rsid w:val="00192AD5"/>
    <w:rsid w:val="001B45A0"/>
    <w:rsid w:val="001B7D00"/>
    <w:rsid w:val="001D055E"/>
    <w:rsid w:val="001F05A4"/>
    <w:rsid w:val="001F492E"/>
    <w:rsid w:val="001F6DA3"/>
    <w:rsid w:val="002010BC"/>
    <w:rsid w:val="002016E7"/>
    <w:rsid w:val="00201F98"/>
    <w:rsid w:val="00202E03"/>
    <w:rsid w:val="0020478D"/>
    <w:rsid w:val="0020492C"/>
    <w:rsid w:val="00224DB9"/>
    <w:rsid w:val="00227DCE"/>
    <w:rsid w:val="00230671"/>
    <w:rsid w:val="0023276C"/>
    <w:rsid w:val="00233775"/>
    <w:rsid w:val="00251745"/>
    <w:rsid w:val="00254E64"/>
    <w:rsid w:val="00263AC0"/>
    <w:rsid w:val="00264264"/>
    <w:rsid w:val="0026772D"/>
    <w:rsid w:val="00286874"/>
    <w:rsid w:val="00290C63"/>
    <w:rsid w:val="00296B65"/>
    <w:rsid w:val="002A7DEF"/>
    <w:rsid w:val="002B1003"/>
    <w:rsid w:val="002C233C"/>
    <w:rsid w:val="002D4026"/>
    <w:rsid w:val="002D72E8"/>
    <w:rsid w:val="002E7B22"/>
    <w:rsid w:val="002E7BDB"/>
    <w:rsid w:val="002F7986"/>
    <w:rsid w:val="00301B40"/>
    <w:rsid w:val="003029EE"/>
    <w:rsid w:val="0030370B"/>
    <w:rsid w:val="00305CC8"/>
    <w:rsid w:val="00307F6D"/>
    <w:rsid w:val="003177A2"/>
    <w:rsid w:val="003271B5"/>
    <w:rsid w:val="00327A1E"/>
    <w:rsid w:val="00331264"/>
    <w:rsid w:val="00334C8D"/>
    <w:rsid w:val="00343A18"/>
    <w:rsid w:val="00344473"/>
    <w:rsid w:val="003518B3"/>
    <w:rsid w:val="003846F1"/>
    <w:rsid w:val="003931A7"/>
    <w:rsid w:val="003A3B3B"/>
    <w:rsid w:val="003B484F"/>
    <w:rsid w:val="003B7FBA"/>
    <w:rsid w:val="003D32D0"/>
    <w:rsid w:val="003D6EDB"/>
    <w:rsid w:val="003F174D"/>
    <w:rsid w:val="003F7442"/>
    <w:rsid w:val="00415F31"/>
    <w:rsid w:val="00423A77"/>
    <w:rsid w:val="0045777E"/>
    <w:rsid w:val="00466AD6"/>
    <w:rsid w:val="00474EC7"/>
    <w:rsid w:val="00480B4B"/>
    <w:rsid w:val="004813C0"/>
    <w:rsid w:val="00485DC4"/>
    <w:rsid w:val="004A43D1"/>
    <w:rsid w:val="004B4412"/>
    <w:rsid w:val="004C348C"/>
    <w:rsid w:val="004D55BA"/>
    <w:rsid w:val="004E22EC"/>
    <w:rsid w:val="004F6A0E"/>
    <w:rsid w:val="00530128"/>
    <w:rsid w:val="00532467"/>
    <w:rsid w:val="00537FD6"/>
    <w:rsid w:val="00551A33"/>
    <w:rsid w:val="00564A4D"/>
    <w:rsid w:val="0056588A"/>
    <w:rsid w:val="00567BA5"/>
    <w:rsid w:val="00571B35"/>
    <w:rsid w:val="00571D57"/>
    <w:rsid w:val="00577A09"/>
    <w:rsid w:val="005829C2"/>
    <w:rsid w:val="00584D8F"/>
    <w:rsid w:val="00586819"/>
    <w:rsid w:val="00594238"/>
    <w:rsid w:val="0059704C"/>
    <w:rsid w:val="005A404D"/>
    <w:rsid w:val="005B1E3C"/>
    <w:rsid w:val="005B704A"/>
    <w:rsid w:val="005C0A7F"/>
    <w:rsid w:val="005C26CC"/>
    <w:rsid w:val="005C4C9C"/>
    <w:rsid w:val="005D7BA2"/>
    <w:rsid w:val="005E36C2"/>
    <w:rsid w:val="005E6DFD"/>
    <w:rsid w:val="006007DE"/>
    <w:rsid w:val="00601638"/>
    <w:rsid w:val="00610EF9"/>
    <w:rsid w:val="00612F4F"/>
    <w:rsid w:val="00615C6B"/>
    <w:rsid w:val="00621DCE"/>
    <w:rsid w:val="00632D6D"/>
    <w:rsid w:val="00634F1D"/>
    <w:rsid w:val="00642C3E"/>
    <w:rsid w:val="00651C3A"/>
    <w:rsid w:val="00651CB2"/>
    <w:rsid w:val="006560CA"/>
    <w:rsid w:val="0066104A"/>
    <w:rsid w:val="00663DAD"/>
    <w:rsid w:val="00665649"/>
    <w:rsid w:val="006672AA"/>
    <w:rsid w:val="00675E20"/>
    <w:rsid w:val="00676679"/>
    <w:rsid w:val="00683C89"/>
    <w:rsid w:val="00691D9A"/>
    <w:rsid w:val="006A1C93"/>
    <w:rsid w:val="006B2395"/>
    <w:rsid w:val="006B3120"/>
    <w:rsid w:val="006B4CF9"/>
    <w:rsid w:val="006B785B"/>
    <w:rsid w:val="006B7AC8"/>
    <w:rsid w:val="006C1736"/>
    <w:rsid w:val="006C4798"/>
    <w:rsid w:val="006D550F"/>
    <w:rsid w:val="006F118E"/>
    <w:rsid w:val="006F3AD1"/>
    <w:rsid w:val="006F3FC8"/>
    <w:rsid w:val="0070011E"/>
    <w:rsid w:val="00701CAB"/>
    <w:rsid w:val="00707563"/>
    <w:rsid w:val="0072348C"/>
    <w:rsid w:val="00724A37"/>
    <w:rsid w:val="007303C3"/>
    <w:rsid w:val="00741E23"/>
    <w:rsid w:val="007429BE"/>
    <w:rsid w:val="00743223"/>
    <w:rsid w:val="00746E01"/>
    <w:rsid w:val="00747EEA"/>
    <w:rsid w:val="00757364"/>
    <w:rsid w:val="00757BDF"/>
    <w:rsid w:val="007609D0"/>
    <w:rsid w:val="00763E5D"/>
    <w:rsid w:val="00767740"/>
    <w:rsid w:val="00777EE6"/>
    <w:rsid w:val="007807C4"/>
    <w:rsid w:val="00782EEA"/>
    <w:rsid w:val="007B0DFC"/>
    <w:rsid w:val="007B186E"/>
    <w:rsid w:val="007B2C72"/>
    <w:rsid w:val="007C1C53"/>
    <w:rsid w:val="007C74BB"/>
    <w:rsid w:val="007D456E"/>
    <w:rsid w:val="007E4904"/>
    <w:rsid w:val="007E4CB5"/>
    <w:rsid w:val="007F066B"/>
    <w:rsid w:val="007F20DF"/>
    <w:rsid w:val="007F213A"/>
    <w:rsid w:val="007F75C4"/>
    <w:rsid w:val="008033C4"/>
    <w:rsid w:val="00806C88"/>
    <w:rsid w:val="0081034E"/>
    <w:rsid w:val="008221F2"/>
    <w:rsid w:val="00825985"/>
    <w:rsid w:val="008344F6"/>
    <w:rsid w:val="0083510F"/>
    <w:rsid w:val="008408C5"/>
    <w:rsid w:val="00851209"/>
    <w:rsid w:val="0085722A"/>
    <w:rsid w:val="00863BF8"/>
    <w:rsid w:val="00874F34"/>
    <w:rsid w:val="008837AC"/>
    <w:rsid w:val="008A587D"/>
    <w:rsid w:val="008B35CD"/>
    <w:rsid w:val="008B5FCC"/>
    <w:rsid w:val="008B7544"/>
    <w:rsid w:val="008C3374"/>
    <w:rsid w:val="008C5486"/>
    <w:rsid w:val="008C708B"/>
    <w:rsid w:val="008D1661"/>
    <w:rsid w:val="008D6800"/>
    <w:rsid w:val="008E7031"/>
    <w:rsid w:val="008E77DE"/>
    <w:rsid w:val="008F07A3"/>
    <w:rsid w:val="008F34DD"/>
    <w:rsid w:val="009001B6"/>
    <w:rsid w:val="00900E1B"/>
    <w:rsid w:val="00901C3C"/>
    <w:rsid w:val="009233EE"/>
    <w:rsid w:val="009272AD"/>
    <w:rsid w:val="009277DC"/>
    <w:rsid w:val="009460AA"/>
    <w:rsid w:val="00951978"/>
    <w:rsid w:val="00961A4A"/>
    <w:rsid w:val="009661DE"/>
    <w:rsid w:val="0097779F"/>
    <w:rsid w:val="00983C25"/>
    <w:rsid w:val="009856B7"/>
    <w:rsid w:val="00985C86"/>
    <w:rsid w:val="009A5113"/>
    <w:rsid w:val="009A5FC3"/>
    <w:rsid w:val="009B6F84"/>
    <w:rsid w:val="009B74B0"/>
    <w:rsid w:val="009D3906"/>
    <w:rsid w:val="009D6B46"/>
    <w:rsid w:val="009F4940"/>
    <w:rsid w:val="009F5BA1"/>
    <w:rsid w:val="00A02A88"/>
    <w:rsid w:val="00A0562E"/>
    <w:rsid w:val="00A0726D"/>
    <w:rsid w:val="00A261B7"/>
    <w:rsid w:val="00A32FBB"/>
    <w:rsid w:val="00A428EE"/>
    <w:rsid w:val="00A4478A"/>
    <w:rsid w:val="00A44852"/>
    <w:rsid w:val="00A4650A"/>
    <w:rsid w:val="00A50502"/>
    <w:rsid w:val="00A57D04"/>
    <w:rsid w:val="00A60A26"/>
    <w:rsid w:val="00A61598"/>
    <w:rsid w:val="00A84A99"/>
    <w:rsid w:val="00A84F46"/>
    <w:rsid w:val="00A871F4"/>
    <w:rsid w:val="00AA332E"/>
    <w:rsid w:val="00AC1B2C"/>
    <w:rsid w:val="00AC3264"/>
    <w:rsid w:val="00AE1BF1"/>
    <w:rsid w:val="00AF0DD2"/>
    <w:rsid w:val="00B0209D"/>
    <w:rsid w:val="00B07CEA"/>
    <w:rsid w:val="00B13048"/>
    <w:rsid w:val="00B1716D"/>
    <w:rsid w:val="00B17A1D"/>
    <w:rsid w:val="00B207A0"/>
    <w:rsid w:val="00B514DD"/>
    <w:rsid w:val="00B52AF0"/>
    <w:rsid w:val="00B561BD"/>
    <w:rsid w:val="00B56E03"/>
    <w:rsid w:val="00B757A6"/>
    <w:rsid w:val="00B8080B"/>
    <w:rsid w:val="00B82223"/>
    <w:rsid w:val="00B87BA5"/>
    <w:rsid w:val="00B87C39"/>
    <w:rsid w:val="00B9562D"/>
    <w:rsid w:val="00BA4665"/>
    <w:rsid w:val="00BB2FB2"/>
    <w:rsid w:val="00BB3304"/>
    <w:rsid w:val="00BB7528"/>
    <w:rsid w:val="00BD310B"/>
    <w:rsid w:val="00BD3446"/>
    <w:rsid w:val="00BE1F1B"/>
    <w:rsid w:val="00BE47B5"/>
    <w:rsid w:val="00BF2ED7"/>
    <w:rsid w:val="00C04223"/>
    <w:rsid w:val="00C25FA6"/>
    <w:rsid w:val="00C42A4F"/>
    <w:rsid w:val="00C538A9"/>
    <w:rsid w:val="00C53B5A"/>
    <w:rsid w:val="00C54F5A"/>
    <w:rsid w:val="00C569B4"/>
    <w:rsid w:val="00C56A3E"/>
    <w:rsid w:val="00C67A92"/>
    <w:rsid w:val="00C7497E"/>
    <w:rsid w:val="00C84560"/>
    <w:rsid w:val="00C84F52"/>
    <w:rsid w:val="00C86679"/>
    <w:rsid w:val="00CA16D3"/>
    <w:rsid w:val="00CA2DA0"/>
    <w:rsid w:val="00CA489E"/>
    <w:rsid w:val="00CA52A2"/>
    <w:rsid w:val="00CB0279"/>
    <w:rsid w:val="00CB1065"/>
    <w:rsid w:val="00CB666B"/>
    <w:rsid w:val="00CB6AE7"/>
    <w:rsid w:val="00CC7F1D"/>
    <w:rsid w:val="00CE484B"/>
    <w:rsid w:val="00CF0DEE"/>
    <w:rsid w:val="00CF3A44"/>
    <w:rsid w:val="00D006AE"/>
    <w:rsid w:val="00D01CF0"/>
    <w:rsid w:val="00D01EFD"/>
    <w:rsid w:val="00D0442A"/>
    <w:rsid w:val="00D17683"/>
    <w:rsid w:val="00D45694"/>
    <w:rsid w:val="00D61388"/>
    <w:rsid w:val="00D61A54"/>
    <w:rsid w:val="00D64DEA"/>
    <w:rsid w:val="00D7168E"/>
    <w:rsid w:val="00D71E57"/>
    <w:rsid w:val="00D80893"/>
    <w:rsid w:val="00D84854"/>
    <w:rsid w:val="00D848B4"/>
    <w:rsid w:val="00D91477"/>
    <w:rsid w:val="00D92CF1"/>
    <w:rsid w:val="00D92D38"/>
    <w:rsid w:val="00D950F5"/>
    <w:rsid w:val="00DA4752"/>
    <w:rsid w:val="00DA61F3"/>
    <w:rsid w:val="00DA6B93"/>
    <w:rsid w:val="00DA7653"/>
    <w:rsid w:val="00DB0F93"/>
    <w:rsid w:val="00DB1A67"/>
    <w:rsid w:val="00DB5074"/>
    <w:rsid w:val="00DB5B21"/>
    <w:rsid w:val="00DC7981"/>
    <w:rsid w:val="00DE1093"/>
    <w:rsid w:val="00DE4EFA"/>
    <w:rsid w:val="00DE5520"/>
    <w:rsid w:val="00DE563D"/>
    <w:rsid w:val="00DE5E2E"/>
    <w:rsid w:val="00DE772C"/>
    <w:rsid w:val="00DF312A"/>
    <w:rsid w:val="00E04818"/>
    <w:rsid w:val="00E04C95"/>
    <w:rsid w:val="00E06442"/>
    <w:rsid w:val="00E06BCF"/>
    <w:rsid w:val="00E1001C"/>
    <w:rsid w:val="00E23993"/>
    <w:rsid w:val="00E25B8C"/>
    <w:rsid w:val="00E51D65"/>
    <w:rsid w:val="00E57A97"/>
    <w:rsid w:val="00E6200B"/>
    <w:rsid w:val="00E65C85"/>
    <w:rsid w:val="00E66199"/>
    <w:rsid w:val="00E70FFF"/>
    <w:rsid w:val="00E711C7"/>
    <w:rsid w:val="00E755EC"/>
    <w:rsid w:val="00E7624D"/>
    <w:rsid w:val="00EA3D42"/>
    <w:rsid w:val="00EA6B1B"/>
    <w:rsid w:val="00EB5BC8"/>
    <w:rsid w:val="00EB606C"/>
    <w:rsid w:val="00EC04F1"/>
    <w:rsid w:val="00ED0EC2"/>
    <w:rsid w:val="00ED7323"/>
    <w:rsid w:val="00EE28F3"/>
    <w:rsid w:val="00EE50D1"/>
    <w:rsid w:val="00EE6B9F"/>
    <w:rsid w:val="00EF5110"/>
    <w:rsid w:val="00F0334E"/>
    <w:rsid w:val="00F10411"/>
    <w:rsid w:val="00F15882"/>
    <w:rsid w:val="00F171E0"/>
    <w:rsid w:val="00F20BD3"/>
    <w:rsid w:val="00F2526A"/>
    <w:rsid w:val="00F373A5"/>
    <w:rsid w:val="00F44B5E"/>
    <w:rsid w:val="00F47559"/>
    <w:rsid w:val="00F61176"/>
    <w:rsid w:val="00F64C7B"/>
    <w:rsid w:val="00F65B25"/>
    <w:rsid w:val="00F674CB"/>
    <w:rsid w:val="00F676DD"/>
    <w:rsid w:val="00F71667"/>
    <w:rsid w:val="00F75A26"/>
    <w:rsid w:val="00F76706"/>
    <w:rsid w:val="00F768C8"/>
    <w:rsid w:val="00F81B8D"/>
    <w:rsid w:val="00F83FAD"/>
    <w:rsid w:val="00F8653A"/>
    <w:rsid w:val="00F92349"/>
    <w:rsid w:val="00F952A0"/>
    <w:rsid w:val="00FA3C7F"/>
    <w:rsid w:val="00FB4402"/>
    <w:rsid w:val="00FB60FE"/>
    <w:rsid w:val="00FB74E2"/>
    <w:rsid w:val="00FC71DC"/>
    <w:rsid w:val="00FD2ED2"/>
    <w:rsid w:val="00FD5614"/>
    <w:rsid w:val="00FD5E78"/>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0"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0"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72189">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www.aemc.gov.au/getattachment/f866b41b-753b-471c-91cf-4f558ca130b2/Final-rule-determination.aspx" TargetMode="External"/><Relationship Id="rId1" Type="http://schemas.openxmlformats.org/officeDocument/2006/relationships/hyperlink" Target="http://www.aemc.gov.au/Major-Pages/Power-of-choice"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1010E03-C485-4347-A3ED-4A30774F4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C9B2C55E</Template>
  <TotalTime>0</TotalTime>
  <Pages>10</Pages>
  <Words>1834</Words>
  <Characters>10460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2015-10-25T01:42:00Z</dcterms:created>
  <dcterms:modified xsi:type="dcterms:W3CDTF">2015-10-25T01:42:00Z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8429153</vt:lpwstr>
  </property>
  <property fmtid="{D5CDD505-2E9C-101B-9397-08002B2CF9AE}" pid="3" name="_MarkAsFinal">
    <vt:bool>true</vt:bool>
  </property>
</Properties>
</file>