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8736E5B" wp14:editId="5F5D7D9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245919" w:rsidP="008F07A3">
          <w:pPr>
            <w:pStyle w:val="ReportSubtitle"/>
          </w:pPr>
          <w:r>
            <w:t>Jemena</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B573C">
            <w:t>2</w:t>
          </w:r>
          <w:r w:rsidR="00DA4752">
            <w:t xml:space="preserve"> </w:t>
          </w:r>
          <w:r w:rsidR="00415F31">
            <w:rPr>
              <w:rFonts w:cs="Arial"/>
            </w:rPr>
            <w:t>–</w:t>
          </w:r>
          <w:r w:rsidR="00DA4752">
            <w:t xml:space="preserve"> </w:t>
          </w:r>
          <w:r w:rsidR="002B573C">
            <w:t>Regulatory asset base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173389"/>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245919">
        <w:t>Jemena</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E32710" w:rsidRDefault="00E32710" w:rsidP="0070011E">
      <w:r w:rsidRPr="001663B6">
        <w:t>Attachment 1</w:t>
      </w:r>
      <w:r w:rsidR="00913655">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5" w:name="_Toc403144133"/>
      <w:bookmarkStart w:id="6" w:name="_Toc433173390"/>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00151C" w:rsidRDefault="0000151C">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33173389" w:history="1">
            <w:r w:rsidRPr="00F919C1">
              <w:rPr>
                <w:rStyle w:val="Hyperlink"/>
              </w:rPr>
              <w:t>Note</w:t>
            </w:r>
            <w:r>
              <w:rPr>
                <w:webHidden/>
              </w:rPr>
              <w:tab/>
            </w:r>
            <w:r>
              <w:rPr>
                <w:webHidden/>
              </w:rPr>
              <w:fldChar w:fldCharType="begin"/>
            </w:r>
            <w:r>
              <w:rPr>
                <w:webHidden/>
              </w:rPr>
              <w:instrText xml:space="preserve"> PAGEREF _Toc433173389 \h </w:instrText>
            </w:r>
            <w:r>
              <w:rPr>
                <w:webHidden/>
              </w:rPr>
            </w:r>
            <w:r>
              <w:rPr>
                <w:webHidden/>
              </w:rPr>
              <w:fldChar w:fldCharType="separate"/>
            </w:r>
            <w:r>
              <w:rPr>
                <w:webHidden/>
              </w:rPr>
              <w:t>2-2</w:t>
            </w:r>
            <w:r>
              <w:rPr>
                <w:webHidden/>
              </w:rPr>
              <w:fldChar w:fldCharType="end"/>
            </w:r>
          </w:hyperlink>
        </w:p>
        <w:p w:rsidR="0000151C" w:rsidRDefault="007D7FC3">
          <w:pPr>
            <w:pStyle w:val="TOC1"/>
            <w:rPr>
              <w:rFonts w:asciiTheme="minorHAnsi" w:eastAsiaTheme="minorEastAsia" w:hAnsiTheme="minorHAnsi"/>
              <w:b w:val="0"/>
              <w:color w:val="auto"/>
              <w:sz w:val="22"/>
              <w:lang w:val="en-AU" w:eastAsia="en-AU"/>
            </w:rPr>
          </w:pPr>
          <w:hyperlink w:anchor="_Toc433173390" w:history="1">
            <w:r w:rsidR="0000151C" w:rsidRPr="00F919C1">
              <w:rPr>
                <w:rStyle w:val="Hyperlink"/>
              </w:rPr>
              <w:t>Contents</w:t>
            </w:r>
            <w:r w:rsidR="0000151C">
              <w:rPr>
                <w:webHidden/>
              </w:rPr>
              <w:tab/>
            </w:r>
            <w:r w:rsidR="0000151C">
              <w:rPr>
                <w:webHidden/>
              </w:rPr>
              <w:fldChar w:fldCharType="begin"/>
            </w:r>
            <w:r w:rsidR="0000151C">
              <w:rPr>
                <w:webHidden/>
              </w:rPr>
              <w:instrText xml:space="preserve"> PAGEREF _Toc433173390 \h </w:instrText>
            </w:r>
            <w:r w:rsidR="0000151C">
              <w:rPr>
                <w:webHidden/>
              </w:rPr>
            </w:r>
            <w:r w:rsidR="0000151C">
              <w:rPr>
                <w:webHidden/>
              </w:rPr>
              <w:fldChar w:fldCharType="separate"/>
            </w:r>
            <w:r w:rsidR="0000151C">
              <w:rPr>
                <w:webHidden/>
              </w:rPr>
              <w:t>2-3</w:t>
            </w:r>
            <w:r w:rsidR="0000151C">
              <w:rPr>
                <w:webHidden/>
              </w:rPr>
              <w:fldChar w:fldCharType="end"/>
            </w:r>
          </w:hyperlink>
        </w:p>
        <w:p w:rsidR="0000151C" w:rsidRDefault="007D7FC3">
          <w:pPr>
            <w:pStyle w:val="TOC1"/>
            <w:rPr>
              <w:rFonts w:asciiTheme="minorHAnsi" w:eastAsiaTheme="minorEastAsia" w:hAnsiTheme="minorHAnsi"/>
              <w:b w:val="0"/>
              <w:color w:val="auto"/>
              <w:sz w:val="22"/>
              <w:lang w:val="en-AU" w:eastAsia="en-AU"/>
            </w:rPr>
          </w:pPr>
          <w:hyperlink w:anchor="_Toc433173391" w:history="1">
            <w:r w:rsidR="0000151C" w:rsidRPr="00F919C1">
              <w:rPr>
                <w:rStyle w:val="Hyperlink"/>
              </w:rPr>
              <w:t>Shortened forms</w:t>
            </w:r>
            <w:r w:rsidR="0000151C">
              <w:rPr>
                <w:webHidden/>
              </w:rPr>
              <w:tab/>
            </w:r>
            <w:r w:rsidR="0000151C">
              <w:rPr>
                <w:webHidden/>
              </w:rPr>
              <w:fldChar w:fldCharType="begin"/>
            </w:r>
            <w:r w:rsidR="0000151C">
              <w:rPr>
                <w:webHidden/>
              </w:rPr>
              <w:instrText xml:space="preserve"> PAGEREF _Toc433173391 \h </w:instrText>
            </w:r>
            <w:r w:rsidR="0000151C">
              <w:rPr>
                <w:webHidden/>
              </w:rPr>
            </w:r>
            <w:r w:rsidR="0000151C">
              <w:rPr>
                <w:webHidden/>
              </w:rPr>
              <w:fldChar w:fldCharType="separate"/>
            </w:r>
            <w:r w:rsidR="0000151C">
              <w:rPr>
                <w:webHidden/>
              </w:rPr>
              <w:t>2-4</w:t>
            </w:r>
            <w:r w:rsidR="0000151C">
              <w:rPr>
                <w:webHidden/>
              </w:rPr>
              <w:fldChar w:fldCharType="end"/>
            </w:r>
          </w:hyperlink>
        </w:p>
        <w:p w:rsidR="0000151C" w:rsidRDefault="007D7FC3">
          <w:pPr>
            <w:pStyle w:val="TOC1"/>
            <w:rPr>
              <w:rFonts w:asciiTheme="minorHAnsi" w:eastAsiaTheme="minorEastAsia" w:hAnsiTheme="minorHAnsi"/>
              <w:b w:val="0"/>
              <w:color w:val="auto"/>
              <w:sz w:val="22"/>
              <w:lang w:val="en-AU" w:eastAsia="en-AU"/>
            </w:rPr>
          </w:pPr>
          <w:hyperlink w:anchor="_Toc433173392" w:history="1">
            <w:r w:rsidR="0000151C" w:rsidRPr="00F919C1">
              <w:rPr>
                <w:rStyle w:val="Hyperlink"/>
              </w:rPr>
              <w:t>2</w:t>
            </w:r>
            <w:r w:rsidR="0000151C">
              <w:rPr>
                <w:rFonts w:asciiTheme="minorHAnsi" w:eastAsiaTheme="minorEastAsia" w:hAnsiTheme="minorHAnsi"/>
                <w:b w:val="0"/>
                <w:color w:val="auto"/>
                <w:sz w:val="22"/>
                <w:lang w:val="en-AU" w:eastAsia="en-AU"/>
              </w:rPr>
              <w:tab/>
            </w:r>
            <w:r w:rsidR="0000151C" w:rsidRPr="00F919C1">
              <w:rPr>
                <w:rStyle w:val="Hyperlink"/>
              </w:rPr>
              <w:t>Regulatory asset base</w:t>
            </w:r>
            <w:r w:rsidR="0000151C">
              <w:rPr>
                <w:webHidden/>
              </w:rPr>
              <w:tab/>
            </w:r>
            <w:r w:rsidR="0000151C">
              <w:rPr>
                <w:webHidden/>
              </w:rPr>
              <w:fldChar w:fldCharType="begin"/>
            </w:r>
            <w:r w:rsidR="0000151C">
              <w:rPr>
                <w:webHidden/>
              </w:rPr>
              <w:instrText xml:space="preserve"> PAGEREF _Toc433173392 \h </w:instrText>
            </w:r>
            <w:r w:rsidR="0000151C">
              <w:rPr>
                <w:webHidden/>
              </w:rPr>
            </w:r>
            <w:r w:rsidR="0000151C">
              <w:rPr>
                <w:webHidden/>
              </w:rPr>
              <w:fldChar w:fldCharType="separate"/>
            </w:r>
            <w:r w:rsidR="0000151C">
              <w:rPr>
                <w:webHidden/>
              </w:rPr>
              <w:t>2-6</w:t>
            </w:r>
            <w:r w:rsidR="0000151C">
              <w:rPr>
                <w:webHidden/>
              </w:rPr>
              <w:fldChar w:fldCharType="end"/>
            </w:r>
          </w:hyperlink>
        </w:p>
        <w:p w:rsidR="0000151C" w:rsidRDefault="007D7FC3">
          <w:pPr>
            <w:pStyle w:val="TOC2"/>
            <w:rPr>
              <w:rFonts w:asciiTheme="minorHAnsi" w:eastAsiaTheme="minorEastAsia" w:hAnsiTheme="minorHAnsi"/>
              <w:b w:val="0"/>
              <w:color w:val="auto"/>
              <w:sz w:val="22"/>
              <w:lang w:eastAsia="en-AU"/>
            </w:rPr>
          </w:pPr>
          <w:hyperlink w:anchor="_Toc433173393" w:history="1">
            <w:r w:rsidR="0000151C" w:rsidRPr="00F919C1">
              <w:rPr>
                <w:rStyle w:val="Hyperlink"/>
              </w:rPr>
              <w:t>2.1</w:t>
            </w:r>
            <w:r w:rsidR="0000151C">
              <w:rPr>
                <w:rFonts w:asciiTheme="minorHAnsi" w:eastAsiaTheme="minorEastAsia" w:hAnsiTheme="minorHAnsi"/>
                <w:b w:val="0"/>
                <w:color w:val="auto"/>
                <w:sz w:val="22"/>
                <w:lang w:eastAsia="en-AU"/>
              </w:rPr>
              <w:tab/>
            </w:r>
            <w:r w:rsidR="0000151C" w:rsidRPr="00F919C1">
              <w:rPr>
                <w:rStyle w:val="Hyperlink"/>
              </w:rPr>
              <w:t>Preliminary decision</w:t>
            </w:r>
            <w:r w:rsidR="0000151C">
              <w:rPr>
                <w:webHidden/>
              </w:rPr>
              <w:tab/>
            </w:r>
            <w:r w:rsidR="0000151C">
              <w:rPr>
                <w:webHidden/>
              </w:rPr>
              <w:fldChar w:fldCharType="begin"/>
            </w:r>
            <w:r w:rsidR="0000151C">
              <w:rPr>
                <w:webHidden/>
              </w:rPr>
              <w:instrText xml:space="preserve"> PAGEREF _Toc433173393 \h </w:instrText>
            </w:r>
            <w:r w:rsidR="0000151C">
              <w:rPr>
                <w:webHidden/>
              </w:rPr>
            </w:r>
            <w:r w:rsidR="0000151C">
              <w:rPr>
                <w:webHidden/>
              </w:rPr>
              <w:fldChar w:fldCharType="separate"/>
            </w:r>
            <w:r w:rsidR="0000151C">
              <w:rPr>
                <w:webHidden/>
              </w:rPr>
              <w:t>2-6</w:t>
            </w:r>
            <w:r w:rsidR="0000151C">
              <w:rPr>
                <w:webHidden/>
              </w:rPr>
              <w:fldChar w:fldCharType="end"/>
            </w:r>
          </w:hyperlink>
        </w:p>
        <w:p w:rsidR="0000151C" w:rsidRDefault="007D7FC3">
          <w:pPr>
            <w:pStyle w:val="TOC2"/>
            <w:rPr>
              <w:rFonts w:asciiTheme="minorHAnsi" w:eastAsiaTheme="minorEastAsia" w:hAnsiTheme="minorHAnsi"/>
              <w:b w:val="0"/>
              <w:color w:val="auto"/>
              <w:sz w:val="22"/>
              <w:lang w:eastAsia="en-AU"/>
            </w:rPr>
          </w:pPr>
          <w:hyperlink w:anchor="_Toc433173394" w:history="1">
            <w:r w:rsidR="0000151C" w:rsidRPr="00F919C1">
              <w:rPr>
                <w:rStyle w:val="Hyperlink"/>
              </w:rPr>
              <w:t>2.2</w:t>
            </w:r>
            <w:r w:rsidR="0000151C">
              <w:rPr>
                <w:rFonts w:asciiTheme="minorHAnsi" w:eastAsiaTheme="minorEastAsia" w:hAnsiTheme="minorHAnsi"/>
                <w:b w:val="0"/>
                <w:color w:val="auto"/>
                <w:sz w:val="22"/>
                <w:lang w:eastAsia="en-AU"/>
              </w:rPr>
              <w:tab/>
            </w:r>
            <w:r w:rsidR="0000151C" w:rsidRPr="00F919C1">
              <w:rPr>
                <w:rStyle w:val="Hyperlink"/>
              </w:rPr>
              <w:t>Jemena's proposal</w:t>
            </w:r>
            <w:r w:rsidR="0000151C">
              <w:rPr>
                <w:webHidden/>
              </w:rPr>
              <w:tab/>
            </w:r>
            <w:r w:rsidR="0000151C">
              <w:rPr>
                <w:webHidden/>
              </w:rPr>
              <w:fldChar w:fldCharType="begin"/>
            </w:r>
            <w:r w:rsidR="0000151C">
              <w:rPr>
                <w:webHidden/>
              </w:rPr>
              <w:instrText xml:space="preserve"> PAGEREF _Toc433173394 \h </w:instrText>
            </w:r>
            <w:r w:rsidR="0000151C">
              <w:rPr>
                <w:webHidden/>
              </w:rPr>
            </w:r>
            <w:r w:rsidR="0000151C">
              <w:rPr>
                <w:webHidden/>
              </w:rPr>
              <w:fldChar w:fldCharType="separate"/>
            </w:r>
            <w:r w:rsidR="0000151C">
              <w:rPr>
                <w:webHidden/>
              </w:rPr>
              <w:t>2-8</w:t>
            </w:r>
            <w:r w:rsidR="0000151C">
              <w:rPr>
                <w:webHidden/>
              </w:rPr>
              <w:fldChar w:fldCharType="end"/>
            </w:r>
          </w:hyperlink>
        </w:p>
        <w:p w:rsidR="0000151C" w:rsidRDefault="007D7FC3">
          <w:pPr>
            <w:pStyle w:val="TOC2"/>
            <w:rPr>
              <w:rFonts w:asciiTheme="minorHAnsi" w:eastAsiaTheme="minorEastAsia" w:hAnsiTheme="minorHAnsi"/>
              <w:b w:val="0"/>
              <w:color w:val="auto"/>
              <w:sz w:val="22"/>
              <w:lang w:eastAsia="en-AU"/>
            </w:rPr>
          </w:pPr>
          <w:hyperlink w:anchor="_Toc433173395" w:history="1">
            <w:r w:rsidR="0000151C" w:rsidRPr="00F919C1">
              <w:rPr>
                <w:rStyle w:val="Hyperlink"/>
              </w:rPr>
              <w:t>2.3</w:t>
            </w:r>
            <w:r w:rsidR="0000151C">
              <w:rPr>
                <w:rFonts w:asciiTheme="minorHAnsi" w:eastAsiaTheme="minorEastAsia" w:hAnsiTheme="minorHAnsi"/>
                <w:b w:val="0"/>
                <w:color w:val="auto"/>
                <w:sz w:val="22"/>
                <w:lang w:eastAsia="en-AU"/>
              </w:rPr>
              <w:tab/>
            </w:r>
            <w:r w:rsidR="0000151C" w:rsidRPr="00F919C1">
              <w:rPr>
                <w:rStyle w:val="Hyperlink"/>
              </w:rPr>
              <w:t>AER’s assessment approach</w:t>
            </w:r>
            <w:r w:rsidR="0000151C">
              <w:rPr>
                <w:webHidden/>
              </w:rPr>
              <w:tab/>
            </w:r>
            <w:r w:rsidR="0000151C">
              <w:rPr>
                <w:webHidden/>
              </w:rPr>
              <w:fldChar w:fldCharType="begin"/>
            </w:r>
            <w:r w:rsidR="0000151C">
              <w:rPr>
                <w:webHidden/>
              </w:rPr>
              <w:instrText xml:space="preserve"> PAGEREF _Toc433173395 \h </w:instrText>
            </w:r>
            <w:r w:rsidR="0000151C">
              <w:rPr>
                <w:webHidden/>
              </w:rPr>
            </w:r>
            <w:r w:rsidR="0000151C">
              <w:rPr>
                <w:webHidden/>
              </w:rPr>
              <w:fldChar w:fldCharType="separate"/>
            </w:r>
            <w:r w:rsidR="0000151C">
              <w:rPr>
                <w:webHidden/>
              </w:rPr>
              <w:t>2-9</w:t>
            </w:r>
            <w:r w:rsidR="0000151C">
              <w:rPr>
                <w:webHidden/>
              </w:rPr>
              <w:fldChar w:fldCharType="end"/>
            </w:r>
          </w:hyperlink>
        </w:p>
        <w:p w:rsidR="0000151C" w:rsidRDefault="007D7FC3">
          <w:pPr>
            <w:pStyle w:val="TOC3"/>
            <w:rPr>
              <w:rFonts w:asciiTheme="minorHAnsi" w:eastAsiaTheme="minorEastAsia" w:hAnsiTheme="minorHAnsi"/>
              <w:lang w:eastAsia="en-AU"/>
            </w:rPr>
          </w:pPr>
          <w:hyperlink w:anchor="_Toc433173396" w:history="1">
            <w:r w:rsidR="0000151C" w:rsidRPr="00F919C1">
              <w:rPr>
                <w:rStyle w:val="Hyperlink"/>
              </w:rPr>
              <w:t>2.3.1</w:t>
            </w:r>
            <w:r w:rsidR="0000151C">
              <w:rPr>
                <w:rFonts w:asciiTheme="minorHAnsi" w:eastAsiaTheme="minorEastAsia" w:hAnsiTheme="minorHAnsi"/>
                <w:lang w:eastAsia="en-AU"/>
              </w:rPr>
              <w:tab/>
            </w:r>
            <w:r w:rsidR="0000151C" w:rsidRPr="00F919C1">
              <w:rPr>
                <w:rStyle w:val="Hyperlink"/>
              </w:rPr>
              <w:t>Interrelationships</w:t>
            </w:r>
            <w:r w:rsidR="0000151C">
              <w:rPr>
                <w:webHidden/>
              </w:rPr>
              <w:tab/>
            </w:r>
            <w:r w:rsidR="0000151C">
              <w:rPr>
                <w:webHidden/>
              </w:rPr>
              <w:fldChar w:fldCharType="begin"/>
            </w:r>
            <w:r w:rsidR="0000151C">
              <w:rPr>
                <w:webHidden/>
              </w:rPr>
              <w:instrText xml:space="preserve"> PAGEREF _Toc433173396 \h </w:instrText>
            </w:r>
            <w:r w:rsidR="0000151C">
              <w:rPr>
                <w:webHidden/>
              </w:rPr>
            </w:r>
            <w:r w:rsidR="0000151C">
              <w:rPr>
                <w:webHidden/>
              </w:rPr>
              <w:fldChar w:fldCharType="separate"/>
            </w:r>
            <w:r w:rsidR="0000151C">
              <w:rPr>
                <w:webHidden/>
              </w:rPr>
              <w:t>2-11</w:t>
            </w:r>
            <w:r w:rsidR="0000151C">
              <w:rPr>
                <w:webHidden/>
              </w:rPr>
              <w:fldChar w:fldCharType="end"/>
            </w:r>
          </w:hyperlink>
        </w:p>
        <w:p w:rsidR="0000151C" w:rsidRDefault="007D7FC3">
          <w:pPr>
            <w:pStyle w:val="TOC2"/>
            <w:rPr>
              <w:rFonts w:asciiTheme="minorHAnsi" w:eastAsiaTheme="minorEastAsia" w:hAnsiTheme="minorHAnsi"/>
              <w:b w:val="0"/>
              <w:color w:val="auto"/>
              <w:sz w:val="22"/>
              <w:lang w:eastAsia="en-AU"/>
            </w:rPr>
          </w:pPr>
          <w:hyperlink w:anchor="_Toc433173397" w:history="1">
            <w:r w:rsidR="0000151C" w:rsidRPr="00F919C1">
              <w:rPr>
                <w:rStyle w:val="Hyperlink"/>
              </w:rPr>
              <w:t>2.4</w:t>
            </w:r>
            <w:r w:rsidR="0000151C">
              <w:rPr>
                <w:rFonts w:asciiTheme="minorHAnsi" w:eastAsiaTheme="minorEastAsia" w:hAnsiTheme="minorHAnsi"/>
                <w:b w:val="0"/>
                <w:color w:val="auto"/>
                <w:sz w:val="22"/>
                <w:lang w:eastAsia="en-AU"/>
              </w:rPr>
              <w:tab/>
            </w:r>
            <w:r w:rsidR="0000151C" w:rsidRPr="00F919C1">
              <w:rPr>
                <w:rStyle w:val="Hyperlink"/>
              </w:rPr>
              <w:t>Reasons for preliminary decision</w:t>
            </w:r>
            <w:r w:rsidR="0000151C">
              <w:rPr>
                <w:webHidden/>
              </w:rPr>
              <w:tab/>
            </w:r>
            <w:r w:rsidR="0000151C">
              <w:rPr>
                <w:webHidden/>
              </w:rPr>
              <w:fldChar w:fldCharType="begin"/>
            </w:r>
            <w:r w:rsidR="0000151C">
              <w:rPr>
                <w:webHidden/>
              </w:rPr>
              <w:instrText xml:space="preserve"> PAGEREF _Toc433173397 \h </w:instrText>
            </w:r>
            <w:r w:rsidR="0000151C">
              <w:rPr>
                <w:webHidden/>
              </w:rPr>
            </w:r>
            <w:r w:rsidR="0000151C">
              <w:rPr>
                <w:webHidden/>
              </w:rPr>
              <w:fldChar w:fldCharType="separate"/>
            </w:r>
            <w:r w:rsidR="0000151C">
              <w:rPr>
                <w:webHidden/>
              </w:rPr>
              <w:t>2-13</w:t>
            </w:r>
            <w:r w:rsidR="0000151C">
              <w:rPr>
                <w:webHidden/>
              </w:rPr>
              <w:fldChar w:fldCharType="end"/>
            </w:r>
          </w:hyperlink>
        </w:p>
        <w:p w:rsidR="0000151C" w:rsidRDefault="007D7FC3">
          <w:pPr>
            <w:pStyle w:val="TOC3"/>
            <w:rPr>
              <w:rFonts w:asciiTheme="minorHAnsi" w:eastAsiaTheme="minorEastAsia" w:hAnsiTheme="minorHAnsi"/>
              <w:lang w:eastAsia="en-AU"/>
            </w:rPr>
          </w:pPr>
          <w:hyperlink w:anchor="_Toc433173398" w:history="1">
            <w:r w:rsidR="0000151C" w:rsidRPr="00F919C1">
              <w:rPr>
                <w:rStyle w:val="Hyperlink"/>
              </w:rPr>
              <w:t>2.4.1</w:t>
            </w:r>
            <w:r w:rsidR="0000151C">
              <w:rPr>
                <w:rFonts w:asciiTheme="minorHAnsi" w:eastAsiaTheme="minorEastAsia" w:hAnsiTheme="minorHAnsi"/>
                <w:lang w:eastAsia="en-AU"/>
              </w:rPr>
              <w:tab/>
            </w:r>
            <w:r w:rsidR="0000151C" w:rsidRPr="00F919C1">
              <w:rPr>
                <w:rStyle w:val="Hyperlink"/>
              </w:rPr>
              <w:t>Opening RAB as at 1 January 2016</w:t>
            </w:r>
            <w:r w:rsidR="0000151C">
              <w:rPr>
                <w:webHidden/>
              </w:rPr>
              <w:tab/>
            </w:r>
            <w:r w:rsidR="0000151C">
              <w:rPr>
                <w:webHidden/>
              </w:rPr>
              <w:fldChar w:fldCharType="begin"/>
            </w:r>
            <w:r w:rsidR="0000151C">
              <w:rPr>
                <w:webHidden/>
              </w:rPr>
              <w:instrText xml:space="preserve"> PAGEREF _Toc433173398 \h </w:instrText>
            </w:r>
            <w:r w:rsidR="0000151C">
              <w:rPr>
                <w:webHidden/>
              </w:rPr>
            </w:r>
            <w:r w:rsidR="0000151C">
              <w:rPr>
                <w:webHidden/>
              </w:rPr>
              <w:fldChar w:fldCharType="separate"/>
            </w:r>
            <w:r w:rsidR="0000151C">
              <w:rPr>
                <w:webHidden/>
              </w:rPr>
              <w:t>2-13</w:t>
            </w:r>
            <w:r w:rsidR="0000151C">
              <w:rPr>
                <w:webHidden/>
              </w:rPr>
              <w:fldChar w:fldCharType="end"/>
            </w:r>
          </w:hyperlink>
        </w:p>
        <w:p w:rsidR="0000151C" w:rsidRDefault="007D7FC3">
          <w:pPr>
            <w:pStyle w:val="TOC3"/>
            <w:rPr>
              <w:rFonts w:asciiTheme="minorHAnsi" w:eastAsiaTheme="minorEastAsia" w:hAnsiTheme="minorHAnsi"/>
              <w:lang w:eastAsia="en-AU"/>
            </w:rPr>
          </w:pPr>
          <w:hyperlink w:anchor="_Toc433173399" w:history="1">
            <w:r w:rsidR="0000151C" w:rsidRPr="00F919C1">
              <w:rPr>
                <w:rStyle w:val="Hyperlink"/>
              </w:rPr>
              <w:t>2.4.2</w:t>
            </w:r>
            <w:r w:rsidR="0000151C">
              <w:rPr>
                <w:rFonts w:asciiTheme="minorHAnsi" w:eastAsiaTheme="minorEastAsia" w:hAnsiTheme="minorHAnsi"/>
                <w:lang w:eastAsia="en-AU"/>
              </w:rPr>
              <w:tab/>
            </w:r>
            <w:r w:rsidR="0000151C" w:rsidRPr="00F919C1">
              <w:rPr>
                <w:rStyle w:val="Hyperlink"/>
              </w:rPr>
              <w:t>Forecast closing RAB as at 31 December 2020</w:t>
            </w:r>
            <w:r w:rsidR="0000151C">
              <w:rPr>
                <w:webHidden/>
              </w:rPr>
              <w:tab/>
            </w:r>
            <w:r w:rsidR="0000151C">
              <w:rPr>
                <w:webHidden/>
              </w:rPr>
              <w:fldChar w:fldCharType="begin"/>
            </w:r>
            <w:r w:rsidR="0000151C">
              <w:rPr>
                <w:webHidden/>
              </w:rPr>
              <w:instrText xml:space="preserve"> PAGEREF _Toc433173399 \h </w:instrText>
            </w:r>
            <w:r w:rsidR="0000151C">
              <w:rPr>
                <w:webHidden/>
              </w:rPr>
            </w:r>
            <w:r w:rsidR="0000151C">
              <w:rPr>
                <w:webHidden/>
              </w:rPr>
              <w:fldChar w:fldCharType="separate"/>
            </w:r>
            <w:r w:rsidR="0000151C">
              <w:rPr>
                <w:webHidden/>
              </w:rPr>
              <w:t>2-15</w:t>
            </w:r>
            <w:r w:rsidR="0000151C">
              <w:rPr>
                <w:webHidden/>
              </w:rPr>
              <w:fldChar w:fldCharType="end"/>
            </w:r>
          </w:hyperlink>
        </w:p>
        <w:p w:rsidR="0000151C" w:rsidRDefault="007D7FC3">
          <w:pPr>
            <w:pStyle w:val="TOC3"/>
            <w:rPr>
              <w:rFonts w:asciiTheme="minorHAnsi" w:eastAsiaTheme="minorEastAsia" w:hAnsiTheme="minorHAnsi"/>
              <w:lang w:eastAsia="en-AU"/>
            </w:rPr>
          </w:pPr>
          <w:hyperlink w:anchor="_Toc433173400" w:history="1">
            <w:r w:rsidR="0000151C" w:rsidRPr="00F919C1">
              <w:rPr>
                <w:rStyle w:val="Hyperlink"/>
              </w:rPr>
              <w:t>2.4.3</w:t>
            </w:r>
            <w:r w:rsidR="0000151C">
              <w:rPr>
                <w:rFonts w:asciiTheme="minorHAnsi" w:eastAsiaTheme="minorEastAsia" w:hAnsiTheme="minorHAnsi"/>
                <w:lang w:eastAsia="en-AU"/>
              </w:rPr>
              <w:tab/>
            </w:r>
            <w:r w:rsidR="0000151C" w:rsidRPr="00F919C1">
              <w:rPr>
                <w:rStyle w:val="Hyperlink"/>
              </w:rPr>
              <w:t>Application of depreciation approach in RAB roll forward for next reset</w:t>
            </w:r>
            <w:r w:rsidR="0000151C">
              <w:rPr>
                <w:webHidden/>
              </w:rPr>
              <w:tab/>
            </w:r>
            <w:r w:rsidR="005661F7" w:rsidRPr="005661F7">
              <w:rPr>
                <w:webHidden/>
              </w:rPr>
              <w:tab/>
            </w:r>
            <w:r w:rsidR="0000151C">
              <w:rPr>
                <w:webHidden/>
              </w:rPr>
              <w:fldChar w:fldCharType="begin"/>
            </w:r>
            <w:r w:rsidR="0000151C">
              <w:rPr>
                <w:webHidden/>
              </w:rPr>
              <w:instrText xml:space="preserve"> PAGEREF _Toc433173400 \h </w:instrText>
            </w:r>
            <w:r w:rsidR="0000151C">
              <w:rPr>
                <w:webHidden/>
              </w:rPr>
            </w:r>
            <w:r w:rsidR="0000151C">
              <w:rPr>
                <w:webHidden/>
              </w:rPr>
              <w:fldChar w:fldCharType="separate"/>
            </w:r>
            <w:r w:rsidR="0000151C">
              <w:rPr>
                <w:webHidden/>
              </w:rPr>
              <w:t>2-16</w:t>
            </w:r>
            <w:r w:rsidR="0000151C">
              <w:rPr>
                <w:webHidden/>
              </w:rPr>
              <w:fldChar w:fldCharType="end"/>
            </w:r>
          </w:hyperlink>
        </w:p>
        <w:p w:rsidR="00DE563D" w:rsidRDefault="0000151C" w:rsidP="0000151C">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173391"/>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913655" w:rsidTr="00913655">
        <w:trPr>
          <w:cnfStyle w:val="000000010000" w:firstRow="0" w:lastRow="0" w:firstColumn="0" w:lastColumn="0" w:oddVBand="0" w:evenVBand="0" w:oddHBand="0" w:evenHBand="1" w:firstRowFirstColumn="0" w:firstRowLastColumn="0" w:lastRowFirstColumn="0" w:lastRowLastColumn="0"/>
        </w:trPr>
        <w:tc>
          <w:tcPr>
            <w:tcW w:w="4349" w:type="dxa"/>
            <w:vAlign w:val="top"/>
          </w:tcPr>
          <w:p w:rsidR="00913655" w:rsidRPr="00913655" w:rsidRDefault="00913655" w:rsidP="00913655">
            <w:r w:rsidRPr="00913655">
              <w:t>AMI</w:t>
            </w:r>
          </w:p>
        </w:tc>
        <w:tc>
          <w:tcPr>
            <w:tcW w:w="4344" w:type="dxa"/>
            <w:vAlign w:val="top"/>
          </w:tcPr>
          <w:p w:rsidR="00913655" w:rsidRPr="00913655" w:rsidRDefault="00913655" w:rsidP="00913655">
            <w:r w:rsidRPr="00913655">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2B573C" w:rsidP="002B573C">
      <w:pPr>
        <w:pStyle w:val="Heading1"/>
      </w:pPr>
      <w:bookmarkStart w:id="9" w:name="_Toc433173392"/>
      <w:r>
        <w:lastRenderedPageBreak/>
        <w:t>Regulatory asset base</w:t>
      </w:r>
      <w:bookmarkEnd w:id="9"/>
    </w:p>
    <w:p w:rsidR="00434D01" w:rsidRDefault="00434D01" w:rsidP="00434D01">
      <w:pPr>
        <w:numPr>
          <w:ilvl w:val="0"/>
          <w:numId w:val="24"/>
        </w:numPr>
      </w:pPr>
      <w:r w:rsidRPr="00AD7289">
        <w:rPr>
          <w:rStyle w:val="AERbody"/>
        </w:rPr>
        <w:t xml:space="preserve">We are required to make a decision on </w:t>
      </w:r>
      <w:r w:rsidR="00E81ED0">
        <w:rPr>
          <w:rStyle w:val="AERbody"/>
        </w:rPr>
        <w:t>Jemena</w:t>
      </w:r>
      <w:r w:rsidRPr="00AD7289">
        <w:rPr>
          <w:rStyle w:val="AERbody"/>
        </w:rPr>
        <w:t>'</w:t>
      </w:r>
      <w:r>
        <w:rPr>
          <w:rStyle w:val="AERbody"/>
        </w:rPr>
        <w:t>s</w:t>
      </w:r>
      <w:r w:rsidRPr="00AD7289">
        <w:rPr>
          <w:rStyle w:val="AERbody"/>
        </w:rPr>
        <w:t xml:space="preserve"> opening regulatory asset base (RAB) as at 1 </w:t>
      </w:r>
      <w:r w:rsidR="00E81ED0">
        <w:rPr>
          <w:rStyle w:val="AERbody"/>
        </w:rPr>
        <w:t>January</w:t>
      </w:r>
      <w:r w:rsidRPr="00AD7289">
        <w:rPr>
          <w:rStyle w:val="AERbody"/>
        </w:rPr>
        <w:t xml:space="preserve"> 201</w:t>
      </w:r>
      <w:r w:rsidR="00E81ED0">
        <w:rPr>
          <w:rStyle w:val="AERbody"/>
        </w:rPr>
        <w:t>6</w:t>
      </w:r>
      <w:r w:rsidRPr="00AD7289">
        <w:rPr>
          <w:rStyle w:val="AERbody"/>
        </w:rPr>
        <w:t>.</w:t>
      </w:r>
      <w:r w:rsidR="00591397">
        <w:rPr>
          <w:rStyle w:val="FootnoteReference"/>
        </w:rPr>
        <w:footnoteReference w:id="1"/>
      </w:r>
      <w:r w:rsidRPr="00AD7289">
        <w:rPr>
          <w:rStyle w:val="AERbody"/>
        </w:rPr>
        <w:t xml:space="preserve"> We use the RAB at the start of each regulatory year to determine the return of capital (regulatory depreciation) and return on capital building block allowances. This attachment presents our preliminary decision on the opening RAB value as at 1 J</w:t>
      </w:r>
      <w:r w:rsidR="00E81ED0">
        <w:rPr>
          <w:rStyle w:val="AERbody"/>
        </w:rPr>
        <w:t>anuary</w:t>
      </w:r>
      <w:r w:rsidRPr="00AD7289">
        <w:rPr>
          <w:rStyle w:val="AERbody"/>
        </w:rPr>
        <w:t xml:space="preserve"> 201</w:t>
      </w:r>
      <w:r w:rsidR="00E81ED0">
        <w:rPr>
          <w:rStyle w:val="AERbody"/>
        </w:rPr>
        <w:t>6</w:t>
      </w:r>
      <w:r w:rsidRPr="00AD7289">
        <w:rPr>
          <w:rStyle w:val="AERbody"/>
        </w:rPr>
        <w:t xml:space="preserve"> for </w:t>
      </w:r>
      <w:r w:rsidR="00E81ED0">
        <w:rPr>
          <w:rStyle w:val="AERbody"/>
        </w:rPr>
        <w:t>Jemena</w:t>
      </w:r>
      <w:r w:rsidRPr="00AD7289">
        <w:rPr>
          <w:rStyle w:val="AERbody"/>
        </w:rPr>
        <w:t xml:space="preserve"> and roll forward of the forecast RAB over the 201</w:t>
      </w:r>
      <w:r w:rsidR="00E81ED0">
        <w:rPr>
          <w:rStyle w:val="AERbody"/>
        </w:rPr>
        <w:t>6</w:t>
      </w:r>
      <w:r w:rsidRPr="00AD7289">
        <w:rPr>
          <w:rStyle w:val="AERbody"/>
        </w:rPr>
        <w:t>–20 regulatory control period.</w:t>
      </w:r>
    </w:p>
    <w:p w:rsidR="009A5113" w:rsidRDefault="005C0A7F" w:rsidP="009A5113">
      <w:pPr>
        <w:pStyle w:val="Heading2"/>
      </w:pPr>
      <w:bookmarkStart w:id="10" w:name="_Toc408404320"/>
      <w:bookmarkStart w:id="11" w:name="_Toc433173393"/>
      <w:r>
        <w:t>Preliminary</w:t>
      </w:r>
      <w:r w:rsidR="009A5113" w:rsidRPr="0074565D">
        <w:t xml:space="preserve"> decision</w:t>
      </w:r>
      <w:bookmarkEnd w:id="10"/>
      <w:bookmarkEnd w:id="11"/>
    </w:p>
    <w:p w:rsidR="001D52FB" w:rsidRDefault="00434D01" w:rsidP="008B20E4">
      <w:pPr>
        <w:numPr>
          <w:ilvl w:val="0"/>
          <w:numId w:val="24"/>
        </w:numPr>
        <w:rPr>
          <w:rStyle w:val="AERbody"/>
        </w:rPr>
      </w:pPr>
      <w:r w:rsidRPr="00AD7289">
        <w:t>We do not</w:t>
      </w:r>
      <w:r w:rsidR="00FB2B1D">
        <w:t xml:space="preserve"> </w:t>
      </w:r>
      <w:r w:rsidRPr="00AD7289">
        <w:t xml:space="preserve">accept </w:t>
      </w:r>
      <w:r w:rsidR="00E81ED0">
        <w:t>Jemena</w:t>
      </w:r>
      <w:r w:rsidRPr="00AD7289">
        <w:t>'</w:t>
      </w:r>
      <w:r>
        <w:t>s</w:t>
      </w:r>
      <w:r w:rsidRPr="00AD7289">
        <w:t xml:space="preserve"> proposed opening RAB of </w:t>
      </w:r>
      <w:r>
        <w:t>$</w:t>
      </w:r>
      <w:r w:rsidR="00E81ED0">
        <w:t>1190.8</w:t>
      </w:r>
      <w:r>
        <w:t xml:space="preserve"> million</w:t>
      </w:r>
      <w:r w:rsidRPr="00AD7289">
        <w:t xml:space="preserve"> ($ nominal) as at 1 </w:t>
      </w:r>
      <w:r w:rsidR="00E81ED0">
        <w:t>January</w:t>
      </w:r>
      <w:r w:rsidRPr="00AD7289">
        <w:t xml:space="preserve"> 201</w:t>
      </w:r>
      <w:r w:rsidR="00E81ED0">
        <w:t>6</w:t>
      </w:r>
      <w:r w:rsidRPr="00AD7289">
        <w:t>.</w:t>
      </w:r>
      <w:r w:rsidRPr="00AD7289">
        <w:rPr>
          <w:rStyle w:val="FootnoteReference"/>
        </w:rPr>
        <w:footnoteReference w:id="2"/>
      </w:r>
      <w:r w:rsidRPr="00AD7289">
        <w:t xml:space="preserve"> We instead determine an opening RAB value </w:t>
      </w:r>
      <w:r w:rsidRPr="00465039">
        <w:rPr>
          <w:rStyle w:val="AERbody"/>
        </w:rPr>
        <w:t>of $</w:t>
      </w:r>
      <w:r w:rsidR="00CA1CF5">
        <w:rPr>
          <w:rStyle w:val="AERbody"/>
        </w:rPr>
        <w:t>1</w:t>
      </w:r>
      <w:r w:rsidR="00EC5F0D">
        <w:rPr>
          <w:rStyle w:val="AERbody"/>
        </w:rPr>
        <w:t>1</w:t>
      </w:r>
      <w:r w:rsidR="007F1625">
        <w:rPr>
          <w:rStyle w:val="AERbody"/>
        </w:rPr>
        <w:t>8</w:t>
      </w:r>
      <w:r w:rsidR="00EC5F0D">
        <w:rPr>
          <w:rStyle w:val="AERbody"/>
        </w:rPr>
        <w:t>7</w:t>
      </w:r>
      <w:r w:rsidR="00C532EA">
        <w:rPr>
          <w:rStyle w:val="AERbody"/>
        </w:rPr>
        <w:t>.0</w:t>
      </w:r>
      <w:r>
        <w:rPr>
          <w:rStyle w:val="AERbody"/>
        </w:rPr>
        <w:t xml:space="preserve"> </w:t>
      </w:r>
      <w:r w:rsidRPr="00465039">
        <w:rPr>
          <w:rStyle w:val="AERbody"/>
        </w:rPr>
        <w:t>million ($ nominal) as at 1 J</w:t>
      </w:r>
      <w:r w:rsidR="00E81ED0">
        <w:rPr>
          <w:rStyle w:val="AERbody"/>
        </w:rPr>
        <w:t>anuary</w:t>
      </w:r>
      <w:r w:rsidRPr="00465039">
        <w:rPr>
          <w:rStyle w:val="AERbody"/>
        </w:rPr>
        <w:t xml:space="preserve"> 201</w:t>
      </w:r>
      <w:r w:rsidR="00E81ED0">
        <w:rPr>
          <w:rStyle w:val="AERbody"/>
        </w:rPr>
        <w:t>6</w:t>
      </w:r>
      <w:r w:rsidRPr="00465039">
        <w:rPr>
          <w:rStyle w:val="AERbody"/>
        </w:rPr>
        <w:t xml:space="preserve">. </w:t>
      </w:r>
      <w:r w:rsidR="008B20E4" w:rsidRPr="008B20E4">
        <w:rPr>
          <w:rStyle w:val="AERbody"/>
        </w:rPr>
        <w:t xml:space="preserve">This is because we have amended </w:t>
      </w:r>
      <w:r w:rsidR="008B20E4">
        <w:rPr>
          <w:rStyle w:val="AERbody"/>
        </w:rPr>
        <w:t>Jemena</w:t>
      </w:r>
      <w:r w:rsidR="008B20E4" w:rsidRPr="008B20E4">
        <w:rPr>
          <w:rStyle w:val="AERbody"/>
        </w:rPr>
        <w:t>'s proposed</w:t>
      </w:r>
      <w:r w:rsidR="006424DE">
        <w:rPr>
          <w:rStyle w:val="AERbody"/>
        </w:rPr>
        <w:t xml:space="preserve"> roll forward model</w:t>
      </w:r>
      <w:r w:rsidR="008B20E4" w:rsidRPr="008B20E4">
        <w:rPr>
          <w:rStyle w:val="AERbody"/>
        </w:rPr>
        <w:t xml:space="preserve"> </w:t>
      </w:r>
      <w:r w:rsidR="006424DE">
        <w:rPr>
          <w:rStyle w:val="AERbody"/>
        </w:rPr>
        <w:t>(</w:t>
      </w:r>
      <w:r w:rsidR="008B20E4">
        <w:rPr>
          <w:rStyle w:val="AERbody"/>
        </w:rPr>
        <w:t>RFM</w:t>
      </w:r>
      <w:r w:rsidR="006424DE">
        <w:rPr>
          <w:rStyle w:val="AERbody"/>
        </w:rPr>
        <w:t>)</w:t>
      </w:r>
      <w:r w:rsidR="008B20E4" w:rsidRPr="008B20E4">
        <w:rPr>
          <w:rStyle w:val="AERbody"/>
        </w:rPr>
        <w:t xml:space="preserve"> to correct </w:t>
      </w:r>
      <w:r w:rsidR="008B20E4">
        <w:rPr>
          <w:rStyle w:val="AERbody"/>
        </w:rPr>
        <w:t>a number of input errors</w:t>
      </w:r>
      <w:r w:rsidR="008B20E4" w:rsidRPr="008B20E4">
        <w:rPr>
          <w:rStyle w:val="AERbody"/>
        </w:rPr>
        <w:t xml:space="preserve">. </w:t>
      </w:r>
      <w:r w:rsidR="00DF6739">
        <w:rPr>
          <w:rStyle w:val="AERbody"/>
        </w:rPr>
        <w:t>These amendments</w:t>
      </w:r>
      <w:r w:rsidR="001D52FB">
        <w:rPr>
          <w:rStyle w:val="AERbody"/>
        </w:rPr>
        <w:t xml:space="preserve"> includ</w:t>
      </w:r>
      <w:r w:rsidR="00DF6739">
        <w:rPr>
          <w:rStyle w:val="AERbody"/>
        </w:rPr>
        <w:t>e</w:t>
      </w:r>
      <w:r w:rsidR="001D52FB">
        <w:rPr>
          <w:rStyle w:val="AERbody"/>
        </w:rPr>
        <w:t>:</w:t>
      </w:r>
    </w:p>
    <w:p w:rsidR="001D52FB" w:rsidRDefault="001D52FB" w:rsidP="00CB1FD3">
      <w:pPr>
        <w:pStyle w:val="AERbulletlistfirststyle"/>
        <w:rPr>
          <w:rStyle w:val="AERbody"/>
        </w:rPr>
      </w:pPr>
      <w:r>
        <w:rPr>
          <w:rStyle w:val="AERbody"/>
        </w:rPr>
        <w:t xml:space="preserve">correcting </w:t>
      </w:r>
      <w:r w:rsidRPr="001D52FB">
        <w:rPr>
          <w:rStyle w:val="AERbody"/>
        </w:rPr>
        <w:t>the annual actual inflation rates for RAB indexation</w:t>
      </w:r>
    </w:p>
    <w:p w:rsidR="001D52FB" w:rsidRDefault="001D52FB" w:rsidP="00CB1FD3">
      <w:pPr>
        <w:pStyle w:val="AERbulletlistfirststyle"/>
        <w:rPr>
          <w:rStyle w:val="AERbody"/>
        </w:rPr>
      </w:pPr>
      <w:r w:rsidRPr="001D52FB">
        <w:rPr>
          <w:rStyle w:val="AERbody"/>
        </w:rPr>
        <w:t>removing the half-year WACC allowance for 2010 actual net capex</w:t>
      </w:r>
    </w:p>
    <w:p w:rsidR="001D52FB" w:rsidRDefault="001D52FB" w:rsidP="00CB1FD3">
      <w:pPr>
        <w:pStyle w:val="AERbulletlistfirststyle"/>
        <w:rPr>
          <w:rStyle w:val="AERbody"/>
        </w:rPr>
      </w:pPr>
      <w:r>
        <w:rPr>
          <w:rStyle w:val="AERbody"/>
        </w:rPr>
        <w:t xml:space="preserve">correcting the </w:t>
      </w:r>
      <w:r w:rsidRPr="001D52FB">
        <w:rPr>
          <w:rStyle w:val="AERbody"/>
        </w:rPr>
        <w:t>adjustment</w:t>
      </w:r>
      <w:r>
        <w:rPr>
          <w:rStyle w:val="AERbody"/>
        </w:rPr>
        <w:t>s</w:t>
      </w:r>
      <w:r w:rsidRPr="001D52FB">
        <w:rPr>
          <w:rStyle w:val="AERbody"/>
        </w:rPr>
        <w:t xml:space="preserve"> to account for the difference between 2005 actual and forecast net capex</w:t>
      </w:r>
    </w:p>
    <w:p w:rsidR="001D52FB" w:rsidRDefault="001D52FB" w:rsidP="00CB1FD3">
      <w:pPr>
        <w:pStyle w:val="AERbulletlistfirststyle"/>
        <w:rPr>
          <w:rStyle w:val="AERbody"/>
        </w:rPr>
      </w:pPr>
      <w:r>
        <w:rPr>
          <w:rStyle w:val="AERbody"/>
        </w:rPr>
        <w:t>removing</w:t>
      </w:r>
      <w:r w:rsidRPr="001D52FB">
        <w:rPr>
          <w:rStyle w:val="AERbody"/>
        </w:rPr>
        <w:t xml:space="preserve"> capitalised finance charges from proposed 2011 </w:t>
      </w:r>
      <w:r>
        <w:rPr>
          <w:rStyle w:val="AERbody"/>
        </w:rPr>
        <w:t xml:space="preserve">actual </w:t>
      </w:r>
      <w:r w:rsidRPr="001D52FB">
        <w:rPr>
          <w:rStyle w:val="AERbody"/>
        </w:rPr>
        <w:t>capex.</w:t>
      </w:r>
    </w:p>
    <w:p w:rsidR="00FB2B1D" w:rsidRDefault="008B20E4" w:rsidP="008B20E4">
      <w:pPr>
        <w:numPr>
          <w:ilvl w:val="0"/>
          <w:numId w:val="24"/>
        </w:numPr>
        <w:rPr>
          <w:rStyle w:val="AERbody"/>
        </w:rPr>
      </w:pPr>
      <w:r>
        <w:rPr>
          <w:rStyle w:val="AERbody"/>
        </w:rPr>
        <w:t xml:space="preserve">These amendments </w:t>
      </w:r>
      <w:r w:rsidR="00591397">
        <w:rPr>
          <w:rStyle w:val="AERbody"/>
        </w:rPr>
        <w:t xml:space="preserve">resulted in a net </w:t>
      </w:r>
      <w:r w:rsidR="00205584">
        <w:rPr>
          <w:rStyle w:val="AERbody"/>
        </w:rPr>
        <w:t>reduction</w:t>
      </w:r>
      <w:r w:rsidR="00591397">
        <w:rPr>
          <w:rStyle w:val="AERbody"/>
        </w:rPr>
        <w:t xml:space="preserve"> to</w:t>
      </w:r>
      <w:r>
        <w:rPr>
          <w:rStyle w:val="AERbody"/>
        </w:rPr>
        <w:t xml:space="preserve"> the opening RAB as at 1</w:t>
      </w:r>
      <w:r w:rsidR="00CB1FD3">
        <w:rPr>
          <w:rStyle w:val="AERbody"/>
        </w:rPr>
        <w:t> </w:t>
      </w:r>
      <w:r>
        <w:rPr>
          <w:rStyle w:val="AERbody"/>
        </w:rPr>
        <w:t xml:space="preserve">January 2016 </w:t>
      </w:r>
      <w:r w:rsidR="00591397">
        <w:rPr>
          <w:rStyle w:val="AERbody"/>
        </w:rPr>
        <w:t>of</w:t>
      </w:r>
      <w:r w:rsidR="009E4B33">
        <w:rPr>
          <w:rStyle w:val="AERbody"/>
        </w:rPr>
        <w:t xml:space="preserve"> $</w:t>
      </w:r>
      <w:r w:rsidR="00CB1FD3">
        <w:rPr>
          <w:rStyle w:val="AERbody"/>
        </w:rPr>
        <w:t>3.8</w:t>
      </w:r>
      <w:r w:rsidR="009E4B33">
        <w:rPr>
          <w:rStyle w:val="AERbody"/>
        </w:rPr>
        <w:t xml:space="preserve"> million (or </w:t>
      </w:r>
      <w:r w:rsidR="00CB1FD3">
        <w:rPr>
          <w:rStyle w:val="AERbody"/>
        </w:rPr>
        <w:t>0.3</w:t>
      </w:r>
      <w:r w:rsidR="009E4B33">
        <w:rPr>
          <w:rStyle w:val="AERbody"/>
        </w:rPr>
        <w:t> per cent) compared to that proposed.</w:t>
      </w:r>
    </w:p>
    <w:p w:rsidR="00955006" w:rsidRDefault="00955006" w:rsidP="00955006">
      <w:pPr>
        <w:numPr>
          <w:ilvl w:val="0"/>
          <w:numId w:val="24"/>
        </w:numPr>
      </w:pPr>
      <w:r w:rsidRPr="00AD7289">
        <w:t xml:space="preserve">To determine the opening RAB as at 1 </w:t>
      </w:r>
      <w:r>
        <w:t>January</w:t>
      </w:r>
      <w:r w:rsidRPr="00AD7289">
        <w:t xml:space="preserve"> 201</w:t>
      </w:r>
      <w:r>
        <w:t>6</w:t>
      </w:r>
      <w:r w:rsidRPr="00AD7289">
        <w:t>, we have rolled forward the RAB over the 201</w:t>
      </w:r>
      <w:r>
        <w:t>1</w:t>
      </w:r>
      <w:r w:rsidRPr="00AD7289">
        <w:t>–15 regulatory control period to determine a closing RAB value at 3</w:t>
      </w:r>
      <w:r>
        <w:t>1</w:t>
      </w:r>
      <w:r w:rsidR="00CB1FD3">
        <w:t> </w:t>
      </w:r>
      <w:r>
        <w:t>December</w:t>
      </w:r>
      <w:r w:rsidRPr="00AD7289">
        <w:t xml:space="preserve"> 2015. This roll forward includes an adjustment at the end of the 201</w:t>
      </w:r>
      <w:r>
        <w:t>1</w:t>
      </w:r>
      <w:r w:rsidRPr="00AD7289">
        <w:t xml:space="preserve">–15 regulatory control period to account for the difference between actual </w:t>
      </w:r>
      <w:r>
        <w:t>20</w:t>
      </w:r>
      <w:r w:rsidRPr="00AD7289">
        <w:t>1</w:t>
      </w:r>
      <w:r w:rsidR="00E01851">
        <w:t>0</w:t>
      </w:r>
      <w:r w:rsidRPr="00AD7289">
        <w:t xml:space="preserve"> capex and the estimate approved at the </w:t>
      </w:r>
      <w:r w:rsidR="00DE6470" w:rsidRPr="00AD7289">
        <w:t>201</w:t>
      </w:r>
      <w:r w:rsidR="00DE6470">
        <w:t xml:space="preserve">1–15 </w:t>
      </w:r>
      <w:r w:rsidRPr="00AD7289">
        <w:t>determination.</w:t>
      </w:r>
      <w:r w:rsidRPr="00AD7289">
        <w:rPr>
          <w:rStyle w:val="FootnoteReference"/>
        </w:rPr>
        <w:footnoteReference w:id="3"/>
      </w:r>
      <w:r w:rsidRPr="00AD7289">
        <w:t xml:space="preserve"> </w:t>
      </w:r>
    </w:p>
    <w:p w:rsidR="00434D01" w:rsidRDefault="00434D01" w:rsidP="00434D01">
      <w:r>
        <w:fldChar w:fldCharType="begin"/>
      </w:r>
      <w:r>
        <w:instrText xml:space="preserve"> REF _Ref416938074 \h </w:instrText>
      </w:r>
      <w:r>
        <w:fldChar w:fldCharType="separate"/>
      </w:r>
      <w:r w:rsidR="00E86890" w:rsidRPr="00E00467">
        <w:t xml:space="preserve">Table </w:t>
      </w:r>
      <w:r w:rsidR="00E86890">
        <w:rPr>
          <w:noProof/>
        </w:rPr>
        <w:t>2</w:t>
      </w:r>
      <w:r w:rsidR="00E86890">
        <w:t>.</w:t>
      </w:r>
      <w:r w:rsidR="00E86890">
        <w:rPr>
          <w:noProof/>
        </w:rPr>
        <w:t>1</w:t>
      </w:r>
      <w:r>
        <w:fldChar w:fldCharType="end"/>
      </w:r>
      <w:r>
        <w:t xml:space="preserve"> </w:t>
      </w:r>
      <w:r w:rsidRPr="00AD7289">
        <w:t>sets out our preliminary decision on the roll forward of the RAB values for the 201</w:t>
      </w:r>
      <w:r w:rsidR="00FB2B1D">
        <w:t>1</w:t>
      </w:r>
      <w:r w:rsidRPr="00AD7289">
        <w:t>–15 regulatory control period.</w:t>
      </w:r>
    </w:p>
    <w:p w:rsidR="00977972" w:rsidRDefault="00977972" w:rsidP="00434D01"/>
    <w:p w:rsidR="00977972" w:rsidRDefault="00977972" w:rsidP="00434D01"/>
    <w:p w:rsidR="00F02C52" w:rsidRPr="00F02C52" w:rsidRDefault="00F02C52" w:rsidP="00F02C52">
      <w:pPr>
        <w:pStyle w:val="Caption"/>
        <w:rPr>
          <w:rStyle w:val="AERtexthighlight"/>
        </w:rPr>
      </w:pPr>
      <w:bookmarkStart w:id="12" w:name="_Ref416938074"/>
      <w:r w:rsidRPr="00E00467">
        <w:lastRenderedPageBreak/>
        <w:t xml:space="preserve">Table </w:t>
      </w:r>
      <w:r w:rsidRPr="00F02C52">
        <w:fldChar w:fldCharType="begin"/>
      </w:r>
      <w:r>
        <w:instrText xml:space="preserve"> STYLEREF 1 \s </w:instrText>
      </w:r>
      <w:r w:rsidRPr="00F02C52">
        <w:fldChar w:fldCharType="separate"/>
      </w:r>
      <w:r w:rsidR="00E86890">
        <w:rPr>
          <w:noProof/>
        </w:rPr>
        <w:t>2</w:t>
      </w:r>
      <w:r w:rsidRPr="00F02C52">
        <w:fldChar w:fldCharType="end"/>
      </w:r>
      <w:r>
        <w:t>.</w:t>
      </w:r>
      <w:r w:rsidRPr="00F02C52">
        <w:fldChar w:fldCharType="begin"/>
      </w:r>
      <w:r>
        <w:instrText xml:space="preserve"> SEQ Table \* ARABIC \s 1 </w:instrText>
      </w:r>
      <w:r w:rsidRPr="00F02C52">
        <w:fldChar w:fldCharType="separate"/>
      </w:r>
      <w:r w:rsidR="00E86890">
        <w:rPr>
          <w:noProof/>
        </w:rPr>
        <w:t>1</w:t>
      </w:r>
      <w:r w:rsidRPr="00F02C52">
        <w:fldChar w:fldCharType="end"/>
      </w:r>
      <w:bookmarkEnd w:id="12"/>
      <w:r w:rsidRPr="00E00467">
        <w:tab/>
      </w:r>
      <w:r>
        <w:t>AER's preliminary decision on Jemena's RAB for the 201</w:t>
      </w:r>
      <w:r w:rsidR="00C03733">
        <w:t>1</w:t>
      </w:r>
      <w:r w:rsidR="00CF3198">
        <w:t>–</w:t>
      </w:r>
      <w:r>
        <w:t>15 regulatory control period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434D01" w:rsidRPr="00237902" w:rsidTr="00C6770A">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68" w:type="pct"/>
            <w:noWrap/>
            <w:hideMark/>
          </w:tcPr>
          <w:p w:rsidR="00434D01" w:rsidRPr="00434D01" w:rsidRDefault="00434D01" w:rsidP="00434D01">
            <w:r w:rsidRPr="00237902">
              <w:t> </w:t>
            </w:r>
          </w:p>
        </w:tc>
        <w:tc>
          <w:tcPr>
            <w:tcW w:w="566" w:type="pct"/>
            <w:noWrap/>
            <w:hideMark/>
          </w:tcPr>
          <w:p w:rsidR="00434D01" w:rsidRPr="00434D01" w:rsidRDefault="00C03733" w:rsidP="00434D01">
            <w:pPr>
              <w:cnfStyle w:val="100000000000" w:firstRow="1" w:lastRow="0" w:firstColumn="0" w:lastColumn="0" w:oddVBand="0" w:evenVBand="0" w:oddHBand="0" w:evenHBand="0" w:firstRowFirstColumn="0" w:firstRowLastColumn="0" w:lastRowFirstColumn="0" w:lastRowLastColumn="0"/>
            </w:pPr>
            <w:r>
              <w:t>2011</w:t>
            </w:r>
          </w:p>
        </w:tc>
        <w:tc>
          <w:tcPr>
            <w:tcW w:w="566" w:type="pct"/>
            <w:noWrap/>
            <w:hideMark/>
          </w:tcPr>
          <w:p w:rsidR="00434D01" w:rsidRPr="00434D01" w:rsidRDefault="00C03733" w:rsidP="00434D01">
            <w:pPr>
              <w:cnfStyle w:val="100000000000" w:firstRow="1" w:lastRow="0" w:firstColumn="0" w:lastColumn="0" w:oddVBand="0" w:evenVBand="0" w:oddHBand="0" w:evenHBand="0" w:firstRowFirstColumn="0" w:firstRowLastColumn="0" w:lastRowFirstColumn="0" w:lastRowLastColumn="0"/>
            </w:pPr>
            <w:r>
              <w:t>2012</w:t>
            </w:r>
          </w:p>
        </w:tc>
        <w:tc>
          <w:tcPr>
            <w:tcW w:w="567" w:type="pct"/>
            <w:noWrap/>
            <w:hideMark/>
          </w:tcPr>
          <w:p w:rsidR="00434D01" w:rsidRPr="00434D01" w:rsidRDefault="00C03733" w:rsidP="00434D01">
            <w:pPr>
              <w:cnfStyle w:val="100000000000" w:firstRow="1" w:lastRow="0" w:firstColumn="0" w:lastColumn="0" w:oddVBand="0" w:evenVBand="0" w:oddHBand="0" w:evenHBand="0" w:firstRowFirstColumn="0" w:firstRowLastColumn="0" w:lastRowFirstColumn="0" w:lastRowLastColumn="0"/>
            </w:pPr>
            <w:r>
              <w:t>2013</w:t>
            </w:r>
          </w:p>
        </w:tc>
        <w:tc>
          <w:tcPr>
            <w:tcW w:w="566" w:type="pct"/>
            <w:noWrap/>
            <w:hideMark/>
          </w:tcPr>
          <w:p w:rsidR="00434D01" w:rsidRPr="00434D01" w:rsidRDefault="00C03733" w:rsidP="00434D01">
            <w:pPr>
              <w:cnfStyle w:val="100000000000" w:firstRow="1" w:lastRow="0" w:firstColumn="0" w:lastColumn="0" w:oddVBand="0" w:evenVBand="0" w:oddHBand="0" w:evenHBand="0" w:firstRowFirstColumn="0" w:firstRowLastColumn="0" w:lastRowFirstColumn="0" w:lastRowLastColumn="0"/>
            </w:pPr>
            <w:r>
              <w:t>2014</w:t>
            </w:r>
          </w:p>
        </w:tc>
        <w:tc>
          <w:tcPr>
            <w:tcW w:w="567" w:type="pct"/>
            <w:noWrap/>
            <w:hideMark/>
          </w:tcPr>
          <w:p w:rsidR="00434D01" w:rsidRPr="00434D01" w:rsidRDefault="00C03733" w:rsidP="00434D01">
            <w:pPr>
              <w:cnfStyle w:val="100000000000" w:firstRow="1" w:lastRow="0" w:firstColumn="0" w:lastColumn="0" w:oddVBand="0" w:evenVBand="0" w:oddHBand="0" w:evenHBand="0" w:firstRowFirstColumn="0" w:firstRowLastColumn="0" w:lastRowFirstColumn="0" w:lastRowLastColumn="0"/>
            </w:pPr>
            <w:r>
              <w:t>2015</w:t>
            </w:r>
            <w:r w:rsidR="00434D01" w:rsidRPr="00434D01">
              <w:rPr>
                <w:rStyle w:val="AERsuperscript"/>
              </w:rPr>
              <w:t>a</w:t>
            </w:r>
          </w:p>
        </w:tc>
      </w:tr>
      <w:tr w:rsidR="00CA1CF5" w:rsidRPr="00237902" w:rsidTr="006E638F">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CA1CF5" w:rsidRPr="00CA1CF5" w:rsidRDefault="00CA1CF5" w:rsidP="00CA1CF5">
            <w:r w:rsidRPr="00CA1CF5">
              <w:t>Opening RAB</w:t>
            </w:r>
          </w:p>
        </w:tc>
        <w:tc>
          <w:tcPr>
            <w:tcW w:w="566" w:type="pct"/>
            <w:noWrap/>
            <w:vAlign w:val="bottom"/>
          </w:tcPr>
          <w:p w:rsidR="00CA1CF5" w:rsidRPr="00CA1CF5" w:rsidRDefault="00CA1CF5" w:rsidP="00CA1CF5">
            <w:pPr>
              <w:cnfStyle w:val="000000000000" w:firstRow="0" w:lastRow="0" w:firstColumn="0" w:lastColumn="0" w:oddVBand="0" w:evenVBand="0" w:oddHBand="0" w:evenHBand="0" w:firstRowFirstColumn="0" w:firstRowLastColumn="0" w:lastRowFirstColumn="0" w:lastRowLastColumn="0"/>
            </w:pPr>
            <w:r w:rsidRPr="00CA1CF5">
              <w:t>764.2</w:t>
            </w:r>
          </w:p>
        </w:tc>
        <w:tc>
          <w:tcPr>
            <w:tcW w:w="566" w:type="pct"/>
            <w:noWrap/>
            <w:vAlign w:val="bottom"/>
          </w:tcPr>
          <w:p w:rsidR="00CA1CF5" w:rsidRPr="00CA1CF5" w:rsidRDefault="00CA1CF5" w:rsidP="00CA1CF5">
            <w:pPr>
              <w:cnfStyle w:val="000000000000" w:firstRow="0" w:lastRow="0" w:firstColumn="0" w:lastColumn="0" w:oddVBand="0" w:evenVBand="0" w:oddHBand="0" w:evenHBand="0" w:firstRowFirstColumn="0" w:firstRowLastColumn="0" w:lastRowFirstColumn="0" w:lastRowLastColumn="0"/>
            </w:pPr>
            <w:r w:rsidRPr="00CA1CF5">
              <w:t>867.3</w:t>
            </w:r>
          </w:p>
        </w:tc>
        <w:tc>
          <w:tcPr>
            <w:tcW w:w="567" w:type="pct"/>
            <w:noWrap/>
            <w:vAlign w:val="bottom"/>
          </w:tcPr>
          <w:p w:rsidR="00CA1CF5" w:rsidRPr="00CA1CF5" w:rsidRDefault="00CA1CF5" w:rsidP="00CA1CF5">
            <w:pPr>
              <w:cnfStyle w:val="000000000000" w:firstRow="0" w:lastRow="0" w:firstColumn="0" w:lastColumn="0" w:oddVBand="0" w:evenVBand="0" w:oddHBand="0" w:evenHBand="0" w:firstRowFirstColumn="0" w:firstRowLastColumn="0" w:lastRowFirstColumn="0" w:lastRowLastColumn="0"/>
            </w:pPr>
            <w:r w:rsidRPr="00CA1CF5">
              <w:t>947.0</w:t>
            </w:r>
          </w:p>
        </w:tc>
        <w:tc>
          <w:tcPr>
            <w:tcW w:w="566" w:type="pct"/>
            <w:noWrap/>
            <w:vAlign w:val="bottom"/>
          </w:tcPr>
          <w:p w:rsidR="00CA1CF5" w:rsidRPr="00CA1CF5" w:rsidRDefault="00CA1CF5" w:rsidP="00CA1CF5">
            <w:pPr>
              <w:cnfStyle w:val="000000000000" w:firstRow="0" w:lastRow="0" w:firstColumn="0" w:lastColumn="0" w:oddVBand="0" w:evenVBand="0" w:oddHBand="0" w:evenHBand="0" w:firstRowFirstColumn="0" w:firstRowLastColumn="0" w:lastRowFirstColumn="0" w:lastRowLastColumn="0"/>
            </w:pPr>
            <w:r w:rsidRPr="00CA1CF5">
              <w:t>1026.9</w:t>
            </w:r>
          </w:p>
        </w:tc>
        <w:tc>
          <w:tcPr>
            <w:tcW w:w="567" w:type="pct"/>
            <w:noWrap/>
            <w:vAlign w:val="bottom"/>
          </w:tcPr>
          <w:p w:rsidR="00CA1CF5" w:rsidRPr="00CA1CF5" w:rsidRDefault="00CA1CF5" w:rsidP="00CA1CF5">
            <w:pPr>
              <w:cnfStyle w:val="000000000000" w:firstRow="0" w:lastRow="0" w:firstColumn="0" w:lastColumn="0" w:oddVBand="0" w:evenVBand="0" w:oddHBand="0" w:evenHBand="0" w:firstRowFirstColumn="0" w:firstRowLastColumn="0" w:lastRowFirstColumn="0" w:lastRowLastColumn="0"/>
            </w:pPr>
            <w:r w:rsidRPr="00CA1CF5">
              <w:t>1110.7</w:t>
            </w:r>
          </w:p>
        </w:tc>
      </w:tr>
      <w:tr w:rsidR="00CA1CF5" w:rsidRPr="00237902" w:rsidTr="006E638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CA1CF5" w:rsidRPr="00CA1CF5" w:rsidRDefault="00CA1CF5" w:rsidP="00CA1CF5">
            <w:r w:rsidRPr="00CA1CF5">
              <w:t>Capital expenditure</w:t>
            </w:r>
            <w:r w:rsidRPr="00CA1CF5">
              <w:rPr>
                <w:rStyle w:val="AERsuperscript"/>
              </w:rPr>
              <w:t>b</w:t>
            </w:r>
          </w:p>
        </w:tc>
        <w:tc>
          <w:tcPr>
            <w:tcW w:w="566" w:type="pct"/>
            <w:noWrap/>
            <w:vAlign w:val="bottom"/>
          </w:tcPr>
          <w:p w:rsidR="00CA1CF5" w:rsidRPr="00CA1CF5" w:rsidRDefault="00CA1CF5" w:rsidP="00CA1CF5">
            <w:pPr>
              <w:cnfStyle w:val="000000010000" w:firstRow="0" w:lastRow="0" w:firstColumn="0" w:lastColumn="0" w:oddVBand="0" w:evenVBand="0" w:oddHBand="0" w:evenHBand="1" w:firstRowFirstColumn="0" w:firstRowLastColumn="0" w:lastRowFirstColumn="0" w:lastRowLastColumn="0"/>
            </w:pPr>
            <w:r w:rsidRPr="00CA1CF5">
              <w:t>122.4</w:t>
            </w:r>
          </w:p>
        </w:tc>
        <w:tc>
          <w:tcPr>
            <w:tcW w:w="566" w:type="pct"/>
            <w:noWrap/>
            <w:vAlign w:val="bottom"/>
          </w:tcPr>
          <w:p w:rsidR="00CA1CF5" w:rsidRPr="00CA1CF5" w:rsidRDefault="00CA1CF5" w:rsidP="00CA1CF5">
            <w:pPr>
              <w:cnfStyle w:val="000000010000" w:firstRow="0" w:lastRow="0" w:firstColumn="0" w:lastColumn="0" w:oddVBand="0" w:evenVBand="0" w:oddHBand="0" w:evenHBand="1" w:firstRowFirstColumn="0" w:firstRowLastColumn="0" w:lastRowFirstColumn="0" w:lastRowLastColumn="0"/>
            </w:pPr>
            <w:r w:rsidRPr="00CA1CF5">
              <w:t>116.3</w:t>
            </w:r>
          </w:p>
        </w:tc>
        <w:tc>
          <w:tcPr>
            <w:tcW w:w="567" w:type="pct"/>
            <w:noWrap/>
            <w:vAlign w:val="bottom"/>
          </w:tcPr>
          <w:p w:rsidR="00CA1CF5" w:rsidRPr="00CA1CF5" w:rsidRDefault="00CA1CF5" w:rsidP="00CA1CF5">
            <w:pPr>
              <w:cnfStyle w:val="000000010000" w:firstRow="0" w:lastRow="0" w:firstColumn="0" w:lastColumn="0" w:oddVBand="0" w:evenVBand="0" w:oddHBand="0" w:evenHBand="1" w:firstRowFirstColumn="0" w:firstRowLastColumn="0" w:lastRowFirstColumn="0" w:lastRowLastColumn="0"/>
            </w:pPr>
            <w:r w:rsidRPr="00CA1CF5">
              <w:t>122.0</w:t>
            </w:r>
          </w:p>
        </w:tc>
        <w:tc>
          <w:tcPr>
            <w:tcW w:w="566" w:type="pct"/>
            <w:noWrap/>
            <w:vAlign w:val="bottom"/>
          </w:tcPr>
          <w:p w:rsidR="00CA1CF5" w:rsidRPr="00CA1CF5" w:rsidRDefault="00CA1CF5" w:rsidP="00CA1CF5">
            <w:pPr>
              <w:cnfStyle w:val="000000010000" w:firstRow="0" w:lastRow="0" w:firstColumn="0" w:lastColumn="0" w:oddVBand="0" w:evenVBand="0" w:oddHBand="0" w:evenHBand="1" w:firstRowFirstColumn="0" w:firstRowLastColumn="0" w:lastRowFirstColumn="0" w:lastRowLastColumn="0"/>
            </w:pPr>
            <w:r w:rsidRPr="00CA1CF5">
              <w:t>128.8</w:t>
            </w:r>
          </w:p>
        </w:tc>
        <w:tc>
          <w:tcPr>
            <w:tcW w:w="567" w:type="pct"/>
            <w:noWrap/>
            <w:vAlign w:val="bottom"/>
          </w:tcPr>
          <w:p w:rsidR="00CA1CF5" w:rsidRPr="00CA1CF5" w:rsidRDefault="00CA1CF5" w:rsidP="00CA1CF5">
            <w:pPr>
              <w:cnfStyle w:val="000000010000" w:firstRow="0" w:lastRow="0" w:firstColumn="0" w:lastColumn="0" w:oddVBand="0" w:evenVBand="0" w:oddHBand="0" w:evenHBand="1" w:firstRowFirstColumn="0" w:firstRowLastColumn="0" w:lastRowFirstColumn="0" w:lastRowLastColumn="0"/>
            </w:pPr>
            <w:r w:rsidRPr="00CA1CF5">
              <w:t>144.1</w:t>
            </w:r>
          </w:p>
        </w:tc>
      </w:tr>
      <w:tr w:rsidR="00CA1CF5" w:rsidRPr="00237902" w:rsidTr="006E638F">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CA1CF5" w:rsidRPr="00CA1CF5" w:rsidRDefault="00CA1CF5" w:rsidP="00CA1CF5">
            <w:r w:rsidRPr="00CA1CF5">
              <w:t>Inflation indexation on opening RAB</w:t>
            </w:r>
          </w:p>
        </w:tc>
        <w:tc>
          <w:tcPr>
            <w:tcW w:w="566" w:type="pct"/>
            <w:noWrap/>
            <w:vAlign w:val="bottom"/>
          </w:tcPr>
          <w:p w:rsidR="00CA1CF5" w:rsidRPr="00CA1CF5" w:rsidRDefault="00CA1CF5" w:rsidP="00CA1CF5">
            <w:pPr>
              <w:cnfStyle w:val="000000000000" w:firstRow="0" w:lastRow="0" w:firstColumn="0" w:lastColumn="0" w:oddVBand="0" w:evenVBand="0" w:oddHBand="0" w:evenHBand="0" w:firstRowFirstColumn="0" w:firstRowLastColumn="0" w:lastRowFirstColumn="0" w:lastRowLastColumn="0"/>
            </w:pPr>
            <w:r w:rsidRPr="00CA1CF5">
              <w:t>26.9</w:t>
            </w:r>
          </w:p>
        </w:tc>
        <w:tc>
          <w:tcPr>
            <w:tcW w:w="566" w:type="pct"/>
            <w:noWrap/>
            <w:vAlign w:val="bottom"/>
          </w:tcPr>
          <w:p w:rsidR="00CA1CF5" w:rsidRPr="00CA1CF5" w:rsidRDefault="00CA1CF5" w:rsidP="00CA1CF5">
            <w:pPr>
              <w:cnfStyle w:val="000000000000" w:firstRow="0" w:lastRow="0" w:firstColumn="0" w:lastColumn="0" w:oddVBand="0" w:evenVBand="0" w:oddHBand="0" w:evenHBand="0" w:firstRowFirstColumn="0" w:firstRowLastColumn="0" w:lastRowFirstColumn="0" w:lastRowLastColumn="0"/>
            </w:pPr>
            <w:r w:rsidRPr="00CA1CF5">
              <w:t>17.4</w:t>
            </w:r>
          </w:p>
        </w:tc>
        <w:tc>
          <w:tcPr>
            <w:tcW w:w="567" w:type="pct"/>
            <w:noWrap/>
            <w:vAlign w:val="bottom"/>
          </w:tcPr>
          <w:p w:rsidR="00CA1CF5" w:rsidRPr="00CA1CF5" w:rsidRDefault="00CA1CF5" w:rsidP="00CA1CF5">
            <w:pPr>
              <w:cnfStyle w:val="000000000000" w:firstRow="0" w:lastRow="0" w:firstColumn="0" w:lastColumn="0" w:oddVBand="0" w:evenVBand="0" w:oddHBand="0" w:evenHBand="0" w:firstRowFirstColumn="0" w:firstRowLastColumn="0" w:lastRowFirstColumn="0" w:lastRowLastColumn="0"/>
            </w:pPr>
            <w:r w:rsidRPr="00CA1CF5">
              <w:t>20.5</w:t>
            </w:r>
          </w:p>
        </w:tc>
        <w:tc>
          <w:tcPr>
            <w:tcW w:w="566" w:type="pct"/>
            <w:noWrap/>
            <w:vAlign w:val="bottom"/>
          </w:tcPr>
          <w:p w:rsidR="00CA1CF5" w:rsidRPr="00CA1CF5" w:rsidRDefault="00CA1CF5" w:rsidP="00CA1CF5">
            <w:pPr>
              <w:cnfStyle w:val="000000000000" w:firstRow="0" w:lastRow="0" w:firstColumn="0" w:lastColumn="0" w:oddVBand="0" w:evenVBand="0" w:oddHBand="0" w:evenHBand="0" w:firstRowFirstColumn="0" w:firstRowLastColumn="0" w:lastRowFirstColumn="0" w:lastRowLastColumn="0"/>
            </w:pPr>
            <w:r w:rsidRPr="00CA1CF5">
              <w:t>23.7</w:t>
            </w:r>
          </w:p>
        </w:tc>
        <w:tc>
          <w:tcPr>
            <w:tcW w:w="567" w:type="pct"/>
            <w:noWrap/>
            <w:vAlign w:val="bottom"/>
          </w:tcPr>
          <w:p w:rsidR="00CA1CF5" w:rsidRPr="00CA1CF5" w:rsidRDefault="00CA1CF5" w:rsidP="00CA1CF5">
            <w:pPr>
              <w:cnfStyle w:val="000000000000" w:firstRow="0" w:lastRow="0" w:firstColumn="0" w:lastColumn="0" w:oddVBand="0" w:evenVBand="0" w:oddHBand="0" w:evenHBand="0" w:firstRowFirstColumn="0" w:firstRowLastColumn="0" w:lastRowFirstColumn="0" w:lastRowLastColumn="0"/>
            </w:pPr>
            <w:r w:rsidRPr="00CA1CF5">
              <w:t>25.6</w:t>
            </w:r>
          </w:p>
        </w:tc>
      </w:tr>
      <w:tr w:rsidR="00CA1CF5" w:rsidRPr="00237902" w:rsidTr="006E638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CA1CF5" w:rsidRPr="00CA1CF5" w:rsidRDefault="00CA1CF5" w:rsidP="00CA1CF5">
            <w:r w:rsidRPr="00CA1CF5">
              <w:rPr>
                <w:rStyle w:val="AERtextitalic"/>
              </w:rPr>
              <w:t>Less</w:t>
            </w:r>
            <w:r w:rsidRPr="00CA1CF5">
              <w:t>: straight-line depreciation</w:t>
            </w:r>
          </w:p>
        </w:tc>
        <w:tc>
          <w:tcPr>
            <w:tcW w:w="566" w:type="pct"/>
            <w:noWrap/>
            <w:vAlign w:val="bottom"/>
          </w:tcPr>
          <w:p w:rsidR="00CA1CF5" w:rsidRPr="00CA1CF5" w:rsidRDefault="00CA1CF5" w:rsidP="00CA1CF5">
            <w:pPr>
              <w:cnfStyle w:val="000000010000" w:firstRow="0" w:lastRow="0" w:firstColumn="0" w:lastColumn="0" w:oddVBand="0" w:evenVBand="0" w:oddHBand="0" w:evenHBand="1" w:firstRowFirstColumn="0" w:firstRowLastColumn="0" w:lastRowFirstColumn="0" w:lastRowLastColumn="0"/>
            </w:pPr>
            <w:r w:rsidRPr="00CA1CF5">
              <w:t>46.2</w:t>
            </w:r>
          </w:p>
        </w:tc>
        <w:tc>
          <w:tcPr>
            <w:tcW w:w="566" w:type="pct"/>
            <w:noWrap/>
            <w:vAlign w:val="bottom"/>
          </w:tcPr>
          <w:p w:rsidR="00CA1CF5" w:rsidRPr="00CA1CF5" w:rsidRDefault="00CA1CF5" w:rsidP="00CA1CF5">
            <w:pPr>
              <w:cnfStyle w:val="000000010000" w:firstRow="0" w:lastRow="0" w:firstColumn="0" w:lastColumn="0" w:oddVBand="0" w:evenVBand="0" w:oddHBand="0" w:evenHBand="1" w:firstRowFirstColumn="0" w:firstRowLastColumn="0" w:lastRowFirstColumn="0" w:lastRowLastColumn="0"/>
            </w:pPr>
            <w:r w:rsidRPr="00CA1CF5">
              <w:t>54.0</w:t>
            </w:r>
          </w:p>
        </w:tc>
        <w:tc>
          <w:tcPr>
            <w:tcW w:w="567" w:type="pct"/>
            <w:noWrap/>
            <w:vAlign w:val="bottom"/>
          </w:tcPr>
          <w:p w:rsidR="00CA1CF5" w:rsidRPr="00CA1CF5" w:rsidRDefault="00CA1CF5" w:rsidP="00CA1CF5">
            <w:pPr>
              <w:cnfStyle w:val="000000010000" w:firstRow="0" w:lastRow="0" w:firstColumn="0" w:lastColumn="0" w:oddVBand="0" w:evenVBand="0" w:oddHBand="0" w:evenHBand="1" w:firstRowFirstColumn="0" w:firstRowLastColumn="0" w:lastRowFirstColumn="0" w:lastRowLastColumn="0"/>
            </w:pPr>
            <w:r w:rsidRPr="00CA1CF5">
              <w:t>62.5</w:t>
            </w:r>
          </w:p>
        </w:tc>
        <w:tc>
          <w:tcPr>
            <w:tcW w:w="566" w:type="pct"/>
            <w:noWrap/>
            <w:vAlign w:val="bottom"/>
          </w:tcPr>
          <w:p w:rsidR="00CA1CF5" w:rsidRPr="00CA1CF5" w:rsidRDefault="00CA1CF5" w:rsidP="00CA1CF5">
            <w:pPr>
              <w:cnfStyle w:val="000000010000" w:firstRow="0" w:lastRow="0" w:firstColumn="0" w:lastColumn="0" w:oddVBand="0" w:evenVBand="0" w:oddHBand="0" w:evenHBand="1" w:firstRowFirstColumn="0" w:firstRowLastColumn="0" w:lastRowFirstColumn="0" w:lastRowLastColumn="0"/>
            </w:pPr>
            <w:r w:rsidRPr="00CA1CF5">
              <w:t>68.6</w:t>
            </w:r>
          </w:p>
        </w:tc>
        <w:tc>
          <w:tcPr>
            <w:tcW w:w="567" w:type="pct"/>
            <w:noWrap/>
            <w:vAlign w:val="bottom"/>
          </w:tcPr>
          <w:p w:rsidR="00CA1CF5" w:rsidRPr="00CA1CF5" w:rsidRDefault="00CA1CF5" w:rsidP="00CA1CF5">
            <w:pPr>
              <w:cnfStyle w:val="000000010000" w:firstRow="0" w:lastRow="0" w:firstColumn="0" w:lastColumn="0" w:oddVBand="0" w:evenVBand="0" w:oddHBand="0" w:evenHBand="1" w:firstRowFirstColumn="0" w:firstRowLastColumn="0" w:lastRowFirstColumn="0" w:lastRowLastColumn="0"/>
            </w:pPr>
            <w:r w:rsidRPr="00CA1CF5">
              <w:t>71.8</w:t>
            </w:r>
          </w:p>
        </w:tc>
      </w:tr>
      <w:tr w:rsidR="00CF3198" w:rsidRPr="005E4D56" w:rsidTr="006E638F">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CA1CF5" w:rsidRPr="005E4D56" w:rsidRDefault="00CA1CF5" w:rsidP="005E4D56">
            <w:r w:rsidRPr="005E4D56">
              <w:t>Closing RAB</w:t>
            </w:r>
          </w:p>
        </w:tc>
        <w:tc>
          <w:tcPr>
            <w:tcW w:w="566" w:type="pct"/>
            <w:noWrap/>
            <w:vAlign w:val="bottom"/>
          </w:tcPr>
          <w:p w:rsidR="00CA1CF5" w:rsidRPr="005E4D56" w:rsidRDefault="00CA1CF5" w:rsidP="005E4D56">
            <w:pPr>
              <w:cnfStyle w:val="000000000000" w:firstRow="0" w:lastRow="0" w:firstColumn="0" w:lastColumn="0" w:oddVBand="0" w:evenVBand="0" w:oddHBand="0" w:evenHBand="0" w:firstRowFirstColumn="0" w:firstRowLastColumn="0" w:lastRowFirstColumn="0" w:lastRowLastColumn="0"/>
            </w:pPr>
            <w:r w:rsidRPr="005E4D56">
              <w:t>867.3</w:t>
            </w:r>
          </w:p>
        </w:tc>
        <w:tc>
          <w:tcPr>
            <w:tcW w:w="566" w:type="pct"/>
            <w:noWrap/>
            <w:vAlign w:val="bottom"/>
          </w:tcPr>
          <w:p w:rsidR="00CA1CF5" w:rsidRPr="005E4D56" w:rsidRDefault="00CA1CF5" w:rsidP="005E4D56">
            <w:pPr>
              <w:cnfStyle w:val="000000000000" w:firstRow="0" w:lastRow="0" w:firstColumn="0" w:lastColumn="0" w:oddVBand="0" w:evenVBand="0" w:oddHBand="0" w:evenHBand="0" w:firstRowFirstColumn="0" w:firstRowLastColumn="0" w:lastRowFirstColumn="0" w:lastRowLastColumn="0"/>
            </w:pPr>
            <w:r w:rsidRPr="005E4D56">
              <w:t>947.0</w:t>
            </w:r>
          </w:p>
        </w:tc>
        <w:tc>
          <w:tcPr>
            <w:tcW w:w="567" w:type="pct"/>
            <w:noWrap/>
            <w:vAlign w:val="bottom"/>
          </w:tcPr>
          <w:p w:rsidR="00CA1CF5" w:rsidRPr="005E4D56" w:rsidRDefault="00CA1CF5" w:rsidP="005E4D56">
            <w:pPr>
              <w:cnfStyle w:val="000000000000" w:firstRow="0" w:lastRow="0" w:firstColumn="0" w:lastColumn="0" w:oddVBand="0" w:evenVBand="0" w:oddHBand="0" w:evenHBand="0" w:firstRowFirstColumn="0" w:firstRowLastColumn="0" w:lastRowFirstColumn="0" w:lastRowLastColumn="0"/>
            </w:pPr>
            <w:r w:rsidRPr="005E4D56">
              <w:t>1026.9</w:t>
            </w:r>
          </w:p>
        </w:tc>
        <w:tc>
          <w:tcPr>
            <w:tcW w:w="566" w:type="pct"/>
            <w:noWrap/>
            <w:vAlign w:val="bottom"/>
          </w:tcPr>
          <w:p w:rsidR="00CA1CF5" w:rsidRPr="005E4D56" w:rsidRDefault="00CA1CF5" w:rsidP="005E4D56">
            <w:pPr>
              <w:cnfStyle w:val="000000000000" w:firstRow="0" w:lastRow="0" w:firstColumn="0" w:lastColumn="0" w:oddVBand="0" w:evenVBand="0" w:oddHBand="0" w:evenHBand="0" w:firstRowFirstColumn="0" w:firstRowLastColumn="0" w:lastRowFirstColumn="0" w:lastRowLastColumn="0"/>
            </w:pPr>
            <w:r w:rsidRPr="005E4D56">
              <w:t>1110.7</w:t>
            </w:r>
          </w:p>
        </w:tc>
        <w:tc>
          <w:tcPr>
            <w:tcW w:w="567" w:type="pct"/>
            <w:noWrap/>
            <w:vAlign w:val="bottom"/>
          </w:tcPr>
          <w:p w:rsidR="00CA1CF5" w:rsidRPr="005E4D56" w:rsidRDefault="00CA1CF5" w:rsidP="005E4D56">
            <w:pPr>
              <w:cnfStyle w:val="000000000000" w:firstRow="0" w:lastRow="0" w:firstColumn="0" w:lastColumn="0" w:oddVBand="0" w:evenVBand="0" w:oddHBand="0" w:evenHBand="0" w:firstRowFirstColumn="0" w:firstRowLastColumn="0" w:lastRowFirstColumn="0" w:lastRowLastColumn="0"/>
            </w:pPr>
            <w:r w:rsidRPr="005E4D56">
              <w:t>1208.7</w:t>
            </w:r>
          </w:p>
        </w:tc>
      </w:tr>
      <w:tr w:rsidR="00CB1FD3" w:rsidRPr="00237902" w:rsidTr="00F02C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CB1FD3" w:rsidRPr="00CB1FD3" w:rsidRDefault="00CB1FD3" w:rsidP="00CB1FD3">
            <w:r w:rsidRPr="00CB1FD3">
              <w:t>Difference between estimated and actual 2010 capex (1 January 2010 to 31 December 2010)</w:t>
            </w:r>
          </w:p>
        </w:tc>
        <w:tc>
          <w:tcPr>
            <w:tcW w:w="566" w:type="pct"/>
            <w:noWrap/>
            <w:vAlign w:val="bottom"/>
            <w:hideMark/>
          </w:tcPr>
          <w:p w:rsidR="00CB1FD3" w:rsidRPr="00CB1FD3" w:rsidRDefault="00CB1FD3" w:rsidP="00CB1FD3">
            <w:pPr>
              <w:cnfStyle w:val="000000010000" w:firstRow="0" w:lastRow="0" w:firstColumn="0" w:lastColumn="0" w:oddVBand="0" w:evenVBand="0" w:oddHBand="0" w:evenHBand="1" w:firstRowFirstColumn="0" w:firstRowLastColumn="0" w:lastRowFirstColumn="0" w:lastRowLastColumn="0"/>
            </w:pPr>
            <w:r w:rsidRPr="00CB1FD3">
              <w:t> </w:t>
            </w:r>
          </w:p>
        </w:tc>
        <w:tc>
          <w:tcPr>
            <w:tcW w:w="566" w:type="pct"/>
            <w:noWrap/>
            <w:vAlign w:val="bottom"/>
            <w:hideMark/>
          </w:tcPr>
          <w:p w:rsidR="00CB1FD3" w:rsidRPr="00CB1FD3" w:rsidRDefault="00CB1FD3" w:rsidP="00CB1FD3">
            <w:pPr>
              <w:cnfStyle w:val="000000010000" w:firstRow="0" w:lastRow="0" w:firstColumn="0" w:lastColumn="0" w:oddVBand="0" w:evenVBand="0" w:oddHBand="0" w:evenHBand="1" w:firstRowFirstColumn="0" w:firstRowLastColumn="0" w:lastRowFirstColumn="0" w:lastRowLastColumn="0"/>
            </w:pPr>
            <w:r w:rsidRPr="00CB1FD3">
              <w:t> </w:t>
            </w:r>
          </w:p>
        </w:tc>
        <w:tc>
          <w:tcPr>
            <w:tcW w:w="567" w:type="pct"/>
            <w:noWrap/>
            <w:vAlign w:val="bottom"/>
            <w:hideMark/>
          </w:tcPr>
          <w:p w:rsidR="00CB1FD3" w:rsidRPr="00CB1FD3" w:rsidRDefault="00CB1FD3" w:rsidP="00CB1FD3">
            <w:pPr>
              <w:cnfStyle w:val="000000010000" w:firstRow="0" w:lastRow="0" w:firstColumn="0" w:lastColumn="0" w:oddVBand="0" w:evenVBand="0" w:oddHBand="0" w:evenHBand="1" w:firstRowFirstColumn="0" w:firstRowLastColumn="0" w:lastRowFirstColumn="0" w:lastRowLastColumn="0"/>
            </w:pPr>
            <w:r w:rsidRPr="00CB1FD3">
              <w:t> </w:t>
            </w:r>
          </w:p>
        </w:tc>
        <w:tc>
          <w:tcPr>
            <w:tcW w:w="566" w:type="pct"/>
            <w:noWrap/>
            <w:vAlign w:val="bottom"/>
            <w:hideMark/>
          </w:tcPr>
          <w:p w:rsidR="00CB1FD3" w:rsidRPr="00CB1FD3" w:rsidRDefault="00CB1FD3" w:rsidP="00CB1FD3">
            <w:pPr>
              <w:cnfStyle w:val="000000010000" w:firstRow="0" w:lastRow="0" w:firstColumn="0" w:lastColumn="0" w:oddVBand="0" w:evenVBand="0" w:oddHBand="0" w:evenHBand="1" w:firstRowFirstColumn="0" w:firstRowLastColumn="0" w:lastRowFirstColumn="0" w:lastRowLastColumn="0"/>
            </w:pPr>
            <w:r w:rsidRPr="00CB1FD3">
              <w:t> </w:t>
            </w:r>
          </w:p>
        </w:tc>
        <w:tc>
          <w:tcPr>
            <w:tcW w:w="567" w:type="pct"/>
            <w:noWrap/>
            <w:vAlign w:val="bottom"/>
          </w:tcPr>
          <w:p w:rsidR="00CB1FD3" w:rsidRPr="00CB1FD3" w:rsidRDefault="00CB1FD3" w:rsidP="00CB1FD3">
            <w:pPr>
              <w:cnfStyle w:val="000000010000" w:firstRow="0" w:lastRow="0" w:firstColumn="0" w:lastColumn="0" w:oddVBand="0" w:evenVBand="0" w:oddHBand="0" w:evenHBand="1" w:firstRowFirstColumn="0" w:firstRowLastColumn="0" w:lastRowFirstColumn="0" w:lastRowLastColumn="0"/>
            </w:pPr>
            <w:r>
              <w:t>–</w:t>
            </w:r>
            <w:r w:rsidRPr="00CB1FD3">
              <w:t>13.3</w:t>
            </w:r>
          </w:p>
        </w:tc>
      </w:tr>
      <w:tr w:rsidR="00CB1FD3" w:rsidRPr="00237902" w:rsidTr="00F02C52">
        <w:trPr>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CB1FD3" w:rsidRPr="00CB1FD3" w:rsidRDefault="00CB1FD3" w:rsidP="00CB1FD3">
            <w:r w:rsidRPr="00CB1FD3">
              <w:t>Return on difference for 2010 capex</w:t>
            </w:r>
          </w:p>
        </w:tc>
        <w:tc>
          <w:tcPr>
            <w:tcW w:w="566" w:type="pct"/>
            <w:noWrap/>
            <w:vAlign w:val="bottom"/>
            <w:hideMark/>
          </w:tcPr>
          <w:p w:rsidR="00CB1FD3" w:rsidRPr="00CB1FD3" w:rsidRDefault="00CB1FD3" w:rsidP="00CB1FD3">
            <w:pPr>
              <w:cnfStyle w:val="000000000000" w:firstRow="0" w:lastRow="0" w:firstColumn="0" w:lastColumn="0" w:oddVBand="0" w:evenVBand="0" w:oddHBand="0" w:evenHBand="0" w:firstRowFirstColumn="0" w:firstRowLastColumn="0" w:lastRowFirstColumn="0" w:lastRowLastColumn="0"/>
            </w:pPr>
            <w:r w:rsidRPr="00CB1FD3">
              <w:t> </w:t>
            </w:r>
          </w:p>
        </w:tc>
        <w:tc>
          <w:tcPr>
            <w:tcW w:w="566" w:type="pct"/>
            <w:noWrap/>
            <w:vAlign w:val="bottom"/>
            <w:hideMark/>
          </w:tcPr>
          <w:p w:rsidR="00CB1FD3" w:rsidRPr="00CB1FD3" w:rsidRDefault="00CB1FD3" w:rsidP="00CB1FD3">
            <w:pPr>
              <w:cnfStyle w:val="000000000000" w:firstRow="0" w:lastRow="0" w:firstColumn="0" w:lastColumn="0" w:oddVBand="0" w:evenVBand="0" w:oddHBand="0" w:evenHBand="0" w:firstRowFirstColumn="0" w:firstRowLastColumn="0" w:lastRowFirstColumn="0" w:lastRowLastColumn="0"/>
            </w:pPr>
            <w:r w:rsidRPr="00CB1FD3">
              <w:t> </w:t>
            </w:r>
          </w:p>
        </w:tc>
        <w:tc>
          <w:tcPr>
            <w:tcW w:w="567" w:type="pct"/>
            <w:noWrap/>
            <w:vAlign w:val="bottom"/>
            <w:hideMark/>
          </w:tcPr>
          <w:p w:rsidR="00CB1FD3" w:rsidRPr="00CB1FD3" w:rsidRDefault="00CB1FD3" w:rsidP="00CB1FD3">
            <w:pPr>
              <w:cnfStyle w:val="000000000000" w:firstRow="0" w:lastRow="0" w:firstColumn="0" w:lastColumn="0" w:oddVBand="0" w:evenVBand="0" w:oddHBand="0" w:evenHBand="0" w:firstRowFirstColumn="0" w:firstRowLastColumn="0" w:lastRowFirstColumn="0" w:lastRowLastColumn="0"/>
            </w:pPr>
            <w:r w:rsidRPr="00CB1FD3">
              <w:t> </w:t>
            </w:r>
          </w:p>
        </w:tc>
        <w:tc>
          <w:tcPr>
            <w:tcW w:w="566" w:type="pct"/>
            <w:noWrap/>
            <w:vAlign w:val="bottom"/>
            <w:hideMark/>
          </w:tcPr>
          <w:p w:rsidR="00CB1FD3" w:rsidRPr="00CB1FD3" w:rsidRDefault="00CB1FD3" w:rsidP="00CB1FD3">
            <w:pPr>
              <w:cnfStyle w:val="000000000000" w:firstRow="0" w:lastRow="0" w:firstColumn="0" w:lastColumn="0" w:oddVBand="0" w:evenVBand="0" w:oddHBand="0" w:evenHBand="0" w:firstRowFirstColumn="0" w:firstRowLastColumn="0" w:lastRowFirstColumn="0" w:lastRowLastColumn="0"/>
            </w:pPr>
            <w:r w:rsidRPr="00CB1FD3">
              <w:t> </w:t>
            </w:r>
          </w:p>
        </w:tc>
        <w:tc>
          <w:tcPr>
            <w:tcW w:w="567" w:type="pct"/>
            <w:noWrap/>
            <w:vAlign w:val="bottom"/>
          </w:tcPr>
          <w:p w:rsidR="00CB1FD3" w:rsidRPr="00CB1FD3" w:rsidRDefault="00CB1FD3" w:rsidP="00CB1FD3">
            <w:pPr>
              <w:cnfStyle w:val="000000000000" w:firstRow="0" w:lastRow="0" w:firstColumn="0" w:lastColumn="0" w:oddVBand="0" w:evenVBand="0" w:oddHBand="0" w:evenHBand="0" w:firstRowFirstColumn="0" w:firstRowLastColumn="0" w:lastRowFirstColumn="0" w:lastRowLastColumn="0"/>
            </w:pPr>
            <w:r>
              <w:t>–</w:t>
            </w:r>
            <w:r w:rsidRPr="00CB1FD3">
              <w:t>8.3</w:t>
            </w:r>
          </w:p>
        </w:tc>
      </w:tr>
      <w:tr w:rsidR="00CB1FD3" w:rsidRPr="00CA1CF5" w:rsidTr="00F02C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CB1FD3" w:rsidRPr="00CB1FD3" w:rsidRDefault="00CB1FD3" w:rsidP="00CB1FD3">
            <w:pPr>
              <w:rPr>
                <w:rStyle w:val="Strong"/>
              </w:rPr>
            </w:pPr>
            <w:r w:rsidRPr="00CB1FD3">
              <w:rPr>
                <w:rStyle w:val="Strong"/>
              </w:rPr>
              <w:t>Closing RAB as at 31 December 2015</w:t>
            </w:r>
          </w:p>
        </w:tc>
        <w:tc>
          <w:tcPr>
            <w:tcW w:w="566" w:type="pct"/>
            <w:noWrap/>
            <w:vAlign w:val="bottom"/>
            <w:hideMark/>
          </w:tcPr>
          <w:p w:rsidR="00CB1FD3" w:rsidRPr="00CB1FD3" w:rsidRDefault="00CB1FD3" w:rsidP="00CB1FD3">
            <w:pPr>
              <w:cnfStyle w:val="000000010000" w:firstRow="0" w:lastRow="0" w:firstColumn="0" w:lastColumn="0" w:oddVBand="0" w:evenVBand="0" w:oddHBand="0" w:evenHBand="1" w:firstRowFirstColumn="0" w:firstRowLastColumn="0" w:lastRowFirstColumn="0" w:lastRowLastColumn="0"/>
              <w:rPr>
                <w:rStyle w:val="Strong"/>
              </w:rPr>
            </w:pPr>
            <w:r w:rsidRPr="00CB1FD3">
              <w:rPr>
                <w:rStyle w:val="Strong"/>
              </w:rPr>
              <w:t> </w:t>
            </w:r>
          </w:p>
        </w:tc>
        <w:tc>
          <w:tcPr>
            <w:tcW w:w="566" w:type="pct"/>
            <w:noWrap/>
            <w:vAlign w:val="bottom"/>
            <w:hideMark/>
          </w:tcPr>
          <w:p w:rsidR="00CB1FD3" w:rsidRPr="00CB1FD3" w:rsidRDefault="00CB1FD3" w:rsidP="00CB1FD3">
            <w:pPr>
              <w:cnfStyle w:val="000000010000" w:firstRow="0" w:lastRow="0" w:firstColumn="0" w:lastColumn="0" w:oddVBand="0" w:evenVBand="0" w:oddHBand="0" w:evenHBand="1" w:firstRowFirstColumn="0" w:firstRowLastColumn="0" w:lastRowFirstColumn="0" w:lastRowLastColumn="0"/>
              <w:rPr>
                <w:rStyle w:val="Strong"/>
              </w:rPr>
            </w:pPr>
            <w:r w:rsidRPr="00CB1FD3">
              <w:rPr>
                <w:rStyle w:val="Strong"/>
              </w:rPr>
              <w:t> </w:t>
            </w:r>
          </w:p>
        </w:tc>
        <w:tc>
          <w:tcPr>
            <w:tcW w:w="567" w:type="pct"/>
            <w:noWrap/>
            <w:vAlign w:val="bottom"/>
            <w:hideMark/>
          </w:tcPr>
          <w:p w:rsidR="00CB1FD3" w:rsidRPr="00CB1FD3" w:rsidRDefault="00CB1FD3" w:rsidP="00CB1FD3">
            <w:pPr>
              <w:cnfStyle w:val="000000010000" w:firstRow="0" w:lastRow="0" w:firstColumn="0" w:lastColumn="0" w:oddVBand="0" w:evenVBand="0" w:oddHBand="0" w:evenHBand="1" w:firstRowFirstColumn="0" w:firstRowLastColumn="0" w:lastRowFirstColumn="0" w:lastRowLastColumn="0"/>
              <w:rPr>
                <w:rStyle w:val="Strong"/>
              </w:rPr>
            </w:pPr>
            <w:r w:rsidRPr="00CB1FD3">
              <w:rPr>
                <w:rStyle w:val="Strong"/>
              </w:rPr>
              <w:t> </w:t>
            </w:r>
          </w:p>
        </w:tc>
        <w:tc>
          <w:tcPr>
            <w:tcW w:w="566" w:type="pct"/>
            <w:noWrap/>
            <w:vAlign w:val="bottom"/>
            <w:hideMark/>
          </w:tcPr>
          <w:p w:rsidR="00CB1FD3" w:rsidRPr="00CB1FD3" w:rsidRDefault="00CB1FD3" w:rsidP="00CB1FD3">
            <w:pPr>
              <w:cnfStyle w:val="000000010000" w:firstRow="0" w:lastRow="0" w:firstColumn="0" w:lastColumn="0" w:oddVBand="0" w:evenVBand="0" w:oddHBand="0" w:evenHBand="1" w:firstRowFirstColumn="0" w:firstRowLastColumn="0" w:lastRowFirstColumn="0" w:lastRowLastColumn="0"/>
              <w:rPr>
                <w:rStyle w:val="Strong"/>
              </w:rPr>
            </w:pPr>
            <w:r w:rsidRPr="00CB1FD3">
              <w:rPr>
                <w:rStyle w:val="Strong"/>
              </w:rPr>
              <w:t> </w:t>
            </w:r>
          </w:p>
        </w:tc>
        <w:tc>
          <w:tcPr>
            <w:tcW w:w="567" w:type="pct"/>
            <w:noWrap/>
            <w:vAlign w:val="bottom"/>
          </w:tcPr>
          <w:p w:rsidR="00CB1FD3" w:rsidRPr="00CB1FD3" w:rsidRDefault="00CB1FD3" w:rsidP="00CB1FD3">
            <w:pPr>
              <w:cnfStyle w:val="000000010000" w:firstRow="0" w:lastRow="0" w:firstColumn="0" w:lastColumn="0" w:oddVBand="0" w:evenVBand="0" w:oddHBand="0" w:evenHBand="1" w:firstRowFirstColumn="0" w:firstRowLastColumn="0" w:lastRowFirstColumn="0" w:lastRowLastColumn="0"/>
              <w:rPr>
                <w:rStyle w:val="Strong"/>
              </w:rPr>
            </w:pPr>
            <w:r w:rsidRPr="00CB1FD3">
              <w:rPr>
                <w:rStyle w:val="Strong"/>
              </w:rPr>
              <w:t>1187.0</w:t>
            </w:r>
          </w:p>
        </w:tc>
      </w:tr>
    </w:tbl>
    <w:p w:rsidR="00434D01" w:rsidRPr="006001AB" w:rsidRDefault="00434D01" w:rsidP="00434D01">
      <w:pPr>
        <w:pStyle w:val="AERtablesource"/>
      </w:pPr>
      <w:r w:rsidRPr="006001AB">
        <w:t>Source:</w:t>
      </w:r>
      <w:r w:rsidRPr="006001AB">
        <w:tab/>
        <w:t>AER analysis.</w:t>
      </w:r>
    </w:p>
    <w:p w:rsidR="00434D01" w:rsidRPr="006001AB" w:rsidRDefault="00434D01" w:rsidP="00434D01">
      <w:pPr>
        <w:pStyle w:val="AERtablesource"/>
      </w:pPr>
      <w:r w:rsidRPr="006001AB">
        <w:t>(a):</w:t>
      </w:r>
      <w:r w:rsidRPr="006001AB">
        <w:tab/>
        <w:t xml:space="preserve">Based on estimated capex. We will update the RAB roll forward in the </w:t>
      </w:r>
      <w:r>
        <w:t>substitute</w:t>
      </w:r>
      <w:r w:rsidRPr="006001AB">
        <w:t xml:space="preserve"> decision.</w:t>
      </w:r>
    </w:p>
    <w:p w:rsidR="00434D01" w:rsidRDefault="00434D01" w:rsidP="00434D01">
      <w:pPr>
        <w:pStyle w:val="AERtablesource"/>
      </w:pPr>
      <w:r w:rsidRPr="006001AB">
        <w:t>(b):</w:t>
      </w:r>
      <w:r w:rsidRPr="006001AB">
        <w:tab/>
        <w:t xml:space="preserve">Net of disposals and </w:t>
      </w:r>
      <w:r w:rsidR="00F122B2">
        <w:t xml:space="preserve">capital contributions, and </w:t>
      </w:r>
      <w:r w:rsidRPr="006001AB">
        <w:t>adjusted for CPI.</w:t>
      </w:r>
    </w:p>
    <w:p w:rsidR="00C6770A" w:rsidRDefault="00C6770A" w:rsidP="00C6770A">
      <w:pPr>
        <w:numPr>
          <w:ilvl w:val="0"/>
          <w:numId w:val="24"/>
        </w:numPr>
      </w:pPr>
      <w:r w:rsidRPr="006001AB">
        <w:t>We determine a forecast closing RAB value at 3</w:t>
      </w:r>
      <w:r>
        <w:t>1 December</w:t>
      </w:r>
      <w:r w:rsidRPr="006001AB">
        <w:t xml:space="preserve"> 2020 </w:t>
      </w:r>
      <w:r w:rsidRPr="00F37D9F">
        <w:rPr>
          <w:rStyle w:val="AERbody"/>
        </w:rPr>
        <w:t>of $</w:t>
      </w:r>
      <w:r w:rsidR="00C532EA">
        <w:rPr>
          <w:rStyle w:val="AERbody"/>
        </w:rPr>
        <w:t>1684.0</w:t>
      </w:r>
      <w:r w:rsidR="00A61D73">
        <w:rPr>
          <w:rStyle w:val="AERbody"/>
        </w:rPr>
        <w:t> </w:t>
      </w:r>
      <w:r w:rsidRPr="00F37D9F">
        <w:rPr>
          <w:rStyle w:val="AERbody"/>
        </w:rPr>
        <w:t>million ($ nominal). This is $</w:t>
      </w:r>
      <w:r w:rsidR="00A61D73">
        <w:rPr>
          <w:rStyle w:val="AERbody"/>
        </w:rPr>
        <w:t>4</w:t>
      </w:r>
      <w:r w:rsidR="00C532EA">
        <w:rPr>
          <w:rStyle w:val="AERbody"/>
        </w:rPr>
        <w:t>6.4 </w:t>
      </w:r>
      <w:r>
        <w:rPr>
          <w:rStyle w:val="AERbody"/>
        </w:rPr>
        <w:t>m</w:t>
      </w:r>
      <w:r w:rsidRPr="00F37D9F">
        <w:rPr>
          <w:rStyle w:val="AERbody"/>
        </w:rPr>
        <w:t xml:space="preserve">illion (or </w:t>
      </w:r>
      <w:r w:rsidR="00A61D73">
        <w:rPr>
          <w:rStyle w:val="AERbody"/>
        </w:rPr>
        <w:t>2.</w:t>
      </w:r>
      <w:r w:rsidR="00C532EA">
        <w:rPr>
          <w:rStyle w:val="AERbody"/>
        </w:rPr>
        <w:t>7</w:t>
      </w:r>
      <w:r>
        <w:rPr>
          <w:rStyle w:val="AERbody"/>
        </w:rPr>
        <w:t> </w:t>
      </w:r>
      <w:r w:rsidRPr="00F37D9F">
        <w:rPr>
          <w:rStyle w:val="AERbody"/>
        </w:rPr>
        <w:t>per cent) lower than the amount of $</w:t>
      </w:r>
      <w:r>
        <w:rPr>
          <w:rStyle w:val="AERbody"/>
        </w:rPr>
        <w:t>1730.4 </w:t>
      </w:r>
      <w:r w:rsidRPr="00F37D9F">
        <w:rPr>
          <w:rStyle w:val="AERbody"/>
        </w:rPr>
        <w:t xml:space="preserve">million ($ nominal) proposed by </w:t>
      </w:r>
      <w:r>
        <w:rPr>
          <w:rStyle w:val="AERbody"/>
        </w:rPr>
        <w:t>Jemena</w:t>
      </w:r>
      <w:r w:rsidRPr="00F37D9F">
        <w:rPr>
          <w:rStyle w:val="AERbody"/>
        </w:rPr>
        <w:t>. Our preliminary decision on the forecast closing RAB reflects the amended opening RAB as at 1 J</w:t>
      </w:r>
      <w:r>
        <w:rPr>
          <w:rStyle w:val="AERbody"/>
        </w:rPr>
        <w:t>anuary</w:t>
      </w:r>
      <w:r w:rsidRPr="00F37D9F">
        <w:rPr>
          <w:rStyle w:val="AERbody"/>
        </w:rPr>
        <w:t xml:space="preserve"> 201</w:t>
      </w:r>
      <w:r>
        <w:rPr>
          <w:rStyle w:val="AERbody"/>
        </w:rPr>
        <w:t>6</w:t>
      </w:r>
      <w:r w:rsidRPr="00F37D9F">
        <w:rPr>
          <w:rStyle w:val="AERbody"/>
        </w:rPr>
        <w:t>, and our preliminary dec</w:t>
      </w:r>
      <w:r w:rsidRPr="006001AB">
        <w:t>isions on forecast capex (attachment 6)</w:t>
      </w:r>
      <w:r w:rsidR="00A61D73">
        <w:t>,</w:t>
      </w:r>
      <w:r w:rsidRPr="006001AB">
        <w:t xml:space="preserve"> forecast regulatory depreciation (attachment 5)</w:t>
      </w:r>
      <w:r w:rsidR="00DE6470">
        <w:t>,</w:t>
      </w:r>
      <w:r w:rsidR="00A61D73">
        <w:t xml:space="preserve"> and forecast inflation (attachment 3)</w:t>
      </w:r>
      <w:r w:rsidRPr="006001AB">
        <w:t>.</w:t>
      </w:r>
    </w:p>
    <w:p w:rsidR="00C6770A" w:rsidRPr="00C6770A" w:rsidRDefault="00C6770A" w:rsidP="00C6770A">
      <w:r w:rsidRPr="00EA41D6">
        <w:fldChar w:fldCharType="begin"/>
      </w:r>
      <w:r w:rsidRPr="00EA41D6">
        <w:instrText xml:space="preserve"> REF _Ref406144543 \h  \* MERGEFORMAT </w:instrText>
      </w:r>
      <w:r w:rsidRPr="00EA41D6">
        <w:fldChar w:fldCharType="separate"/>
      </w:r>
      <w:r w:rsidR="00E86890" w:rsidRPr="00E86890">
        <w:t>Table 2.2</w:t>
      </w:r>
      <w:r w:rsidRPr="00EA41D6">
        <w:fldChar w:fldCharType="end"/>
      </w:r>
      <w:r>
        <w:t xml:space="preserve"> </w:t>
      </w:r>
      <w:r w:rsidRPr="006001AB">
        <w:t xml:space="preserve">sets out our preliminary decision on the forecast RAB values for </w:t>
      </w:r>
      <w:r>
        <w:t>Jemena</w:t>
      </w:r>
      <w:r w:rsidRPr="006001AB">
        <w:t xml:space="preserve"> over the 201</w:t>
      </w:r>
      <w:r>
        <w:t>6</w:t>
      </w:r>
      <w:r w:rsidRPr="006001AB">
        <w:t xml:space="preserve">–20 regulatory control </w:t>
      </w:r>
      <w:proofErr w:type="gramStart"/>
      <w:r w:rsidRPr="006001AB">
        <w:t>period</w:t>
      </w:r>
      <w:proofErr w:type="gramEnd"/>
      <w:r w:rsidRPr="006001AB">
        <w:t>.</w:t>
      </w:r>
    </w:p>
    <w:p w:rsidR="00434D01" w:rsidRPr="003E2590" w:rsidRDefault="00434D01" w:rsidP="00C47783">
      <w:pPr>
        <w:pStyle w:val="Caption"/>
        <w:rPr>
          <w:rStyle w:val="AERbody"/>
          <w:color w:val="076A92" w:themeColor="text1"/>
          <w:sz w:val="24"/>
        </w:rPr>
      </w:pPr>
      <w:bookmarkStart w:id="13" w:name="_Ref406144543"/>
      <w:r w:rsidRPr="00F122B2">
        <w:rPr>
          <w:rStyle w:val="AERbody"/>
          <w:color w:val="076A92" w:themeColor="text1"/>
          <w:sz w:val="24"/>
        </w:rPr>
        <w:t xml:space="preserve">Table </w:t>
      </w:r>
      <w:r w:rsidRPr="002D167D">
        <w:rPr>
          <w:rStyle w:val="AERbody"/>
          <w:color w:val="076A92" w:themeColor="text1"/>
          <w:sz w:val="24"/>
        </w:rPr>
        <w:fldChar w:fldCharType="begin"/>
      </w:r>
      <w:r w:rsidRPr="002D167D">
        <w:rPr>
          <w:rStyle w:val="AERbody"/>
          <w:color w:val="076A92" w:themeColor="text1"/>
          <w:sz w:val="24"/>
        </w:rPr>
        <w:instrText xml:space="preserve"> STYLEREF 1 \s </w:instrText>
      </w:r>
      <w:r w:rsidRPr="002D167D">
        <w:rPr>
          <w:rStyle w:val="AERbody"/>
          <w:color w:val="076A92" w:themeColor="text1"/>
          <w:sz w:val="24"/>
        </w:rPr>
        <w:fldChar w:fldCharType="separate"/>
      </w:r>
      <w:r w:rsidR="00E86890">
        <w:rPr>
          <w:rStyle w:val="AERbody"/>
          <w:noProof/>
          <w:color w:val="076A92" w:themeColor="text1"/>
          <w:sz w:val="24"/>
        </w:rPr>
        <w:t>2</w:t>
      </w:r>
      <w:r w:rsidRPr="002D167D">
        <w:rPr>
          <w:rStyle w:val="AERbody"/>
          <w:color w:val="076A92" w:themeColor="text1"/>
          <w:sz w:val="24"/>
        </w:rPr>
        <w:fldChar w:fldCharType="end"/>
      </w:r>
      <w:r w:rsidRPr="002D167D">
        <w:rPr>
          <w:rStyle w:val="AERbody"/>
          <w:color w:val="076A92" w:themeColor="text1"/>
          <w:sz w:val="24"/>
        </w:rPr>
        <w:t>.</w:t>
      </w:r>
      <w:r w:rsidRPr="003E2590">
        <w:rPr>
          <w:rStyle w:val="AERbody"/>
          <w:color w:val="076A92" w:themeColor="text1"/>
          <w:sz w:val="24"/>
        </w:rPr>
        <w:fldChar w:fldCharType="begin"/>
      </w:r>
      <w:r w:rsidRPr="003E2590">
        <w:rPr>
          <w:rStyle w:val="AERbody"/>
          <w:color w:val="076A92" w:themeColor="text1"/>
          <w:sz w:val="24"/>
        </w:rPr>
        <w:instrText xml:space="preserve"> SEQ Table \* ARABIC \s 1 </w:instrText>
      </w:r>
      <w:r w:rsidRPr="003E2590">
        <w:rPr>
          <w:rStyle w:val="AERbody"/>
          <w:color w:val="076A92" w:themeColor="text1"/>
          <w:sz w:val="24"/>
        </w:rPr>
        <w:fldChar w:fldCharType="separate"/>
      </w:r>
      <w:r w:rsidR="00E86890">
        <w:rPr>
          <w:rStyle w:val="AERbody"/>
          <w:noProof/>
          <w:color w:val="076A92" w:themeColor="text1"/>
          <w:sz w:val="24"/>
        </w:rPr>
        <w:t>2</w:t>
      </w:r>
      <w:r w:rsidRPr="003E2590">
        <w:rPr>
          <w:rStyle w:val="AERbody"/>
          <w:color w:val="076A92" w:themeColor="text1"/>
          <w:sz w:val="24"/>
        </w:rPr>
        <w:fldChar w:fldCharType="end"/>
      </w:r>
      <w:bookmarkEnd w:id="13"/>
      <w:r w:rsidRPr="003E2590">
        <w:rPr>
          <w:rStyle w:val="AERbody"/>
          <w:color w:val="076A92" w:themeColor="text1"/>
          <w:sz w:val="24"/>
        </w:rPr>
        <w:tab/>
        <w:t xml:space="preserve">AER's preliminary decision on </w:t>
      </w:r>
      <w:r w:rsidR="004B0B45" w:rsidRPr="003E2590">
        <w:rPr>
          <w:rStyle w:val="AERbody"/>
          <w:color w:val="076A92" w:themeColor="text1"/>
          <w:sz w:val="24"/>
        </w:rPr>
        <w:t>Jemena</w:t>
      </w:r>
      <w:r w:rsidRPr="003E2590">
        <w:rPr>
          <w:rStyle w:val="AERbody"/>
          <w:color w:val="076A92" w:themeColor="text1"/>
          <w:sz w:val="24"/>
        </w:rPr>
        <w:t>'s RAB for the 201</w:t>
      </w:r>
      <w:r w:rsidR="004B0B45" w:rsidRPr="003E2590">
        <w:rPr>
          <w:rStyle w:val="AERbody"/>
          <w:color w:val="076A92" w:themeColor="text1"/>
          <w:sz w:val="24"/>
        </w:rPr>
        <w:t>6</w:t>
      </w:r>
      <w:r w:rsidRPr="003E2590">
        <w:rPr>
          <w:rStyle w:val="AERbody"/>
          <w:color w:val="076A92" w:themeColor="text1"/>
          <w:sz w:val="24"/>
        </w:rPr>
        <w:t>–20 regulatory control period ($ million, nominal)</w:t>
      </w:r>
    </w:p>
    <w:tbl>
      <w:tblPr>
        <w:tblStyle w:val="AERtable-numbers"/>
        <w:tblW w:w="5048" w:type="pct"/>
        <w:tblLook w:val="04A0" w:firstRow="1" w:lastRow="0" w:firstColumn="1" w:lastColumn="0" w:noHBand="0" w:noVBand="1"/>
      </w:tblPr>
      <w:tblGrid>
        <w:gridCol w:w="3491"/>
        <w:gridCol w:w="1057"/>
        <w:gridCol w:w="1057"/>
        <w:gridCol w:w="1057"/>
        <w:gridCol w:w="1057"/>
        <w:gridCol w:w="1057"/>
      </w:tblGrid>
      <w:tr w:rsidR="00434D01" w:rsidRPr="00237902" w:rsidTr="002D3D9A">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989" w:type="pct"/>
            <w:noWrap/>
            <w:hideMark/>
          </w:tcPr>
          <w:p w:rsidR="00434D01" w:rsidRPr="00434D01" w:rsidRDefault="00434D01" w:rsidP="00434D01">
            <w:r w:rsidRPr="00237902">
              <w:t> </w:t>
            </w:r>
          </w:p>
        </w:tc>
        <w:tc>
          <w:tcPr>
            <w:tcW w:w="602" w:type="pct"/>
            <w:noWrap/>
            <w:hideMark/>
          </w:tcPr>
          <w:p w:rsidR="00434D01" w:rsidRPr="00434D01" w:rsidRDefault="004B0B45" w:rsidP="00434D01">
            <w:pPr>
              <w:cnfStyle w:val="100000000000" w:firstRow="1" w:lastRow="0" w:firstColumn="0" w:lastColumn="0" w:oddVBand="0" w:evenVBand="0" w:oddHBand="0" w:evenHBand="0" w:firstRowFirstColumn="0" w:firstRowLastColumn="0" w:lastRowFirstColumn="0" w:lastRowLastColumn="0"/>
            </w:pPr>
            <w:r>
              <w:t>2016</w:t>
            </w:r>
          </w:p>
        </w:tc>
        <w:tc>
          <w:tcPr>
            <w:tcW w:w="602" w:type="pct"/>
            <w:noWrap/>
            <w:hideMark/>
          </w:tcPr>
          <w:p w:rsidR="00434D01" w:rsidRPr="00434D01" w:rsidRDefault="004B0B45" w:rsidP="00434D01">
            <w:pPr>
              <w:cnfStyle w:val="100000000000" w:firstRow="1" w:lastRow="0" w:firstColumn="0" w:lastColumn="0" w:oddVBand="0" w:evenVBand="0" w:oddHBand="0" w:evenHBand="0" w:firstRowFirstColumn="0" w:firstRowLastColumn="0" w:lastRowFirstColumn="0" w:lastRowLastColumn="0"/>
            </w:pPr>
            <w:r>
              <w:t>2017</w:t>
            </w:r>
          </w:p>
        </w:tc>
        <w:tc>
          <w:tcPr>
            <w:tcW w:w="602" w:type="pct"/>
            <w:noWrap/>
            <w:hideMark/>
          </w:tcPr>
          <w:p w:rsidR="00434D01" w:rsidRPr="00434D01" w:rsidRDefault="004B0B45" w:rsidP="00434D01">
            <w:pPr>
              <w:cnfStyle w:val="100000000000" w:firstRow="1" w:lastRow="0" w:firstColumn="0" w:lastColumn="0" w:oddVBand="0" w:evenVBand="0" w:oddHBand="0" w:evenHBand="0" w:firstRowFirstColumn="0" w:firstRowLastColumn="0" w:lastRowFirstColumn="0" w:lastRowLastColumn="0"/>
            </w:pPr>
            <w:r>
              <w:t>2018</w:t>
            </w:r>
          </w:p>
        </w:tc>
        <w:tc>
          <w:tcPr>
            <w:tcW w:w="602" w:type="pct"/>
            <w:noWrap/>
            <w:hideMark/>
          </w:tcPr>
          <w:p w:rsidR="00434D01" w:rsidRPr="00434D01" w:rsidRDefault="004B0B45" w:rsidP="00434D01">
            <w:pPr>
              <w:cnfStyle w:val="100000000000" w:firstRow="1" w:lastRow="0" w:firstColumn="0" w:lastColumn="0" w:oddVBand="0" w:evenVBand="0" w:oddHBand="0" w:evenHBand="0" w:firstRowFirstColumn="0" w:firstRowLastColumn="0" w:lastRowFirstColumn="0" w:lastRowLastColumn="0"/>
            </w:pPr>
            <w:r>
              <w:t>2019</w:t>
            </w:r>
          </w:p>
        </w:tc>
        <w:tc>
          <w:tcPr>
            <w:tcW w:w="602" w:type="pct"/>
            <w:noWrap/>
            <w:hideMark/>
          </w:tcPr>
          <w:p w:rsidR="00434D01" w:rsidRPr="00434D01" w:rsidRDefault="004B0B45" w:rsidP="00434D01">
            <w:pPr>
              <w:cnfStyle w:val="100000000000" w:firstRow="1" w:lastRow="0" w:firstColumn="0" w:lastColumn="0" w:oddVBand="0" w:evenVBand="0" w:oddHBand="0" w:evenHBand="0" w:firstRowFirstColumn="0" w:firstRowLastColumn="0" w:lastRowFirstColumn="0" w:lastRowLastColumn="0"/>
            </w:pPr>
            <w:r>
              <w:t>2020</w:t>
            </w:r>
          </w:p>
        </w:tc>
      </w:tr>
      <w:tr w:rsidR="00C532EA" w:rsidRPr="00237902" w:rsidTr="002D3D9A">
        <w:trPr>
          <w:trHeight w:val="292"/>
        </w:trPr>
        <w:tc>
          <w:tcPr>
            <w:cnfStyle w:val="001000000000" w:firstRow="0" w:lastRow="0" w:firstColumn="1" w:lastColumn="0" w:oddVBand="0" w:evenVBand="0" w:oddHBand="0" w:evenHBand="0" w:firstRowFirstColumn="0" w:firstRowLastColumn="0" w:lastRowFirstColumn="0" w:lastRowLastColumn="0"/>
            <w:tcW w:w="1989" w:type="pct"/>
            <w:noWrap/>
            <w:hideMark/>
          </w:tcPr>
          <w:p w:rsidR="00C532EA" w:rsidRPr="00C532EA" w:rsidRDefault="00C532EA" w:rsidP="00C532EA">
            <w:r w:rsidRPr="00C532EA">
              <w:t>Opening RAB</w:t>
            </w:r>
          </w:p>
        </w:tc>
        <w:tc>
          <w:tcPr>
            <w:tcW w:w="602" w:type="pct"/>
            <w:noWrap/>
            <w:vAlign w:val="bottom"/>
          </w:tcPr>
          <w:p w:rsidR="00C532EA" w:rsidRPr="00C532EA" w:rsidRDefault="00C532EA" w:rsidP="00C532EA">
            <w:pPr>
              <w:cnfStyle w:val="000000000000" w:firstRow="0" w:lastRow="0" w:firstColumn="0" w:lastColumn="0" w:oddVBand="0" w:evenVBand="0" w:oddHBand="0" w:evenHBand="0" w:firstRowFirstColumn="0" w:firstRowLastColumn="0" w:lastRowFirstColumn="0" w:lastRowLastColumn="0"/>
            </w:pPr>
            <w:r w:rsidRPr="00C532EA">
              <w:t>1187.0</w:t>
            </w:r>
          </w:p>
        </w:tc>
        <w:tc>
          <w:tcPr>
            <w:tcW w:w="602" w:type="pct"/>
            <w:noWrap/>
            <w:vAlign w:val="bottom"/>
          </w:tcPr>
          <w:p w:rsidR="00C532EA" w:rsidRPr="00C532EA" w:rsidRDefault="00C532EA" w:rsidP="00C532EA">
            <w:pPr>
              <w:cnfStyle w:val="000000000000" w:firstRow="0" w:lastRow="0" w:firstColumn="0" w:lastColumn="0" w:oddVBand="0" w:evenVBand="0" w:oddHBand="0" w:evenHBand="0" w:firstRowFirstColumn="0" w:firstRowLastColumn="0" w:lastRowFirstColumn="0" w:lastRowLastColumn="0"/>
            </w:pPr>
            <w:r w:rsidRPr="00C532EA">
              <w:t>1270.1</w:t>
            </w:r>
          </w:p>
        </w:tc>
        <w:tc>
          <w:tcPr>
            <w:tcW w:w="602" w:type="pct"/>
            <w:noWrap/>
            <w:vAlign w:val="bottom"/>
          </w:tcPr>
          <w:p w:rsidR="00C532EA" w:rsidRPr="00C532EA" w:rsidRDefault="00C532EA" w:rsidP="00C532EA">
            <w:pPr>
              <w:cnfStyle w:val="000000000000" w:firstRow="0" w:lastRow="0" w:firstColumn="0" w:lastColumn="0" w:oddVBand="0" w:evenVBand="0" w:oddHBand="0" w:evenHBand="0" w:firstRowFirstColumn="0" w:firstRowLastColumn="0" w:lastRowFirstColumn="0" w:lastRowLastColumn="0"/>
            </w:pPr>
            <w:r w:rsidRPr="00C532EA">
              <w:t>1380.2</w:t>
            </w:r>
          </w:p>
        </w:tc>
        <w:tc>
          <w:tcPr>
            <w:tcW w:w="602" w:type="pct"/>
            <w:noWrap/>
            <w:vAlign w:val="bottom"/>
          </w:tcPr>
          <w:p w:rsidR="00C532EA" w:rsidRPr="00C532EA" w:rsidRDefault="00C532EA" w:rsidP="00C532EA">
            <w:pPr>
              <w:cnfStyle w:val="000000000000" w:firstRow="0" w:lastRow="0" w:firstColumn="0" w:lastColumn="0" w:oddVBand="0" w:evenVBand="0" w:oddHBand="0" w:evenHBand="0" w:firstRowFirstColumn="0" w:firstRowLastColumn="0" w:lastRowFirstColumn="0" w:lastRowLastColumn="0"/>
            </w:pPr>
            <w:r w:rsidRPr="00C532EA">
              <w:t>1482.8</w:t>
            </w:r>
          </w:p>
        </w:tc>
        <w:tc>
          <w:tcPr>
            <w:tcW w:w="602" w:type="pct"/>
            <w:noWrap/>
            <w:vAlign w:val="bottom"/>
          </w:tcPr>
          <w:p w:rsidR="00C532EA" w:rsidRPr="00C532EA" w:rsidRDefault="00C532EA" w:rsidP="00C532EA">
            <w:pPr>
              <w:cnfStyle w:val="000000000000" w:firstRow="0" w:lastRow="0" w:firstColumn="0" w:lastColumn="0" w:oddVBand="0" w:evenVBand="0" w:oddHBand="0" w:evenHBand="0" w:firstRowFirstColumn="0" w:firstRowLastColumn="0" w:lastRowFirstColumn="0" w:lastRowLastColumn="0"/>
            </w:pPr>
            <w:r w:rsidRPr="00C532EA">
              <w:t>1591.1</w:t>
            </w:r>
          </w:p>
        </w:tc>
      </w:tr>
      <w:tr w:rsidR="00C532EA" w:rsidRPr="00237902" w:rsidTr="002D3D9A">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989" w:type="pct"/>
            <w:noWrap/>
            <w:hideMark/>
          </w:tcPr>
          <w:p w:rsidR="00C532EA" w:rsidRPr="00C532EA" w:rsidRDefault="00C532EA" w:rsidP="00C532EA">
            <w:r w:rsidRPr="00C532EA">
              <w:t>Capital expenditure</w:t>
            </w:r>
            <w:r w:rsidRPr="00C532EA">
              <w:rPr>
                <w:rStyle w:val="AERsuperscript"/>
              </w:rPr>
              <w:t>a</w:t>
            </w:r>
          </w:p>
        </w:tc>
        <w:tc>
          <w:tcPr>
            <w:tcW w:w="602" w:type="pct"/>
            <w:noWrap/>
            <w:vAlign w:val="bottom"/>
          </w:tcPr>
          <w:p w:rsidR="00C532EA" w:rsidRPr="00C532EA" w:rsidRDefault="00C532EA" w:rsidP="00C532EA">
            <w:pPr>
              <w:cnfStyle w:val="000000010000" w:firstRow="0" w:lastRow="0" w:firstColumn="0" w:lastColumn="0" w:oddVBand="0" w:evenVBand="0" w:oddHBand="0" w:evenHBand="1" w:firstRowFirstColumn="0" w:firstRowLastColumn="0" w:lastRowFirstColumn="0" w:lastRowLastColumn="0"/>
            </w:pPr>
            <w:r w:rsidRPr="00C532EA">
              <w:t>136.1</w:t>
            </w:r>
          </w:p>
        </w:tc>
        <w:tc>
          <w:tcPr>
            <w:tcW w:w="602" w:type="pct"/>
            <w:noWrap/>
            <w:vAlign w:val="bottom"/>
          </w:tcPr>
          <w:p w:rsidR="00C532EA" w:rsidRPr="00C532EA" w:rsidRDefault="00C532EA" w:rsidP="00C532EA">
            <w:pPr>
              <w:cnfStyle w:val="000000010000" w:firstRow="0" w:lastRow="0" w:firstColumn="0" w:lastColumn="0" w:oddVBand="0" w:evenVBand="0" w:oddHBand="0" w:evenHBand="1" w:firstRowFirstColumn="0" w:firstRowLastColumn="0" w:lastRowFirstColumn="0" w:lastRowLastColumn="0"/>
            </w:pPr>
            <w:r w:rsidRPr="00C532EA">
              <w:t>151.5</w:t>
            </w:r>
          </w:p>
        </w:tc>
        <w:tc>
          <w:tcPr>
            <w:tcW w:w="602" w:type="pct"/>
            <w:noWrap/>
            <w:vAlign w:val="bottom"/>
          </w:tcPr>
          <w:p w:rsidR="00C532EA" w:rsidRPr="00C532EA" w:rsidRDefault="00C532EA" w:rsidP="00C532EA">
            <w:pPr>
              <w:cnfStyle w:val="000000010000" w:firstRow="0" w:lastRow="0" w:firstColumn="0" w:lastColumn="0" w:oddVBand="0" w:evenVBand="0" w:oddHBand="0" w:evenHBand="1" w:firstRowFirstColumn="0" w:firstRowLastColumn="0" w:lastRowFirstColumn="0" w:lastRowLastColumn="0"/>
            </w:pPr>
            <w:r w:rsidRPr="00C532EA">
              <w:t>145.6</w:t>
            </w:r>
          </w:p>
        </w:tc>
        <w:tc>
          <w:tcPr>
            <w:tcW w:w="602" w:type="pct"/>
            <w:noWrap/>
            <w:vAlign w:val="bottom"/>
          </w:tcPr>
          <w:p w:rsidR="00C532EA" w:rsidRPr="00C532EA" w:rsidRDefault="00C532EA" w:rsidP="00C532EA">
            <w:pPr>
              <w:cnfStyle w:val="000000010000" w:firstRow="0" w:lastRow="0" w:firstColumn="0" w:lastColumn="0" w:oddVBand="0" w:evenVBand="0" w:oddHBand="0" w:evenHBand="1" w:firstRowFirstColumn="0" w:firstRowLastColumn="0" w:lastRowFirstColumn="0" w:lastRowLastColumn="0"/>
            </w:pPr>
            <w:r w:rsidRPr="00C532EA">
              <w:t>155.7</w:t>
            </w:r>
          </w:p>
        </w:tc>
        <w:tc>
          <w:tcPr>
            <w:tcW w:w="602" w:type="pct"/>
            <w:noWrap/>
            <w:vAlign w:val="bottom"/>
          </w:tcPr>
          <w:p w:rsidR="00C532EA" w:rsidRPr="00C532EA" w:rsidRDefault="00C532EA" w:rsidP="00C532EA">
            <w:pPr>
              <w:cnfStyle w:val="000000010000" w:firstRow="0" w:lastRow="0" w:firstColumn="0" w:lastColumn="0" w:oddVBand="0" w:evenVBand="0" w:oddHBand="0" w:evenHBand="1" w:firstRowFirstColumn="0" w:firstRowLastColumn="0" w:lastRowFirstColumn="0" w:lastRowLastColumn="0"/>
            </w:pPr>
            <w:r w:rsidRPr="00C532EA">
              <w:t>145.9</w:t>
            </w:r>
          </w:p>
        </w:tc>
      </w:tr>
      <w:tr w:rsidR="00C532EA" w:rsidRPr="00237902" w:rsidTr="002D3D9A">
        <w:trPr>
          <w:trHeight w:val="292"/>
        </w:trPr>
        <w:tc>
          <w:tcPr>
            <w:cnfStyle w:val="001000000000" w:firstRow="0" w:lastRow="0" w:firstColumn="1" w:lastColumn="0" w:oddVBand="0" w:evenVBand="0" w:oddHBand="0" w:evenHBand="0" w:firstRowFirstColumn="0" w:firstRowLastColumn="0" w:lastRowFirstColumn="0" w:lastRowLastColumn="0"/>
            <w:tcW w:w="1989" w:type="pct"/>
            <w:noWrap/>
            <w:hideMark/>
          </w:tcPr>
          <w:p w:rsidR="00C532EA" w:rsidRPr="00C532EA" w:rsidRDefault="00C532EA" w:rsidP="00C532EA">
            <w:r w:rsidRPr="00C532EA">
              <w:t>Inflation indexation on opening RAB</w:t>
            </w:r>
          </w:p>
        </w:tc>
        <w:tc>
          <w:tcPr>
            <w:tcW w:w="602" w:type="pct"/>
            <w:noWrap/>
            <w:vAlign w:val="bottom"/>
          </w:tcPr>
          <w:p w:rsidR="00C532EA" w:rsidRPr="00C532EA" w:rsidRDefault="00C532EA" w:rsidP="00C532EA">
            <w:pPr>
              <w:cnfStyle w:val="000000000000" w:firstRow="0" w:lastRow="0" w:firstColumn="0" w:lastColumn="0" w:oddVBand="0" w:evenVBand="0" w:oddHBand="0" w:evenHBand="0" w:firstRowFirstColumn="0" w:firstRowLastColumn="0" w:lastRowFirstColumn="0" w:lastRowLastColumn="0"/>
            </w:pPr>
            <w:r w:rsidRPr="00C532EA">
              <w:t>29.7</w:t>
            </w:r>
          </w:p>
        </w:tc>
        <w:tc>
          <w:tcPr>
            <w:tcW w:w="602" w:type="pct"/>
            <w:noWrap/>
            <w:vAlign w:val="bottom"/>
          </w:tcPr>
          <w:p w:rsidR="00C532EA" w:rsidRPr="00C532EA" w:rsidRDefault="00C532EA" w:rsidP="00C532EA">
            <w:pPr>
              <w:cnfStyle w:val="000000000000" w:firstRow="0" w:lastRow="0" w:firstColumn="0" w:lastColumn="0" w:oddVBand="0" w:evenVBand="0" w:oddHBand="0" w:evenHBand="0" w:firstRowFirstColumn="0" w:firstRowLastColumn="0" w:lastRowFirstColumn="0" w:lastRowLastColumn="0"/>
            </w:pPr>
            <w:r w:rsidRPr="00C532EA">
              <w:t>31.8</w:t>
            </w:r>
          </w:p>
        </w:tc>
        <w:tc>
          <w:tcPr>
            <w:tcW w:w="602" w:type="pct"/>
            <w:noWrap/>
            <w:vAlign w:val="bottom"/>
          </w:tcPr>
          <w:p w:rsidR="00C532EA" w:rsidRPr="00C532EA" w:rsidRDefault="00C532EA" w:rsidP="00C532EA">
            <w:pPr>
              <w:cnfStyle w:val="000000000000" w:firstRow="0" w:lastRow="0" w:firstColumn="0" w:lastColumn="0" w:oddVBand="0" w:evenVBand="0" w:oddHBand="0" w:evenHBand="0" w:firstRowFirstColumn="0" w:firstRowLastColumn="0" w:lastRowFirstColumn="0" w:lastRowLastColumn="0"/>
            </w:pPr>
            <w:r w:rsidRPr="00C532EA">
              <w:t>34.5</w:t>
            </w:r>
          </w:p>
        </w:tc>
        <w:tc>
          <w:tcPr>
            <w:tcW w:w="602" w:type="pct"/>
            <w:noWrap/>
            <w:vAlign w:val="bottom"/>
          </w:tcPr>
          <w:p w:rsidR="00C532EA" w:rsidRPr="00C532EA" w:rsidRDefault="00C532EA" w:rsidP="00C532EA">
            <w:pPr>
              <w:cnfStyle w:val="000000000000" w:firstRow="0" w:lastRow="0" w:firstColumn="0" w:lastColumn="0" w:oddVBand="0" w:evenVBand="0" w:oddHBand="0" w:evenHBand="0" w:firstRowFirstColumn="0" w:firstRowLastColumn="0" w:lastRowFirstColumn="0" w:lastRowLastColumn="0"/>
            </w:pPr>
            <w:r w:rsidRPr="00C532EA">
              <w:t>37.1</w:t>
            </w:r>
          </w:p>
        </w:tc>
        <w:tc>
          <w:tcPr>
            <w:tcW w:w="602" w:type="pct"/>
            <w:noWrap/>
            <w:vAlign w:val="bottom"/>
          </w:tcPr>
          <w:p w:rsidR="00C532EA" w:rsidRPr="00C532EA" w:rsidRDefault="00C532EA" w:rsidP="00C532EA">
            <w:pPr>
              <w:cnfStyle w:val="000000000000" w:firstRow="0" w:lastRow="0" w:firstColumn="0" w:lastColumn="0" w:oddVBand="0" w:evenVBand="0" w:oddHBand="0" w:evenHBand="0" w:firstRowFirstColumn="0" w:firstRowLastColumn="0" w:lastRowFirstColumn="0" w:lastRowLastColumn="0"/>
            </w:pPr>
            <w:r w:rsidRPr="00C532EA">
              <w:t>39.8</w:t>
            </w:r>
          </w:p>
        </w:tc>
      </w:tr>
      <w:tr w:rsidR="00C532EA" w:rsidRPr="00237902" w:rsidTr="002D3D9A">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989" w:type="pct"/>
            <w:noWrap/>
            <w:hideMark/>
          </w:tcPr>
          <w:p w:rsidR="00C532EA" w:rsidRPr="00C532EA" w:rsidRDefault="00C532EA" w:rsidP="00C532EA">
            <w:r w:rsidRPr="00C532EA">
              <w:rPr>
                <w:rStyle w:val="AERtextitalic"/>
              </w:rPr>
              <w:t>Less</w:t>
            </w:r>
            <w:r w:rsidRPr="00C532EA">
              <w:t>: straight-line depreciation</w:t>
            </w:r>
          </w:p>
        </w:tc>
        <w:tc>
          <w:tcPr>
            <w:tcW w:w="602" w:type="pct"/>
            <w:noWrap/>
            <w:vAlign w:val="bottom"/>
          </w:tcPr>
          <w:p w:rsidR="00C532EA" w:rsidRPr="00C532EA" w:rsidRDefault="00C532EA" w:rsidP="00C532EA">
            <w:pPr>
              <w:cnfStyle w:val="000000010000" w:firstRow="0" w:lastRow="0" w:firstColumn="0" w:lastColumn="0" w:oddVBand="0" w:evenVBand="0" w:oddHBand="0" w:evenHBand="1" w:firstRowFirstColumn="0" w:firstRowLastColumn="0" w:lastRowFirstColumn="0" w:lastRowLastColumn="0"/>
            </w:pPr>
            <w:r w:rsidRPr="00C532EA">
              <w:t>82.7</w:t>
            </w:r>
          </w:p>
        </w:tc>
        <w:tc>
          <w:tcPr>
            <w:tcW w:w="602" w:type="pct"/>
            <w:noWrap/>
            <w:vAlign w:val="bottom"/>
          </w:tcPr>
          <w:p w:rsidR="00C532EA" w:rsidRPr="00C532EA" w:rsidRDefault="00C532EA" w:rsidP="00C532EA">
            <w:pPr>
              <w:cnfStyle w:val="000000010000" w:firstRow="0" w:lastRow="0" w:firstColumn="0" w:lastColumn="0" w:oddVBand="0" w:evenVBand="0" w:oddHBand="0" w:evenHBand="1" w:firstRowFirstColumn="0" w:firstRowLastColumn="0" w:lastRowFirstColumn="0" w:lastRowLastColumn="0"/>
            </w:pPr>
            <w:r w:rsidRPr="00C532EA">
              <w:t>73.1</w:t>
            </w:r>
          </w:p>
        </w:tc>
        <w:tc>
          <w:tcPr>
            <w:tcW w:w="602" w:type="pct"/>
            <w:noWrap/>
            <w:vAlign w:val="bottom"/>
          </w:tcPr>
          <w:p w:rsidR="00C532EA" w:rsidRPr="00C532EA" w:rsidRDefault="00C532EA" w:rsidP="00C532EA">
            <w:pPr>
              <w:cnfStyle w:val="000000010000" w:firstRow="0" w:lastRow="0" w:firstColumn="0" w:lastColumn="0" w:oddVBand="0" w:evenVBand="0" w:oddHBand="0" w:evenHBand="1" w:firstRowFirstColumn="0" w:firstRowLastColumn="0" w:lastRowFirstColumn="0" w:lastRowLastColumn="0"/>
            </w:pPr>
            <w:r w:rsidRPr="00C532EA">
              <w:t>77.5</w:t>
            </w:r>
          </w:p>
        </w:tc>
        <w:tc>
          <w:tcPr>
            <w:tcW w:w="602" w:type="pct"/>
            <w:noWrap/>
            <w:vAlign w:val="bottom"/>
          </w:tcPr>
          <w:p w:rsidR="00C532EA" w:rsidRPr="00C532EA" w:rsidRDefault="00C532EA" w:rsidP="00C532EA">
            <w:pPr>
              <w:cnfStyle w:val="000000010000" w:firstRow="0" w:lastRow="0" w:firstColumn="0" w:lastColumn="0" w:oddVBand="0" w:evenVBand="0" w:oddHBand="0" w:evenHBand="1" w:firstRowFirstColumn="0" w:firstRowLastColumn="0" w:lastRowFirstColumn="0" w:lastRowLastColumn="0"/>
            </w:pPr>
            <w:r w:rsidRPr="00C532EA">
              <w:t>84.5</w:t>
            </w:r>
          </w:p>
        </w:tc>
        <w:tc>
          <w:tcPr>
            <w:tcW w:w="602" w:type="pct"/>
            <w:noWrap/>
            <w:vAlign w:val="bottom"/>
          </w:tcPr>
          <w:p w:rsidR="00C532EA" w:rsidRPr="00C532EA" w:rsidRDefault="00C532EA" w:rsidP="00C532EA">
            <w:pPr>
              <w:cnfStyle w:val="000000010000" w:firstRow="0" w:lastRow="0" w:firstColumn="0" w:lastColumn="0" w:oddVBand="0" w:evenVBand="0" w:oddHBand="0" w:evenHBand="1" w:firstRowFirstColumn="0" w:firstRowLastColumn="0" w:lastRowFirstColumn="0" w:lastRowLastColumn="0"/>
            </w:pPr>
            <w:r w:rsidRPr="00C532EA">
              <w:t>92.7</w:t>
            </w:r>
          </w:p>
        </w:tc>
      </w:tr>
      <w:tr w:rsidR="00C532EA" w:rsidRPr="005E4D56" w:rsidTr="002D3D9A">
        <w:trPr>
          <w:trHeight w:val="292"/>
        </w:trPr>
        <w:tc>
          <w:tcPr>
            <w:cnfStyle w:val="001000000000" w:firstRow="0" w:lastRow="0" w:firstColumn="1" w:lastColumn="0" w:oddVBand="0" w:evenVBand="0" w:oddHBand="0" w:evenHBand="0" w:firstRowFirstColumn="0" w:firstRowLastColumn="0" w:lastRowFirstColumn="0" w:lastRowLastColumn="0"/>
            <w:tcW w:w="1989" w:type="pct"/>
            <w:noWrap/>
            <w:hideMark/>
          </w:tcPr>
          <w:p w:rsidR="00C532EA" w:rsidRPr="005E4D56" w:rsidRDefault="00C532EA" w:rsidP="005E4D56">
            <w:r w:rsidRPr="005E4D56">
              <w:t>Closing RAB</w:t>
            </w:r>
          </w:p>
        </w:tc>
        <w:tc>
          <w:tcPr>
            <w:tcW w:w="602" w:type="pct"/>
            <w:noWrap/>
            <w:vAlign w:val="bottom"/>
          </w:tcPr>
          <w:p w:rsidR="00C532EA" w:rsidRPr="005E4D56" w:rsidRDefault="00C532EA" w:rsidP="005E4D56">
            <w:pPr>
              <w:cnfStyle w:val="000000000000" w:firstRow="0" w:lastRow="0" w:firstColumn="0" w:lastColumn="0" w:oddVBand="0" w:evenVBand="0" w:oddHBand="0" w:evenHBand="0" w:firstRowFirstColumn="0" w:firstRowLastColumn="0" w:lastRowFirstColumn="0" w:lastRowLastColumn="0"/>
            </w:pPr>
            <w:r w:rsidRPr="005E4D56">
              <w:t>1270.1</w:t>
            </w:r>
          </w:p>
        </w:tc>
        <w:tc>
          <w:tcPr>
            <w:tcW w:w="602" w:type="pct"/>
            <w:noWrap/>
            <w:vAlign w:val="bottom"/>
          </w:tcPr>
          <w:p w:rsidR="00C532EA" w:rsidRPr="005E4D56" w:rsidRDefault="00C532EA" w:rsidP="005E4D56">
            <w:pPr>
              <w:cnfStyle w:val="000000000000" w:firstRow="0" w:lastRow="0" w:firstColumn="0" w:lastColumn="0" w:oddVBand="0" w:evenVBand="0" w:oddHBand="0" w:evenHBand="0" w:firstRowFirstColumn="0" w:firstRowLastColumn="0" w:lastRowFirstColumn="0" w:lastRowLastColumn="0"/>
            </w:pPr>
            <w:r w:rsidRPr="005E4D56">
              <w:t>1380.2</w:t>
            </w:r>
          </w:p>
        </w:tc>
        <w:tc>
          <w:tcPr>
            <w:tcW w:w="602" w:type="pct"/>
            <w:noWrap/>
            <w:vAlign w:val="bottom"/>
          </w:tcPr>
          <w:p w:rsidR="00C532EA" w:rsidRPr="005E4D56" w:rsidRDefault="00C532EA" w:rsidP="005E4D56">
            <w:pPr>
              <w:cnfStyle w:val="000000000000" w:firstRow="0" w:lastRow="0" w:firstColumn="0" w:lastColumn="0" w:oddVBand="0" w:evenVBand="0" w:oddHBand="0" w:evenHBand="0" w:firstRowFirstColumn="0" w:firstRowLastColumn="0" w:lastRowFirstColumn="0" w:lastRowLastColumn="0"/>
            </w:pPr>
            <w:r w:rsidRPr="005E4D56">
              <w:t>1482.8</w:t>
            </w:r>
          </w:p>
        </w:tc>
        <w:tc>
          <w:tcPr>
            <w:tcW w:w="602" w:type="pct"/>
            <w:noWrap/>
            <w:vAlign w:val="bottom"/>
          </w:tcPr>
          <w:p w:rsidR="00C532EA" w:rsidRPr="005E4D56" w:rsidRDefault="00C532EA" w:rsidP="005E4D56">
            <w:pPr>
              <w:cnfStyle w:val="000000000000" w:firstRow="0" w:lastRow="0" w:firstColumn="0" w:lastColumn="0" w:oddVBand="0" w:evenVBand="0" w:oddHBand="0" w:evenHBand="0" w:firstRowFirstColumn="0" w:firstRowLastColumn="0" w:lastRowFirstColumn="0" w:lastRowLastColumn="0"/>
            </w:pPr>
            <w:r w:rsidRPr="005E4D56">
              <w:t>1591.1</w:t>
            </w:r>
          </w:p>
        </w:tc>
        <w:tc>
          <w:tcPr>
            <w:tcW w:w="602" w:type="pct"/>
            <w:noWrap/>
            <w:vAlign w:val="bottom"/>
          </w:tcPr>
          <w:p w:rsidR="00C532EA" w:rsidRPr="005E4D56" w:rsidRDefault="00C532EA" w:rsidP="005E4D56">
            <w:pPr>
              <w:cnfStyle w:val="000000000000" w:firstRow="0" w:lastRow="0" w:firstColumn="0" w:lastColumn="0" w:oddVBand="0" w:evenVBand="0" w:oddHBand="0" w:evenHBand="0" w:firstRowFirstColumn="0" w:firstRowLastColumn="0" w:lastRowFirstColumn="0" w:lastRowLastColumn="0"/>
            </w:pPr>
            <w:r w:rsidRPr="005E4D56">
              <w:t>1684.0</w:t>
            </w:r>
          </w:p>
        </w:tc>
      </w:tr>
    </w:tbl>
    <w:p w:rsidR="00434D01" w:rsidRPr="006001AB" w:rsidRDefault="00434D01" w:rsidP="00434D01">
      <w:pPr>
        <w:pStyle w:val="AERtablesource"/>
      </w:pPr>
      <w:r w:rsidRPr="006001AB">
        <w:t>Source:</w:t>
      </w:r>
      <w:r w:rsidRPr="006001AB">
        <w:tab/>
        <w:t>AER analysis.</w:t>
      </w:r>
    </w:p>
    <w:p w:rsidR="00434D01" w:rsidRPr="006001AB" w:rsidRDefault="00434D01" w:rsidP="00434D01">
      <w:pPr>
        <w:pStyle w:val="AERtablesource"/>
      </w:pPr>
      <w:r w:rsidRPr="006001AB">
        <w:t>(a):</w:t>
      </w:r>
      <w:r w:rsidRPr="006001AB">
        <w:tab/>
        <w:t>Net of forecast disposals and capital contributions.</w:t>
      </w:r>
    </w:p>
    <w:p w:rsidR="00DB7A52" w:rsidRDefault="002F21E9" w:rsidP="002F21E9">
      <w:pPr>
        <w:numPr>
          <w:ilvl w:val="0"/>
          <w:numId w:val="24"/>
        </w:numPr>
      </w:pPr>
      <w:r w:rsidRPr="002F21E9">
        <w:lastRenderedPageBreak/>
        <w:t>We determine that the forecast depreciation approach is to be used to establish the opening RAB at the commencement of the 202</w:t>
      </w:r>
      <w:r>
        <w:t>1</w:t>
      </w:r>
      <w:r w:rsidRPr="002F21E9">
        <w:t xml:space="preserve">–25 regulatory control period for </w:t>
      </w:r>
      <w:r>
        <w:t>Jemena</w:t>
      </w:r>
      <w:r w:rsidR="00434D01" w:rsidRPr="006001AB">
        <w:t>.</w:t>
      </w:r>
      <w:r w:rsidR="00434D01" w:rsidRPr="006001AB">
        <w:rPr>
          <w:rStyle w:val="FootnoteReference"/>
        </w:rPr>
        <w:footnoteReference w:id="4"/>
      </w:r>
      <w:r w:rsidR="00434D01" w:rsidRPr="006001AB">
        <w:t xml:space="preserve"> </w:t>
      </w:r>
    </w:p>
    <w:p w:rsidR="009A5113" w:rsidRDefault="00245919" w:rsidP="009A5113">
      <w:pPr>
        <w:pStyle w:val="Heading2"/>
      </w:pPr>
      <w:bookmarkStart w:id="14" w:name="_Toc433173394"/>
      <w:r>
        <w:t>Jemena</w:t>
      </w:r>
      <w:r w:rsidR="005C0A7F">
        <w:t>'s proposal</w:t>
      </w:r>
      <w:bookmarkEnd w:id="14"/>
    </w:p>
    <w:p w:rsidR="00434D01" w:rsidRPr="00924046" w:rsidRDefault="004B0B45" w:rsidP="00434D01">
      <w:pPr>
        <w:numPr>
          <w:ilvl w:val="0"/>
          <w:numId w:val="24"/>
        </w:numPr>
      </w:pPr>
      <w:r>
        <w:t>Jemena</w:t>
      </w:r>
      <w:r w:rsidR="00434D01" w:rsidRPr="00924046">
        <w:t xml:space="preserve"> used our RFM to establish an opening RAB as at 1 J</w:t>
      </w:r>
      <w:r>
        <w:t>anuary</w:t>
      </w:r>
      <w:r w:rsidR="00434D01" w:rsidRPr="00924046">
        <w:t xml:space="preserve"> 201</w:t>
      </w:r>
      <w:r>
        <w:t>6</w:t>
      </w:r>
      <w:r w:rsidR="00434D01" w:rsidRPr="00924046">
        <w:t xml:space="preserve"> and our PTRM to roll forward the RAB over the 201</w:t>
      </w:r>
      <w:r>
        <w:t>6</w:t>
      </w:r>
      <w:r w:rsidR="00434D01" w:rsidRPr="00924046">
        <w:t>–20 regulatory control period.</w:t>
      </w:r>
    </w:p>
    <w:p w:rsidR="00434D01" w:rsidRPr="00924046" w:rsidRDefault="00DB3629" w:rsidP="00434D01">
      <w:pPr>
        <w:numPr>
          <w:ilvl w:val="0"/>
          <w:numId w:val="24"/>
        </w:numPr>
      </w:pPr>
      <w:r>
        <w:t>Jemena</w:t>
      </w:r>
      <w:r w:rsidR="00434D01" w:rsidRPr="00924046">
        <w:t xml:space="preserve"> proposed an opening RAB value as at 1 J</w:t>
      </w:r>
      <w:r>
        <w:t>anuary 2011</w:t>
      </w:r>
      <w:r w:rsidR="00434D01" w:rsidRPr="00924046">
        <w:t xml:space="preserve"> of $</w:t>
      </w:r>
      <w:r>
        <w:t>764.2</w:t>
      </w:r>
      <w:r w:rsidR="00434D01" w:rsidRPr="00924046">
        <w:t xml:space="preserve"> million ($ nominal).</w:t>
      </w:r>
      <w:r w:rsidR="00434D01" w:rsidRPr="00924046">
        <w:rPr>
          <w:rStyle w:val="FootnoteReference"/>
        </w:rPr>
        <w:footnoteReference w:id="5"/>
      </w:r>
      <w:r w:rsidR="00434D01" w:rsidRPr="00924046">
        <w:t xml:space="preserve"> Rolling forward this RAB and using depreciation based on actual capex, </w:t>
      </w:r>
      <w:r>
        <w:t>Jemena</w:t>
      </w:r>
      <w:r w:rsidR="00434D01" w:rsidRPr="00924046">
        <w:t xml:space="preserve"> proposed a closing RAB as at 3</w:t>
      </w:r>
      <w:r w:rsidR="00683068">
        <w:t>1</w:t>
      </w:r>
      <w:r w:rsidR="00434D01" w:rsidRPr="00924046">
        <w:t xml:space="preserve"> </w:t>
      </w:r>
      <w:r>
        <w:t>December</w:t>
      </w:r>
      <w:r w:rsidR="00434D01" w:rsidRPr="00924046">
        <w:t xml:space="preserve"> 2015 of $</w:t>
      </w:r>
      <w:r>
        <w:t>1</w:t>
      </w:r>
      <w:r w:rsidR="00EC5F0D">
        <w:t>190.8 </w:t>
      </w:r>
      <w:r w:rsidR="00434D01" w:rsidRPr="00924046">
        <w:t xml:space="preserve">million ($ nominal). </w:t>
      </w:r>
      <w:r w:rsidR="00434D01" w:rsidRPr="00924046">
        <w:fldChar w:fldCharType="begin"/>
      </w:r>
      <w:r w:rsidR="00434D01" w:rsidRPr="00924046">
        <w:instrText xml:space="preserve"> REF _Ref393095893 \h </w:instrText>
      </w:r>
      <w:r w:rsidR="00434D01" w:rsidRPr="00924046">
        <w:fldChar w:fldCharType="separate"/>
      </w:r>
      <w:r w:rsidR="00E86890" w:rsidRPr="00924046">
        <w:t xml:space="preserve">Table </w:t>
      </w:r>
      <w:r w:rsidR="00E86890">
        <w:rPr>
          <w:noProof/>
        </w:rPr>
        <w:t>2</w:t>
      </w:r>
      <w:r w:rsidR="00E86890">
        <w:t>.</w:t>
      </w:r>
      <w:r w:rsidR="00E86890">
        <w:rPr>
          <w:noProof/>
        </w:rPr>
        <w:t>3</w:t>
      </w:r>
      <w:r w:rsidR="00434D01" w:rsidRPr="00924046">
        <w:fldChar w:fldCharType="end"/>
      </w:r>
      <w:r w:rsidR="00434D01" w:rsidRPr="00924046">
        <w:t xml:space="preserve"> presents </w:t>
      </w:r>
      <w:r>
        <w:t>Jemena</w:t>
      </w:r>
      <w:r w:rsidR="00434D01">
        <w:t>'s</w:t>
      </w:r>
      <w:r w:rsidR="00434D01" w:rsidRPr="00924046">
        <w:t xml:space="preserve"> proposed roll forward of its RAB during the 201</w:t>
      </w:r>
      <w:r>
        <w:t>1</w:t>
      </w:r>
      <w:r w:rsidR="00434D01" w:rsidRPr="00924046">
        <w:t xml:space="preserve">–15 regulatory control period. </w:t>
      </w:r>
    </w:p>
    <w:p w:rsidR="00434D01" w:rsidRPr="00924046" w:rsidRDefault="00434D01" w:rsidP="00434D01">
      <w:pPr>
        <w:pStyle w:val="Caption"/>
      </w:pPr>
      <w:bookmarkStart w:id="15" w:name="_Ref393095893"/>
      <w:r w:rsidRPr="00924046">
        <w:t xml:space="preserve">Table </w:t>
      </w:r>
      <w:r w:rsidRPr="00434D01">
        <w:fldChar w:fldCharType="begin"/>
      </w:r>
      <w:r>
        <w:instrText xml:space="preserve"> STYLEREF 1 \s </w:instrText>
      </w:r>
      <w:r w:rsidRPr="00434D01">
        <w:fldChar w:fldCharType="separate"/>
      </w:r>
      <w:r w:rsidR="00E86890">
        <w:rPr>
          <w:noProof/>
        </w:rPr>
        <w:t>2</w:t>
      </w:r>
      <w:r w:rsidRPr="00434D01">
        <w:fldChar w:fldCharType="end"/>
      </w:r>
      <w:r>
        <w:t>.</w:t>
      </w:r>
      <w:r w:rsidRPr="00434D01">
        <w:fldChar w:fldCharType="begin"/>
      </w:r>
      <w:r>
        <w:instrText xml:space="preserve"> SEQ Table \* ARABIC \s 1 </w:instrText>
      </w:r>
      <w:r w:rsidRPr="00434D01">
        <w:fldChar w:fldCharType="separate"/>
      </w:r>
      <w:r w:rsidR="00E86890">
        <w:rPr>
          <w:noProof/>
        </w:rPr>
        <w:t>3</w:t>
      </w:r>
      <w:r w:rsidRPr="00434D01">
        <w:fldChar w:fldCharType="end"/>
      </w:r>
      <w:bookmarkEnd w:id="15"/>
      <w:r w:rsidRPr="00924046">
        <w:tab/>
      </w:r>
      <w:r w:rsidR="000604C4">
        <w:t>Jemena</w:t>
      </w:r>
      <w:r>
        <w:t>'s</w:t>
      </w:r>
      <w:r w:rsidRPr="00924046">
        <w:t xml:space="preserve"> proposed RAB for the 201</w:t>
      </w:r>
      <w:r w:rsidR="00DB3629">
        <w:t>1</w:t>
      </w:r>
      <w:r w:rsidRPr="00924046">
        <w:t>–15 regulatory control period ($million, nominal)</w:t>
      </w:r>
      <w:r w:rsidR="00D36901">
        <w:t xml:space="preserve"> </w:t>
      </w:r>
    </w:p>
    <w:tbl>
      <w:tblPr>
        <w:tblStyle w:val="AERtable-numbers"/>
        <w:tblW w:w="8755" w:type="dxa"/>
        <w:tblLayout w:type="fixed"/>
        <w:tblLook w:val="04A0" w:firstRow="1" w:lastRow="0" w:firstColumn="1" w:lastColumn="0" w:noHBand="0" w:noVBand="1"/>
      </w:tblPr>
      <w:tblGrid>
        <w:gridCol w:w="3586"/>
        <w:gridCol w:w="1033"/>
        <w:gridCol w:w="259"/>
        <w:gridCol w:w="775"/>
        <w:gridCol w:w="976"/>
        <w:gridCol w:w="58"/>
        <w:gridCol w:w="1034"/>
        <w:gridCol w:w="42"/>
        <w:gridCol w:w="992"/>
      </w:tblGrid>
      <w:tr w:rsidR="00434D01" w:rsidRPr="0011410F" w:rsidTr="00434D01">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434D01" w:rsidRPr="00434D01" w:rsidRDefault="00434D01" w:rsidP="00434D01">
            <w:r w:rsidRPr="00924046">
              <w:t> </w:t>
            </w:r>
          </w:p>
        </w:tc>
        <w:tc>
          <w:tcPr>
            <w:tcW w:w="1033" w:type="dxa"/>
            <w:noWrap/>
            <w:hideMark/>
          </w:tcPr>
          <w:p w:rsidR="00434D01" w:rsidRPr="00434D01" w:rsidRDefault="000604C4" w:rsidP="00434D01">
            <w:pPr>
              <w:cnfStyle w:val="100000000000" w:firstRow="1" w:lastRow="0" w:firstColumn="0" w:lastColumn="0" w:oddVBand="0" w:evenVBand="0" w:oddHBand="0" w:evenHBand="0" w:firstRowFirstColumn="0" w:firstRowLastColumn="0" w:lastRowFirstColumn="0" w:lastRowLastColumn="0"/>
            </w:pPr>
            <w:r>
              <w:t>2011</w:t>
            </w:r>
          </w:p>
        </w:tc>
        <w:tc>
          <w:tcPr>
            <w:tcW w:w="1034" w:type="dxa"/>
            <w:gridSpan w:val="2"/>
            <w:noWrap/>
            <w:hideMark/>
          </w:tcPr>
          <w:p w:rsidR="00434D01" w:rsidRPr="00434D01" w:rsidRDefault="000604C4" w:rsidP="00434D01">
            <w:pPr>
              <w:cnfStyle w:val="100000000000" w:firstRow="1" w:lastRow="0" w:firstColumn="0" w:lastColumn="0" w:oddVBand="0" w:evenVBand="0" w:oddHBand="0" w:evenHBand="0" w:firstRowFirstColumn="0" w:firstRowLastColumn="0" w:lastRowFirstColumn="0" w:lastRowLastColumn="0"/>
            </w:pPr>
            <w:r>
              <w:t>2012</w:t>
            </w:r>
          </w:p>
        </w:tc>
        <w:tc>
          <w:tcPr>
            <w:tcW w:w="1034" w:type="dxa"/>
            <w:gridSpan w:val="2"/>
            <w:noWrap/>
            <w:hideMark/>
          </w:tcPr>
          <w:p w:rsidR="00434D01" w:rsidRPr="00434D01" w:rsidRDefault="000604C4" w:rsidP="00434D01">
            <w:pPr>
              <w:cnfStyle w:val="100000000000" w:firstRow="1" w:lastRow="0" w:firstColumn="0" w:lastColumn="0" w:oddVBand="0" w:evenVBand="0" w:oddHBand="0" w:evenHBand="0" w:firstRowFirstColumn="0" w:firstRowLastColumn="0" w:lastRowFirstColumn="0" w:lastRowLastColumn="0"/>
            </w:pPr>
            <w:r>
              <w:t>2013</w:t>
            </w:r>
          </w:p>
        </w:tc>
        <w:tc>
          <w:tcPr>
            <w:tcW w:w="1034" w:type="dxa"/>
            <w:noWrap/>
            <w:hideMark/>
          </w:tcPr>
          <w:p w:rsidR="00434D01" w:rsidRPr="00434D01" w:rsidRDefault="000604C4" w:rsidP="00434D01">
            <w:pPr>
              <w:cnfStyle w:val="100000000000" w:firstRow="1" w:lastRow="0" w:firstColumn="0" w:lastColumn="0" w:oddVBand="0" w:evenVBand="0" w:oddHBand="0" w:evenHBand="0" w:firstRowFirstColumn="0" w:firstRowLastColumn="0" w:lastRowFirstColumn="0" w:lastRowLastColumn="0"/>
            </w:pPr>
            <w:r>
              <w:t>2014</w:t>
            </w:r>
          </w:p>
        </w:tc>
        <w:tc>
          <w:tcPr>
            <w:tcW w:w="1034" w:type="dxa"/>
            <w:gridSpan w:val="2"/>
            <w:noWrap/>
            <w:hideMark/>
          </w:tcPr>
          <w:p w:rsidR="00434D01" w:rsidRPr="00434D01" w:rsidRDefault="00434D01" w:rsidP="00434D01">
            <w:pPr>
              <w:cnfStyle w:val="100000000000" w:firstRow="1" w:lastRow="0" w:firstColumn="0" w:lastColumn="0" w:oddVBand="0" w:evenVBand="0" w:oddHBand="0" w:evenHBand="0" w:firstRowFirstColumn="0" w:firstRowLastColumn="0" w:lastRowFirstColumn="0" w:lastRowLastColumn="0"/>
            </w:pPr>
            <w:r w:rsidRPr="00924046">
              <w:t>2</w:t>
            </w:r>
            <w:r w:rsidR="000604C4">
              <w:t>015</w:t>
            </w:r>
            <w:r w:rsidRPr="00434D01">
              <w:rPr>
                <w:rStyle w:val="AERsuperscript"/>
              </w:rPr>
              <w:t>a</w:t>
            </w:r>
          </w:p>
        </w:tc>
      </w:tr>
      <w:tr w:rsidR="00434D01" w:rsidRPr="00F30662" w:rsidTr="00434D01">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434D01" w:rsidRPr="00434D01" w:rsidRDefault="00434D01" w:rsidP="00434D01">
            <w:r w:rsidRPr="00237902">
              <w:t>Opening RAB</w:t>
            </w:r>
          </w:p>
        </w:tc>
        <w:tc>
          <w:tcPr>
            <w:tcW w:w="1033" w:type="dxa"/>
            <w:noWrap/>
            <w:vAlign w:val="bottom"/>
          </w:tcPr>
          <w:p w:rsidR="00434D01" w:rsidRPr="00434D01" w:rsidRDefault="00746667" w:rsidP="00D73C99">
            <w:pPr>
              <w:cnfStyle w:val="000000000000" w:firstRow="0" w:lastRow="0" w:firstColumn="0" w:lastColumn="0" w:oddVBand="0" w:evenVBand="0" w:oddHBand="0" w:evenHBand="0" w:firstRowFirstColumn="0" w:firstRowLastColumn="0" w:lastRowFirstColumn="0" w:lastRowLastColumn="0"/>
            </w:pPr>
            <w:r>
              <w:t>764.2</w:t>
            </w:r>
          </w:p>
        </w:tc>
        <w:tc>
          <w:tcPr>
            <w:tcW w:w="1034" w:type="dxa"/>
            <w:gridSpan w:val="2"/>
            <w:noWrap/>
            <w:vAlign w:val="bottom"/>
          </w:tcPr>
          <w:p w:rsidR="00434D01" w:rsidRPr="00434D01" w:rsidRDefault="00746667" w:rsidP="00D73C99">
            <w:pPr>
              <w:cnfStyle w:val="000000000000" w:firstRow="0" w:lastRow="0" w:firstColumn="0" w:lastColumn="0" w:oddVBand="0" w:evenVBand="0" w:oddHBand="0" w:evenHBand="0" w:firstRowFirstColumn="0" w:firstRowLastColumn="0" w:lastRowFirstColumn="0" w:lastRowLastColumn="0"/>
            </w:pPr>
            <w:r>
              <w:t>861.3</w:t>
            </w:r>
          </w:p>
        </w:tc>
        <w:tc>
          <w:tcPr>
            <w:tcW w:w="1034" w:type="dxa"/>
            <w:gridSpan w:val="2"/>
            <w:noWrap/>
            <w:vAlign w:val="bottom"/>
          </w:tcPr>
          <w:p w:rsidR="00434D01" w:rsidRPr="00434D01" w:rsidRDefault="00746667" w:rsidP="00D73C99">
            <w:pPr>
              <w:cnfStyle w:val="000000000000" w:firstRow="0" w:lastRow="0" w:firstColumn="0" w:lastColumn="0" w:oddVBand="0" w:evenVBand="0" w:oddHBand="0" w:evenHBand="0" w:firstRowFirstColumn="0" w:firstRowLastColumn="0" w:lastRowFirstColumn="0" w:lastRowLastColumn="0"/>
            </w:pPr>
            <w:r>
              <w:t>951.</w:t>
            </w:r>
            <w:r w:rsidR="00D73C99">
              <w:t>9</w:t>
            </w:r>
          </w:p>
        </w:tc>
        <w:tc>
          <w:tcPr>
            <w:tcW w:w="1034" w:type="dxa"/>
            <w:noWrap/>
            <w:vAlign w:val="bottom"/>
          </w:tcPr>
          <w:p w:rsidR="00434D01" w:rsidRPr="00434D01" w:rsidRDefault="00746667" w:rsidP="00D73C99">
            <w:pPr>
              <w:cnfStyle w:val="000000000000" w:firstRow="0" w:lastRow="0" w:firstColumn="0" w:lastColumn="0" w:oddVBand="0" w:evenVBand="0" w:oddHBand="0" w:evenHBand="0" w:firstRowFirstColumn="0" w:firstRowLastColumn="0" w:lastRowFirstColumn="0" w:lastRowLastColumn="0"/>
            </w:pPr>
            <w:r>
              <w:t>1027.2</w:t>
            </w:r>
          </w:p>
        </w:tc>
        <w:tc>
          <w:tcPr>
            <w:tcW w:w="1034" w:type="dxa"/>
            <w:gridSpan w:val="2"/>
            <w:noWrap/>
            <w:vAlign w:val="bottom"/>
          </w:tcPr>
          <w:p w:rsidR="00434D01" w:rsidRPr="00434D01" w:rsidRDefault="00746667" w:rsidP="00D73C99">
            <w:pPr>
              <w:cnfStyle w:val="000000000000" w:firstRow="0" w:lastRow="0" w:firstColumn="0" w:lastColumn="0" w:oddVBand="0" w:evenVBand="0" w:oddHBand="0" w:evenHBand="0" w:firstRowFirstColumn="0" w:firstRowLastColumn="0" w:lastRowFirstColumn="0" w:lastRowLastColumn="0"/>
            </w:pPr>
            <w:r>
              <w:t>1106.3</w:t>
            </w:r>
          </w:p>
        </w:tc>
      </w:tr>
      <w:tr w:rsidR="00434D01" w:rsidRPr="00F30662" w:rsidTr="00434D01">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434D01" w:rsidRPr="00434D01" w:rsidRDefault="00434D01" w:rsidP="00434D01">
            <w:r w:rsidRPr="00237902">
              <w:t>Capital expenditure</w:t>
            </w:r>
            <w:r w:rsidRPr="00434D01">
              <w:rPr>
                <w:rStyle w:val="AERsuperscript"/>
              </w:rPr>
              <w:t>b</w:t>
            </w:r>
          </w:p>
        </w:tc>
        <w:tc>
          <w:tcPr>
            <w:tcW w:w="1033" w:type="dxa"/>
            <w:noWrap/>
            <w:vAlign w:val="bottom"/>
          </w:tcPr>
          <w:p w:rsidR="00434D01" w:rsidRPr="00434D01" w:rsidRDefault="00746667" w:rsidP="00D73C99">
            <w:pPr>
              <w:cnfStyle w:val="000000010000" w:firstRow="0" w:lastRow="0" w:firstColumn="0" w:lastColumn="0" w:oddVBand="0" w:evenVBand="0" w:oddHBand="0" w:evenHBand="1" w:firstRowFirstColumn="0" w:firstRowLastColumn="0" w:lastRowFirstColumn="0" w:lastRowLastColumn="0"/>
            </w:pPr>
            <w:r>
              <w:t>124.</w:t>
            </w:r>
            <w:r w:rsidR="00D73C99">
              <w:t>8</w:t>
            </w:r>
          </w:p>
        </w:tc>
        <w:tc>
          <w:tcPr>
            <w:tcW w:w="1034" w:type="dxa"/>
            <w:gridSpan w:val="2"/>
            <w:noWrap/>
            <w:vAlign w:val="bottom"/>
          </w:tcPr>
          <w:p w:rsidR="00434D01" w:rsidRPr="00434D01" w:rsidRDefault="00746667" w:rsidP="00D73C99">
            <w:pPr>
              <w:cnfStyle w:val="000000010000" w:firstRow="0" w:lastRow="0" w:firstColumn="0" w:lastColumn="0" w:oddVBand="0" w:evenVBand="0" w:oddHBand="0" w:evenHBand="1" w:firstRowFirstColumn="0" w:firstRowLastColumn="0" w:lastRowFirstColumn="0" w:lastRowLastColumn="0"/>
            </w:pPr>
            <w:r>
              <w:t>117.</w:t>
            </w:r>
            <w:r w:rsidR="00D73C99">
              <w:t>2</w:t>
            </w:r>
          </w:p>
        </w:tc>
        <w:tc>
          <w:tcPr>
            <w:tcW w:w="1034" w:type="dxa"/>
            <w:gridSpan w:val="2"/>
            <w:noWrap/>
            <w:vAlign w:val="bottom"/>
          </w:tcPr>
          <w:p w:rsidR="00434D01" w:rsidRPr="00434D01" w:rsidRDefault="00746667" w:rsidP="00D73C99">
            <w:pPr>
              <w:cnfStyle w:val="000000010000" w:firstRow="0" w:lastRow="0" w:firstColumn="0" w:lastColumn="0" w:oddVBand="0" w:evenVBand="0" w:oddHBand="0" w:evenHBand="1" w:firstRowFirstColumn="0" w:firstRowLastColumn="0" w:lastRowFirstColumn="0" w:lastRowLastColumn="0"/>
            </w:pPr>
            <w:r>
              <w:t>121.</w:t>
            </w:r>
            <w:r w:rsidR="00D73C99">
              <w:t>9</w:t>
            </w:r>
          </w:p>
        </w:tc>
        <w:tc>
          <w:tcPr>
            <w:tcW w:w="1034" w:type="dxa"/>
            <w:noWrap/>
            <w:vAlign w:val="bottom"/>
          </w:tcPr>
          <w:p w:rsidR="00434D01" w:rsidRPr="00434D01" w:rsidRDefault="00746667" w:rsidP="00D73C99">
            <w:pPr>
              <w:cnfStyle w:val="000000010000" w:firstRow="0" w:lastRow="0" w:firstColumn="0" w:lastColumn="0" w:oddVBand="0" w:evenVBand="0" w:oddHBand="0" w:evenHBand="1" w:firstRowFirstColumn="0" w:firstRowLastColumn="0" w:lastRowFirstColumn="0" w:lastRowLastColumn="0"/>
            </w:pPr>
            <w:r>
              <w:t>126.</w:t>
            </w:r>
            <w:r w:rsidR="00D73C99">
              <w:t>7</w:t>
            </w:r>
          </w:p>
        </w:tc>
        <w:tc>
          <w:tcPr>
            <w:tcW w:w="1034" w:type="dxa"/>
            <w:gridSpan w:val="2"/>
            <w:noWrap/>
            <w:vAlign w:val="bottom"/>
          </w:tcPr>
          <w:p w:rsidR="00434D01" w:rsidRPr="00434D01" w:rsidRDefault="00746667" w:rsidP="00D73C99">
            <w:pPr>
              <w:cnfStyle w:val="000000010000" w:firstRow="0" w:lastRow="0" w:firstColumn="0" w:lastColumn="0" w:oddVBand="0" w:evenVBand="0" w:oddHBand="0" w:evenHBand="1" w:firstRowFirstColumn="0" w:firstRowLastColumn="0" w:lastRowFirstColumn="0" w:lastRowLastColumn="0"/>
            </w:pPr>
            <w:r>
              <w:t>144.</w:t>
            </w:r>
            <w:r w:rsidR="00D73C99">
              <w:t>1</w:t>
            </w:r>
          </w:p>
        </w:tc>
      </w:tr>
      <w:tr w:rsidR="00434D01" w:rsidRPr="00F30662" w:rsidTr="00434D01">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434D01" w:rsidRPr="00434D01" w:rsidRDefault="00434D01" w:rsidP="00434D01">
            <w:r w:rsidRPr="00237902">
              <w:t xml:space="preserve">Inflation indexation on opening </w:t>
            </w:r>
            <w:r w:rsidRPr="00434D01">
              <w:t>RAB</w:t>
            </w:r>
          </w:p>
        </w:tc>
        <w:tc>
          <w:tcPr>
            <w:tcW w:w="1033" w:type="dxa"/>
            <w:noWrap/>
            <w:vAlign w:val="bottom"/>
          </w:tcPr>
          <w:p w:rsidR="00434D01" w:rsidRPr="00434D01" w:rsidRDefault="00806B2F" w:rsidP="00D73C99">
            <w:pPr>
              <w:cnfStyle w:val="000000000000" w:firstRow="0" w:lastRow="0" w:firstColumn="0" w:lastColumn="0" w:oddVBand="0" w:evenVBand="0" w:oddHBand="0" w:evenHBand="0" w:firstRowFirstColumn="0" w:firstRowLastColumn="0" w:lastRowFirstColumn="0" w:lastRowLastColumn="0"/>
            </w:pPr>
            <w:r>
              <w:t>21.3</w:t>
            </w:r>
          </w:p>
        </w:tc>
        <w:tc>
          <w:tcPr>
            <w:tcW w:w="1034" w:type="dxa"/>
            <w:gridSpan w:val="2"/>
            <w:noWrap/>
            <w:vAlign w:val="bottom"/>
          </w:tcPr>
          <w:p w:rsidR="00434D01" w:rsidRPr="00434D01" w:rsidRDefault="00806B2F" w:rsidP="00D73C99">
            <w:pPr>
              <w:cnfStyle w:val="000000000000" w:firstRow="0" w:lastRow="0" w:firstColumn="0" w:lastColumn="0" w:oddVBand="0" w:evenVBand="0" w:oddHBand="0" w:evenHBand="0" w:firstRowFirstColumn="0" w:firstRowLastColumn="0" w:lastRowFirstColumn="0" w:lastRowLastColumn="0"/>
            </w:pPr>
            <w:r>
              <w:t>30.3</w:t>
            </w:r>
          </w:p>
        </w:tc>
        <w:tc>
          <w:tcPr>
            <w:tcW w:w="1034" w:type="dxa"/>
            <w:gridSpan w:val="2"/>
            <w:noWrap/>
            <w:vAlign w:val="bottom"/>
          </w:tcPr>
          <w:p w:rsidR="00434D01" w:rsidRPr="00434D01" w:rsidRDefault="00806B2F" w:rsidP="00D73C99">
            <w:pPr>
              <w:cnfStyle w:val="000000000000" w:firstRow="0" w:lastRow="0" w:firstColumn="0" w:lastColumn="0" w:oddVBand="0" w:evenVBand="0" w:oddHBand="0" w:evenHBand="0" w:firstRowFirstColumn="0" w:firstRowLastColumn="0" w:lastRowFirstColumn="0" w:lastRowLastColumn="0"/>
            </w:pPr>
            <w:r>
              <w:t>19.</w:t>
            </w:r>
            <w:r w:rsidR="00D73C99">
              <w:t>1</w:t>
            </w:r>
          </w:p>
        </w:tc>
        <w:tc>
          <w:tcPr>
            <w:tcW w:w="1034" w:type="dxa"/>
            <w:noWrap/>
            <w:vAlign w:val="bottom"/>
          </w:tcPr>
          <w:p w:rsidR="00434D01" w:rsidRPr="00434D01" w:rsidRDefault="00806B2F" w:rsidP="00D73C99">
            <w:pPr>
              <w:cnfStyle w:val="000000000000" w:firstRow="0" w:lastRow="0" w:firstColumn="0" w:lastColumn="0" w:oddVBand="0" w:evenVBand="0" w:oddHBand="0" w:evenHBand="0" w:firstRowFirstColumn="0" w:firstRowLastColumn="0" w:lastRowFirstColumn="0" w:lastRowLastColumn="0"/>
            </w:pPr>
            <w:r>
              <w:t>22.2</w:t>
            </w:r>
          </w:p>
        </w:tc>
        <w:tc>
          <w:tcPr>
            <w:tcW w:w="1034" w:type="dxa"/>
            <w:gridSpan w:val="2"/>
            <w:noWrap/>
            <w:vAlign w:val="bottom"/>
          </w:tcPr>
          <w:p w:rsidR="00434D01" w:rsidRPr="00434D01" w:rsidRDefault="00806B2F" w:rsidP="00D73C99">
            <w:pPr>
              <w:cnfStyle w:val="000000000000" w:firstRow="0" w:lastRow="0" w:firstColumn="0" w:lastColumn="0" w:oddVBand="0" w:evenVBand="0" w:oddHBand="0" w:evenHBand="0" w:firstRowFirstColumn="0" w:firstRowLastColumn="0" w:lastRowFirstColumn="0" w:lastRowLastColumn="0"/>
            </w:pPr>
            <w:r>
              <w:t>25.5</w:t>
            </w:r>
          </w:p>
        </w:tc>
      </w:tr>
      <w:tr w:rsidR="00434D01" w:rsidRPr="00F30662" w:rsidTr="00434D01">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434D01" w:rsidRPr="00434D01" w:rsidRDefault="00434D01" w:rsidP="00434D01">
            <w:r w:rsidRPr="00237902">
              <w:rPr>
                <w:rStyle w:val="AERtextitalic"/>
              </w:rPr>
              <w:t>Less</w:t>
            </w:r>
            <w:r w:rsidRPr="00434D01">
              <w:t>: straight-line depreciation</w:t>
            </w:r>
          </w:p>
        </w:tc>
        <w:tc>
          <w:tcPr>
            <w:tcW w:w="1033" w:type="dxa"/>
            <w:noWrap/>
            <w:vAlign w:val="bottom"/>
          </w:tcPr>
          <w:p w:rsidR="00434D01" w:rsidRPr="00434D01" w:rsidRDefault="002061C2" w:rsidP="00D73C99">
            <w:pPr>
              <w:cnfStyle w:val="000000010000" w:firstRow="0" w:lastRow="0" w:firstColumn="0" w:lastColumn="0" w:oddVBand="0" w:evenVBand="0" w:oddHBand="0" w:evenHBand="1" w:firstRowFirstColumn="0" w:firstRowLastColumn="0" w:lastRowFirstColumn="0" w:lastRowLastColumn="0"/>
            </w:pPr>
            <w:r>
              <w:t>4</w:t>
            </w:r>
            <w:r w:rsidR="00D73C99">
              <w:t>9</w:t>
            </w:r>
            <w:r>
              <w:t>.</w:t>
            </w:r>
            <w:r w:rsidR="00D73C99">
              <w:t>0</w:t>
            </w:r>
          </w:p>
        </w:tc>
        <w:tc>
          <w:tcPr>
            <w:tcW w:w="1034" w:type="dxa"/>
            <w:gridSpan w:val="2"/>
            <w:noWrap/>
            <w:vAlign w:val="bottom"/>
          </w:tcPr>
          <w:p w:rsidR="00434D01" w:rsidRPr="00434D01" w:rsidRDefault="002061C2" w:rsidP="00D73C99">
            <w:pPr>
              <w:cnfStyle w:val="000000010000" w:firstRow="0" w:lastRow="0" w:firstColumn="0" w:lastColumn="0" w:oddVBand="0" w:evenVBand="0" w:oddHBand="0" w:evenHBand="1" w:firstRowFirstColumn="0" w:firstRowLastColumn="0" w:lastRowFirstColumn="0" w:lastRowLastColumn="0"/>
            </w:pPr>
            <w:r>
              <w:t>5</w:t>
            </w:r>
            <w:r w:rsidR="00D73C99">
              <w:t>7</w:t>
            </w:r>
            <w:r>
              <w:t>.</w:t>
            </w:r>
            <w:r w:rsidR="00D73C99">
              <w:t>0</w:t>
            </w:r>
          </w:p>
        </w:tc>
        <w:tc>
          <w:tcPr>
            <w:tcW w:w="1034" w:type="dxa"/>
            <w:gridSpan w:val="2"/>
            <w:noWrap/>
            <w:vAlign w:val="bottom"/>
          </w:tcPr>
          <w:p w:rsidR="00434D01" w:rsidRPr="00434D01" w:rsidRDefault="002061C2" w:rsidP="00D73C99">
            <w:pPr>
              <w:cnfStyle w:val="000000010000" w:firstRow="0" w:lastRow="0" w:firstColumn="0" w:lastColumn="0" w:oddVBand="0" w:evenVBand="0" w:oddHBand="0" w:evenHBand="1" w:firstRowFirstColumn="0" w:firstRowLastColumn="0" w:lastRowFirstColumn="0" w:lastRowLastColumn="0"/>
            </w:pPr>
            <w:r>
              <w:t>65.</w:t>
            </w:r>
            <w:r w:rsidR="00D73C99">
              <w:t>6</w:t>
            </w:r>
          </w:p>
        </w:tc>
        <w:tc>
          <w:tcPr>
            <w:tcW w:w="1034" w:type="dxa"/>
            <w:noWrap/>
            <w:vAlign w:val="bottom"/>
          </w:tcPr>
          <w:p w:rsidR="00434D01" w:rsidRPr="00434D01" w:rsidRDefault="002061C2" w:rsidP="00D73C99">
            <w:pPr>
              <w:cnfStyle w:val="000000010000" w:firstRow="0" w:lastRow="0" w:firstColumn="0" w:lastColumn="0" w:oddVBand="0" w:evenVBand="0" w:oddHBand="0" w:evenHBand="1" w:firstRowFirstColumn="0" w:firstRowLastColumn="0" w:lastRowFirstColumn="0" w:lastRowLastColumn="0"/>
            </w:pPr>
            <w:r>
              <w:t>71.</w:t>
            </w:r>
            <w:r w:rsidR="00D73C99">
              <w:t>8</w:t>
            </w:r>
          </w:p>
        </w:tc>
        <w:tc>
          <w:tcPr>
            <w:tcW w:w="1034" w:type="dxa"/>
            <w:gridSpan w:val="2"/>
            <w:noWrap/>
            <w:vAlign w:val="bottom"/>
          </w:tcPr>
          <w:p w:rsidR="00434D01" w:rsidRPr="00434D01" w:rsidRDefault="002061C2" w:rsidP="00D73C99">
            <w:pPr>
              <w:cnfStyle w:val="000000010000" w:firstRow="0" w:lastRow="0" w:firstColumn="0" w:lastColumn="0" w:oddVBand="0" w:evenVBand="0" w:oddHBand="0" w:evenHBand="1" w:firstRowFirstColumn="0" w:firstRowLastColumn="0" w:lastRowFirstColumn="0" w:lastRowLastColumn="0"/>
            </w:pPr>
            <w:r>
              <w:t>74.8</w:t>
            </w:r>
          </w:p>
        </w:tc>
      </w:tr>
      <w:tr w:rsidR="00E310D5" w:rsidRPr="005E4D56" w:rsidTr="00434D01">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E310D5" w:rsidRPr="005E4D56" w:rsidRDefault="00E310D5" w:rsidP="005E4D56">
            <w:r w:rsidRPr="005E4D56">
              <w:t>Closing RAB</w:t>
            </w:r>
          </w:p>
        </w:tc>
        <w:tc>
          <w:tcPr>
            <w:tcW w:w="1033" w:type="dxa"/>
            <w:noWrap/>
            <w:vAlign w:val="bottom"/>
          </w:tcPr>
          <w:p w:rsidR="00E310D5" w:rsidRPr="005E4D56" w:rsidRDefault="00E310D5" w:rsidP="005E4D56">
            <w:pPr>
              <w:cnfStyle w:val="000000000000" w:firstRow="0" w:lastRow="0" w:firstColumn="0" w:lastColumn="0" w:oddVBand="0" w:evenVBand="0" w:oddHBand="0" w:evenHBand="0" w:firstRowFirstColumn="0" w:firstRowLastColumn="0" w:lastRowFirstColumn="0" w:lastRowLastColumn="0"/>
            </w:pPr>
            <w:r w:rsidRPr="005E4D56">
              <w:t>861.3</w:t>
            </w:r>
          </w:p>
        </w:tc>
        <w:tc>
          <w:tcPr>
            <w:tcW w:w="1034" w:type="dxa"/>
            <w:gridSpan w:val="2"/>
            <w:noWrap/>
            <w:vAlign w:val="bottom"/>
          </w:tcPr>
          <w:p w:rsidR="00E310D5" w:rsidRPr="005E4D56" w:rsidRDefault="00E310D5" w:rsidP="005E4D56">
            <w:pPr>
              <w:cnfStyle w:val="000000000000" w:firstRow="0" w:lastRow="0" w:firstColumn="0" w:lastColumn="0" w:oddVBand="0" w:evenVBand="0" w:oddHBand="0" w:evenHBand="0" w:firstRowFirstColumn="0" w:firstRowLastColumn="0" w:lastRowFirstColumn="0" w:lastRowLastColumn="0"/>
            </w:pPr>
            <w:r w:rsidRPr="005E4D56">
              <w:t>951.</w:t>
            </w:r>
            <w:r w:rsidR="00D73C99" w:rsidRPr="005E4D56">
              <w:t>9</w:t>
            </w:r>
          </w:p>
        </w:tc>
        <w:tc>
          <w:tcPr>
            <w:tcW w:w="1034" w:type="dxa"/>
            <w:gridSpan w:val="2"/>
            <w:noWrap/>
            <w:vAlign w:val="bottom"/>
          </w:tcPr>
          <w:p w:rsidR="00E310D5" w:rsidRPr="005E4D56" w:rsidRDefault="00E310D5" w:rsidP="005E4D56">
            <w:pPr>
              <w:cnfStyle w:val="000000000000" w:firstRow="0" w:lastRow="0" w:firstColumn="0" w:lastColumn="0" w:oddVBand="0" w:evenVBand="0" w:oddHBand="0" w:evenHBand="0" w:firstRowFirstColumn="0" w:firstRowLastColumn="0" w:lastRowFirstColumn="0" w:lastRowLastColumn="0"/>
            </w:pPr>
            <w:r w:rsidRPr="005E4D56">
              <w:t>1027.2</w:t>
            </w:r>
          </w:p>
        </w:tc>
        <w:tc>
          <w:tcPr>
            <w:tcW w:w="1034" w:type="dxa"/>
            <w:noWrap/>
            <w:vAlign w:val="bottom"/>
          </w:tcPr>
          <w:p w:rsidR="00E310D5" w:rsidRPr="005E4D56" w:rsidRDefault="00E310D5" w:rsidP="005E4D56">
            <w:pPr>
              <w:cnfStyle w:val="000000000000" w:firstRow="0" w:lastRow="0" w:firstColumn="0" w:lastColumn="0" w:oddVBand="0" w:evenVBand="0" w:oddHBand="0" w:evenHBand="0" w:firstRowFirstColumn="0" w:firstRowLastColumn="0" w:lastRowFirstColumn="0" w:lastRowLastColumn="0"/>
            </w:pPr>
            <w:r w:rsidRPr="005E4D56">
              <w:t>1106.3</w:t>
            </w:r>
          </w:p>
        </w:tc>
        <w:tc>
          <w:tcPr>
            <w:tcW w:w="1034" w:type="dxa"/>
            <w:gridSpan w:val="2"/>
            <w:noWrap/>
            <w:vAlign w:val="bottom"/>
          </w:tcPr>
          <w:p w:rsidR="00E310D5" w:rsidRPr="005E4D56" w:rsidRDefault="00E310D5" w:rsidP="005E4D56">
            <w:pPr>
              <w:cnfStyle w:val="000000000000" w:firstRow="0" w:lastRow="0" w:firstColumn="0" w:lastColumn="0" w:oddVBand="0" w:evenVBand="0" w:oddHBand="0" w:evenHBand="0" w:firstRowFirstColumn="0" w:firstRowLastColumn="0" w:lastRowFirstColumn="0" w:lastRowLastColumn="0"/>
            </w:pPr>
            <w:r w:rsidRPr="005E4D56">
              <w:t>1201.</w:t>
            </w:r>
            <w:r w:rsidR="00D73C99" w:rsidRPr="005E4D56">
              <w:t>1</w:t>
            </w:r>
          </w:p>
        </w:tc>
      </w:tr>
      <w:tr w:rsidR="00E310D5" w:rsidRPr="00F30662" w:rsidTr="00CB1FD3">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E310D5" w:rsidRPr="00E310D5" w:rsidRDefault="00E310D5" w:rsidP="00D87FE7">
            <w:r w:rsidRPr="00237902">
              <w:t xml:space="preserve">Difference between estimated and actual </w:t>
            </w:r>
            <w:r w:rsidRPr="00E310D5">
              <w:t>2010 capex (1 J</w:t>
            </w:r>
            <w:r w:rsidR="00D87FE7">
              <w:t>anuary 2010 to 31 December</w:t>
            </w:r>
            <w:r w:rsidRPr="00E310D5">
              <w:t xml:space="preserve"> 2010)</w:t>
            </w:r>
          </w:p>
        </w:tc>
        <w:tc>
          <w:tcPr>
            <w:tcW w:w="3043" w:type="dxa"/>
            <w:gridSpan w:val="4"/>
            <w:vAlign w:val="bottom"/>
          </w:tcPr>
          <w:p w:rsidR="00E310D5" w:rsidRPr="00237902" w:rsidRDefault="00E310D5" w:rsidP="00E310D5">
            <w:pPr>
              <w:cnfStyle w:val="000000010000" w:firstRow="0" w:lastRow="0" w:firstColumn="0" w:lastColumn="0" w:oddVBand="0" w:evenVBand="0" w:oddHBand="0" w:evenHBand="1" w:firstRowFirstColumn="0" w:firstRowLastColumn="0" w:lastRowFirstColumn="0" w:lastRowLastColumn="0"/>
            </w:pPr>
          </w:p>
        </w:tc>
        <w:tc>
          <w:tcPr>
            <w:tcW w:w="2126" w:type="dxa"/>
            <w:gridSpan w:val="4"/>
            <w:noWrap/>
            <w:vAlign w:val="bottom"/>
          </w:tcPr>
          <w:p w:rsidR="00E310D5" w:rsidRPr="00434D01" w:rsidRDefault="00D87FE7" w:rsidP="00D73C99">
            <w:pPr>
              <w:cnfStyle w:val="000000010000" w:firstRow="0" w:lastRow="0" w:firstColumn="0" w:lastColumn="0" w:oddVBand="0" w:evenVBand="0" w:oddHBand="0" w:evenHBand="1" w:firstRowFirstColumn="0" w:firstRowLastColumn="0" w:lastRowFirstColumn="0" w:lastRowLastColumn="0"/>
            </w:pPr>
            <w:r>
              <w:t>–</w:t>
            </w:r>
            <w:r w:rsidR="00D73C99">
              <w:t>6.3</w:t>
            </w:r>
          </w:p>
        </w:tc>
      </w:tr>
      <w:tr w:rsidR="00E310D5" w:rsidRPr="00F30662" w:rsidTr="00CB1FD3">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E310D5" w:rsidRPr="00E310D5" w:rsidRDefault="00E310D5" w:rsidP="00D87FE7">
            <w:r w:rsidRPr="00237902">
              <w:t xml:space="preserve">Return on </w:t>
            </w:r>
            <w:r w:rsidRPr="00E310D5">
              <w:t xml:space="preserve">difference for </w:t>
            </w:r>
            <w:r w:rsidR="00D87FE7">
              <w:t>2010</w:t>
            </w:r>
            <w:r w:rsidRPr="00E310D5">
              <w:t xml:space="preserve"> capex</w:t>
            </w:r>
          </w:p>
        </w:tc>
        <w:tc>
          <w:tcPr>
            <w:tcW w:w="1292" w:type="dxa"/>
            <w:gridSpan w:val="2"/>
            <w:vAlign w:val="bottom"/>
          </w:tcPr>
          <w:p w:rsidR="00E310D5" w:rsidRPr="00237902" w:rsidRDefault="00E310D5" w:rsidP="00E310D5">
            <w:pPr>
              <w:cnfStyle w:val="000000000000" w:firstRow="0" w:lastRow="0" w:firstColumn="0" w:lastColumn="0" w:oddVBand="0" w:evenVBand="0" w:oddHBand="0" w:evenHBand="0" w:firstRowFirstColumn="0" w:firstRowLastColumn="0" w:lastRowFirstColumn="0" w:lastRowLastColumn="0"/>
            </w:pPr>
          </w:p>
        </w:tc>
        <w:tc>
          <w:tcPr>
            <w:tcW w:w="1751" w:type="dxa"/>
            <w:gridSpan w:val="2"/>
            <w:noWrap/>
            <w:vAlign w:val="bottom"/>
          </w:tcPr>
          <w:p w:rsidR="00E310D5" w:rsidRPr="00237902" w:rsidRDefault="00E310D5" w:rsidP="00E310D5">
            <w:pPr>
              <w:cnfStyle w:val="000000000000" w:firstRow="0" w:lastRow="0" w:firstColumn="0" w:lastColumn="0" w:oddVBand="0" w:evenVBand="0" w:oddHBand="0" w:evenHBand="0" w:firstRowFirstColumn="0" w:firstRowLastColumn="0" w:lastRowFirstColumn="0" w:lastRowLastColumn="0"/>
            </w:pPr>
          </w:p>
        </w:tc>
        <w:tc>
          <w:tcPr>
            <w:tcW w:w="1134" w:type="dxa"/>
            <w:gridSpan w:val="3"/>
            <w:noWrap/>
            <w:vAlign w:val="bottom"/>
          </w:tcPr>
          <w:p w:rsidR="00E310D5" w:rsidRPr="00237902" w:rsidRDefault="00E310D5" w:rsidP="00E310D5">
            <w:pPr>
              <w:cnfStyle w:val="000000000000" w:firstRow="0" w:lastRow="0" w:firstColumn="0" w:lastColumn="0" w:oddVBand="0" w:evenVBand="0" w:oddHBand="0" w:evenHBand="0" w:firstRowFirstColumn="0" w:firstRowLastColumn="0" w:lastRowFirstColumn="0" w:lastRowLastColumn="0"/>
            </w:pPr>
          </w:p>
        </w:tc>
        <w:tc>
          <w:tcPr>
            <w:tcW w:w="992" w:type="dxa"/>
            <w:noWrap/>
            <w:vAlign w:val="bottom"/>
          </w:tcPr>
          <w:p w:rsidR="00E310D5" w:rsidRPr="00434D01" w:rsidRDefault="00D87FE7" w:rsidP="00D73C99">
            <w:pPr>
              <w:cnfStyle w:val="000000000000" w:firstRow="0" w:lastRow="0" w:firstColumn="0" w:lastColumn="0" w:oddVBand="0" w:evenVBand="0" w:oddHBand="0" w:evenHBand="0" w:firstRowFirstColumn="0" w:firstRowLastColumn="0" w:lastRowFirstColumn="0" w:lastRowLastColumn="0"/>
            </w:pPr>
            <w:r>
              <w:t>–</w:t>
            </w:r>
            <w:r w:rsidR="00D73C99">
              <w:t>4.0</w:t>
            </w:r>
          </w:p>
        </w:tc>
      </w:tr>
      <w:tr w:rsidR="00E310D5" w:rsidRPr="00F30662" w:rsidTr="00CB1FD3">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tcPr>
          <w:p w:rsidR="00E310D5" w:rsidRPr="00E310D5" w:rsidRDefault="00EC5F0D" w:rsidP="00EC5F0D">
            <w:pPr>
              <w:rPr>
                <w:rStyle w:val="Strong"/>
              </w:rPr>
            </w:pPr>
            <w:r>
              <w:rPr>
                <w:rStyle w:val="Strong"/>
              </w:rPr>
              <w:t xml:space="preserve">Closing </w:t>
            </w:r>
            <w:r w:rsidR="00E310D5" w:rsidRPr="00237902">
              <w:rPr>
                <w:rStyle w:val="Strong"/>
              </w:rPr>
              <w:t xml:space="preserve">RAB as at </w:t>
            </w:r>
            <w:r w:rsidR="006D2912">
              <w:rPr>
                <w:rStyle w:val="Strong"/>
              </w:rPr>
              <w:t>31</w:t>
            </w:r>
            <w:r>
              <w:rPr>
                <w:rStyle w:val="Strong"/>
              </w:rPr>
              <w:t xml:space="preserve"> December</w:t>
            </w:r>
            <w:r w:rsidR="00E310D5" w:rsidRPr="00E310D5">
              <w:rPr>
                <w:rStyle w:val="Strong"/>
              </w:rPr>
              <w:t xml:space="preserve"> 201</w:t>
            </w:r>
            <w:r>
              <w:rPr>
                <w:rStyle w:val="Strong"/>
              </w:rPr>
              <w:t>5</w:t>
            </w:r>
          </w:p>
        </w:tc>
        <w:tc>
          <w:tcPr>
            <w:tcW w:w="1033" w:type="dxa"/>
            <w:vAlign w:val="bottom"/>
          </w:tcPr>
          <w:p w:rsidR="00E310D5" w:rsidRPr="00237902" w:rsidRDefault="00E310D5" w:rsidP="00E310D5">
            <w:pPr>
              <w:cnfStyle w:val="000000010000" w:firstRow="0" w:lastRow="0" w:firstColumn="0" w:lastColumn="0" w:oddVBand="0" w:evenVBand="0" w:oddHBand="0" w:evenHBand="1" w:firstRowFirstColumn="0" w:firstRowLastColumn="0" w:lastRowFirstColumn="0" w:lastRowLastColumn="0"/>
              <w:rPr>
                <w:rStyle w:val="Strong"/>
              </w:rPr>
            </w:pPr>
          </w:p>
        </w:tc>
        <w:tc>
          <w:tcPr>
            <w:tcW w:w="1034" w:type="dxa"/>
            <w:gridSpan w:val="2"/>
            <w:noWrap/>
            <w:vAlign w:val="bottom"/>
          </w:tcPr>
          <w:p w:rsidR="00E310D5" w:rsidRPr="00237902" w:rsidRDefault="00E310D5" w:rsidP="00E310D5">
            <w:pPr>
              <w:cnfStyle w:val="000000010000" w:firstRow="0" w:lastRow="0" w:firstColumn="0" w:lastColumn="0" w:oddVBand="0" w:evenVBand="0" w:oddHBand="0" w:evenHBand="1" w:firstRowFirstColumn="0" w:firstRowLastColumn="0" w:lastRowFirstColumn="0" w:lastRowLastColumn="0"/>
              <w:rPr>
                <w:rStyle w:val="Strong"/>
              </w:rPr>
            </w:pPr>
          </w:p>
        </w:tc>
        <w:tc>
          <w:tcPr>
            <w:tcW w:w="1034" w:type="dxa"/>
            <w:gridSpan w:val="2"/>
            <w:noWrap/>
            <w:vAlign w:val="bottom"/>
          </w:tcPr>
          <w:p w:rsidR="00E310D5" w:rsidRPr="00237902" w:rsidRDefault="00E310D5" w:rsidP="00E310D5">
            <w:pPr>
              <w:cnfStyle w:val="000000010000" w:firstRow="0" w:lastRow="0" w:firstColumn="0" w:lastColumn="0" w:oddVBand="0" w:evenVBand="0" w:oddHBand="0" w:evenHBand="1" w:firstRowFirstColumn="0" w:firstRowLastColumn="0" w:lastRowFirstColumn="0" w:lastRowLastColumn="0"/>
              <w:rPr>
                <w:rStyle w:val="Strong"/>
              </w:rPr>
            </w:pPr>
          </w:p>
        </w:tc>
        <w:tc>
          <w:tcPr>
            <w:tcW w:w="1076" w:type="dxa"/>
            <w:gridSpan w:val="2"/>
            <w:noWrap/>
            <w:vAlign w:val="bottom"/>
          </w:tcPr>
          <w:p w:rsidR="00E310D5" w:rsidRPr="00237902" w:rsidRDefault="00E310D5" w:rsidP="00E310D5">
            <w:pPr>
              <w:cnfStyle w:val="000000010000" w:firstRow="0" w:lastRow="0" w:firstColumn="0" w:lastColumn="0" w:oddVBand="0" w:evenVBand="0" w:oddHBand="0" w:evenHBand="1" w:firstRowFirstColumn="0" w:firstRowLastColumn="0" w:lastRowFirstColumn="0" w:lastRowLastColumn="0"/>
              <w:rPr>
                <w:rStyle w:val="Strong"/>
              </w:rPr>
            </w:pPr>
          </w:p>
        </w:tc>
        <w:tc>
          <w:tcPr>
            <w:tcW w:w="992" w:type="dxa"/>
            <w:noWrap/>
            <w:vAlign w:val="bottom"/>
          </w:tcPr>
          <w:p w:rsidR="00E310D5" w:rsidRPr="00E310D5" w:rsidRDefault="00D36901" w:rsidP="00D73C99">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1190.8</w:t>
            </w:r>
          </w:p>
        </w:tc>
      </w:tr>
    </w:tbl>
    <w:p w:rsidR="00434D01" w:rsidRPr="00924046" w:rsidRDefault="00434D01" w:rsidP="00434D01">
      <w:pPr>
        <w:pStyle w:val="AERtablesource"/>
      </w:pPr>
      <w:r w:rsidRPr="00924046">
        <w:t>Source:</w:t>
      </w:r>
      <w:r w:rsidRPr="00924046">
        <w:tab/>
      </w:r>
      <w:r w:rsidR="00504EAD">
        <w:t>Jemena</w:t>
      </w:r>
      <w:r w:rsidR="00504EAD" w:rsidRPr="00DC4EE3">
        <w:t xml:space="preserve">, </w:t>
      </w:r>
      <w:r w:rsidR="00504EAD" w:rsidRPr="00445029">
        <w:rPr>
          <w:rStyle w:val="AERtextitalic"/>
        </w:rPr>
        <w:t>Regulatory proposal</w:t>
      </w:r>
      <w:r w:rsidR="00504EAD" w:rsidRPr="00445029">
        <w:t xml:space="preserve">, </w:t>
      </w:r>
      <w:r w:rsidR="00504EAD">
        <w:t>April 2015</w:t>
      </w:r>
      <w:r w:rsidR="00504EAD" w:rsidRPr="00445029">
        <w:t>,</w:t>
      </w:r>
      <w:r w:rsidR="00504EAD">
        <w:t xml:space="preserve"> Attachment 06.03.  </w:t>
      </w:r>
    </w:p>
    <w:p w:rsidR="00434D01" w:rsidRPr="00924046" w:rsidRDefault="00434D01" w:rsidP="00434D01">
      <w:pPr>
        <w:pStyle w:val="AERtablesource"/>
      </w:pPr>
      <w:r>
        <w:t>(a)</w:t>
      </w:r>
      <w:r w:rsidRPr="00924046">
        <w:tab/>
        <w:t>Based on estimated capex.</w:t>
      </w:r>
    </w:p>
    <w:p w:rsidR="00434D01" w:rsidRPr="00924046" w:rsidRDefault="00434D01" w:rsidP="00434D01">
      <w:pPr>
        <w:pStyle w:val="AERtablesource"/>
      </w:pPr>
      <w:r>
        <w:t>(b)</w:t>
      </w:r>
      <w:r w:rsidRPr="00924046">
        <w:tab/>
        <w:t>Net of disposals</w:t>
      </w:r>
      <w:r w:rsidR="003E2590" w:rsidRPr="003E2590">
        <w:t xml:space="preserve"> </w:t>
      </w:r>
      <w:r w:rsidR="003E2590">
        <w:t>and capital contributions,</w:t>
      </w:r>
      <w:r w:rsidRPr="00924046">
        <w:t xml:space="preserve"> and adjusted for CPI.</w:t>
      </w:r>
    </w:p>
    <w:p w:rsidR="00434D01" w:rsidRDefault="00D36901" w:rsidP="00434D01">
      <w:pPr>
        <w:numPr>
          <w:ilvl w:val="0"/>
          <w:numId w:val="24"/>
        </w:numPr>
      </w:pPr>
      <w:r>
        <w:t>Jemena</w:t>
      </w:r>
      <w:r w:rsidR="00434D01" w:rsidRPr="00924046">
        <w:t xml:space="preserve"> proposed a closing forecast RAB as at 3</w:t>
      </w:r>
      <w:r>
        <w:t>1</w:t>
      </w:r>
      <w:r w:rsidR="00434D01" w:rsidRPr="00924046">
        <w:t xml:space="preserve"> </w:t>
      </w:r>
      <w:r>
        <w:t>December</w:t>
      </w:r>
      <w:r w:rsidR="00434D01" w:rsidRPr="00924046">
        <w:t xml:space="preserve"> 2020 of $</w:t>
      </w:r>
      <w:r w:rsidR="00CA1CF5">
        <w:t>1</w:t>
      </w:r>
      <w:r>
        <w:t>730.4</w:t>
      </w:r>
      <w:r w:rsidR="00434D01">
        <w:t> </w:t>
      </w:r>
      <w:r w:rsidR="00434D01" w:rsidRPr="00924046">
        <w:t>million ($ nominal). This value reflects its proposed opening RAB, forecast capex, forecast inflation</w:t>
      </w:r>
      <w:r w:rsidR="00D3779A">
        <w:t>,</w:t>
      </w:r>
      <w:r w:rsidR="00434D01" w:rsidRPr="00924046">
        <w:t xml:space="preserve"> and depreciation (based on forecast capex) over the 201</w:t>
      </w:r>
      <w:r w:rsidR="005854E5">
        <w:t>6</w:t>
      </w:r>
      <w:r w:rsidR="00434D01" w:rsidRPr="00924046">
        <w:t>–20 regulatory control period. Its projected RAB over the 201</w:t>
      </w:r>
      <w:r w:rsidR="005854E5">
        <w:t>6</w:t>
      </w:r>
      <w:r w:rsidR="00434D01" w:rsidRPr="00924046">
        <w:t xml:space="preserve">–20 regulatory control </w:t>
      </w:r>
      <w:proofErr w:type="gramStart"/>
      <w:r w:rsidR="00434D01" w:rsidRPr="00924046">
        <w:t>period</w:t>
      </w:r>
      <w:proofErr w:type="gramEnd"/>
      <w:r w:rsidR="00434D01" w:rsidRPr="00924046">
        <w:t xml:space="preserve"> is shown in </w:t>
      </w:r>
      <w:r w:rsidR="00434D01" w:rsidRPr="00924046">
        <w:fldChar w:fldCharType="begin"/>
      </w:r>
      <w:r w:rsidR="00434D01" w:rsidRPr="00924046">
        <w:instrText xml:space="preserve"> REF _Ref393095900 \h </w:instrText>
      </w:r>
      <w:r w:rsidR="00434D01" w:rsidRPr="00924046">
        <w:fldChar w:fldCharType="separate"/>
      </w:r>
      <w:r w:rsidR="00E86890" w:rsidRPr="00924046">
        <w:t xml:space="preserve">Table </w:t>
      </w:r>
      <w:r w:rsidR="00E86890">
        <w:rPr>
          <w:noProof/>
        </w:rPr>
        <w:t>2</w:t>
      </w:r>
      <w:r w:rsidR="00E86890">
        <w:t>.</w:t>
      </w:r>
      <w:r w:rsidR="00E86890">
        <w:rPr>
          <w:noProof/>
        </w:rPr>
        <w:t>4</w:t>
      </w:r>
      <w:r w:rsidR="00434D01" w:rsidRPr="00924046">
        <w:fldChar w:fldCharType="end"/>
      </w:r>
      <w:r w:rsidR="00434D01" w:rsidRPr="00924046">
        <w:t>.</w:t>
      </w:r>
    </w:p>
    <w:p w:rsidR="00C6770A" w:rsidRPr="00924046" w:rsidRDefault="00C6770A" w:rsidP="00C6770A"/>
    <w:p w:rsidR="00434D01" w:rsidRPr="00924046" w:rsidRDefault="00434D01" w:rsidP="00434D01">
      <w:pPr>
        <w:pStyle w:val="Caption"/>
      </w:pPr>
      <w:bookmarkStart w:id="16" w:name="_Ref393095900"/>
      <w:r w:rsidRPr="00924046">
        <w:lastRenderedPageBreak/>
        <w:t xml:space="preserve">Table </w:t>
      </w:r>
      <w:r w:rsidRPr="00434D01">
        <w:fldChar w:fldCharType="begin"/>
      </w:r>
      <w:r>
        <w:instrText xml:space="preserve"> STYLEREF 1 \s </w:instrText>
      </w:r>
      <w:r w:rsidRPr="00434D01">
        <w:fldChar w:fldCharType="separate"/>
      </w:r>
      <w:r w:rsidR="00E86890">
        <w:rPr>
          <w:noProof/>
        </w:rPr>
        <w:t>2</w:t>
      </w:r>
      <w:r w:rsidRPr="00434D01">
        <w:fldChar w:fldCharType="end"/>
      </w:r>
      <w:r>
        <w:t>.</w:t>
      </w:r>
      <w:r w:rsidRPr="00434D01">
        <w:fldChar w:fldCharType="begin"/>
      </w:r>
      <w:r>
        <w:instrText xml:space="preserve"> SEQ Table \* ARABIC \s 1 </w:instrText>
      </w:r>
      <w:r w:rsidRPr="00434D01">
        <w:fldChar w:fldCharType="separate"/>
      </w:r>
      <w:r w:rsidR="00E86890">
        <w:rPr>
          <w:noProof/>
        </w:rPr>
        <w:t>4</w:t>
      </w:r>
      <w:r w:rsidRPr="00434D01">
        <w:fldChar w:fldCharType="end"/>
      </w:r>
      <w:bookmarkEnd w:id="16"/>
      <w:r w:rsidRPr="00924046">
        <w:tab/>
      </w:r>
      <w:r w:rsidR="005854E5">
        <w:t>Jemena</w:t>
      </w:r>
      <w:r>
        <w:t>'s</w:t>
      </w:r>
      <w:r w:rsidRPr="00924046">
        <w:t xml:space="preserve"> proposed RAB for the 201</w:t>
      </w:r>
      <w:r w:rsidR="005854E5">
        <w:t>6</w:t>
      </w:r>
      <w:r w:rsidRPr="00924046">
        <w:t>–20</w:t>
      </w:r>
      <w:r>
        <w:t xml:space="preserve"> regulatory control</w:t>
      </w:r>
      <w:r w:rsidRPr="00924046">
        <w:t xml:space="preserve"> period ($million, nominal)</w:t>
      </w:r>
      <w:r w:rsidR="00495CFA">
        <w:t xml:space="preserve"> </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434D01" w:rsidRPr="00237902" w:rsidTr="00434D01">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434D01" w:rsidRPr="00434D01" w:rsidRDefault="00434D01" w:rsidP="00434D01">
            <w:r w:rsidRPr="00237902">
              <w:t> </w:t>
            </w:r>
          </w:p>
        </w:tc>
        <w:tc>
          <w:tcPr>
            <w:tcW w:w="1067" w:type="dxa"/>
            <w:noWrap/>
            <w:hideMark/>
          </w:tcPr>
          <w:p w:rsidR="00434D01" w:rsidRPr="00434D01" w:rsidRDefault="005854E5" w:rsidP="00434D01">
            <w:pPr>
              <w:cnfStyle w:val="100000000000" w:firstRow="1" w:lastRow="0" w:firstColumn="0" w:lastColumn="0" w:oddVBand="0" w:evenVBand="0" w:oddHBand="0" w:evenHBand="0" w:firstRowFirstColumn="0" w:firstRowLastColumn="0" w:lastRowFirstColumn="0" w:lastRowLastColumn="0"/>
            </w:pPr>
            <w:r>
              <w:t>2016</w:t>
            </w:r>
          </w:p>
        </w:tc>
        <w:tc>
          <w:tcPr>
            <w:tcW w:w="1068" w:type="dxa"/>
            <w:noWrap/>
            <w:hideMark/>
          </w:tcPr>
          <w:p w:rsidR="00434D01" w:rsidRPr="00434D01" w:rsidRDefault="005854E5" w:rsidP="00434D01">
            <w:pPr>
              <w:cnfStyle w:val="100000000000" w:firstRow="1" w:lastRow="0" w:firstColumn="0" w:lastColumn="0" w:oddVBand="0" w:evenVBand="0" w:oddHBand="0" w:evenHBand="0" w:firstRowFirstColumn="0" w:firstRowLastColumn="0" w:lastRowFirstColumn="0" w:lastRowLastColumn="0"/>
            </w:pPr>
            <w:r>
              <w:t>2017</w:t>
            </w:r>
          </w:p>
        </w:tc>
        <w:tc>
          <w:tcPr>
            <w:tcW w:w="1068" w:type="dxa"/>
            <w:noWrap/>
            <w:hideMark/>
          </w:tcPr>
          <w:p w:rsidR="00434D01" w:rsidRPr="00434D01" w:rsidRDefault="005854E5" w:rsidP="00434D01">
            <w:pPr>
              <w:cnfStyle w:val="100000000000" w:firstRow="1" w:lastRow="0" w:firstColumn="0" w:lastColumn="0" w:oddVBand="0" w:evenVBand="0" w:oddHBand="0" w:evenHBand="0" w:firstRowFirstColumn="0" w:firstRowLastColumn="0" w:lastRowFirstColumn="0" w:lastRowLastColumn="0"/>
            </w:pPr>
            <w:r>
              <w:t>2018</w:t>
            </w:r>
          </w:p>
        </w:tc>
        <w:tc>
          <w:tcPr>
            <w:tcW w:w="1068" w:type="dxa"/>
            <w:noWrap/>
            <w:hideMark/>
          </w:tcPr>
          <w:p w:rsidR="00434D01" w:rsidRPr="00434D01" w:rsidRDefault="005854E5" w:rsidP="00434D01">
            <w:pPr>
              <w:cnfStyle w:val="100000000000" w:firstRow="1" w:lastRow="0" w:firstColumn="0" w:lastColumn="0" w:oddVBand="0" w:evenVBand="0" w:oddHBand="0" w:evenHBand="0" w:firstRowFirstColumn="0" w:firstRowLastColumn="0" w:lastRowFirstColumn="0" w:lastRowLastColumn="0"/>
            </w:pPr>
            <w:r>
              <w:t>2019</w:t>
            </w:r>
          </w:p>
        </w:tc>
        <w:tc>
          <w:tcPr>
            <w:tcW w:w="1068" w:type="dxa"/>
            <w:noWrap/>
            <w:hideMark/>
          </w:tcPr>
          <w:p w:rsidR="00434D01" w:rsidRPr="00434D01" w:rsidRDefault="005854E5" w:rsidP="00434D01">
            <w:pPr>
              <w:cnfStyle w:val="100000000000" w:firstRow="1" w:lastRow="0" w:firstColumn="0" w:lastColumn="0" w:oddVBand="0" w:evenVBand="0" w:oddHBand="0" w:evenHBand="0" w:firstRowFirstColumn="0" w:firstRowLastColumn="0" w:lastRowFirstColumn="0" w:lastRowLastColumn="0"/>
            </w:pPr>
            <w:r>
              <w:t>2020</w:t>
            </w:r>
          </w:p>
        </w:tc>
      </w:tr>
      <w:tr w:rsidR="00434D01" w:rsidRPr="00237902" w:rsidTr="00434D01">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434D01" w:rsidRPr="00434D01" w:rsidRDefault="00434D01" w:rsidP="00434D01">
            <w:r w:rsidRPr="00237902">
              <w:t>Opening RAB</w:t>
            </w:r>
          </w:p>
        </w:tc>
        <w:tc>
          <w:tcPr>
            <w:tcW w:w="1067" w:type="dxa"/>
            <w:noWrap/>
            <w:vAlign w:val="bottom"/>
          </w:tcPr>
          <w:p w:rsidR="00434D01" w:rsidRPr="00434D01" w:rsidRDefault="005854E5" w:rsidP="00822AE3">
            <w:pPr>
              <w:cnfStyle w:val="000000000000" w:firstRow="0" w:lastRow="0" w:firstColumn="0" w:lastColumn="0" w:oddVBand="0" w:evenVBand="0" w:oddHBand="0" w:evenHBand="0" w:firstRowFirstColumn="0" w:firstRowLastColumn="0" w:lastRowFirstColumn="0" w:lastRowLastColumn="0"/>
            </w:pPr>
            <w:r>
              <w:t>1190.8</w:t>
            </w:r>
          </w:p>
        </w:tc>
        <w:tc>
          <w:tcPr>
            <w:tcW w:w="1068" w:type="dxa"/>
            <w:noWrap/>
            <w:vAlign w:val="bottom"/>
          </w:tcPr>
          <w:p w:rsidR="00434D01" w:rsidRPr="00434D01" w:rsidRDefault="005854E5" w:rsidP="00822AE3">
            <w:pPr>
              <w:cnfStyle w:val="000000000000" w:firstRow="0" w:lastRow="0" w:firstColumn="0" w:lastColumn="0" w:oddVBand="0" w:evenVBand="0" w:oddHBand="0" w:evenHBand="0" w:firstRowFirstColumn="0" w:firstRowLastColumn="0" w:lastRowFirstColumn="0" w:lastRowLastColumn="0"/>
            </w:pPr>
            <w:r>
              <w:t>1288.0</w:t>
            </w:r>
          </w:p>
        </w:tc>
        <w:tc>
          <w:tcPr>
            <w:tcW w:w="1068" w:type="dxa"/>
            <w:noWrap/>
            <w:vAlign w:val="bottom"/>
          </w:tcPr>
          <w:p w:rsidR="00434D01" w:rsidRPr="00434D01" w:rsidRDefault="005854E5" w:rsidP="00822AE3">
            <w:pPr>
              <w:cnfStyle w:val="000000000000" w:firstRow="0" w:lastRow="0" w:firstColumn="0" w:lastColumn="0" w:oddVBand="0" w:evenVBand="0" w:oddHBand="0" w:evenHBand="0" w:firstRowFirstColumn="0" w:firstRowLastColumn="0" w:lastRowFirstColumn="0" w:lastRowLastColumn="0"/>
            </w:pPr>
            <w:r>
              <w:t>1405.6</w:t>
            </w:r>
          </w:p>
        </w:tc>
        <w:tc>
          <w:tcPr>
            <w:tcW w:w="1068" w:type="dxa"/>
            <w:noWrap/>
            <w:vAlign w:val="bottom"/>
          </w:tcPr>
          <w:p w:rsidR="00434D01" w:rsidRPr="00434D01" w:rsidRDefault="005854E5" w:rsidP="00822AE3">
            <w:pPr>
              <w:cnfStyle w:val="000000000000" w:firstRow="0" w:lastRow="0" w:firstColumn="0" w:lastColumn="0" w:oddVBand="0" w:evenVBand="0" w:oddHBand="0" w:evenHBand="0" w:firstRowFirstColumn="0" w:firstRowLastColumn="0" w:lastRowFirstColumn="0" w:lastRowLastColumn="0"/>
            </w:pPr>
            <w:r>
              <w:t>1518.3</w:t>
            </w:r>
          </w:p>
        </w:tc>
        <w:tc>
          <w:tcPr>
            <w:tcW w:w="1068" w:type="dxa"/>
            <w:noWrap/>
            <w:vAlign w:val="bottom"/>
          </w:tcPr>
          <w:p w:rsidR="00434D01" w:rsidRPr="00434D01" w:rsidRDefault="005854E5" w:rsidP="00822AE3">
            <w:pPr>
              <w:cnfStyle w:val="000000000000" w:firstRow="0" w:lastRow="0" w:firstColumn="0" w:lastColumn="0" w:oddVBand="0" w:evenVBand="0" w:oddHBand="0" w:evenHBand="0" w:firstRowFirstColumn="0" w:firstRowLastColumn="0" w:lastRowFirstColumn="0" w:lastRowLastColumn="0"/>
            </w:pPr>
            <w:r>
              <w:t>1634.9</w:t>
            </w:r>
          </w:p>
        </w:tc>
      </w:tr>
      <w:tr w:rsidR="00434D01" w:rsidRPr="00237902" w:rsidTr="00434D0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434D01" w:rsidRPr="00434D01" w:rsidRDefault="00434D01" w:rsidP="00434D01">
            <w:r w:rsidRPr="00237902">
              <w:t xml:space="preserve">Capital </w:t>
            </w:r>
            <w:r w:rsidRPr="00434D01">
              <w:t>expenditure</w:t>
            </w:r>
            <w:r w:rsidRPr="00434D01">
              <w:rPr>
                <w:rStyle w:val="AERsuperscript"/>
              </w:rPr>
              <w:t>a</w:t>
            </w:r>
          </w:p>
        </w:tc>
        <w:tc>
          <w:tcPr>
            <w:tcW w:w="1067" w:type="dxa"/>
            <w:noWrap/>
            <w:vAlign w:val="bottom"/>
          </w:tcPr>
          <w:p w:rsidR="00434D01" w:rsidRPr="00434D01" w:rsidRDefault="00495CFA" w:rsidP="00434D01">
            <w:pPr>
              <w:cnfStyle w:val="000000010000" w:firstRow="0" w:lastRow="0" w:firstColumn="0" w:lastColumn="0" w:oddVBand="0" w:evenVBand="0" w:oddHBand="0" w:evenHBand="1" w:firstRowFirstColumn="0" w:firstRowLastColumn="0" w:lastRowFirstColumn="0" w:lastRowLastColumn="0"/>
            </w:pPr>
            <w:r>
              <w:t>141.3</w:t>
            </w:r>
          </w:p>
        </w:tc>
        <w:tc>
          <w:tcPr>
            <w:tcW w:w="1068" w:type="dxa"/>
            <w:noWrap/>
            <w:vAlign w:val="bottom"/>
          </w:tcPr>
          <w:p w:rsidR="00434D01" w:rsidRPr="00434D01" w:rsidRDefault="00495CFA" w:rsidP="00434D01">
            <w:pPr>
              <w:cnfStyle w:val="000000010000" w:firstRow="0" w:lastRow="0" w:firstColumn="0" w:lastColumn="0" w:oddVBand="0" w:evenVBand="0" w:oddHBand="0" w:evenHBand="1" w:firstRowFirstColumn="0" w:firstRowLastColumn="0" w:lastRowFirstColumn="0" w:lastRowLastColumn="0"/>
            </w:pPr>
            <w:r>
              <w:t>169.7</w:t>
            </w:r>
          </w:p>
        </w:tc>
        <w:tc>
          <w:tcPr>
            <w:tcW w:w="1068" w:type="dxa"/>
            <w:noWrap/>
            <w:vAlign w:val="bottom"/>
          </w:tcPr>
          <w:p w:rsidR="00434D01" w:rsidRPr="00434D01" w:rsidRDefault="00495CFA" w:rsidP="00434D01">
            <w:pPr>
              <w:cnfStyle w:val="000000010000" w:firstRow="0" w:lastRow="0" w:firstColumn="0" w:lastColumn="0" w:oddVBand="0" w:evenVBand="0" w:oddHBand="0" w:evenHBand="1" w:firstRowFirstColumn="0" w:firstRowLastColumn="0" w:lastRowFirstColumn="0" w:lastRowLastColumn="0"/>
            </w:pPr>
            <w:r>
              <w:t>164.9</w:t>
            </w:r>
          </w:p>
        </w:tc>
        <w:tc>
          <w:tcPr>
            <w:tcW w:w="1068" w:type="dxa"/>
            <w:noWrap/>
            <w:vAlign w:val="bottom"/>
          </w:tcPr>
          <w:p w:rsidR="00434D01" w:rsidRPr="00434D01" w:rsidRDefault="00495CFA" w:rsidP="00434D01">
            <w:pPr>
              <w:cnfStyle w:val="000000010000" w:firstRow="0" w:lastRow="0" w:firstColumn="0" w:lastColumn="0" w:oddVBand="0" w:evenVBand="0" w:oddHBand="0" w:evenHBand="1" w:firstRowFirstColumn="0" w:firstRowLastColumn="0" w:lastRowFirstColumn="0" w:lastRowLastColumn="0"/>
            </w:pPr>
            <w:r>
              <w:t>160.0</w:t>
            </w:r>
          </w:p>
        </w:tc>
        <w:tc>
          <w:tcPr>
            <w:tcW w:w="1068" w:type="dxa"/>
            <w:noWrap/>
            <w:vAlign w:val="bottom"/>
          </w:tcPr>
          <w:p w:rsidR="00434D01" w:rsidRPr="00434D01" w:rsidRDefault="00495CFA" w:rsidP="00434D01">
            <w:pPr>
              <w:cnfStyle w:val="000000010000" w:firstRow="0" w:lastRow="0" w:firstColumn="0" w:lastColumn="0" w:oddVBand="0" w:evenVBand="0" w:oddHBand="0" w:evenHBand="1" w:firstRowFirstColumn="0" w:firstRowLastColumn="0" w:lastRowFirstColumn="0" w:lastRowLastColumn="0"/>
            </w:pPr>
            <w:r>
              <w:t>146.9</w:t>
            </w:r>
          </w:p>
        </w:tc>
      </w:tr>
      <w:tr w:rsidR="00434D01" w:rsidRPr="00237902" w:rsidTr="00434D01">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434D01" w:rsidRPr="00434D01" w:rsidRDefault="00434D01" w:rsidP="00434D01">
            <w:r w:rsidRPr="00237902">
              <w:t>Inflation indexation on opening RAB</w:t>
            </w:r>
          </w:p>
        </w:tc>
        <w:tc>
          <w:tcPr>
            <w:tcW w:w="1067" w:type="dxa"/>
            <w:noWrap/>
            <w:vAlign w:val="bottom"/>
          </w:tcPr>
          <w:p w:rsidR="00434D01" w:rsidRPr="00434D01" w:rsidRDefault="00495CFA" w:rsidP="00434D01">
            <w:pPr>
              <w:cnfStyle w:val="000000000000" w:firstRow="0" w:lastRow="0" w:firstColumn="0" w:lastColumn="0" w:oddVBand="0" w:evenVBand="0" w:oddHBand="0" w:evenHBand="0" w:firstRowFirstColumn="0" w:firstRowLastColumn="0" w:lastRowFirstColumn="0" w:lastRowLastColumn="0"/>
            </w:pPr>
            <w:r>
              <w:t>30.1</w:t>
            </w:r>
          </w:p>
        </w:tc>
        <w:tc>
          <w:tcPr>
            <w:tcW w:w="1068" w:type="dxa"/>
            <w:noWrap/>
            <w:vAlign w:val="bottom"/>
          </w:tcPr>
          <w:p w:rsidR="00434D01" w:rsidRPr="00434D01" w:rsidRDefault="00495CFA" w:rsidP="00434D01">
            <w:pPr>
              <w:cnfStyle w:val="000000000000" w:firstRow="0" w:lastRow="0" w:firstColumn="0" w:lastColumn="0" w:oddVBand="0" w:evenVBand="0" w:oddHBand="0" w:evenHBand="0" w:firstRowFirstColumn="0" w:firstRowLastColumn="0" w:lastRowFirstColumn="0" w:lastRowLastColumn="0"/>
            </w:pPr>
            <w:r>
              <w:t>32.5</w:t>
            </w:r>
          </w:p>
        </w:tc>
        <w:tc>
          <w:tcPr>
            <w:tcW w:w="1068" w:type="dxa"/>
            <w:noWrap/>
            <w:vAlign w:val="bottom"/>
          </w:tcPr>
          <w:p w:rsidR="00434D01" w:rsidRPr="00434D01" w:rsidRDefault="00495CFA" w:rsidP="00434D01">
            <w:pPr>
              <w:cnfStyle w:val="000000000000" w:firstRow="0" w:lastRow="0" w:firstColumn="0" w:lastColumn="0" w:oddVBand="0" w:evenVBand="0" w:oddHBand="0" w:evenHBand="0" w:firstRowFirstColumn="0" w:firstRowLastColumn="0" w:lastRowFirstColumn="0" w:lastRowLastColumn="0"/>
            </w:pPr>
            <w:r>
              <w:t>35.5</w:t>
            </w:r>
          </w:p>
        </w:tc>
        <w:tc>
          <w:tcPr>
            <w:tcW w:w="1068" w:type="dxa"/>
            <w:noWrap/>
            <w:vAlign w:val="bottom"/>
          </w:tcPr>
          <w:p w:rsidR="00434D01" w:rsidRPr="00434D01" w:rsidRDefault="00495CFA" w:rsidP="00434D01">
            <w:pPr>
              <w:cnfStyle w:val="000000000000" w:firstRow="0" w:lastRow="0" w:firstColumn="0" w:lastColumn="0" w:oddVBand="0" w:evenVBand="0" w:oddHBand="0" w:evenHBand="0" w:firstRowFirstColumn="0" w:firstRowLastColumn="0" w:lastRowFirstColumn="0" w:lastRowLastColumn="0"/>
            </w:pPr>
            <w:r>
              <w:t>38.3</w:t>
            </w:r>
          </w:p>
        </w:tc>
        <w:tc>
          <w:tcPr>
            <w:tcW w:w="1068" w:type="dxa"/>
            <w:noWrap/>
            <w:vAlign w:val="bottom"/>
          </w:tcPr>
          <w:p w:rsidR="00434D01" w:rsidRPr="00434D01" w:rsidRDefault="00495CFA" w:rsidP="00434D01">
            <w:pPr>
              <w:cnfStyle w:val="000000000000" w:firstRow="0" w:lastRow="0" w:firstColumn="0" w:lastColumn="0" w:oddVBand="0" w:evenVBand="0" w:oddHBand="0" w:evenHBand="0" w:firstRowFirstColumn="0" w:firstRowLastColumn="0" w:lastRowFirstColumn="0" w:lastRowLastColumn="0"/>
            </w:pPr>
            <w:r>
              <w:t>41.3</w:t>
            </w:r>
          </w:p>
        </w:tc>
      </w:tr>
      <w:tr w:rsidR="00434D01" w:rsidRPr="00237902" w:rsidTr="00434D0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434D01" w:rsidRPr="00434D01" w:rsidRDefault="00434D01" w:rsidP="00434D01">
            <w:r w:rsidRPr="00237902">
              <w:rPr>
                <w:rStyle w:val="AERtextitalic"/>
              </w:rPr>
              <w:t>Less</w:t>
            </w:r>
            <w:r w:rsidRPr="00434D01">
              <w:t>: straight-line depreciation</w:t>
            </w:r>
          </w:p>
        </w:tc>
        <w:tc>
          <w:tcPr>
            <w:tcW w:w="1067" w:type="dxa"/>
            <w:noWrap/>
            <w:vAlign w:val="bottom"/>
          </w:tcPr>
          <w:p w:rsidR="00434D01" w:rsidRPr="00434D01" w:rsidRDefault="00495CFA" w:rsidP="00434D01">
            <w:pPr>
              <w:cnfStyle w:val="000000010000" w:firstRow="0" w:lastRow="0" w:firstColumn="0" w:lastColumn="0" w:oddVBand="0" w:evenVBand="0" w:oddHBand="0" w:evenHBand="1" w:firstRowFirstColumn="0" w:firstRowLastColumn="0" w:lastRowFirstColumn="0" w:lastRowLastColumn="0"/>
            </w:pPr>
            <w:r>
              <w:t>74.2</w:t>
            </w:r>
          </w:p>
        </w:tc>
        <w:tc>
          <w:tcPr>
            <w:tcW w:w="1068" w:type="dxa"/>
            <w:noWrap/>
            <w:vAlign w:val="bottom"/>
          </w:tcPr>
          <w:p w:rsidR="00434D01" w:rsidRPr="00434D01" w:rsidRDefault="00495CFA" w:rsidP="00434D01">
            <w:pPr>
              <w:cnfStyle w:val="000000010000" w:firstRow="0" w:lastRow="0" w:firstColumn="0" w:lastColumn="0" w:oddVBand="0" w:evenVBand="0" w:oddHBand="0" w:evenHBand="1" w:firstRowFirstColumn="0" w:firstRowLastColumn="0" w:lastRowFirstColumn="0" w:lastRowLastColumn="0"/>
            </w:pPr>
            <w:r>
              <w:t>84.7</w:t>
            </w:r>
          </w:p>
        </w:tc>
        <w:tc>
          <w:tcPr>
            <w:tcW w:w="1068" w:type="dxa"/>
            <w:noWrap/>
            <w:vAlign w:val="bottom"/>
          </w:tcPr>
          <w:p w:rsidR="00434D01" w:rsidRPr="00434D01" w:rsidRDefault="00495CFA" w:rsidP="00434D01">
            <w:pPr>
              <w:cnfStyle w:val="000000010000" w:firstRow="0" w:lastRow="0" w:firstColumn="0" w:lastColumn="0" w:oddVBand="0" w:evenVBand="0" w:oddHBand="0" w:evenHBand="1" w:firstRowFirstColumn="0" w:firstRowLastColumn="0" w:lastRowFirstColumn="0" w:lastRowLastColumn="0"/>
            </w:pPr>
            <w:r>
              <w:t>87.6</w:t>
            </w:r>
          </w:p>
        </w:tc>
        <w:tc>
          <w:tcPr>
            <w:tcW w:w="1068" w:type="dxa"/>
            <w:noWrap/>
            <w:vAlign w:val="bottom"/>
          </w:tcPr>
          <w:p w:rsidR="00434D01" w:rsidRPr="00434D01" w:rsidRDefault="00495CFA" w:rsidP="00434D01">
            <w:pPr>
              <w:cnfStyle w:val="000000010000" w:firstRow="0" w:lastRow="0" w:firstColumn="0" w:lastColumn="0" w:oddVBand="0" w:evenVBand="0" w:oddHBand="0" w:evenHBand="1" w:firstRowFirstColumn="0" w:firstRowLastColumn="0" w:lastRowFirstColumn="0" w:lastRowLastColumn="0"/>
            </w:pPr>
            <w:r>
              <w:t>81.7</w:t>
            </w:r>
          </w:p>
        </w:tc>
        <w:tc>
          <w:tcPr>
            <w:tcW w:w="1068" w:type="dxa"/>
            <w:noWrap/>
            <w:vAlign w:val="bottom"/>
          </w:tcPr>
          <w:p w:rsidR="00434D01" w:rsidRPr="00434D01" w:rsidRDefault="00495CFA" w:rsidP="00434D01">
            <w:pPr>
              <w:cnfStyle w:val="000000010000" w:firstRow="0" w:lastRow="0" w:firstColumn="0" w:lastColumn="0" w:oddVBand="0" w:evenVBand="0" w:oddHBand="0" w:evenHBand="1" w:firstRowFirstColumn="0" w:firstRowLastColumn="0" w:lastRowFirstColumn="0" w:lastRowLastColumn="0"/>
            </w:pPr>
            <w:r>
              <w:t>92.6</w:t>
            </w:r>
          </w:p>
        </w:tc>
      </w:tr>
      <w:tr w:rsidR="00434D01" w:rsidRPr="005E4D56" w:rsidTr="00434D01">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434D01" w:rsidRPr="005E4D56" w:rsidRDefault="00434D01" w:rsidP="005E4D56">
            <w:r w:rsidRPr="005E4D56">
              <w:t>Closing RAB</w:t>
            </w:r>
          </w:p>
        </w:tc>
        <w:tc>
          <w:tcPr>
            <w:tcW w:w="1067" w:type="dxa"/>
            <w:noWrap/>
            <w:vAlign w:val="bottom"/>
          </w:tcPr>
          <w:p w:rsidR="00434D01" w:rsidRPr="005E4D56" w:rsidRDefault="00495CFA" w:rsidP="005E4D56">
            <w:pPr>
              <w:cnfStyle w:val="000000000000" w:firstRow="0" w:lastRow="0" w:firstColumn="0" w:lastColumn="0" w:oddVBand="0" w:evenVBand="0" w:oddHBand="0" w:evenHBand="0" w:firstRowFirstColumn="0" w:firstRowLastColumn="0" w:lastRowFirstColumn="0" w:lastRowLastColumn="0"/>
            </w:pPr>
            <w:r w:rsidRPr="005E4D56">
              <w:t>1288.0</w:t>
            </w:r>
          </w:p>
        </w:tc>
        <w:tc>
          <w:tcPr>
            <w:tcW w:w="1068" w:type="dxa"/>
            <w:noWrap/>
            <w:vAlign w:val="bottom"/>
          </w:tcPr>
          <w:p w:rsidR="00434D01" w:rsidRPr="005E4D56" w:rsidRDefault="00495CFA" w:rsidP="005E4D56">
            <w:pPr>
              <w:cnfStyle w:val="000000000000" w:firstRow="0" w:lastRow="0" w:firstColumn="0" w:lastColumn="0" w:oddVBand="0" w:evenVBand="0" w:oddHBand="0" w:evenHBand="0" w:firstRowFirstColumn="0" w:firstRowLastColumn="0" w:lastRowFirstColumn="0" w:lastRowLastColumn="0"/>
            </w:pPr>
            <w:r w:rsidRPr="005E4D56">
              <w:t>1405.6</w:t>
            </w:r>
          </w:p>
        </w:tc>
        <w:tc>
          <w:tcPr>
            <w:tcW w:w="1068" w:type="dxa"/>
            <w:noWrap/>
            <w:vAlign w:val="bottom"/>
          </w:tcPr>
          <w:p w:rsidR="00434D01" w:rsidRPr="005E4D56" w:rsidRDefault="00495CFA" w:rsidP="005E4D56">
            <w:pPr>
              <w:cnfStyle w:val="000000000000" w:firstRow="0" w:lastRow="0" w:firstColumn="0" w:lastColumn="0" w:oddVBand="0" w:evenVBand="0" w:oddHBand="0" w:evenHBand="0" w:firstRowFirstColumn="0" w:firstRowLastColumn="0" w:lastRowFirstColumn="0" w:lastRowLastColumn="0"/>
            </w:pPr>
            <w:r w:rsidRPr="005E4D56">
              <w:t>1518.3</w:t>
            </w:r>
          </w:p>
        </w:tc>
        <w:tc>
          <w:tcPr>
            <w:tcW w:w="1068" w:type="dxa"/>
            <w:noWrap/>
            <w:vAlign w:val="bottom"/>
          </w:tcPr>
          <w:p w:rsidR="00434D01" w:rsidRPr="005E4D56" w:rsidRDefault="00495CFA" w:rsidP="005E4D56">
            <w:pPr>
              <w:cnfStyle w:val="000000000000" w:firstRow="0" w:lastRow="0" w:firstColumn="0" w:lastColumn="0" w:oddVBand="0" w:evenVBand="0" w:oddHBand="0" w:evenHBand="0" w:firstRowFirstColumn="0" w:firstRowLastColumn="0" w:lastRowFirstColumn="0" w:lastRowLastColumn="0"/>
            </w:pPr>
            <w:r w:rsidRPr="005E4D56">
              <w:t>1634.9</w:t>
            </w:r>
          </w:p>
        </w:tc>
        <w:tc>
          <w:tcPr>
            <w:tcW w:w="1068" w:type="dxa"/>
            <w:noWrap/>
            <w:vAlign w:val="bottom"/>
          </w:tcPr>
          <w:p w:rsidR="00434D01" w:rsidRPr="005E4D56" w:rsidRDefault="00495CFA" w:rsidP="005E4D56">
            <w:pPr>
              <w:cnfStyle w:val="000000000000" w:firstRow="0" w:lastRow="0" w:firstColumn="0" w:lastColumn="0" w:oddVBand="0" w:evenVBand="0" w:oddHBand="0" w:evenHBand="0" w:firstRowFirstColumn="0" w:firstRowLastColumn="0" w:lastRowFirstColumn="0" w:lastRowLastColumn="0"/>
            </w:pPr>
            <w:r w:rsidRPr="005E4D56">
              <w:t>1730.4</w:t>
            </w:r>
          </w:p>
        </w:tc>
      </w:tr>
    </w:tbl>
    <w:p w:rsidR="00434D01" w:rsidRPr="00924046" w:rsidRDefault="00434D01" w:rsidP="00434D01">
      <w:pPr>
        <w:pStyle w:val="AERtablesource"/>
      </w:pPr>
      <w:r w:rsidRPr="00924046">
        <w:t>Source:</w:t>
      </w:r>
      <w:r w:rsidRPr="00924046">
        <w:tab/>
      </w:r>
      <w:r w:rsidR="00504EAD">
        <w:t>Jemena</w:t>
      </w:r>
      <w:r w:rsidR="00504EAD" w:rsidRPr="00DC4EE3">
        <w:t xml:space="preserve">, </w:t>
      </w:r>
      <w:r w:rsidR="00504EAD" w:rsidRPr="00445029">
        <w:rPr>
          <w:rStyle w:val="AERtextitalic"/>
        </w:rPr>
        <w:t>Regulatory proposal</w:t>
      </w:r>
      <w:r w:rsidR="00504EAD" w:rsidRPr="00445029">
        <w:t xml:space="preserve">, </w:t>
      </w:r>
      <w:r w:rsidR="00504EAD">
        <w:t>April 2015</w:t>
      </w:r>
      <w:r w:rsidR="00504EAD" w:rsidRPr="00445029">
        <w:t>,</w:t>
      </w:r>
      <w:r w:rsidR="00504EAD">
        <w:t xml:space="preserve"> Attachment 06.01.  </w:t>
      </w:r>
    </w:p>
    <w:p w:rsidR="00434D01" w:rsidRPr="00924046" w:rsidRDefault="00434D01" w:rsidP="00434D01">
      <w:pPr>
        <w:pStyle w:val="AERtablesource"/>
      </w:pPr>
      <w:r>
        <w:t>(a)</w:t>
      </w:r>
      <w:r w:rsidRPr="00924046">
        <w:tab/>
        <w:t>Net of disposals and capital contributions.</w:t>
      </w:r>
    </w:p>
    <w:p w:rsidR="00434D01" w:rsidRDefault="002F21E9" w:rsidP="002F21E9">
      <w:pPr>
        <w:numPr>
          <w:ilvl w:val="0"/>
          <w:numId w:val="24"/>
        </w:numPr>
      </w:pPr>
      <w:r>
        <w:t>Jemena</w:t>
      </w:r>
      <w:r w:rsidRPr="002F21E9">
        <w:t xml:space="preserve"> did not propose a depreciation approach to establish the</w:t>
      </w:r>
      <w:r w:rsidR="00C93973">
        <w:t xml:space="preserve"> opening</w:t>
      </w:r>
      <w:r w:rsidRPr="002F21E9">
        <w:t xml:space="preserve"> RAB at the </w:t>
      </w:r>
      <w:r w:rsidR="003E2590">
        <w:t xml:space="preserve">commencement of </w:t>
      </w:r>
      <w:r w:rsidR="00977972">
        <w:t xml:space="preserve">the </w:t>
      </w:r>
      <w:r w:rsidR="003E2590">
        <w:t>2021</w:t>
      </w:r>
      <w:r w:rsidRPr="002F21E9">
        <w:t>–25 regulatory control period.</w:t>
      </w:r>
    </w:p>
    <w:p w:rsidR="009A5113" w:rsidRDefault="009A5113" w:rsidP="009A5113">
      <w:pPr>
        <w:pStyle w:val="Heading2"/>
      </w:pPr>
      <w:bookmarkStart w:id="17" w:name="_Toc408404322"/>
      <w:bookmarkStart w:id="18" w:name="_Toc433173395"/>
      <w:r w:rsidRPr="0074565D">
        <w:t>AER’s assessment approach</w:t>
      </w:r>
      <w:bookmarkEnd w:id="17"/>
      <w:bookmarkEnd w:id="18"/>
    </w:p>
    <w:p w:rsidR="00434D01" w:rsidRPr="00924046" w:rsidRDefault="00434D01" w:rsidP="00434D01">
      <w:pPr>
        <w:numPr>
          <w:ilvl w:val="0"/>
          <w:numId w:val="24"/>
        </w:numPr>
      </w:pPr>
      <w:r w:rsidRPr="00924046">
        <w:t>We are required to roll forward the service provider's RAB during the 201</w:t>
      </w:r>
      <w:r w:rsidR="0025118F">
        <w:t>1</w:t>
      </w:r>
      <w:r w:rsidRPr="00924046">
        <w:t>–15 regulatory control period to establish the opening RAB at 1 J</w:t>
      </w:r>
      <w:r w:rsidR="002746B9">
        <w:t>anuary</w:t>
      </w:r>
      <w:r w:rsidRPr="00924046">
        <w:t xml:space="preserve"> 201</w:t>
      </w:r>
      <w:r w:rsidR="002746B9">
        <w:t>6</w:t>
      </w:r>
      <w:r w:rsidRPr="00924046">
        <w:t>. This value can be adjusted for any differences in the forecast and actual capex, disposals and capital contributions. It may also be adjusted to reflect any changes in the use of the assets, with only assets used in the provision of standard control services to be included in the RAB.</w:t>
      </w:r>
      <w:r w:rsidRPr="00924046">
        <w:rPr>
          <w:rStyle w:val="FootnoteReference"/>
        </w:rPr>
        <w:footnoteReference w:id="6"/>
      </w:r>
    </w:p>
    <w:p w:rsidR="00434D01" w:rsidRPr="00924046" w:rsidRDefault="00434D01" w:rsidP="00434D01">
      <w:pPr>
        <w:numPr>
          <w:ilvl w:val="0"/>
          <w:numId w:val="24"/>
        </w:numPr>
      </w:pPr>
      <w:r w:rsidRPr="00924046">
        <w:t>To determine the opening RAB, we developed an asset base RFM in accordance with the requirements of the NER</w:t>
      </w:r>
      <w:r w:rsidRPr="00924046">
        <w:rPr>
          <w:rStyle w:val="FootnoteReference"/>
        </w:rPr>
        <w:footnoteReference w:id="7"/>
      </w:r>
      <w:r w:rsidRPr="00924046">
        <w:t xml:space="preserve"> </w:t>
      </w:r>
      <w:r w:rsidR="00D3779A">
        <w:t>a</w:t>
      </w:r>
      <w:r w:rsidRPr="00924046">
        <w:t xml:space="preserve"> service provider must use the RFM in preparing its regulatory proposal.</w:t>
      </w:r>
      <w:r>
        <w:rPr>
          <w:rStyle w:val="FootnoteReference"/>
        </w:rPr>
        <w:footnoteReference w:id="8"/>
      </w:r>
      <w:r w:rsidRPr="00924046">
        <w:t xml:space="preserve"> The RFM rolls forward the RAB from the beginning of the final year of the 200</w:t>
      </w:r>
      <w:r w:rsidR="002746B9">
        <w:t>6</w:t>
      </w:r>
      <w:r w:rsidRPr="00924046">
        <w:t>–10 regulatory control period, through the 201</w:t>
      </w:r>
      <w:r w:rsidR="002746B9">
        <w:t>1</w:t>
      </w:r>
      <w:r w:rsidRPr="00924046">
        <w:t>–15 regulatory control period, to the beginning of the next period.</w:t>
      </w:r>
      <w:r w:rsidR="00AD0B7E">
        <w:rPr>
          <w:rStyle w:val="FootnoteReference"/>
        </w:rPr>
        <w:footnoteReference w:id="9"/>
      </w:r>
      <w:r w:rsidRPr="00924046">
        <w:t xml:space="preserve"> The roll forward occurs for each year by:</w:t>
      </w:r>
    </w:p>
    <w:p w:rsidR="00434D01" w:rsidRPr="000F67F7" w:rsidRDefault="00434D01" w:rsidP="00434D01">
      <w:pPr>
        <w:pStyle w:val="AERbulletlistfirststyle"/>
      </w:pPr>
      <w:r w:rsidRPr="00924046">
        <w:t>Adding an inflation (indexation) adjustment to the opening RAB for the relevant year. This adjustment must be consistent with the inflation factor used in the control mechanism.</w:t>
      </w:r>
      <w:r w:rsidRPr="000F67F7">
        <w:rPr>
          <w:rStyle w:val="FootnoteReference"/>
        </w:rPr>
        <w:footnoteReference w:id="10"/>
      </w:r>
    </w:p>
    <w:p w:rsidR="00434D01" w:rsidRPr="000F67F7" w:rsidRDefault="00434D01" w:rsidP="002746B9">
      <w:pPr>
        <w:pStyle w:val="AERbulletlistfirststyle"/>
      </w:pPr>
      <w:r w:rsidRPr="00924046">
        <w:t>Adding capex to the RAB for the relevant year.</w:t>
      </w:r>
      <w:r w:rsidRPr="000F67F7">
        <w:rPr>
          <w:rStyle w:val="FootnoteReference"/>
        </w:rPr>
        <w:footnoteReference w:id="11"/>
      </w:r>
      <w:r w:rsidRPr="000F67F7">
        <w:t xml:space="preserve"> In future determinations, the NER allows us to review a service provider's past capex and exclude inefficient past capex from being rolled into the RAB</w:t>
      </w:r>
      <w:r w:rsidRPr="008237CC">
        <w:t xml:space="preserve"> where total capex exceeds the regulatory </w:t>
      </w:r>
      <w:r w:rsidRPr="008237CC">
        <w:lastRenderedPageBreak/>
        <w:t>allowance</w:t>
      </w:r>
      <w:r w:rsidRPr="000F67F7">
        <w:t>.</w:t>
      </w:r>
      <w:r w:rsidRPr="000F67F7">
        <w:rPr>
          <w:rStyle w:val="FootnoteReference"/>
        </w:rPr>
        <w:footnoteReference w:id="12"/>
      </w:r>
      <w:r w:rsidRPr="000F67F7">
        <w:t xml:space="preserve"> </w:t>
      </w:r>
      <w:r>
        <w:t xml:space="preserve">The </w:t>
      </w:r>
      <w:r w:rsidRPr="00BD0C68">
        <w:t xml:space="preserve">details of our assessment approach </w:t>
      </w:r>
      <w:r>
        <w:t xml:space="preserve">for inefficient capex are set out in </w:t>
      </w:r>
      <w:r w:rsidRPr="00166EE4">
        <w:t xml:space="preserve">the </w:t>
      </w:r>
      <w:r w:rsidRPr="00BA4A28">
        <w:rPr>
          <w:rStyle w:val="AERtextitalic"/>
        </w:rPr>
        <w:t>Capital expenditure incentive guideline</w:t>
      </w:r>
      <w:r w:rsidRPr="00166EE4">
        <w:t>.</w:t>
      </w:r>
      <w:r>
        <w:rPr>
          <w:rStyle w:val="FootnoteReference"/>
        </w:rPr>
        <w:footnoteReference w:id="13"/>
      </w:r>
      <w:r>
        <w:t xml:space="preserve"> </w:t>
      </w:r>
      <w:r w:rsidRPr="000F67F7">
        <w:t xml:space="preserve">We note that under the transitional rules, the review of past capex does not apply to </w:t>
      </w:r>
      <w:r w:rsidR="002746B9">
        <w:t>Jemena</w:t>
      </w:r>
      <w:r w:rsidRPr="000F67F7">
        <w:t xml:space="preserve"> </w:t>
      </w:r>
      <w:r w:rsidR="00D3779A" w:rsidRPr="00A449A3">
        <w:t xml:space="preserve">prior to </w:t>
      </w:r>
      <w:r w:rsidR="00D3779A">
        <w:t>1 January 2016</w:t>
      </w:r>
      <w:r w:rsidRPr="000F67F7">
        <w:t>.</w:t>
      </w:r>
      <w:r w:rsidRPr="000F67F7">
        <w:rPr>
          <w:rStyle w:val="FootnoteReference"/>
        </w:rPr>
        <w:footnoteReference w:id="14"/>
      </w:r>
      <w:r w:rsidRPr="000F67F7">
        <w:t xml:space="preserve"> Therefore, for the purposes of this preliminary decision, we will add </w:t>
      </w:r>
      <w:r w:rsidR="002746B9">
        <w:t>Jemena</w:t>
      </w:r>
      <w:r w:rsidRPr="000F67F7">
        <w:t>'s actual or estimated capex in the 201</w:t>
      </w:r>
      <w:r w:rsidR="002746B9">
        <w:t>1</w:t>
      </w:r>
      <w:r w:rsidRPr="000F67F7">
        <w:t>–15 regulatory control period to the RAB.</w:t>
      </w:r>
      <w:r w:rsidR="00E61A5B" w:rsidRPr="00E61A5B">
        <w:t xml:space="preserve"> </w:t>
      </w:r>
      <w:r w:rsidRPr="000F67F7">
        <w:t>We check actual capex amounts against audited annual reporting RIN data and generally accept the capex reported in those RINs in rolling forward the RAB. However, there may be instances where adjustments are required to the annual reporting RIN data</w:t>
      </w:r>
      <w:r>
        <w:t>.</w:t>
      </w:r>
      <w:r w:rsidRPr="000F67F7">
        <w:t xml:space="preserve"> </w:t>
      </w:r>
      <w:r>
        <w:t xml:space="preserve">This would include where it </w:t>
      </w:r>
      <w:r w:rsidRPr="000F67F7">
        <w:t xml:space="preserve">is not fit for purpose. </w:t>
      </w:r>
    </w:p>
    <w:p w:rsidR="00434D01" w:rsidRPr="000F67F7" w:rsidRDefault="00434D01" w:rsidP="00434D01">
      <w:pPr>
        <w:pStyle w:val="AERbulletlistfirststyle"/>
      </w:pPr>
      <w:r w:rsidRPr="00924046">
        <w:t>Subtracting depreciation from the RAB for the relevant year, calculated in accordance with the relevant distribution determination for that year.</w:t>
      </w:r>
      <w:r w:rsidRPr="000F67F7">
        <w:rPr>
          <w:rStyle w:val="FootnoteReference"/>
        </w:rPr>
        <w:footnoteReference w:id="15"/>
      </w:r>
      <w:r w:rsidRPr="000F67F7">
        <w:t xml:space="preserve"> Depreciation based on forecast or actual capex can be used to roll forward the RAB.</w:t>
      </w:r>
      <w:r w:rsidRPr="000F67F7">
        <w:rPr>
          <w:rStyle w:val="FootnoteReference"/>
        </w:rPr>
        <w:footnoteReference w:id="16"/>
      </w:r>
      <w:r w:rsidRPr="000F67F7">
        <w:t xml:space="preserve"> By default the RFM applies the depreciation approach based on actual capex, although this can be modified to apply a depreciation approach based on forecast capex </w:t>
      </w:r>
      <w:r>
        <w:t>when</w:t>
      </w:r>
      <w:r w:rsidRPr="000F67F7">
        <w:t xml:space="preserve"> necessary. For this preliminary decision, we use depreciation based on actual capex for rolling forward </w:t>
      </w:r>
      <w:r w:rsidR="00F1740F">
        <w:t>Jemena</w:t>
      </w:r>
      <w:r w:rsidRPr="000F67F7">
        <w:t>'s RAB values over the 201</w:t>
      </w:r>
      <w:r w:rsidR="00F1740F">
        <w:t>1</w:t>
      </w:r>
      <w:r w:rsidRPr="000F67F7">
        <w:t>–15 regulatory control period.</w:t>
      </w:r>
      <w:r w:rsidRPr="000F67F7">
        <w:rPr>
          <w:rStyle w:val="FootnoteReference"/>
        </w:rPr>
        <w:footnoteReference w:id="17"/>
      </w:r>
      <w:r w:rsidRPr="00FF6253">
        <w:t xml:space="preserve"> However, depreciation based on forecast capex will be used for the </w:t>
      </w:r>
      <w:r w:rsidR="00B56654">
        <w:br/>
      </w:r>
      <w:r w:rsidRPr="00FF6253">
        <w:t>201</w:t>
      </w:r>
      <w:r w:rsidR="00F1740F">
        <w:t>6</w:t>
      </w:r>
      <w:r>
        <w:t>–</w:t>
      </w:r>
      <w:r w:rsidRPr="00FF6253">
        <w:t>20 regulatory control period</w:t>
      </w:r>
      <w:r>
        <w:t xml:space="preserve"> at the next reset</w:t>
      </w:r>
      <w:r w:rsidRPr="00FF6253">
        <w:t>.</w:t>
      </w:r>
      <w:r>
        <w:rPr>
          <w:rStyle w:val="FootnoteReference"/>
        </w:rPr>
        <w:footnoteReference w:id="18"/>
      </w:r>
    </w:p>
    <w:p w:rsidR="00434D01" w:rsidRPr="000F67F7" w:rsidRDefault="00434D01" w:rsidP="00434D01">
      <w:pPr>
        <w:pStyle w:val="AERbulletlistfirststyle"/>
      </w:pPr>
      <w:r w:rsidRPr="00924046">
        <w:t>Subtracting any disposals from the RAB for the relevant year.</w:t>
      </w:r>
      <w:r w:rsidRPr="000F67F7">
        <w:rPr>
          <w:rStyle w:val="FootnoteReference"/>
        </w:rPr>
        <w:footnoteReference w:id="19"/>
      </w:r>
      <w:r w:rsidRPr="000F67F7">
        <w:t xml:space="preserve"> We check these amounts against audited annual reporting RIN data.</w:t>
      </w:r>
    </w:p>
    <w:p w:rsidR="00434D01" w:rsidRPr="000F67F7" w:rsidRDefault="00434D01" w:rsidP="00434D01">
      <w:pPr>
        <w:rPr>
          <w:rStyle w:val="AERbody"/>
        </w:rPr>
      </w:pPr>
      <w:r w:rsidRPr="00924046">
        <w:rPr>
          <w:rStyle w:val="AERbody"/>
        </w:rPr>
        <w:t>These annual adjustments give the closing RAB for any particular year, which then becomes the opening RAB for the following year. Through this process the RFM rolls forward the RAB to the end of the 201</w:t>
      </w:r>
      <w:r w:rsidR="00F1740F">
        <w:rPr>
          <w:rStyle w:val="AERbody"/>
        </w:rPr>
        <w:t>1</w:t>
      </w:r>
      <w:r w:rsidRPr="00924046">
        <w:rPr>
          <w:rStyle w:val="AERbody"/>
        </w:rPr>
        <w:t>–15 regulatory control period. The PTRM used to calculate the annual revenue requirement for the 201</w:t>
      </w:r>
      <w:r w:rsidR="00F1740F">
        <w:rPr>
          <w:rStyle w:val="AERbody"/>
        </w:rPr>
        <w:t>6</w:t>
      </w:r>
      <w:r w:rsidRPr="00924046">
        <w:rPr>
          <w:rStyle w:val="AERbody"/>
        </w:rPr>
        <w:t xml:space="preserve">–20 </w:t>
      </w:r>
      <w:r>
        <w:rPr>
          <w:rStyle w:val="AERbody"/>
        </w:rPr>
        <w:t xml:space="preserve">regulatory control </w:t>
      </w:r>
      <w:r w:rsidRPr="00924046">
        <w:rPr>
          <w:rStyle w:val="AERbody"/>
        </w:rPr>
        <w:t>period generally adopts the same RAB roll forward approach as the RFM, although the annual adjustments to the RAB are based on forecasts, rather than actual amounts.</w:t>
      </w:r>
    </w:p>
    <w:p w:rsidR="00434D01" w:rsidRPr="000F67F7" w:rsidRDefault="00434D01" w:rsidP="00434D01">
      <w:pPr>
        <w:numPr>
          <w:ilvl w:val="0"/>
          <w:numId w:val="24"/>
        </w:numPr>
        <w:rPr>
          <w:rStyle w:val="AERbody"/>
        </w:rPr>
      </w:pPr>
      <w:r w:rsidRPr="00924046">
        <w:rPr>
          <w:rStyle w:val="AERbody"/>
        </w:rPr>
        <w:t>We are required to decide whether depreciation for establishing the service provider's RAB as at the commencement of the 202</w:t>
      </w:r>
      <w:r w:rsidR="00F1740F">
        <w:rPr>
          <w:rStyle w:val="AERbody"/>
        </w:rPr>
        <w:t>1</w:t>
      </w:r>
      <w:r w:rsidRPr="00924046">
        <w:rPr>
          <w:rStyle w:val="AERbody"/>
        </w:rPr>
        <w:t>–25 regulatory control period is to be based on actual or forecast capex.</w:t>
      </w:r>
      <w:r w:rsidRPr="00924046">
        <w:rPr>
          <w:rStyle w:val="FootnoteReference"/>
        </w:rPr>
        <w:footnoteReference w:id="20"/>
      </w:r>
    </w:p>
    <w:p w:rsidR="00434D01" w:rsidRPr="000F67F7" w:rsidRDefault="00434D01" w:rsidP="00434D01">
      <w:pPr>
        <w:numPr>
          <w:ilvl w:val="0"/>
          <w:numId w:val="24"/>
        </w:numPr>
        <w:rPr>
          <w:rStyle w:val="AERbody"/>
        </w:rPr>
      </w:pPr>
      <w:r w:rsidRPr="00924046">
        <w:rPr>
          <w:rStyle w:val="AERbody"/>
        </w:rPr>
        <w:lastRenderedPageBreak/>
        <w:t>The opening RAB for the 202</w:t>
      </w:r>
      <w:r w:rsidR="00F1740F">
        <w:rPr>
          <w:rStyle w:val="AERbody"/>
        </w:rPr>
        <w:t>1</w:t>
      </w:r>
      <w:r w:rsidRPr="00924046">
        <w:rPr>
          <w:rStyle w:val="AERbody"/>
        </w:rPr>
        <w:t>–25 regulatory control period can be determined using depreciation based either on forecast or actual capex incurred during the 201</w:t>
      </w:r>
      <w:r w:rsidR="00F1740F">
        <w:rPr>
          <w:rStyle w:val="AERbody"/>
        </w:rPr>
        <w:t>6</w:t>
      </w:r>
      <w:r w:rsidRPr="00924046">
        <w:rPr>
          <w:rStyle w:val="AERbody"/>
        </w:rPr>
        <w:t>–20 period. To roll forward the RAB using depreciation based on forecast capex, we would use the forecast depreciation contained in the PTRM for the 201</w:t>
      </w:r>
      <w:r w:rsidR="00F1740F">
        <w:rPr>
          <w:rStyle w:val="AERbody"/>
        </w:rPr>
        <w:t>6</w:t>
      </w:r>
      <w:r w:rsidRPr="00924046">
        <w:rPr>
          <w:rStyle w:val="AERbody"/>
        </w:rPr>
        <w:t>–20 regulatory control period, adjusted for actual inflation. If the approach to roll forward the RAB using depreciation based on actual capex was adopted, we would recalculate the depreciation based on actual capex incurred during the 201</w:t>
      </w:r>
      <w:r w:rsidR="00683068">
        <w:rPr>
          <w:rStyle w:val="AERbody"/>
        </w:rPr>
        <w:t>6</w:t>
      </w:r>
      <w:r w:rsidRPr="00924046">
        <w:rPr>
          <w:rStyle w:val="AERbody"/>
        </w:rPr>
        <w:t xml:space="preserve">–20 regulatory control period. </w:t>
      </w:r>
    </w:p>
    <w:p w:rsidR="00434D01" w:rsidRPr="000F67F7" w:rsidRDefault="00434D01" w:rsidP="00434D01">
      <w:pPr>
        <w:numPr>
          <w:ilvl w:val="0"/>
          <w:numId w:val="24"/>
        </w:numPr>
        <w:rPr>
          <w:rStyle w:val="AERbody"/>
        </w:rPr>
      </w:pPr>
      <w:r w:rsidRPr="00924046">
        <w:rPr>
          <w:rStyle w:val="AERbody"/>
        </w:rPr>
        <w:t>Our decision on whether to use actual or forecast depreciation must be consistent with the capex incentive objective. We must have regard to:</w:t>
      </w:r>
      <w:r w:rsidRPr="00924046">
        <w:rPr>
          <w:rStyle w:val="FootnoteReference"/>
        </w:rPr>
        <w:footnoteReference w:id="21"/>
      </w:r>
    </w:p>
    <w:p w:rsidR="00434D01" w:rsidRPr="000F67F7" w:rsidRDefault="00434D01" w:rsidP="00434D01">
      <w:pPr>
        <w:pStyle w:val="AERbulletlistfirststyle"/>
        <w:rPr>
          <w:rStyle w:val="AERbody"/>
        </w:rPr>
      </w:pPr>
      <w:r>
        <w:rPr>
          <w:rStyle w:val="AERbody"/>
        </w:rPr>
        <w:t xml:space="preserve">the </w:t>
      </w:r>
      <w:r w:rsidRPr="00924046">
        <w:rPr>
          <w:rStyle w:val="AERbody"/>
        </w:rPr>
        <w:t>incentives the service provider has to undertake efficient capex</w:t>
      </w:r>
    </w:p>
    <w:p w:rsidR="00434D01" w:rsidRPr="000F67F7" w:rsidRDefault="00434D01" w:rsidP="00434D01">
      <w:pPr>
        <w:pStyle w:val="AERbulletlistfirststyle"/>
        <w:rPr>
          <w:rStyle w:val="AERbody"/>
        </w:rPr>
      </w:pPr>
      <w:r w:rsidRPr="00924046">
        <w:rPr>
          <w:rStyle w:val="AERbody"/>
        </w:rPr>
        <w:t>substitution possibilities between assets with different lives</w:t>
      </w:r>
      <w:r>
        <w:rPr>
          <w:rStyle w:val="AERbody"/>
        </w:rPr>
        <w:t xml:space="preserve"> and the relative benefits of each</w:t>
      </w:r>
    </w:p>
    <w:p w:rsidR="00434D01" w:rsidRPr="000F67F7" w:rsidRDefault="00434D01" w:rsidP="00434D01">
      <w:pPr>
        <w:pStyle w:val="AERbulletlistfirststyle"/>
        <w:rPr>
          <w:rStyle w:val="AERbody"/>
        </w:rPr>
      </w:pPr>
      <w:r w:rsidRPr="00924046">
        <w:rPr>
          <w:rStyle w:val="AERbody"/>
        </w:rPr>
        <w:t>the extent of overspending and inefficient overspending relative to the allowed forecast</w:t>
      </w:r>
    </w:p>
    <w:p w:rsidR="00434D01" w:rsidRPr="000F67F7" w:rsidRDefault="00434D01" w:rsidP="00434D01">
      <w:pPr>
        <w:pStyle w:val="AERbulletlistfirststyle"/>
        <w:rPr>
          <w:rStyle w:val="AERbody"/>
        </w:rPr>
      </w:pPr>
      <w:r w:rsidRPr="00924046">
        <w:rPr>
          <w:rStyle w:val="AERbody"/>
        </w:rPr>
        <w:t>the capex incentive guideline</w:t>
      </w:r>
    </w:p>
    <w:p w:rsidR="00434D01" w:rsidRPr="00434D01" w:rsidRDefault="00434D01" w:rsidP="00434D01">
      <w:pPr>
        <w:pStyle w:val="AERbulletlistfirststyle"/>
      </w:pPr>
      <w:r w:rsidRPr="00924046">
        <w:rPr>
          <w:rStyle w:val="AERbody"/>
        </w:rPr>
        <w:t>the capital expenditure factors.</w:t>
      </w:r>
    </w:p>
    <w:p w:rsidR="005C0A7F" w:rsidRDefault="005C0A7F" w:rsidP="005C0A7F">
      <w:pPr>
        <w:pStyle w:val="Heading3"/>
      </w:pPr>
      <w:bookmarkStart w:id="19" w:name="_Toc433173396"/>
      <w:r>
        <w:t>Interrelationships</w:t>
      </w:r>
      <w:bookmarkEnd w:id="19"/>
    </w:p>
    <w:p w:rsidR="00434D01" w:rsidRPr="00924046" w:rsidRDefault="00434D01" w:rsidP="00434D01">
      <w:pPr>
        <w:numPr>
          <w:ilvl w:val="0"/>
          <w:numId w:val="24"/>
        </w:numPr>
      </w:pPr>
      <w:r w:rsidRPr="00924046">
        <w:t>The RAB is an input into the determination of the return on capital and depreciation (return of capital) building block allowances.</w:t>
      </w:r>
      <w:r w:rsidRPr="00924046">
        <w:rPr>
          <w:rStyle w:val="FootnoteReference"/>
        </w:rPr>
        <w:footnoteReference w:id="22"/>
      </w:r>
      <w:r w:rsidRPr="00924046">
        <w:t xml:space="preserve"> Factors that influence the RAB will therefore flow through to these building block components and the annual revenue requirement. Other things being equal, a higher RAB increases both the return on capital and depreciation allowances.</w:t>
      </w:r>
    </w:p>
    <w:p w:rsidR="00434D01" w:rsidRPr="00924046" w:rsidRDefault="00434D01" w:rsidP="00434D01">
      <w:pPr>
        <w:numPr>
          <w:ilvl w:val="0"/>
          <w:numId w:val="24"/>
        </w:numPr>
      </w:pPr>
      <w:r w:rsidRPr="00924046">
        <w:t>The RAB is determined by various factors, including:</w:t>
      </w:r>
    </w:p>
    <w:p w:rsidR="00434D01" w:rsidRPr="000F67F7" w:rsidRDefault="00434D01" w:rsidP="00434D01">
      <w:pPr>
        <w:pStyle w:val="AERbulletlistfirststyle"/>
      </w:pPr>
      <w:r w:rsidRPr="00924046">
        <w:t>the opening RAB (meaning the value of existing assets at the beginning of the regulatory control period)</w:t>
      </w:r>
    </w:p>
    <w:p w:rsidR="00434D01" w:rsidRPr="000F67F7" w:rsidRDefault="00434D01" w:rsidP="00434D01">
      <w:pPr>
        <w:pStyle w:val="AERbulletlistfirststyle"/>
      </w:pPr>
      <w:r w:rsidRPr="00924046">
        <w:t>net capex</w:t>
      </w:r>
      <w:r w:rsidRPr="000F67F7">
        <w:rPr>
          <w:rStyle w:val="FootnoteReference"/>
        </w:rPr>
        <w:footnoteReference w:id="23"/>
      </w:r>
    </w:p>
    <w:p w:rsidR="00434D01" w:rsidRPr="000F67F7" w:rsidRDefault="00434D01" w:rsidP="00434D01">
      <w:pPr>
        <w:pStyle w:val="AERbulletlistfirststyle"/>
      </w:pPr>
      <w:r w:rsidRPr="00924046">
        <w:t>depreciation</w:t>
      </w:r>
    </w:p>
    <w:p w:rsidR="00434D01" w:rsidRPr="000F67F7" w:rsidRDefault="00434D01" w:rsidP="00434D01">
      <w:pPr>
        <w:pStyle w:val="AERbulletlistfirststyle"/>
      </w:pPr>
      <w:r w:rsidRPr="00924046">
        <w:t>indexation adjustment – so the RAB is presented in nominal terms, consistent with the rate of return.</w:t>
      </w:r>
    </w:p>
    <w:p w:rsidR="00434D01" w:rsidRPr="000F67F7" w:rsidRDefault="00434D01" w:rsidP="00434D01">
      <w:r w:rsidRPr="00924046">
        <w:lastRenderedPageBreak/>
        <w:t xml:space="preserve">The opening RAB depends on the value of existing assets and will depend on actual net capex, actual inflation outcomes and depreciation in the past. </w:t>
      </w:r>
    </w:p>
    <w:p w:rsidR="00434D01" w:rsidRPr="000F67F7" w:rsidRDefault="00434D01" w:rsidP="00434D01">
      <w:r w:rsidRPr="00924046">
        <w:t xml:space="preserve">The RAB when projected to the end of the regulatory control period increases due to both forecast new capex and the indexation adjustment. The size of the indexation adjustment depends on expected inflation (which also affects the nominal rate of return) and the size of the RAB at the start of each year. </w:t>
      </w:r>
    </w:p>
    <w:p w:rsidR="00434D01" w:rsidRPr="000F67F7" w:rsidRDefault="00434D01" w:rsidP="00434D01">
      <w:r w:rsidRPr="00924046">
        <w:t>Depreciation reduces the RAB. The depreciation allowance depends on the size of the opening RAB and the forecast net capex. By convention, the indexation adjustment is also offset against depreciation to prevent double counting of inflation in the RAB and rate of return, which are both presented in nominal terms. This reduces the apparent depreciation building block that feeds into the annual revenue requirement.</w:t>
      </w:r>
    </w:p>
    <w:p w:rsidR="00434D01" w:rsidRDefault="00434D01" w:rsidP="00434D01">
      <w:r>
        <w:fldChar w:fldCharType="begin"/>
      </w:r>
      <w:r>
        <w:instrText xml:space="preserve"> REF _Ref417385822 \h </w:instrText>
      </w:r>
      <w:r>
        <w:fldChar w:fldCharType="separate"/>
      </w:r>
      <w:r w:rsidR="00E86890">
        <w:t xml:space="preserve">Figure </w:t>
      </w:r>
      <w:r w:rsidR="00E86890">
        <w:rPr>
          <w:noProof/>
        </w:rPr>
        <w:t>2</w:t>
      </w:r>
      <w:r w:rsidR="00E86890">
        <w:t>.</w:t>
      </w:r>
      <w:r w:rsidR="00E86890">
        <w:rPr>
          <w:noProof/>
        </w:rPr>
        <w:t>1</w:t>
      </w:r>
      <w:r>
        <w:fldChar w:fldCharType="end"/>
      </w:r>
      <w:r w:rsidRPr="00924046">
        <w:t xml:space="preserve"> shows the key drivers of the change in the RAB over the 201</w:t>
      </w:r>
      <w:r w:rsidR="00E90201">
        <w:t>6</w:t>
      </w:r>
      <w:r w:rsidRPr="00924046">
        <w:t xml:space="preserve">–20 regulatory control </w:t>
      </w:r>
      <w:proofErr w:type="gramStart"/>
      <w:r w:rsidRPr="00924046">
        <w:t>period</w:t>
      </w:r>
      <w:proofErr w:type="gramEnd"/>
      <w:r w:rsidRPr="00924046">
        <w:t xml:space="preserve"> as proposed by </w:t>
      </w:r>
      <w:r w:rsidR="00E90201">
        <w:t>Jemena</w:t>
      </w:r>
      <w:r w:rsidRPr="00924046">
        <w:t>. Overall, the closing RAB at the end of the 201</w:t>
      </w:r>
      <w:r w:rsidR="00467515">
        <w:t>6</w:t>
      </w:r>
      <w:r w:rsidRPr="00924046">
        <w:t xml:space="preserve">–20 regulatory control period would be </w:t>
      </w:r>
      <w:r w:rsidR="00644AFA">
        <w:t>4</w:t>
      </w:r>
      <w:r w:rsidR="0095518B">
        <w:t>5</w:t>
      </w:r>
      <w:r w:rsidRPr="00924046">
        <w:t xml:space="preserve"> per cent higher than the opening RAB at the start of that period based on the proposal, in nominal terms. The proposed forecast net capex increases the RAB by about </w:t>
      </w:r>
      <w:r w:rsidR="00A013CD">
        <w:t>65</w:t>
      </w:r>
      <w:r>
        <w:t xml:space="preserve"> </w:t>
      </w:r>
      <w:r w:rsidRPr="00924046">
        <w:t xml:space="preserve">per cent, while inflation increases it by about </w:t>
      </w:r>
      <w:r w:rsidR="00F41D74">
        <w:t>15</w:t>
      </w:r>
      <w:r w:rsidR="002634D6">
        <w:t xml:space="preserve"> </w:t>
      </w:r>
      <w:r w:rsidRPr="00924046">
        <w:t xml:space="preserve">per cent. Forecast depreciation, on the other hand, reduces the RAB by about </w:t>
      </w:r>
      <w:r w:rsidR="00F41D74">
        <w:t>35</w:t>
      </w:r>
      <w:r w:rsidR="002634D6">
        <w:t xml:space="preserve"> </w:t>
      </w:r>
      <w:r w:rsidRPr="00924046">
        <w:t>per cent.</w:t>
      </w:r>
    </w:p>
    <w:p w:rsidR="002B0699" w:rsidRDefault="00434D01" w:rsidP="00434D01">
      <w:pPr>
        <w:pStyle w:val="Caption"/>
      </w:pPr>
      <w:bookmarkStart w:id="20" w:name="_Ref417385822"/>
      <w:r>
        <w:t xml:space="preserve">Figure </w:t>
      </w:r>
      <w:r w:rsidRPr="00434D01">
        <w:fldChar w:fldCharType="begin"/>
      </w:r>
      <w:r>
        <w:instrText xml:space="preserve"> STYLEREF 1 \s </w:instrText>
      </w:r>
      <w:r w:rsidRPr="00434D01">
        <w:fldChar w:fldCharType="separate"/>
      </w:r>
      <w:r w:rsidR="00E86890">
        <w:rPr>
          <w:noProof/>
        </w:rPr>
        <w:t>2</w:t>
      </w:r>
      <w:r w:rsidRPr="00434D01">
        <w:fldChar w:fldCharType="end"/>
      </w:r>
      <w:r>
        <w:t>.</w:t>
      </w:r>
      <w:r w:rsidRPr="00434D01">
        <w:fldChar w:fldCharType="begin"/>
      </w:r>
      <w:r>
        <w:instrText xml:space="preserve"> SEQ Figure \* ARABIC \s 1 </w:instrText>
      </w:r>
      <w:r w:rsidRPr="00434D01">
        <w:fldChar w:fldCharType="separate"/>
      </w:r>
      <w:r w:rsidR="00E86890">
        <w:rPr>
          <w:noProof/>
        </w:rPr>
        <w:t>1</w:t>
      </w:r>
      <w:r w:rsidRPr="00434D01">
        <w:fldChar w:fldCharType="end"/>
      </w:r>
      <w:bookmarkEnd w:id="20"/>
      <w:r>
        <w:tab/>
      </w:r>
      <w:r w:rsidRPr="00026E85">
        <w:t>Key drivers of changes in the RAB ($ million, nominal)</w:t>
      </w:r>
      <w:r w:rsidR="002B0699">
        <w:t xml:space="preserve"> </w:t>
      </w:r>
    </w:p>
    <w:p w:rsidR="00434D01" w:rsidRPr="00113707" w:rsidRDefault="00EC5F0D" w:rsidP="00EC5F0D">
      <w:pPr>
        <w:numPr>
          <w:ilvl w:val="0"/>
          <w:numId w:val="24"/>
        </w:numPr>
      </w:pPr>
      <w:r w:rsidRPr="00EC5F0D">
        <w:rPr>
          <w:noProof/>
          <w:lang w:eastAsia="en-AU"/>
        </w:rPr>
        <w:drawing>
          <wp:inline distT="0" distB="0" distL="0" distR="0" wp14:anchorId="5996F3B9" wp14:editId="0F10EFEE">
            <wp:extent cx="5382895" cy="3213555"/>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895" cy="3213555"/>
                    </a:xfrm>
                    <a:prstGeom prst="rect">
                      <a:avLst/>
                    </a:prstGeom>
                    <a:noFill/>
                    <a:ln>
                      <a:noFill/>
                    </a:ln>
                  </pic:spPr>
                </pic:pic>
              </a:graphicData>
            </a:graphic>
          </wp:inline>
        </w:drawing>
      </w:r>
    </w:p>
    <w:p w:rsidR="00434D01" w:rsidRPr="00113707" w:rsidRDefault="00434D01" w:rsidP="00434D01">
      <w:pPr>
        <w:pStyle w:val="AERtablesource"/>
      </w:pPr>
      <w:r w:rsidRPr="00113707">
        <w:t>Source:</w:t>
      </w:r>
      <w:r w:rsidRPr="00113707">
        <w:tab/>
      </w:r>
      <w:r w:rsidR="00E86890">
        <w:t>Jemena</w:t>
      </w:r>
      <w:r w:rsidR="00E86890" w:rsidRPr="00DC4EE3">
        <w:t xml:space="preserve">, </w:t>
      </w:r>
      <w:r w:rsidR="00E86890" w:rsidRPr="00445029">
        <w:rPr>
          <w:rStyle w:val="AERtextitalic"/>
        </w:rPr>
        <w:t>Regulatory proposal</w:t>
      </w:r>
      <w:r w:rsidR="00E86890" w:rsidRPr="00445029">
        <w:t xml:space="preserve">, </w:t>
      </w:r>
      <w:r w:rsidR="00E86890">
        <w:t>April 2015</w:t>
      </w:r>
      <w:r w:rsidR="00E86890" w:rsidRPr="00445029">
        <w:t>,</w:t>
      </w:r>
      <w:r w:rsidR="00E86890">
        <w:t xml:space="preserve"> Attachment 06.01.  </w:t>
      </w:r>
    </w:p>
    <w:p w:rsidR="00C6770A" w:rsidRDefault="00C6770A" w:rsidP="00C6770A">
      <w:pPr>
        <w:numPr>
          <w:ilvl w:val="0"/>
          <w:numId w:val="24"/>
        </w:numPr>
      </w:pPr>
      <w:r>
        <w:lastRenderedPageBreak/>
        <w:t>Maintaining the RAB in real terms by adding inflation is required by the NER</w:t>
      </w:r>
      <w:r>
        <w:rPr>
          <w:rStyle w:val="FootnoteReference"/>
        </w:rPr>
        <w:footnoteReference w:id="24"/>
      </w:r>
      <w:r>
        <w:t xml:space="preserve"> and generally helps to promote smoother prices over the life of an asset. If the RAB was unindexed for inflation, the offsetting indexation adjustment applied to depreciation would also have to be removed. On balance, this </w:t>
      </w:r>
      <w:r w:rsidRPr="00C01174">
        <w:t>means more depreciation would be returned to the business</w:t>
      </w:r>
      <w:r>
        <w:t xml:space="preserve"> resulting in higher prices early in an asset life and lower prices later in its life.</w:t>
      </w:r>
      <w:r>
        <w:rPr>
          <w:rStyle w:val="FootnoteReference"/>
        </w:rPr>
        <w:footnoteReference w:id="25"/>
      </w:r>
      <w:r>
        <w:t xml:space="preserve"> </w:t>
      </w:r>
    </w:p>
    <w:p w:rsidR="00C6770A" w:rsidRDefault="00C6770A" w:rsidP="00C6770A">
      <w:pPr>
        <w:numPr>
          <w:ilvl w:val="0"/>
          <w:numId w:val="24"/>
        </w:numPr>
        <w:rPr>
          <w:rStyle w:val="AERbody"/>
        </w:rPr>
      </w:pPr>
      <w:r w:rsidRPr="00113707">
        <w:t>The RAB would rise in real terms over the 201</w:t>
      </w:r>
      <w:r>
        <w:t>6</w:t>
      </w:r>
      <w:r w:rsidRPr="00113707">
        <w:t xml:space="preserve">–20 regulatory control period based on </w:t>
      </w:r>
      <w:r>
        <w:t>Jemena's</w:t>
      </w:r>
      <w:r w:rsidRPr="00113707">
        <w:t xml:space="preserve"> </w:t>
      </w:r>
      <w:r w:rsidRPr="006311E4">
        <w:rPr>
          <w:rStyle w:val="AERbody"/>
        </w:rPr>
        <w:t xml:space="preserve">proposal. The depreciation amount </w:t>
      </w:r>
      <w:r>
        <w:rPr>
          <w:rStyle w:val="AERbody"/>
        </w:rPr>
        <w:t>is indicative as it</w:t>
      </w:r>
      <w:r w:rsidRPr="006311E4">
        <w:rPr>
          <w:rStyle w:val="AERbody"/>
        </w:rPr>
        <w:t xml:space="preserve"> largely depends on the opening RAB (which in turn depends on capex). However, we </w:t>
      </w:r>
      <w:r w:rsidR="00391067">
        <w:rPr>
          <w:rStyle w:val="AERbody"/>
        </w:rPr>
        <w:t xml:space="preserve">consider </w:t>
      </w:r>
      <w:r w:rsidRPr="006311E4">
        <w:rPr>
          <w:rStyle w:val="AERbody"/>
        </w:rPr>
        <w:t>the size of the forecast net capex</w:t>
      </w:r>
      <w:r w:rsidR="00391067">
        <w:rPr>
          <w:rStyle w:val="AERbody"/>
        </w:rPr>
        <w:t xml:space="preserve"> </w:t>
      </w:r>
      <w:r w:rsidR="00DF6739">
        <w:rPr>
          <w:rStyle w:val="AERbody"/>
        </w:rPr>
        <w:t>to be</w:t>
      </w:r>
      <w:r w:rsidR="00391067">
        <w:rPr>
          <w:rStyle w:val="AERbody"/>
        </w:rPr>
        <w:t xml:space="preserve"> a significant issue</w:t>
      </w:r>
      <w:r w:rsidRPr="006311E4">
        <w:rPr>
          <w:rStyle w:val="AERbody"/>
        </w:rPr>
        <w:t>.</w:t>
      </w:r>
      <w:r>
        <w:rPr>
          <w:rStyle w:val="AERbody"/>
        </w:rPr>
        <w:t xml:space="preserve"> </w:t>
      </w:r>
      <w:r>
        <w:rPr>
          <w:rStyle w:val="AERbody"/>
        </w:rPr>
        <w:fldChar w:fldCharType="begin"/>
      </w:r>
      <w:r>
        <w:rPr>
          <w:rStyle w:val="AERbody"/>
        </w:rPr>
        <w:instrText xml:space="preserve"> REF _Ref417385822 \h </w:instrText>
      </w:r>
      <w:r>
        <w:rPr>
          <w:rStyle w:val="AERbody"/>
        </w:rPr>
      </w:r>
      <w:r>
        <w:rPr>
          <w:rStyle w:val="AERbody"/>
        </w:rPr>
        <w:fldChar w:fldCharType="separate"/>
      </w:r>
      <w:r w:rsidR="00E86890">
        <w:t xml:space="preserve">Figure </w:t>
      </w:r>
      <w:r w:rsidR="00E86890">
        <w:rPr>
          <w:noProof/>
        </w:rPr>
        <w:t>2</w:t>
      </w:r>
      <w:r w:rsidR="00E86890">
        <w:t>.</w:t>
      </w:r>
      <w:r w:rsidR="00E86890">
        <w:rPr>
          <w:noProof/>
        </w:rPr>
        <w:t>1</w:t>
      </w:r>
      <w:r>
        <w:rPr>
          <w:rStyle w:val="AERbody"/>
        </w:rPr>
        <w:fldChar w:fldCharType="end"/>
      </w:r>
      <w:r w:rsidRPr="006311E4">
        <w:rPr>
          <w:rStyle w:val="AERbody"/>
        </w:rPr>
        <w:t xml:space="preserve"> shows forecast net capex is the largest driver of the increase in the RAB and we have considered whether it is appropriate that the forecast net capex exceeds depreciation as </w:t>
      </w:r>
      <w:r>
        <w:rPr>
          <w:rStyle w:val="AERbody"/>
        </w:rPr>
        <w:t>Jemena</w:t>
      </w:r>
      <w:r w:rsidRPr="006311E4">
        <w:rPr>
          <w:rStyle w:val="AERbody"/>
        </w:rPr>
        <w:t xml:space="preserve"> has proposed. Refer to attachment 6 for the discussion on forecast capex.</w:t>
      </w:r>
      <w:r>
        <w:rPr>
          <w:rStyle w:val="AERbody"/>
        </w:rPr>
        <w:t xml:space="preserve"> </w:t>
      </w:r>
    </w:p>
    <w:p w:rsidR="00434D01" w:rsidRPr="00434D01" w:rsidRDefault="00030A47" w:rsidP="00434D01">
      <w:pPr>
        <w:numPr>
          <w:ilvl w:val="0"/>
          <w:numId w:val="24"/>
        </w:numPr>
      </w:pPr>
      <w:r>
        <w:t xml:space="preserve">A </w:t>
      </w:r>
      <w:r w:rsidR="00434D01" w:rsidRPr="00113707">
        <w:t>ten per cent increase in the opening RAB causes revenues to increase by about</w:t>
      </w:r>
      <w:r w:rsidR="00434D01">
        <w:t xml:space="preserve"> </w:t>
      </w:r>
      <w:r w:rsidR="006F5875">
        <w:t>5</w:t>
      </w:r>
      <w:r w:rsidR="00A013CD">
        <w:t>.1</w:t>
      </w:r>
      <w:r w:rsidR="006F5875">
        <w:rPr>
          <w:rStyle w:val="AERbody"/>
        </w:rPr>
        <w:t> </w:t>
      </w:r>
      <w:r w:rsidR="00434D01" w:rsidRPr="00155389">
        <w:rPr>
          <w:rStyle w:val="AERbody"/>
        </w:rPr>
        <w:t>per cent. However, the impact on revenues of the annual change in RAB depends on</w:t>
      </w:r>
      <w:r w:rsidR="00434D01" w:rsidRPr="00113707">
        <w:t xml:space="preserve"> the source of the RAB change, as some drivers affect more than one building block cost.</w:t>
      </w:r>
      <w:r w:rsidR="00434D01" w:rsidRPr="00113707">
        <w:rPr>
          <w:rStyle w:val="FootnoteReference"/>
        </w:rPr>
        <w:footnoteReference w:id="26"/>
      </w:r>
    </w:p>
    <w:p w:rsidR="008A102C" w:rsidRDefault="009A5113" w:rsidP="009A5113">
      <w:pPr>
        <w:pStyle w:val="Heading2"/>
      </w:pPr>
      <w:bookmarkStart w:id="21" w:name="_Toc408404324"/>
      <w:bookmarkStart w:id="22" w:name="_Toc433173397"/>
      <w:r w:rsidRPr="0074565D">
        <w:t xml:space="preserve">Reasons for </w:t>
      </w:r>
      <w:r w:rsidR="00724D80">
        <w:t>preliminary</w:t>
      </w:r>
      <w:r w:rsidR="00651CB2" w:rsidRPr="0074565D">
        <w:t xml:space="preserve"> </w:t>
      </w:r>
      <w:r w:rsidRPr="0074565D">
        <w:t>decision</w:t>
      </w:r>
      <w:bookmarkEnd w:id="21"/>
      <w:bookmarkEnd w:id="22"/>
      <w:r w:rsidRPr="0074565D">
        <w:t xml:space="preserve"> </w:t>
      </w:r>
    </w:p>
    <w:p w:rsidR="00CA1CF5" w:rsidRDefault="00CA1CF5" w:rsidP="00CA1CF5">
      <w:pPr>
        <w:rPr>
          <w:rStyle w:val="AERbody"/>
        </w:rPr>
      </w:pPr>
      <w:r w:rsidRPr="00CA1CF5">
        <w:rPr>
          <w:rStyle w:val="AERbody"/>
        </w:rPr>
        <w:t xml:space="preserve">We determine an opening RAB value for </w:t>
      </w:r>
      <w:r>
        <w:rPr>
          <w:rStyle w:val="AERbody"/>
        </w:rPr>
        <w:t>Jemena</w:t>
      </w:r>
      <w:r w:rsidRPr="00CA1CF5">
        <w:rPr>
          <w:rStyle w:val="AERbody"/>
        </w:rPr>
        <w:t xml:space="preserve"> of $</w:t>
      </w:r>
      <w:r>
        <w:rPr>
          <w:rStyle w:val="AERbody"/>
        </w:rPr>
        <w:t>11</w:t>
      </w:r>
      <w:r w:rsidR="00A61D73">
        <w:rPr>
          <w:rStyle w:val="AERbody"/>
        </w:rPr>
        <w:t>87</w:t>
      </w:r>
      <w:r w:rsidR="00BD4879">
        <w:rPr>
          <w:rStyle w:val="AERbody"/>
        </w:rPr>
        <w:t>.0</w:t>
      </w:r>
      <w:r>
        <w:rPr>
          <w:rStyle w:val="AERbody"/>
        </w:rPr>
        <w:t> </w:t>
      </w:r>
      <w:r w:rsidRPr="00CA1CF5">
        <w:rPr>
          <w:rStyle w:val="AERbody"/>
        </w:rPr>
        <w:t>million ($</w:t>
      </w:r>
      <w:r>
        <w:rPr>
          <w:rStyle w:val="AERbody"/>
        </w:rPr>
        <w:t> </w:t>
      </w:r>
      <w:r w:rsidRPr="00CA1CF5">
        <w:rPr>
          <w:rStyle w:val="AERbody"/>
        </w:rPr>
        <w:t>nominal) as at 1</w:t>
      </w:r>
      <w:r w:rsidR="00A61D73">
        <w:rPr>
          <w:rStyle w:val="AERbody"/>
        </w:rPr>
        <w:t> </w:t>
      </w:r>
      <w:r>
        <w:rPr>
          <w:rStyle w:val="AERbody"/>
        </w:rPr>
        <w:t>January</w:t>
      </w:r>
      <w:r w:rsidRPr="00CA1CF5">
        <w:rPr>
          <w:rStyle w:val="AERbody"/>
        </w:rPr>
        <w:t xml:space="preserve"> 201</w:t>
      </w:r>
      <w:r>
        <w:rPr>
          <w:rStyle w:val="AERbody"/>
        </w:rPr>
        <w:t>6</w:t>
      </w:r>
      <w:r w:rsidR="00A61D73">
        <w:rPr>
          <w:rStyle w:val="AERbody"/>
        </w:rPr>
        <w:t>, a</w:t>
      </w:r>
      <w:r w:rsidRPr="00CA1CF5">
        <w:rPr>
          <w:rStyle w:val="AERbody"/>
        </w:rPr>
        <w:t xml:space="preserve"> </w:t>
      </w:r>
      <w:r w:rsidR="00A61D73">
        <w:rPr>
          <w:rStyle w:val="AERbody"/>
        </w:rPr>
        <w:t>de</w:t>
      </w:r>
      <w:r w:rsidRPr="00CA1CF5">
        <w:rPr>
          <w:rStyle w:val="AERbody"/>
        </w:rPr>
        <w:t>crease of $</w:t>
      </w:r>
      <w:r w:rsidR="00A61D73">
        <w:rPr>
          <w:rStyle w:val="AERbody"/>
        </w:rPr>
        <w:t>3.8</w:t>
      </w:r>
      <w:r>
        <w:rPr>
          <w:rStyle w:val="AERbody"/>
        </w:rPr>
        <w:t> </w:t>
      </w:r>
      <w:r w:rsidRPr="00CA1CF5">
        <w:rPr>
          <w:rStyle w:val="AERbody"/>
        </w:rPr>
        <w:t>million ($</w:t>
      </w:r>
      <w:r>
        <w:rPr>
          <w:rStyle w:val="AERbody"/>
        </w:rPr>
        <w:t> </w:t>
      </w:r>
      <w:r w:rsidRPr="00CA1CF5">
        <w:rPr>
          <w:rStyle w:val="AERbody"/>
        </w:rPr>
        <w:t>nominal) or 0.</w:t>
      </w:r>
      <w:r w:rsidR="00A61D73">
        <w:rPr>
          <w:rStyle w:val="AERbody"/>
        </w:rPr>
        <w:t>3</w:t>
      </w:r>
      <w:r w:rsidRPr="00CA1CF5">
        <w:rPr>
          <w:rStyle w:val="AERbody"/>
        </w:rPr>
        <w:t xml:space="preserve"> per cent from the proposed value. We forecast a closing RAB value of $</w:t>
      </w:r>
      <w:r w:rsidR="00BD4879">
        <w:rPr>
          <w:rStyle w:val="AERbody"/>
        </w:rPr>
        <w:t>1684.0</w:t>
      </w:r>
      <w:r w:rsidRPr="00CA1CF5">
        <w:rPr>
          <w:rStyle w:val="AERbody"/>
        </w:rPr>
        <w:t xml:space="preserve"> million by 3</w:t>
      </w:r>
      <w:r>
        <w:rPr>
          <w:rStyle w:val="AERbody"/>
        </w:rPr>
        <w:t>1</w:t>
      </w:r>
      <w:r w:rsidRPr="00CA1CF5">
        <w:rPr>
          <w:rStyle w:val="AERbody"/>
        </w:rPr>
        <w:t xml:space="preserve"> </w:t>
      </w:r>
      <w:r>
        <w:rPr>
          <w:rStyle w:val="AERbody"/>
        </w:rPr>
        <w:t>December</w:t>
      </w:r>
      <w:r w:rsidRPr="00CA1CF5">
        <w:rPr>
          <w:rStyle w:val="AERbody"/>
        </w:rPr>
        <w:t xml:space="preserve"> 2020. This represents a reduction of $</w:t>
      </w:r>
      <w:r w:rsidR="00A61D73">
        <w:rPr>
          <w:rStyle w:val="AERbody"/>
        </w:rPr>
        <w:t>4</w:t>
      </w:r>
      <w:r w:rsidR="00BD4879">
        <w:rPr>
          <w:rStyle w:val="AERbody"/>
        </w:rPr>
        <w:t>6.4 </w:t>
      </w:r>
      <w:r w:rsidRPr="00CA1CF5">
        <w:rPr>
          <w:rStyle w:val="AERbody"/>
        </w:rPr>
        <w:t xml:space="preserve">million, or </w:t>
      </w:r>
      <w:r w:rsidR="00A61D73">
        <w:rPr>
          <w:rStyle w:val="AERbody"/>
        </w:rPr>
        <w:t>2.</w:t>
      </w:r>
      <w:r w:rsidR="00BD4879">
        <w:rPr>
          <w:rStyle w:val="AERbody"/>
        </w:rPr>
        <w:t>7</w:t>
      </w:r>
      <w:r w:rsidRPr="00CA1CF5">
        <w:rPr>
          <w:rStyle w:val="AERbody"/>
        </w:rPr>
        <w:t xml:space="preserve"> per cent compared to the proposal. The reasons for our decision are discussed below.</w:t>
      </w:r>
    </w:p>
    <w:p w:rsidR="00CA1CF5" w:rsidRDefault="00CA1CF5" w:rsidP="00CA1CF5">
      <w:pPr>
        <w:pStyle w:val="Heading3"/>
      </w:pPr>
      <w:bookmarkStart w:id="23" w:name="_Ref425321350"/>
      <w:bookmarkStart w:id="24" w:name="_Toc433173398"/>
      <w:r w:rsidRPr="00CA1CF5">
        <w:t xml:space="preserve">Opening RAB as at 1 </w:t>
      </w:r>
      <w:r>
        <w:t>January</w:t>
      </w:r>
      <w:r w:rsidRPr="00CA1CF5">
        <w:t xml:space="preserve"> 201</w:t>
      </w:r>
      <w:r>
        <w:t>6</w:t>
      </w:r>
      <w:bookmarkEnd w:id="23"/>
      <w:bookmarkEnd w:id="24"/>
    </w:p>
    <w:p w:rsidR="00CA1CF5" w:rsidRDefault="00CA1CF5" w:rsidP="00CA1CF5">
      <w:r w:rsidRPr="00CA1CF5">
        <w:t xml:space="preserve">To determine the opening RAB as at 1 </w:t>
      </w:r>
      <w:r>
        <w:t>January</w:t>
      </w:r>
      <w:r w:rsidRPr="00CA1CF5">
        <w:t xml:space="preserve"> 201</w:t>
      </w:r>
      <w:r>
        <w:t>6</w:t>
      </w:r>
      <w:r w:rsidRPr="00CA1CF5">
        <w:t xml:space="preserve"> we have rolled forward the RAB over the 201</w:t>
      </w:r>
      <w:r>
        <w:t>1</w:t>
      </w:r>
      <w:r w:rsidRPr="00CA1CF5">
        <w:t xml:space="preserve">–15 regulatory control period to determine a closing RAB value </w:t>
      </w:r>
      <w:r w:rsidR="006930D1">
        <w:t xml:space="preserve">as </w:t>
      </w:r>
      <w:r w:rsidRPr="00CA1CF5">
        <w:t>at 3</w:t>
      </w:r>
      <w:r>
        <w:t>1</w:t>
      </w:r>
      <w:r w:rsidR="001730D7">
        <w:t> </w:t>
      </w:r>
      <w:r>
        <w:t>December</w:t>
      </w:r>
      <w:r w:rsidRPr="00CA1CF5">
        <w:t xml:space="preserve"> 2015. </w:t>
      </w:r>
      <w:r>
        <w:t>In doing so we</w:t>
      </w:r>
      <w:r w:rsidRPr="00CA1CF5">
        <w:t xml:space="preserve"> reviewed the key inputs of </w:t>
      </w:r>
      <w:r>
        <w:t>Jemena</w:t>
      </w:r>
      <w:r w:rsidRPr="00CA1CF5">
        <w:t xml:space="preserve">'s proposed RFM, such as </w:t>
      </w:r>
      <w:r w:rsidR="00DC63AA" w:rsidRPr="00DC63AA">
        <w:t>asset lives, gross capex values</w:t>
      </w:r>
      <w:r w:rsidR="00DC63AA">
        <w:t>,</w:t>
      </w:r>
      <w:r w:rsidR="00DC63AA" w:rsidRPr="00DC63AA">
        <w:t xml:space="preserve"> </w:t>
      </w:r>
      <w:r w:rsidR="001730D7">
        <w:t xml:space="preserve">asset </w:t>
      </w:r>
      <w:r w:rsidR="00DC63AA" w:rsidRPr="00DC63AA">
        <w:t>disposals</w:t>
      </w:r>
      <w:r w:rsidR="00DC63AA">
        <w:t>, capital contributions and</w:t>
      </w:r>
      <w:r w:rsidRPr="00CA1CF5">
        <w:t xml:space="preserve"> rate of return. We found these were correct and they reconcile with relevant data sources such as annual reporting RIN data and the 201</w:t>
      </w:r>
      <w:r w:rsidR="00DC63AA">
        <w:t>1</w:t>
      </w:r>
      <w:r w:rsidRPr="00CA1CF5">
        <w:t>–15 decision models.</w:t>
      </w:r>
      <w:r w:rsidR="004348DC">
        <w:rPr>
          <w:rStyle w:val="FootnoteReference"/>
        </w:rPr>
        <w:footnoteReference w:id="27"/>
      </w:r>
      <w:r w:rsidRPr="00CA1CF5">
        <w:t xml:space="preserve"> However, we consider there should be adjustments made to </w:t>
      </w:r>
      <w:r w:rsidR="00DC63AA">
        <w:t>Jemena</w:t>
      </w:r>
      <w:r w:rsidRPr="00CA1CF5">
        <w:t xml:space="preserve">'s proposed RFM inputs for </w:t>
      </w:r>
      <w:r w:rsidR="007742C7">
        <w:t xml:space="preserve">actual </w:t>
      </w:r>
      <w:r w:rsidR="001730D7">
        <w:t>inflation and</w:t>
      </w:r>
      <w:r w:rsidR="001730D7" w:rsidRPr="001730D7">
        <w:t xml:space="preserve"> </w:t>
      </w:r>
      <w:r w:rsidR="001730D7">
        <w:t xml:space="preserve">previous period rate of return. We also consider </w:t>
      </w:r>
      <w:r w:rsidR="001730D7">
        <w:lastRenderedPageBreak/>
        <w:t>Jemena's proposed adjustments for the</w:t>
      </w:r>
      <w:r w:rsidR="004B6822">
        <w:t xml:space="preserve"> previous period</w:t>
      </w:r>
      <w:r w:rsidR="00DC63AA">
        <w:t xml:space="preserve"> </w:t>
      </w:r>
      <w:r w:rsidR="00EC1597">
        <w:t>capex</w:t>
      </w:r>
      <w:r w:rsidR="004B6822">
        <w:t xml:space="preserve"> and </w:t>
      </w:r>
      <w:r w:rsidR="001730D7">
        <w:t xml:space="preserve">inclusion of </w:t>
      </w:r>
      <w:r w:rsidR="004B6822">
        <w:t>capitalised finance charges</w:t>
      </w:r>
      <w:r w:rsidR="001730D7">
        <w:t xml:space="preserve"> </w:t>
      </w:r>
      <w:r w:rsidR="00776FF3">
        <w:t xml:space="preserve">for 2011 </w:t>
      </w:r>
      <w:r w:rsidR="001730D7">
        <w:t>should be removed</w:t>
      </w:r>
      <w:r w:rsidRPr="00CA1CF5">
        <w:t>. These adjustments are discussed below.</w:t>
      </w:r>
    </w:p>
    <w:p w:rsidR="002F21E9" w:rsidRDefault="007742C7" w:rsidP="00BC2C2F">
      <w:pPr>
        <w:pStyle w:val="HeadingBoldBlue"/>
      </w:pPr>
      <w:bookmarkStart w:id="25" w:name="_Toc432665121"/>
      <w:bookmarkStart w:id="26" w:name="_Toc433103908"/>
      <w:r>
        <w:t>Actual i</w:t>
      </w:r>
      <w:r w:rsidR="00757FEC">
        <w:t>nflation</w:t>
      </w:r>
      <w:r w:rsidR="001730D7">
        <w:t xml:space="preserve"> inputs</w:t>
      </w:r>
      <w:bookmarkEnd w:id="25"/>
      <w:bookmarkEnd w:id="26"/>
    </w:p>
    <w:p w:rsidR="00F25732" w:rsidRDefault="009B6F3A" w:rsidP="00CA1CF5">
      <w:r>
        <w:t>Jemena</w:t>
      </w:r>
      <w:r w:rsidRPr="009B6F3A">
        <w:t xml:space="preserve"> did not apply the </w:t>
      </w:r>
      <w:r w:rsidR="008127F5">
        <w:t>established approach for</w:t>
      </w:r>
      <w:r w:rsidRPr="009B6F3A">
        <w:t xml:space="preserve"> </w:t>
      </w:r>
      <w:r w:rsidR="00C14F1D">
        <w:t xml:space="preserve">recording </w:t>
      </w:r>
      <w:r w:rsidRPr="009B6F3A">
        <w:t xml:space="preserve">actual CPI inflation rates in its proposed RFM. </w:t>
      </w:r>
      <w:r w:rsidR="00F25732">
        <w:t>Our approach to RAB indexation</w:t>
      </w:r>
      <w:r w:rsidR="009B5BA9">
        <w:t xml:space="preserve"> in the template RFM</w:t>
      </w:r>
      <w:r w:rsidR="00F25732">
        <w:t xml:space="preserve"> is to apply a one year lagged inflation rate to net capex and straight</w:t>
      </w:r>
      <w:r w:rsidR="00645405">
        <w:t>-</w:t>
      </w:r>
      <w:r w:rsidR="00F25732">
        <w:t xml:space="preserve">line depreciation </w:t>
      </w:r>
      <w:r w:rsidR="00645405" w:rsidRPr="009B6F3A">
        <w:t xml:space="preserve">consistent with the </w:t>
      </w:r>
      <w:r w:rsidR="00EA5133">
        <w:t>method of indexation used in the</w:t>
      </w:r>
      <w:r w:rsidR="00645405" w:rsidRPr="009B6F3A">
        <w:t xml:space="preserve"> control</w:t>
      </w:r>
      <w:r w:rsidR="00EA5133">
        <w:t xml:space="preserve"> mechanism</w:t>
      </w:r>
      <w:r w:rsidR="00645405" w:rsidRPr="009B6F3A">
        <w:t>.</w:t>
      </w:r>
      <w:r w:rsidR="00645405">
        <w:rPr>
          <w:rStyle w:val="FootnoteReference"/>
        </w:rPr>
        <w:footnoteReference w:id="28"/>
      </w:r>
      <w:r w:rsidR="00F25732" w:rsidRPr="009B6F3A">
        <w:t xml:space="preserve"> </w:t>
      </w:r>
      <w:r w:rsidR="00645405">
        <w:t xml:space="preserve">The actual CPI rate for each year is used to </w:t>
      </w:r>
      <w:r w:rsidR="00EA5133">
        <w:t>index</w:t>
      </w:r>
      <w:r w:rsidR="00645405">
        <w:t xml:space="preserve"> the opening RAB </w:t>
      </w:r>
      <w:r w:rsidR="00EA5133">
        <w:t>in the RFM</w:t>
      </w:r>
      <w:r w:rsidR="00645405">
        <w:t xml:space="preserve">. </w:t>
      </w:r>
      <w:r w:rsidR="00F25732">
        <w:t>In order to do this, t</w:t>
      </w:r>
      <w:r w:rsidRPr="009B6F3A">
        <w:t xml:space="preserve">he RFM requires </w:t>
      </w:r>
      <w:r w:rsidR="004348DC">
        <w:t xml:space="preserve">each </w:t>
      </w:r>
      <w:r w:rsidRPr="009B6F3A">
        <w:t xml:space="preserve">actual CPI </w:t>
      </w:r>
      <w:r w:rsidR="004348DC">
        <w:t>rate</w:t>
      </w:r>
      <w:r w:rsidR="00EA5133">
        <w:t xml:space="preserve"> measured for </w:t>
      </w:r>
      <w:r w:rsidR="004348DC">
        <w:t>a year to be recorded in that specific year</w:t>
      </w:r>
      <w:r w:rsidR="009B5BA9">
        <w:t xml:space="preserve"> (un-lagged)</w:t>
      </w:r>
      <w:r w:rsidR="00F25732">
        <w:t>.</w:t>
      </w:r>
      <w:r w:rsidR="00F25732">
        <w:rPr>
          <w:rStyle w:val="FootnoteReference"/>
        </w:rPr>
        <w:footnoteReference w:id="29"/>
      </w:r>
      <w:r w:rsidR="00F25732">
        <w:t xml:space="preserve"> </w:t>
      </w:r>
      <w:r w:rsidRPr="009B6F3A">
        <w:t xml:space="preserve">These actual observations are converted </w:t>
      </w:r>
      <w:r w:rsidR="004348DC">
        <w:t xml:space="preserve">as part of coding within the RFM </w:t>
      </w:r>
      <w:r w:rsidRPr="009B6F3A">
        <w:t xml:space="preserve">into a </w:t>
      </w:r>
      <w:r w:rsidR="00CF61CE">
        <w:t xml:space="preserve">one year </w:t>
      </w:r>
      <w:r w:rsidRPr="009B6F3A">
        <w:t>lag</w:t>
      </w:r>
      <w:r w:rsidR="00F25732">
        <w:t xml:space="preserve">ged index </w:t>
      </w:r>
      <w:r w:rsidR="004348DC">
        <w:t xml:space="preserve">for </w:t>
      </w:r>
      <w:r w:rsidR="00F25732">
        <w:t>use</w:t>
      </w:r>
      <w:r w:rsidR="004348DC">
        <w:t xml:space="preserve"> in the RAB roll forward process</w:t>
      </w:r>
      <w:r w:rsidRPr="009B6F3A">
        <w:t xml:space="preserve">. </w:t>
      </w:r>
      <w:r w:rsidR="00645405">
        <w:t xml:space="preserve">This approach is consistent with the current RFM template developed </w:t>
      </w:r>
      <w:r w:rsidR="00645405" w:rsidRPr="00645405">
        <w:t>in accordance with the NER</w:t>
      </w:r>
      <w:r w:rsidR="009B5BA9">
        <w:t xml:space="preserve"> and applied for other service providers</w:t>
      </w:r>
      <w:r w:rsidR="00645405">
        <w:t>.</w:t>
      </w:r>
      <w:r w:rsidR="00645405">
        <w:rPr>
          <w:rStyle w:val="FootnoteReference"/>
        </w:rPr>
        <w:footnoteReference w:id="30"/>
      </w:r>
      <w:r w:rsidR="00645405">
        <w:t xml:space="preserve"> </w:t>
      </w:r>
    </w:p>
    <w:p w:rsidR="00BC2C2F" w:rsidRDefault="00F25732" w:rsidP="00CA1CF5">
      <w:r>
        <w:t>Jemena</w:t>
      </w:r>
      <w:r w:rsidR="004348DC">
        <w:t>'s</w:t>
      </w:r>
      <w:r w:rsidR="009B6F3A" w:rsidRPr="009B6F3A">
        <w:t xml:space="preserve"> proposed </w:t>
      </w:r>
      <w:r w:rsidR="004348DC">
        <w:t xml:space="preserve">RFM contained </w:t>
      </w:r>
      <w:r w:rsidR="009B6F3A" w:rsidRPr="009B6F3A">
        <w:t xml:space="preserve">actual inflation inputs </w:t>
      </w:r>
      <w:r>
        <w:t xml:space="preserve">that </w:t>
      </w:r>
      <w:r w:rsidR="009B6F3A" w:rsidRPr="009B6F3A">
        <w:t xml:space="preserve">were already one year lagged observations. </w:t>
      </w:r>
      <w:r>
        <w:t xml:space="preserve">Jemena amended the </w:t>
      </w:r>
      <w:r w:rsidR="004348DC">
        <w:t>coding in the RFM</w:t>
      </w:r>
      <w:r>
        <w:t xml:space="preserve"> to </w:t>
      </w:r>
      <w:r w:rsidR="009B5BA9">
        <w:t>account for its</w:t>
      </w:r>
      <w:r>
        <w:t xml:space="preserve"> one year lagged CPI rate</w:t>
      </w:r>
      <w:r w:rsidR="009B5BA9">
        <w:t xml:space="preserve"> inputs</w:t>
      </w:r>
      <w:r>
        <w:t xml:space="preserve">. </w:t>
      </w:r>
      <w:r w:rsidR="009B5BA9">
        <w:t>However, we do not consider it appropriate for Jemena to change the method set out in the template R</w:t>
      </w:r>
      <w:r w:rsidR="007D301C">
        <w:t>F</w:t>
      </w:r>
      <w:r w:rsidR="009B5BA9">
        <w:t xml:space="preserve">M. </w:t>
      </w:r>
      <w:r w:rsidR="009B6F3A" w:rsidRPr="009B6F3A">
        <w:t xml:space="preserve">Our preliminary decision is to </w:t>
      </w:r>
      <w:r w:rsidR="00F73CB4">
        <w:t>apply our standard approach to RAB indexation</w:t>
      </w:r>
      <w:r w:rsidR="009B5BA9">
        <w:t>, consistent with the template RFM</w:t>
      </w:r>
      <w:r w:rsidR="00F73CB4">
        <w:t>. As such</w:t>
      </w:r>
      <w:r w:rsidR="00CF61CE">
        <w:t>,</w:t>
      </w:r>
      <w:r w:rsidR="00F73CB4">
        <w:t xml:space="preserve"> we have replaced</w:t>
      </w:r>
      <w:r w:rsidR="009B6F3A" w:rsidRPr="009B6F3A">
        <w:t xml:space="preserve"> </w:t>
      </w:r>
      <w:r>
        <w:t>Jemena</w:t>
      </w:r>
      <w:r w:rsidR="009B6F3A" w:rsidRPr="009B6F3A">
        <w:t xml:space="preserve">’s one year lagged CPI observations </w:t>
      </w:r>
      <w:r w:rsidR="009B5BA9">
        <w:t>so that they are recorded in the year related to their measure</w:t>
      </w:r>
      <w:r w:rsidR="00F73CB4">
        <w:t xml:space="preserve"> and removed Jemena's </w:t>
      </w:r>
      <w:r w:rsidR="009B5BA9">
        <w:t xml:space="preserve">coding </w:t>
      </w:r>
      <w:r w:rsidR="00F73CB4">
        <w:t xml:space="preserve">changes to the indexation formula. </w:t>
      </w:r>
      <w:r w:rsidR="009B6F3A" w:rsidRPr="009B6F3A">
        <w:t xml:space="preserve">We have </w:t>
      </w:r>
      <w:r w:rsidR="004348DC">
        <w:t xml:space="preserve">adopted Jemena's </w:t>
      </w:r>
      <w:r w:rsidR="009B6F3A" w:rsidRPr="009B6F3A">
        <w:t>use</w:t>
      </w:r>
      <w:r w:rsidR="004348DC">
        <w:t xml:space="preserve"> of</w:t>
      </w:r>
      <w:r w:rsidR="009B6F3A" w:rsidRPr="009B6F3A">
        <w:t xml:space="preserve"> an estimate </w:t>
      </w:r>
      <w:r w:rsidR="004348DC">
        <w:t xml:space="preserve">of CPI </w:t>
      </w:r>
      <w:r w:rsidR="009B6F3A" w:rsidRPr="009B6F3A">
        <w:t>for 2015, as the actual inflation is not yet known. Our final decision will update this estimate for actual 2015 inflation.</w:t>
      </w:r>
    </w:p>
    <w:p w:rsidR="00757FEC" w:rsidRDefault="00AE0232" w:rsidP="00757FEC">
      <w:pPr>
        <w:pStyle w:val="HeadingBoldBlue"/>
      </w:pPr>
      <w:bookmarkStart w:id="27" w:name="_Toc432665122"/>
      <w:bookmarkStart w:id="28" w:name="_Toc433103909"/>
      <w:r>
        <w:t>Previous period r</w:t>
      </w:r>
      <w:r w:rsidR="00757FEC">
        <w:t>ate of return</w:t>
      </w:r>
      <w:r w:rsidR="001730D7">
        <w:t xml:space="preserve"> input</w:t>
      </w:r>
      <w:bookmarkEnd w:id="27"/>
      <w:bookmarkEnd w:id="28"/>
    </w:p>
    <w:p w:rsidR="00757FEC" w:rsidRDefault="00BD48BA" w:rsidP="00757FEC">
      <w:r>
        <w:t>Jemena's proposed</w:t>
      </w:r>
      <w:r w:rsidR="00516B70">
        <w:t xml:space="preserve"> RFM</w:t>
      </w:r>
      <w:r>
        <w:t xml:space="preserve"> include</w:t>
      </w:r>
      <w:r w:rsidR="00516B70">
        <w:t>s</w:t>
      </w:r>
      <w:r>
        <w:t xml:space="preserve"> a half-year WACC allowance </w:t>
      </w:r>
      <w:r w:rsidR="00516B70">
        <w:t>for its</w:t>
      </w:r>
      <w:r>
        <w:t xml:space="preserve"> 2010 actual net capex</w:t>
      </w:r>
      <w:r w:rsidR="00516B70">
        <w:t xml:space="preserve"> inputs</w:t>
      </w:r>
      <w:r>
        <w:t xml:space="preserve">. We do not consider that a half-year WACC allowance should be applied to 2010 capex. This </w:t>
      </w:r>
      <w:r w:rsidR="00516B70">
        <w:t xml:space="preserve">assessment </w:t>
      </w:r>
      <w:r>
        <w:t xml:space="preserve">is consistent with the approach applied to </w:t>
      </w:r>
      <w:r w:rsidR="001608CE">
        <w:t xml:space="preserve">2010 </w:t>
      </w:r>
      <w:r>
        <w:t xml:space="preserve">capex </w:t>
      </w:r>
      <w:r w:rsidR="001608CE">
        <w:t>in</w:t>
      </w:r>
      <w:r>
        <w:t xml:space="preserve"> </w:t>
      </w:r>
      <w:r w:rsidR="00BA5A9A">
        <w:t>the revenue modelling by the Essential Services Commission</w:t>
      </w:r>
      <w:r w:rsidR="00362D5E">
        <w:t xml:space="preserve"> for the 2006–10 regulatory control period</w:t>
      </w:r>
      <w:r w:rsidR="001608CE">
        <w:t>.</w:t>
      </w:r>
      <w:r w:rsidR="001608CE">
        <w:rPr>
          <w:rStyle w:val="FootnoteReference"/>
        </w:rPr>
        <w:footnoteReference w:id="31"/>
      </w:r>
      <w:r w:rsidR="001608CE">
        <w:t xml:space="preserve"> Our preliminary decision is to remove the </w:t>
      </w:r>
      <w:r w:rsidR="001608CE" w:rsidRPr="001608CE">
        <w:t>half-year WACC</w:t>
      </w:r>
      <w:r w:rsidR="001608CE">
        <w:t xml:space="preserve"> allowance by setting the 2010 nominal </w:t>
      </w:r>
      <w:r w:rsidR="00F608C1">
        <w:t xml:space="preserve">(fixed </w:t>
      </w:r>
      <w:r w:rsidR="001608CE" w:rsidRPr="001608CE">
        <w:t>real time varying</w:t>
      </w:r>
      <w:r w:rsidR="00F608C1">
        <w:t>)</w:t>
      </w:r>
      <w:r w:rsidR="001608CE" w:rsidRPr="001608CE">
        <w:t xml:space="preserve"> </w:t>
      </w:r>
      <w:r w:rsidR="001608CE">
        <w:t xml:space="preserve">WACC </w:t>
      </w:r>
      <w:r w:rsidR="00F608C1">
        <w:t xml:space="preserve">cell </w:t>
      </w:r>
      <w:r w:rsidR="001608CE">
        <w:t xml:space="preserve">to </w:t>
      </w:r>
      <w:r w:rsidR="00F608C1">
        <w:t>zero</w:t>
      </w:r>
      <w:r w:rsidR="001608CE">
        <w:t xml:space="preserve"> in the RFM</w:t>
      </w:r>
      <w:r>
        <w:t>.</w:t>
      </w:r>
      <w:r w:rsidR="00F608C1">
        <w:rPr>
          <w:rStyle w:val="FootnoteReference"/>
        </w:rPr>
        <w:footnoteReference w:id="32"/>
      </w:r>
      <w:r w:rsidR="000A2929">
        <w:t xml:space="preserve"> This is consistent with the approach adopted by other Victorian distributors in their proposals—CitiPower, Powercor and United Energy.</w:t>
      </w:r>
    </w:p>
    <w:p w:rsidR="00BC2C2F" w:rsidRDefault="00757FEC" w:rsidP="00BC2C2F">
      <w:pPr>
        <w:pStyle w:val="HeadingBoldBlue"/>
      </w:pPr>
      <w:bookmarkStart w:id="29" w:name="_Toc432665123"/>
      <w:bookmarkStart w:id="30" w:name="_Toc433103910"/>
      <w:r>
        <w:lastRenderedPageBreak/>
        <w:t>Adjustment for previous period capex</w:t>
      </w:r>
      <w:bookmarkEnd w:id="29"/>
      <w:bookmarkEnd w:id="30"/>
    </w:p>
    <w:p w:rsidR="00757FEC" w:rsidRPr="00AE0232" w:rsidRDefault="00C847FF" w:rsidP="00AE0232">
      <w:r>
        <w:t>Our</w:t>
      </w:r>
      <w:r w:rsidR="004550C0">
        <w:t xml:space="preserve"> </w:t>
      </w:r>
      <w:r>
        <w:t>2011–15</w:t>
      </w:r>
      <w:r w:rsidR="00E809A7">
        <w:t xml:space="preserve"> determination made </w:t>
      </w:r>
      <w:r w:rsidR="00FA2084">
        <w:t xml:space="preserve">an adjustment </w:t>
      </w:r>
      <w:r w:rsidR="004550C0">
        <w:t xml:space="preserve">to account for the difference between 2005 actual and forecast net capex </w:t>
      </w:r>
      <w:r w:rsidR="00E809A7">
        <w:t>when</w:t>
      </w:r>
      <w:r w:rsidR="00FA2084">
        <w:t xml:space="preserve"> establishing the opening RAB at 1 January 2011.</w:t>
      </w:r>
      <w:r w:rsidR="00BD500F">
        <w:t xml:space="preserve"> Jemena </w:t>
      </w:r>
      <w:r w:rsidR="00FA2084">
        <w:t xml:space="preserve">proposed an </w:t>
      </w:r>
      <w:r w:rsidR="00BD500F">
        <w:t>alter</w:t>
      </w:r>
      <w:r w:rsidR="00FA2084">
        <w:t>ation</w:t>
      </w:r>
      <w:r w:rsidR="00E809A7">
        <w:t xml:space="preserve"> in</w:t>
      </w:r>
      <w:r w:rsidR="00BD500F">
        <w:t xml:space="preserve"> the RFM to account for the difference between </w:t>
      </w:r>
      <w:r w:rsidR="00E809A7">
        <w:t xml:space="preserve">2005 </w:t>
      </w:r>
      <w:r w:rsidR="00BD500F">
        <w:t xml:space="preserve">actual and forecast </w:t>
      </w:r>
      <w:r w:rsidR="00E809A7">
        <w:t>net</w:t>
      </w:r>
      <w:r w:rsidR="00BD500F">
        <w:t xml:space="preserve"> capex </w:t>
      </w:r>
      <w:r w:rsidR="00E809A7">
        <w:t xml:space="preserve">as </w:t>
      </w:r>
      <w:r w:rsidR="00BD500F">
        <w:t xml:space="preserve">allowed </w:t>
      </w:r>
      <w:r w:rsidR="00E809A7">
        <w:t>in</w:t>
      </w:r>
      <w:r w:rsidR="00BD500F">
        <w:t xml:space="preserve"> the </w:t>
      </w:r>
      <w:r w:rsidR="00E809A7">
        <w:t>201</w:t>
      </w:r>
      <w:r>
        <w:t>1–15</w:t>
      </w:r>
      <w:r w:rsidR="00BD500F">
        <w:t xml:space="preserve"> determination. In </w:t>
      </w:r>
      <w:r w:rsidR="00FA2084">
        <w:t>making these amendments the proposed</w:t>
      </w:r>
      <w:r w:rsidR="00BD500F">
        <w:t xml:space="preserve"> RFM </w:t>
      </w:r>
      <w:r w:rsidR="00FA2084">
        <w:t xml:space="preserve">no longer </w:t>
      </w:r>
      <w:r w:rsidR="00BD500F">
        <w:t xml:space="preserve">calculate </w:t>
      </w:r>
      <w:r w:rsidR="00FA2084">
        <w:t>the depreciation of the RAB correctly</w:t>
      </w:r>
      <w:r w:rsidR="00BD500F">
        <w:t>.</w:t>
      </w:r>
      <w:r w:rsidR="00FA2084">
        <w:t xml:space="preserve"> We consider that the RFM does not require the </w:t>
      </w:r>
      <w:r w:rsidR="00E809A7">
        <w:t>alteration made by Jemena</w:t>
      </w:r>
      <w:r w:rsidR="00FA2084">
        <w:t xml:space="preserve"> to account for </w:t>
      </w:r>
      <w:r w:rsidR="00E809A7">
        <w:t>the 2005 capex</w:t>
      </w:r>
      <w:r w:rsidR="009507FC">
        <w:t xml:space="preserve"> adjustment</w:t>
      </w:r>
      <w:r w:rsidR="00FA2084">
        <w:t xml:space="preserve">. </w:t>
      </w:r>
      <w:r w:rsidR="00E809A7">
        <w:t>Th</w:t>
      </w:r>
      <w:r w:rsidR="004550C0">
        <w:t>is is because the</w:t>
      </w:r>
      <w:r w:rsidR="00E809A7">
        <w:t xml:space="preserve"> RFM </w:t>
      </w:r>
      <w:r w:rsidR="004550C0">
        <w:t>contain</w:t>
      </w:r>
      <w:r w:rsidR="00E809A7">
        <w:t xml:space="preserve"> input spaces which readily accommodate this adjustment. </w:t>
      </w:r>
      <w:r w:rsidR="00FA2084">
        <w:t xml:space="preserve">Our preliminary decision is to remove the proposed amendments to the RFM and </w:t>
      </w:r>
      <w:r w:rsidR="00E809A7">
        <w:t xml:space="preserve">record </w:t>
      </w:r>
      <w:r w:rsidR="00FA2084">
        <w:t xml:space="preserve">the difference between </w:t>
      </w:r>
      <w:r w:rsidR="00E809A7">
        <w:t xml:space="preserve">2005 </w:t>
      </w:r>
      <w:r w:rsidR="00FA2084">
        <w:t xml:space="preserve">actual and forecast </w:t>
      </w:r>
      <w:r w:rsidR="00E809A7">
        <w:t>net</w:t>
      </w:r>
      <w:r w:rsidR="00FA2084">
        <w:t xml:space="preserve"> capex</w:t>
      </w:r>
      <w:r w:rsidR="00E809A7">
        <w:t xml:space="preserve"> (</w:t>
      </w:r>
      <w:r w:rsidR="00FA2084">
        <w:t>and return on this difference</w:t>
      </w:r>
      <w:r w:rsidR="00E809A7">
        <w:t xml:space="preserve">) </w:t>
      </w:r>
      <w:r w:rsidR="004550C0">
        <w:t>in</w:t>
      </w:r>
      <w:r w:rsidR="00FA2084">
        <w:t xml:space="preserve">to the RFM </w:t>
      </w:r>
      <w:r w:rsidR="004550C0">
        <w:t>'I</w:t>
      </w:r>
      <w:r w:rsidR="00FA2084">
        <w:t>nput</w:t>
      </w:r>
      <w:r w:rsidR="004550C0">
        <w:t>'</w:t>
      </w:r>
      <w:r w:rsidR="00FA2084">
        <w:t xml:space="preserve"> sheet. We consider this </w:t>
      </w:r>
      <w:r w:rsidR="004550C0">
        <w:t xml:space="preserve">is </w:t>
      </w:r>
      <w:r w:rsidR="00FA2084">
        <w:t xml:space="preserve">the appropriate approach to account for this adjustment required to </w:t>
      </w:r>
      <w:r w:rsidR="00612A33">
        <w:t xml:space="preserve">establish </w:t>
      </w:r>
      <w:r w:rsidR="00FA2084">
        <w:t>the 2011 opening RAB.</w:t>
      </w:r>
    </w:p>
    <w:p w:rsidR="00757FEC" w:rsidRDefault="00757FEC" w:rsidP="00757FEC">
      <w:pPr>
        <w:pStyle w:val="HeadingBoldBlue"/>
      </w:pPr>
      <w:bookmarkStart w:id="31" w:name="_Toc432665124"/>
      <w:bookmarkStart w:id="32" w:name="_Toc433103911"/>
      <w:r>
        <w:t>C</w:t>
      </w:r>
      <w:r w:rsidRPr="00757FEC">
        <w:t>apitalised finance charges</w:t>
      </w:r>
      <w:bookmarkEnd w:id="31"/>
      <w:bookmarkEnd w:id="32"/>
    </w:p>
    <w:p w:rsidR="00757FEC" w:rsidRPr="00AE0232" w:rsidRDefault="00612A33" w:rsidP="00AE0232">
      <w:r>
        <w:t xml:space="preserve">Jemena's proposed actual gross capex for 2011 includes $2.7 million ($ nominal) in capitalised finance charges. </w:t>
      </w:r>
      <w:r w:rsidR="00100502">
        <w:t>We</w:t>
      </w:r>
      <w:r w:rsidRPr="00612A33">
        <w:t xml:space="preserve"> consider that capitalised </w:t>
      </w:r>
      <w:r>
        <w:t>finance charges</w:t>
      </w:r>
      <w:r w:rsidRPr="00612A33">
        <w:t xml:space="preserve"> should </w:t>
      </w:r>
      <w:r>
        <w:t xml:space="preserve">not be included </w:t>
      </w:r>
      <w:r w:rsidR="00100502">
        <w:t>as part of</w:t>
      </w:r>
      <w:r>
        <w:t xml:space="preserve"> </w:t>
      </w:r>
      <w:r w:rsidRPr="00612A33">
        <w:t>capex in the RFM</w:t>
      </w:r>
      <w:r w:rsidR="00100502">
        <w:t xml:space="preserve"> because capex is recognised on an as-incurred basis</w:t>
      </w:r>
      <w:r w:rsidRPr="00612A33">
        <w:t xml:space="preserve">. </w:t>
      </w:r>
      <w:r>
        <w:t xml:space="preserve">In </w:t>
      </w:r>
      <w:r w:rsidR="004550C0">
        <w:t>response to an information request</w:t>
      </w:r>
      <w:r w:rsidR="001346CF">
        <w:t xml:space="preserve"> from us</w:t>
      </w:r>
      <w:r w:rsidR="004550C0">
        <w:t>,</w:t>
      </w:r>
      <w:r>
        <w:t xml:space="preserve"> Jemena acknowledge</w:t>
      </w:r>
      <w:r w:rsidR="004550C0">
        <w:t>d</w:t>
      </w:r>
      <w:r>
        <w:t xml:space="preserve"> that</w:t>
      </w:r>
      <w:r w:rsidR="00A2527A">
        <w:t xml:space="preserve"> including capitalised finance charges in actual capex was an oversight.</w:t>
      </w:r>
      <w:r w:rsidR="00A2527A">
        <w:rPr>
          <w:rStyle w:val="FootnoteReference"/>
        </w:rPr>
        <w:footnoteReference w:id="33"/>
      </w:r>
      <w:r w:rsidR="00A2527A">
        <w:t xml:space="preserve"> Our preliminary decision is to remove $2.7 million ($ nominal) in capitalised finance charges from Jemena's proposed 2011 gross capex.</w:t>
      </w:r>
    </w:p>
    <w:p w:rsidR="002F21E9" w:rsidRPr="00B951BC" w:rsidRDefault="002F21E9" w:rsidP="002F21E9">
      <w:pPr>
        <w:pStyle w:val="Heading3"/>
      </w:pPr>
      <w:bookmarkStart w:id="33" w:name="_Toc433173399"/>
      <w:r w:rsidRPr="00B951BC">
        <w:t>Forecast closing RAB as at 31 December 2020</w:t>
      </w:r>
      <w:bookmarkEnd w:id="33"/>
    </w:p>
    <w:p w:rsidR="00BC2C2F" w:rsidRDefault="00BC2C2F" w:rsidP="00BC2C2F">
      <w:r>
        <w:t>We forecast a closing RAB value of $</w:t>
      </w:r>
      <w:r w:rsidR="00BD4879">
        <w:t>1684.0 </w:t>
      </w:r>
      <w:r>
        <w:t xml:space="preserve">million ($ nominal) by 31 December 2020 for Jemena. This represents a reduction of </w:t>
      </w:r>
      <w:r w:rsidR="00A61D73">
        <w:t>4</w:t>
      </w:r>
      <w:r w:rsidR="00BD4879">
        <w:t>6.4</w:t>
      </w:r>
      <w:r>
        <w:t xml:space="preserve"> million, or </w:t>
      </w:r>
      <w:r w:rsidR="00A61D73">
        <w:t>2.</w:t>
      </w:r>
      <w:r w:rsidR="00BD4879">
        <w:t>7</w:t>
      </w:r>
      <w:r>
        <w:t> per cent to Jemena's proposal. This reduction reflects our preliminary decision on the required inputs for determining the forecast RAB in the PTRM. To determine the forecast RAB value, we amended the following PTRM inputs:</w:t>
      </w:r>
    </w:p>
    <w:p w:rsidR="00BC2C2F" w:rsidRDefault="00BC2C2F" w:rsidP="00BC2C2F">
      <w:pPr>
        <w:pStyle w:val="AERbulletlistfirststyle"/>
      </w:pPr>
      <w:r>
        <w:t xml:space="preserve">We adjusted the opening RAB at 1 January 2016, as discussed in section </w:t>
      </w:r>
      <w:r>
        <w:fldChar w:fldCharType="begin"/>
      </w:r>
      <w:r>
        <w:instrText xml:space="preserve"> REF _Ref425321350 \r \h </w:instrText>
      </w:r>
      <w:r>
        <w:fldChar w:fldCharType="separate"/>
      </w:r>
      <w:r w:rsidR="00E86890">
        <w:t>2.4.1</w:t>
      </w:r>
      <w:r>
        <w:fldChar w:fldCharType="end"/>
      </w:r>
      <w:r>
        <w:t>.</w:t>
      </w:r>
    </w:p>
    <w:p w:rsidR="00C6770A" w:rsidRDefault="00C6770A" w:rsidP="00C6770A">
      <w:pPr>
        <w:pStyle w:val="AERbulletlistfirststyle"/>
      </w:pPr>
      <w:r>
        <w:t xml:space="preserve">We reduced the proposed forecast inflation rate of </w:t>
      </w:r>
      <w:r w:rsidR="00A61D73">
        <w:t>2.52</w:t>
      </w:r>
      <w:r>
        <w:t xml:space="preserve"> per cent per annum to </w:t>
      </w:r>
      <w:r w:rsidR="00A61D73">
        <w:t>2.50</w:t>
      </w:r>
      <w:r>
        <w:t xml:space="preserve"> per cent per annum (attachment 3).</w:t>
      </w:r>
    </w:p>
    <w:p w:rsidR="00BC2C2F" w:rsidRDefault="00BC2C2F" w:rsidP="00BC2C2F">
      <w:pPr>
        <w:pStyle w:val="AERbulletlistfirststyle"/>
      </w:pPr>
      <w:r>
        <w:t>We reduced the proposed forecast capex for the 201</w:t>
      </w:r>
      <w:r w:rsidR="001620E4">
        <w:t>6</w:t>
      </w:r>
      <w:r>
        <w:t>–20 regulatory control period by $</w:t>
      </w:r>
      <w:r w:rsidR="00DC6EF7">
        <w:t>4</w:t>
      </w:r>
      <w:r w:rsidR="00BD4879">
        <w:t>8.1 </w:t>
      </w:r>
      <w:r>
        <w:t xml:space="preserve">million or </w:t>
      </w:r>
      <w:r w:rsidR="00DC6EF7">
        <w:t>6.</w:t>
      </w:r>
      <w:r w:rsidR="00BD4879">
        <w:t>1</w:t>
      </w:r>
      <w:r>
        <w:t> per cent (attachment 6).</w:t>
      </w:r>
    </w:p>
    <w:p w:rsidR="002F21E9" w:rsidRDefault="00BC2C2F" w:rsidP="00CA1CF5">
      <w:pPr>
        <w:pStyle w:val="AERbulletlistfirststyle"/>
      </w:pPr>
      <w:r>
        <w:t xml:space="preserve">We reduced the proposed forecast regulatory depreciation </w:t>
      </w:r>
      <w:r w:rsidR="004A5EB9">
        <w:t xml:space="preserve">for the 2016–20 regulatory control period </w:t>
      </w:r>
      <w:r>
        <w:t>by $</w:t>
      </w:r>
      <w:r w:rsidR="00DC6EF7">
        <w:t>5.5</w:t>
      </w:r>
      <w:r>
        <w:t xml:space="preserve"> million or </w:t>
      </w:r>
      <w:r w:rsidR="00DC6EF7">
        <w:t>2.3</w:t>
      </w:r>
      <w:r>
        <w:t> per cent (attachment 5).</w:t>
      </w:r>
    </w:p>
    <w:p w:rsidR="00453477" w:rsidRPr="00453477" w:rsidRDefault="00453477" w:rsidP="00453477">
      <w:pPr>
        <w:pStyle w:val="AERbulletlistfirststyle"/>
        <w:numPr>
          <w:ilvl w:val="0"/>
          <w:numId w:val="0"/>
        </w:numPr>
      </w:pPr>
      <w:r w:rsidRPr="00453477">
        <w:t xml:space="preserve">A submission from the Victorian Energy Consumer and User Alliance raised concern about the substantial growth in the value of the RAB for the Victorian DNSPs in recent </w:t>
      </w:r>
      <w:r w:rsidRPr="00453477">
        <w:lastRenderedPageBreak/>
        <w:t>years.</w:t>
      </w:r>
      <w:r w:rsidRPr="00453477">
        <w:rPr>
          <w:rStyle w:val="FootnoteReference"/>
        </w:rPr>
        <w:footnoteReference w:id="34"/>
      </w:r>
      <w:r w:rsidRPr="00453477">
        <w:t xml:space="preserve"> </w:t>
      </w:r>
      <w:r w:rsidR="000B58EC" w:rsidRPr="000B58EC">
        <w:t xml:space="preserve">We have carefully reviewed </w:t>
      </w:r>
      <w:r w:rsidR="000B58EC">
        <w:t xml:space="preserve">the cost drivers of </w:t>
      </w:r>
      <w:r w:rsidR="000B58EC" w:rsidRPr="000B58EC">
        <w:t xml:space="preserve">Jemena's </w:t>
      </w:r>
      <w:r w:rsidR="000B58EC">
        <w:t>forecast</w:t>
      </w:r>
      <w:r w:rsidR="000B58EC" w:rsidRPr="000B58EC">
        <w:t xml:space="preserve"> capex </w:t>
      </w:r>
      <w:r w:rsidR="000B58EC">
        <w:t xml:space="preserve">in terms of </w:t>
      </w:r>
      <w:r w:rsidR="000B58EC" w:rsidRPr="000B58EC">
        <w:t>pruden</w:t>
      </w:r>
      <w:r w:rsidR="000B58EC">
        <w:t>cy and efficiency</w:t>
      </w:r>
      <w:r w:rsidR="000B58EC" w:rsidRPr="000B58EC">
        <w:t>.</w:t>
      </w:r>
      <w:r w:rsidR="000B58EC">
        <w:t xml:space="preserve"> </w:t>
      </w:r>
      <w:r w:rsidR="000B58EC">
        <w:rPr>
          <w:rStyle w:val="AERbody"/>
        </w:rPr>
        <w:t>W</w:t>
      </w:r>
      <w:r w:rsidR="000B58EC" w:rsidRPr="000B58EC">
        <w:rPr>
          <w:rStyle w:val="AERbody"/>
        </w:rPr>
        <w:t xml:space="preserve">e are </w:t>
      </w:r>
      <w:r w:rsidR="000B58EC" w:rsidRPr="000B58EC">
        <w:t xml:space="preserve">not satisfied </w:t>
      </w:r>
      <w:r w:rsidR="00CB26DD">
        <w:t xml:space="preserve">that </w:t>
      </w:r>
      <w:r w:rsidR="000B58EC" w:rsidRPr="000B58EC">
        <w:t xml:space="preserve">Jemena proposed the most prudent and efficient option to address the need for augmentation </w:t>
      </w:r>
      <w:r w:rsidR="000B58EC">
        <w:t xml:space="preserve">capex </w:t>
      </w:r>
      <w:r w:rsidR="000B58EC" w:rsidRPr="000B58EC">
        <w:rPr>
          <w:rStyle w:val="AERbody"/>
        </w:rPr>
        <w:t>to maintain security and reliability of supply</w:t>
      </w:r>
      <w:r w:rsidR="00CB26DD">
        <w:rPr>
          <w:rStyle w:val="AERbody"/>
        </w:rPr>
        <w:t>.</w:t>
      </w:r>
      <w:r w:rsidR="000B58EC" w:rsidRPr="000B58EC">
        <w:t xml:space="preserve"> </w:t>
      </w:r>
      <w:r w:rsidR="005428F5">
        <w:t xml:space="preserve">However, </w:t>
      </w:r>
      <w:r w:rsidR="00CB26DD">
        <w:t xml:space="preserve">a greater proportion of </w:t>
      </w:r>
      <w:r w:rsidR="000B58EC" w:rsidRPr="000B58EC">
        <w:t xml:space="preserve">Jemena's network assets are nearing the end of their life. This </w:t>
      </w:r>
      <w:r w:rsidR="000B58EC" w:rsidRPr="000B58EC">
        <w:rPr>
          <w:rStyle w:val="AERbodytextChar"/>
          <w:rFonts w:eastAsiaTheme="minorHAnsi"/>
        </w:rPr>
        <w:t xml:space="preserve">requires increased replacement capex to manage the deterioration in asset condition. </w:t>
      </w:r>
      <w:r w:rsidRPr="00453477">
        <w:t xml:space="preserve">Our preliminary decision is to reduce the proposed capex, a main driver of the increase in the value of </w:t>
      </w:r>
      <w:r>
        <w:t>Jemena</w:t>
      </w:r>
      <w:r w:rsidRPr="00453477">
        <w:t>'s RAB, by $</w:t>
      </w:r>
      <w:r>
        <w:t>48.1 </w:t>
      </w:r>
      <w:r w:rsidRPr="00453477">
        <w:t xml:space="preserve">million. The details of our assessment of </w:t>
      </w:r>
      <w:r>
        <w:t>Jemena</w:t>
      </w:r>
      <w:r w:rsidRPr="00453477">
        <w:t xml:space="preserve">'s capex are set out in attachment 6. </w:t>
      </w:r>
    </w:p>
    <w:p w:rsidR="002F21E9" w:rsidRDefault="002F21E9" w:rsidP="002F21E9">
      <w:pPr>
        <w:pStyle w:val="Heading3"/>
      </w:pPr>
      <w:bookmarkStart w:id="34" w:name="_Toc433173400"/>
      <w:r w:rsidRPr="00B951BC">
        <w:t>Application of depreciation approach in RAB roll forward for next reset</w:t>
      </w:r>
      <w:bookmarkEnd w:id="34"/>
    </w:p>
    <w:p w:rsidR="00BC2C2F" w:rsidRPr="00BC2C2F" w:rsidRDefault="00BC2C2F" w:rsidP="00BC2C2F">
      <w:r>
        <w:t>Jemena</w:t>
      </w:r>
      <w:r w:rsidRPr="00BC2C2F">
        <w:t xml:space="preserve"> did not propose a depreciation approach to roll forward the RAB for the commencement of its 202</w:t>
      </w:r>
      <w:r>
        <w:t>1</w:t>
      </w:r>
      <w:r w:rsidRPr="00BC2C2F">
        <w:t>–25 regulatory control period.</w:t>
      </w:r>
    </w:p>
    <w:p w:rsidR="00474EC7" w:rsidRPr="00474EC7" w:rsidRDefault="00BC2C2F" w:rsidP="00474EC7">
      <w:r w:rsidRPr="00BC2C2F">
        <w:t>We consider that the depreciation approach based on forecast capex (updated for actual inflation) should be used. This approach was signalled in the AER's framework and approach.</w:t>
      </w:r>
      <w:r>
        <w:rPr>
          <w:rStyle w:val="FootnoteReference"/>
        </w:rPr>
        <w:footnoteReference w:id="35"/>
      </w:r>
      <w:r w:rsidRPr="00BC2C2F">
        <w:t xml:space="preserve"> As discussed in attachment 10, </w:t>
      </w:r>
      <w:r>
        <w:t>Jemena</w:t>
      </w:r>
      <w:r w:rsidRPr="00BC2C2F">
        <w:t xml:space="preserve"> is not currently subject to a capital expenditure sharing scheme </w:t>
      </w:r>
      <w:r w:rsidR="00D85296">
        <w:t xml:space="preserve">(CESS) </w:t>
      </w:r>
      <w:r w:rsidRPr="00BC2C2F">
        <w:t xml:space="preserve">but we will apply the CESS to </w:t>
      </w:r>
      <w:r>
        <w:t>Jemena</w:t>
      </w:r>
      <w:r w:rsidRPr="00BC2C2F">
        <w:t xml:space="preserve"> over the 201</w:t>
      </w:r>
      <w:r>
        <w:t>6</w:t>
      </w:r>
      <w:r w:rsidRPr="00BC2C2F">
        <w:t xml:space="preserve">–20 regulatory control period. We consider this scheme will provide sufficient incentives for </w:t>
      </w:r>
      <w:r>
        <w:t>Jemena</w:t>
      </w:r>
      <w:r w:rsidRPr="00BC2C2F">
        <w:t xml:space="preserve"> to achieve capex efficiency gains over that period. We are satisfied that the use of a forecast depreciation approach in combination with the application of the CESS and our other ex post capex measures are sufficient to achieve the capex incentive objective.</w:t>
      </w:r>
      <w:r>
        <w:rPr>
          <w:rStyle w:val="FootnoteReference"/>
        </w:rPr>
        <w:footnoteReference w:id="36"/>
      </w:r>
      <w:r w:rsidR="008004D9">
        <w:t xml:space="preserve"> </w:t>
      </w:r>
      <w:bookmarkStart w:id="35" w:name="_GoBack"/>
      <w:bookmarkEnd w:id="35"/>
    </w:p>
    <w:sectPr w:rsidR="00474EC7" w:rsidRPr="00474EC7" w:rsidSect="00B757A6">
      <w:headerReference w:type="even" r:id="rId13"/>
      <w:footerReference w:type="even" r:id="rId14"/>
      <w:footerReference w:type="default" r:id="rId15"/>
      <w:headerReference w:type="first" r:id="rId16"/>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55" w:rsidRPr="00290C63" w:rsidRDefault="00913655" w:rsidP="00290C63">
      <w:r>
        <w:separator/>
      </w:r>
    </w:p>
    <w:p w:rsidR="00913655" w:rsidRDefault="00913655"/>
  </w:endnote>
  <w:endnote w:type="continuationSeparator" w:id="0">
    <w:p w:rsidR="00913655" w:rsidRPr="00290C63" w:rsidRDefault="00913655" w:rsidP="00290C63">
      <w:r>
        <w:continuationSeparator/>
      </w:r>
    </w:p>
    <w:p w:rsidR="00913655" w:rsidRDefault="00913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55" w:rsidRDefault="0091365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913655" w:rsidRDefault="00913655">
    <w:pPr>
      <w:pStyle w:val="Footer"/>
    </w:pPr>
  </w:p>
  <w:p w:rsidR="00913655" w:rsidRDefault="00913655">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913655" w:rsidRPr="00CA52A2" w:rsidRDefault="00913655" w:rsidP="00CA52A2">
        <w:pPr>
          <w:pStyle w:val="Footer"/>
        </w:pPr>
        <w:r w:rsidRPr="00CA52A2">
          <w:fldChar w:fldCharType="begin"/>
        </w:r>
        <w:r>
          <w:instrText xml:space="preserve"> PAGE   \* MERGEFORMAT </w:instrText>
        </w:r>
        <w:r w:rsidRPr="00CA52A2">
          <w:fldChar w:fldCharType="separate"/>
        </w:r>
        <w:r w:rsidR="00330C5B">
          <w:rPr>
            <w:noProof/>
          </w:rPr>
          <w:t>2-16</w:t>
        </w:r>
        <w:r w:rsidRPr="00CA52A2">
          <w:fldChar w:fldCharType="end"/>
        </w:r>
        <w:r w:rsidRPr="00CA52A2">
          <w:t xml:space="preserve">          Attachment </w:t>
        </w:r>
        <w:r>
          <w:t xml:space="preserve">2 </w:t>
        </w:r>
        <w:r w:rsidRPr="00CA52A2">
          <w:t xml:space="preserve">– </w:t>
        </w:r>
        <w:r>
          <w:t xml:space="preserve">Regulatory asset base </w:t>
        </w:r>
        <w:r w:rsidRPr="00CA52A2">
          <w:t xml:space="preserve">| </w:t>
        </w:r>
        <w:r>
          <w:t>Jemena</w:t>
        </w:r>
        <w:r w:rsidRPr="00CA52A2">
          <w:t xml:space="preserve"> </w:t>
        </w:r>
        <w:r>
          <w:t>Preliminary decision 2016</w:t>
        </w:r>
        <w:r w:rsidRPr="00CA52A2">
          <w:t>–</w:t>
        </w:r>
        <w:r>
          <w:t>20</w:t>
        </w:r>
      </w:p>
    </w:sdtContent>
  </w:sdt>
  <w:p w:rsidR="00913655" w:rsidRDefault="00913655">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55" w:rsidRPr="00290C63" w:rsidRDefault="00913655" w:rsidP="00290C63">
      <w:r>
        <w:separator/>
      </w:r>
    </w:p>
    <w:p w:rsidR="00913655" w:rsidRDefault="00913655"/>
  </w:footnote>
  <w:footnote w:type="continuationSeparator" w:id="0">
    <w:p w:rsidR="00913655" w:rsidRPr="00290C63" w:rsidRDefault="00913655" w:rsidP="00290C63">
      <w:r>
        <w:continuationSeparator/>
      </w:r>
    </w:p>
    <w:p w:rsidR="00913655" w:rsidRDefault="00913655"/>
  </w:footnote>
  <w:footnote w:id="1">
    <w:p w:rsidR="00913655" w:rsidRDefault="00913655">
      <w:pPr>
        <w:pStyle w:val="FootnoteText"/>
      </w:pPr>
      <w:r>
        <w:rPr>
          <w:rStyle w:val="FootnoteReference"/>
        </w:rPr>
        <w:footnoteRef/>
      </w:r>
      <w:r>
        <w:t xml:space="preserve"> </w:t>
      </w:r>
      <w:r>
        <w:tab/>
      </w:r>
      <w:r w:rsidRPr="003540A6">
        <w:t xml:space="preserve">NER, </w:t>
      </w:r>
      <w:r>
        <w:t>cl.</w:t>
      </w:r>
      <w:r w:rsidRPr="003540A6">
        <w:t xml:space="preserve"> 6.12.1(6).</w:t>
      </w:r>
    </w:p>
  </w:footnote>
  <w:footnote w:id="2">
    <w:p w:rsidR="00913655" w:rsidRDefault="00913655" w:rsidP="00434D01">
      <w:pPr>
        <w:pStyle w:val="FootnoteText"/>
      </w:pPr>
      <w:r>
        <w:rPr>
          <w:rStyle w:val="FootnoteReference"/>
        </w:rPr>
        <w:footnoteRef/>
      </w:r>
      <w:r>
        <w:t xml:space="preserve"> </w:t>
      </w:r>
      <w:r>
        <w:tab/>
        <w:t>Jemena,</w:t>
      </w:r>
      <w:r w:rsidRPr="00445029">
        <w:t xml:space="preserve"> </w:t>
      </w:r>
      <w:r w:rsidRPr="00445029">
        <w:rPr>
          <w:rStyle w:val="AERtextitalic"/>
        </w:rPr>
        <w:t>Regulatory proposal</w:t>
      </w:r>
      <w:r w:rsidRPr="00445029">
        <w:t xml:space="preserve">, </w:t>
      </w:r>
      <w:r>
        <w:t>April 2015</w:t>
      </w:r>
      <w:r w:rsidRPr="00445029">
        <w:t xml:space="preserve">, p. </w:t>
      </w:r>
      <w:r>
        <w:t>53</w:t>
      </w:r>
      <w:r w:rsidRPr="00445029">
        <w:t xml:space="preserve">, Table </w:t>
      </w:r>
      <w:r>
        <w:t>6-7</w:t>
      </w:r>
      <w:r w:rsidRPr="00445029">
        <w:t>.</w:t>
      </w:r>
    </w:p>
  </w:footnote>
  <w:footnote w:id="3">
    <w:p w:rsidR="00913655" w:rsidRDefault="00913655" w:rsidP="00955006">
      <w:pPr>
        <w:pStyle w:val="FootnoteText"/>
      </w:pPr>
      <w:r>
        <w:rPr>
          <w:rStyle w:val="FootnoteReference"/>
        </w:rPr>
        <w:footnoteRef/>
      </w:r>
      <w:r>
        <w:t xml:space="preserve"> </w:t>
      </w:r>
      <w:r>
        <w:tab/>
        <w:t>The end of period adjustment will be positive (negative) if actual capex is higher (lower) than the estimate approved at the 2011–15 determination.</w:t>
      </w:r>
    </w:p>
  </w:footnote>
  <w:footnote w:id="4">
    <w:p w:rsidR="00913655" w:rsidRDefault="00913655" w:rsidP="00434D01">
      <w:pPr>
        <w:pStyle w:val="FootnoteText"/>
      </w:pPr>
      <w:r>
        <w:rPr>
          <w:rStyle w:val="FootnoteReference"/>
        </w:rPr>
        <w:footnoteRef/>
      </w:r>
      <w:r>
        <w:t xml:space="preserve"> </w:t>
      </w:r>
      <w:r>
        <w:tab/>
        <w:t>NER, cl. 6.12.1(18).</w:t>
      </w:r>
    </w:p>
  </w:footnote>
  <w:footnote w:id="5">
    <w:p w:rsidR="00913655" w:rsidRDefault="00913655" w:rsidP="00434D01">
      <w:pPr>
        <w:pStyle w:val="FootnoteText"/>
      </w:pPr>
      <w:r>
        <w:rPr>
          <w:rStyle w:val="FootnoteReference"/>
        </w:rPr>
        <w:footnoteRef/>
      </w:r>
      <w:r>
        <w:t xml:space="preserve"> </w:t>
      </w:r>
      <w:r>
        <w:tab/>
        <w:t>Jemena</w:t>
      </w:r>
      <w:r w:rsidRPr="00DC4EE3">
        <w:t xml:space="preserve">, </w:t>
      </w:r>
      <w:r w:rsidRPr="00445029">
        <w:rPr>
          <w:rStyle w:val="AERtextitalic"/>
        </w:rPr>
        <w:t>Regulatory proposal</w:t>
      </w:r>
      <w:r w:rsidRPr="00445029">
        <w:t xml:space="preserve">, </w:t>
      </w:r>
      <w:r>
        <w:t>April 2015</w:t>
      </w:r>
      <w:r w:rsidRPr="00445029">
        <w:t>,</w:t>
      </w:r>
      <w:r>
        <w:t xml:space="preserve"> Attachment 06.03.  </w:t>
      </w:r>
    </w:p>
  </w:footnote>
  <w:footnote w:id="6">
    <w:p w:rsidR="00913655" w:rsidRDefault="00913655" w:rsidP="00434D01">
      <w:pPr>
        <w:pStyle w:val="FootnoteText"/>
      </w:pPr>
      <w:r>
        <w:rPr>
          <w:rStyle w:val="FootnoteReference"/>
        </w:rPr>
        <w:footnoteRef/>
      </w:r>
      <w:r>
        <w:t xml:space="preserve"> </w:t>
      </w:r>
      <w:r>
        <w:tab/>
        <w:t>NER, cl.</w:t>
      </w:r>
      <w:r w:rsidRPr="0075167F">
        <w:t xml:space="preserve"> S6.2.1.</w:t>
      </w:r>
    </w:p>
  </w:footnote>
  <w:footnote w:id="7">
    <w:p w:rsidR="00913655" w:rsidRDefault="00913655" w:rsidP="00434D01">
      <w:pPr>
        <w:pStyle w:val="FootnoteText"/>
      </w:pPr>
      <w:r>
        <w:rPr>
          <w:rStyle w:val="FootnoteReference"/>
        </w:rPr>
        <w:footnoteRef/>
      </w:r>
      <w:r>
        <w:t xml:space="preserve"> </w:t>
      </w:r>
      <w:r>
        <w:tab/>
      </w:r>
      <w:r w:rsidRPr="0075167F">
        <w:t>NER, cl</w:t>
      </w:r>
      <w:r>
        <w:t>.</w:t>
      </w:r>
      <w:r w:rsidRPr="0075167F">
        <w:t xml:space="preserve"> 6.5.1.</w:t>
      </w:r>
    </w:p>
  </w:footnote>
  <w:footnote w:id="8">
    <w:p w:rsidR="00913655" w:rsidRDefault="00913655" w:rsidP="00434D01">
      <w:pPr>
        <w:pStyle w:val="FootnoteText"/>
      </w:pPr>
      <w:r>
        <w:rPr>
          <w:rStyle w:val="FootnoteReference"/>
        </w:rPr>
        <w:footnoteRef/>
      </w:r>
      <w:r>
        <w:t xml:space="preserve"> </w:t>
      </w:r>
      <w:r>
        <w:tab/>
        <w:t>NER, cl.</w:t>
      </w:r>
      <w:r w:rsidR="0000151C">
        <w:t xml:space="preserve"> </w:t>
      </w:r>
      <w:proofErr w:type="gramStart"/>
      <w:r>
        <w:t>S6.1.3(</w:t>
      </w:r>
      <w:proofErr w:type="gramEnd"/>
      <w:r>
        <w:t>7).</w:t>
      </w:r>
    </w:p>
  </w:footnote>
  <w:footnote w:id="9">
    <w:p w:rsidR="00913655" w:rsidRDefault="00913655" w:rsidP="00AD0B7E">
      <w:pPr>
        <w:pStyle w:val="FootnoteText"/>
      </w:pPr>
      <w:r>
        <w:rPr>
          <w:rStyle w:val="FootnoteReference"/>
        </w:rPr>
        <w:footnoteRef/>
      </w:r>
      <w:r>
        <w:t xml:space="preserve"> </w:t>
      </w:r>
      <w:r>
        <w:tab/>
        <w:t>NEL, s.</w:t>
      </w:r>
      <w:r w:rsidR="0000151C">
        <w:t xml:space="preserve"> </w:t>
      </w:r>
      <w:proofErr w:type="gramStart"/>
      <w:r>
        <w:t>7A(</w:t>
      </w:r>
      <w:proofErr w:type="gramEnd"/>
      <w:r>
        <w:t>4).</w:t>
      </w:r>
    </w:p>
  </w:footnote>
  <w:footnote w:id="10">
    <w:p w:rsidR="00913655" w:rsidRDefault="00913655" w:rsidP="00434D01">
      <w:pPr>
        <w:pStyle w:val="FootnoteText"/>
      </w:pPr>
      <w:r>
        <w:rPr>
          <w:rStyle w:val="FootnoteReference"/>
        </w:rPr>
        <w:footnoteRef/>
      </w:r>
      <w:r>
        <w:t xml:space="preserve"> </w:t>
      </w:r>
      <w:r>
        <w:tab/>
      </w:r>
      <w:r w:rsidRPr="0075167F">
        <w:t>NER, cl</w:t>
      </w:r>
      <w:r>
        <w:t>.</w:t>
      </w:r>
      <w:r w:rsidRPr="0075167F">
        <w:t xml:space="preserve"> 6.5.1(e)(3).</w:t>
      </w:r>
    </w:p>
  </w:footnote>
  <w:footnote w:id="11">
    <w:p w:rsidR="00913655" w:rsidRDefault="00913655" w:rsidP="00434D01">
      <w:pPr>
        <w:pStyle w:val="FootnoteText"/>
      </w:pPr>
      <w:r>
        <w:rPr>
          <w:rStyle w:val="FootnoteReference"/>
        </w:rPr>
        <w:footnoteRef/>
      </w:r>
      <w:r>
        <w:t xml:space="preserve"> </w:t>
      </w:r>
      <w:r>
        <w:tab/>
      </w:r>
      <w:r w:rsidRPr="0075167F">
        <w:t>NER, cl</w:t>
      </w:r>
      <w:r>
        <w:t>.</w:t>
      </w:r>
      <w:r w:rsidRPr="0075167F">
        <w:t xml:space="preserve"> S6.2.1(e)(4).</w:t>
      </w:r>
    </w:p>
  </w:footnote>
  <w:footnote w:id="12">
    <w:p w:rsidR="00913655" w:rsidRDefault="00913655" w:rsidP="00434D01">
      <w:pPr>
        <w:pStyle w:val="FootnoteText"/>
      </w:pPr>
      <w:r>
        <w:rPr>
          <w:rStyle w:val="FootnoteReference"/>
        </w:rPr>
        <w:footnoteRef/>
      </w:r>
      <w:r>
        <w:t xml:space="preserve"> </w:t>
      </w:r>
      <w:r>
        <w:tab/>
        <w:t>NER, cl. S6.2.2A.</w:t>
      </w:r>
    </w:p>
  </w:footnote>
  <w:footnote w:id="13">
    <w:p w:rsidR="00913655" w:rsidRDefault="00913655" w:rsidP="00434D01">
      <w:pPr>
        <w:pStyle w:val="FootnoteText"/>
      </w:pPr>
      <w:r>
        <w:rPr>
          <w:rStyle w:val="FootnoteReference"/>
        </w:rPr>
        <w:footnoteRef/>
      </w:r>
      <w:r>
        <w:t xml:space="preserve"> </w:t>
      </w:r>
      <w:r>
        <w:tab/>
        <w:t xml:space="preserve">AER, </w:t>
      </w:r>
      <w:r w:rsidRPr="000B006F">
        <w:rPr>
          <w:rStyle w:val="AERtextitalic"/>
        </w:rPr>
        <w:t xml:space="preserve">Capital </w:t>
      </w:r>
      <w:r>
        <w:rPr>
          <w:rStyle w:val="AERtextitalic"/>
        </w:rPr>
        <w:t>e</w:t>
      </w:r>
      <w:r w:rsidRPr="000B006F">
        <w:rPr>
          <w:rStyle w:val="AERtextitalic"/>
        </w:rPr>
        <w:t xml:space="preserve">xpenditure </w:t>
      </w:r>
      <w:r>
        <w:rPr>
          <w:rStyle w:val="AERtextitalic"/>
        </w:rPr>
        <w:t>i</w:t>
      </w:r>
      <w:r w:rsidRPr="000B006F">
        <w:rPr>
          <w:rStyle w:val="AERtextitalic"/>
        </w:rPr>
        <w:t xml:space="preserve">ncentive </w:t>
      </w:r>
      <w:r>
        <w:rPr>
          <w:rStyle w:val="AERtextitalic"/>
        </w:rPr>
        <w:t>g</w:t>
      </w:r>
      <w:r w:rsidRPr="000B006F">
        <w:rPr>
          <w:rStyle w:val="AERtextitalic"/>
        </w:rPr>
        <w:t>uideline</w:t>
      </w:r>
      <w:r>
        <w:t>, November 2013, pp. 12–20.</w:t>
      </w:r>
      <w:r w:rsidRPr="00953101">
        <w:t xml:space="preserve"> </w:t>
      </w:r>
    </w:p>
    <w:p w:rsidR="00913655" w:rsidRDefault="00913655" w:rsidP="00434D01">
      <w:pPr>
        <w:pStyle w:val="FootnoteText"/>
      </w:pPr>
      <w:r>
        <w:tab/>
        <w:t xml:space="preserve">Under the NER, cl S6.2.2A(b), the exclusion of </w:t>
      </w:r>
      <w:r w:rsidRPr="00166EE4">
        <w:t>inefficient</w:t>
      </w:r>
      <w:r>
        <w:t xml:space="preserve"> capex could only come from three areas including overspend in capex , margin paid to third party and capitalisation of opex as defined in cll. S6.2.2A (c), (d) and (e) of the NER.</w:t>
      </w:r>
    </w:p>
  </w:footnote>
  <w:footnote w:id="14">
    <w:p w:rsidR="00913655" w:rsidRDefault="00913655" w:rsidP="00434D01">
      <w:pPr>
        <w:pStyle w:val="FootnoteText"/>
      </w:pPr>
      <w:r>
        <w:rPr>
          <w:rStyle w:val="FootnoteReference"/>
        </w:rPr>
        <w:footnoteRef/>
      </w:r>
      <w:r>
        <w:t xml:space="preserve"> </w:t>
      </w:r>
      <w:r>
        <w:tab/>
        <w:t>NER, cls. 11.60.5 and 11.62.</w:t>
      </w:r>
    </w:p>
  </w:footnote>
  <w:footnote w:id="15">
    <w:p w:rsidR="00913655" w:rsidRDefault="00913655" w:rsidP="00434D01">
      <w:pPr>
        <w:pStyle w:val="FootnoteText"/>
      </w:pPr>
      <w:r>
        <w:rPr>
          <w:rStyle w:val="FootnoteReference"/>
        </w:rPr>
        <w:footnoteRef/>
      </w:r>
      <w:r>
        <w:t xml:space="preserve"> </w:t>
      </w:r>
      <w:r>
        <w:tab/>
      </w:r>
      <w:r w:rsidRPr="00850BFE">
        <w:t>NER, cl</w:t>
      </w:r>
      <w:r>
        <w:t>.</w:t>
      </w:r>
      <w:r w:rsidRPr="00850BFE">
        <w:t xml:space="preserve"> S6.2.1(e)(5).</w:t>
      </w:r>
    </w:p>
  </w:footnote>
  <w:footnote w:id="16">
    <w:p w:rsidR="00913655" w:rsidRDefault="00913655" w:rsidP="00434D01">
      <w:pPr>
        <w:pStyle w:val="FootnoteText"/>
      </w:pPr>
      <w:r>
        <w:rPr>
          <w:rStyle w:val="FootnoteReference"/>
        </w:rPr>
        <w:footnoteRef/>
      </w:r>
      <w:r>
        <w:t xml:space="preserve"> </w:t>
      </w:r>
      <w:r>
        <w:tab/>
        <w:t>NER, cl. 6.12.1(18).</w:t>
      </w:r>
    </w:p>
  </w:footnote>
  <w:footnote w:id="17">
    <w:p w:rsidR="00913655" w:rsidRDefault="00913655" w:rsidP="00434D01">
      <w:pPr>
        <w:pStyle w:val="FootnoteText"/>
      </w:pPr>
      <w:r>
        <w:rPr>
          <w:rStyle w:val="FootnoteReference"/>
        </w:rPr>
        <w:footnoteRef/>
      </w:r>
      <w:r>
        <w:t xml:space="preserve"> </w:t>
      </w:r>
      <w:r>
        <w:tab/>
      </w:r>
      <w:r w:rsidRPr="006B735D">
        <w:t>The use of actual depreciation is consistent with the depreciation approach established in the 20</w:t>
      </w:r>
      <w:r>
        <w:t>10</w:t>
      </w:r>
      <w:r w:rsidRPr="006B735D">
        <w:t xml:space="preserve"> </w:t>
      </w:r>
      <w:r>
        <w:t xml:space="preserve">distribution </w:t>
      </w:r>
      <w:r w:rsidRPr="006B735D">
        <w:t xml:space="preserve">determination for </w:t>
      </w:r>
      <w:r>
        <w:t xml:space="preserve">Jemena. See: AER, </w:t>
      </w:r>
      <w:r w:rsidRPr="00504EAD">
        <w:rPr>
          <w:rStyle w:val="AERtextitalic"/>
        </w:rPr>
        <w:t>Victorian distribution determination final decision 2011–2015</w:t>
      </w:r>
      <w:r>
        <w:t xml:space="preserve">, October 2010, p. 462. </w:t>
      </w:r>
    </w:p>
  </w:footnote>
  <w:footnote w:id="18">
    <w:p w:rsidR="00913655" w:rsidRDefault="00913655" w:rsidP="00434D01">
      <w:pPr>
        <w:pStyle w:val="FootnoteText"/>
      </w:pPr>
      <w:r>
        <w:rPr>
          <w:rStyle w:val="FootnoteReference"/>
        </w:rPr>
        <w:footnoteRef/>
      </w:r>
      <w:r>
        <w:t xml:space="preserve"> </w:t>
      </w:r>
      <w:r>
        <w:tab/>
        <w:t xml:space="preserve">Refer to section 2.4.3 for the reasons. </w:t>
      </w:r>
    </w:p>
  </w:footnote>
  <w:footnote w:id="19">
    <w:p w:rsidR="00913655" w:rsidRDefault="00913655" w:rsidP="00434D01">
      <w:pPr>
        <w:pStyle w:val="FootnoteText"/>
      </w:pPr>
      <w:r>
        <w:rPr>
          <w:rStyle w:val="FootnoteReference"/>
        </w:rPr>
        <w:footnoteRef/>
      </w:r>
      <w:r>
        <w:t xml:space="preserve"> </w:t>
      </w:r>
      <w:r>
        <w:tab/>
        <w:t>NER, cl.</w:t>
      </w:r>
      <w:r w:rsidRPr="00850BFE">
        <w:t xml:space="preserve"> S6.2.1(e)(6).</w:t>
      </w:r>
    </w:p>
  </w:footnote>
  <w:footnote w:id="20">
    <w:p w:rsidR="00913655" w:rsidRDefault="00913655" w:rsidP="00434D01">
      <w:pPr>
        <w:pStyle w:val="FootnoteText"/>
      </w:pPr>
      <w:r>
        <w:rPr>
          <w:rStyle w:val="FootnoteReference"/>
        </w:rPr>
        <w:footnoteRef/>
      </w:r>
      <w:r>
        <w:t xml:space="preserve"> </w:t>
      </w:r>
      <w:r>
        <w:tab/>
        <w:t>NER, cl. S6.2.2B.</w:t>
      </w:r>
    </w:p>
  </w:footnote>
  <w:footnote w:id="21">
    <w:p w:rsidR="00913655" w:rsidRDefault="00913655" w:rsidP="00434D01">
      <w:pPr>
        <w:pStyle w:val="FootnoteText"/>
      </w:pPr>
      <w:r>
        <w:rPr>
          <w:rStyle w:val="FootnoteReference"/>
        </w:rPr>
        <w:footnoteRef/>
      </w:r>
      <w:r>
        <w:t xml:space="preserve"> </w:t>
      </w:r>
      <w:r>
        <w:tab/>
        <w:t>NER, cl. S6.2.2B(c).</w:t>
      </w:r>
    </w:p>
  </w:footnote>
  <w:footnote w:id="22">
    <w:p w:rsidR="00913655" w:rsidRDefault="00913655" w:rsidP="00434D01">
      <w:pPr>
        <w:pStyle w:val="FootnoteText"/>
      </w:pPr>
      <w:r>
        <w:rPr>
          <w:rStyle w:val="FootnoteReference"/>
        </w:rPr>
        <w:footnoteRef/>
      </w:r>
      <w:r>
        <w:t xml:space="preserve"> </w:t>
      </w:r>
      <w:r>
        <w:tab/>
        <w:t>The size of the RAB also impacts the benchmark debt raising cost allowance. However, this amount is usually relatively small and therefore not a significant determinant of revenues overall.</w:t>
      </w:r>
    </w:p>
  </w:footnote>
  <w:footnote w:id="23">
    <w:p w:rsidR="00913655" w:rsidRDefault="00913655" w:rsidP="00434D01">
      <w:pPr>
        <w:pStyle w:val="FootnoteText"/>
      </w:pPr>
      <w:r>
        <w:rPr>
          <w:rStyle w:val="FootnoteReference"/>
        </w:rPr>
        <w:footnoteRef/>
      </w:r>
      <w:r>
        <w:t xml:space="preserve"> </w:t>
      </w:r>
      <w:r>
        <w:tab/>
        <w:t xml:space="preserve">Net capex is gross capex less disposals and capital contributions. The rate of return or WACC also influences the size of the capex. This is because the capex is not depreciated in the year it is first incurred, but added to the RAB at the end of the year. Instead, the capex amount is escalated by half a WACC to arrive at an end of year value. It then begins depreciating the following year. </w:t>
      </w:r>
    </w:p>
  </w:footnote>
  <w:footnote w:id="24">
    <w:p w:rsidR="00913655" w:rsidRDefault="00913655">
      <w:pPr>
        <w:pStyle w:val="FootnoteText"/>
      </w:pPr>
      <w:r>
        <w:rPr>
          <w:rStyle w:val="FootnoteReference"/>
        </w:rPr>
        <w:footnoteRef/>
      </w:r>
      <w:r>
        <w:t xml:space="preserve"> </w:t>
      </w:r>
      <w:r>
        <w:tab/>
        <w:t xml:space="preserve">NER, cl. 6.5.1(e)(3).  </w:t>
      </w:r>
    </w:p>
  </w:footnote>
  <w:footnote w:id="25">
    <w:p w:rsidR="00913655" w:rsidRDefault="00913655">
      <w:pPr>
        <w:pStyle w:val="FootnoteText"/>
      </w:pPr>
      <w:r>
        <w:rPr>
          <w:rStyle w:val="FootnoteReference"/>
        </w:rPr>
        <w:footnoteRef/>
      </w:r>
      <w:r>
        <w:t xml:space="preserve"> </w:t>
      </w:r>
      <w:r>
        <w:tab/>
        <w:t>Such an impact would also be reflected if we were to switch methods midway through an asset's life.</w:t>
      </w:r>
    </w:p>
  </w:footnote>
  <w:footnote w:id="26">
    <w:p w:rsidR="00913655" w:rsidRDefault="00913655" w:rsidP="00434D01">
      <w:pPr>
        <w:pStyle w:val="FootnoteText"/>
      </w:pPr>
      <w:r>
        <w:rPr>
          <w:rStyle w:val="FootnoteReference"/>
        </w:rPr>
        <w:footnoteRef/>
      </w:r>
      <w:r>
        <w:t xml:space="preserve"> </w:t>
      </w:r>
      <w:r>
        <w:tab/>
      </w:r>
      <w:r w:rsidRPr="002C733C">
        <w:t xml:space="preserve">If capex causes the RAB increase, return on capital, depreciation, and debt raising costs all increase too. If a reduction in depreciation causes the RAB increase, revenue could increase or decrease. In this case, the higher return on capital is offset (perhaps more than offset) by the reduction in depreciation allowance. Inflation naturally increases the RAB in nominal terms. </w:t>
      </w:r>
    </w:p>
  </w:footnote>
  <w:footnote w:id="27">
    <w:p w:rsidR="00913655" w:rsidRDefault="00913655">
      <w:pPr>
        <w:pStyle w:val="FootnoteText"/>
      </w:pPr>
      <w:r>
        <w:rPr>
          <w:rStyle w:val="FootnoteReference"/>
        </w:rPr>
        <w:footnoteRef/>
      </w:r>
      <w:r>
        <w:t xml:space="preserve"> </w:t>
      </w:r>
      <w:r>
        <w:tab/>
      </w:r>
      <w:r w:rsidRPr="008914BF">
        <w:t xml:space="preserve">At the time of this </w:t>
      </w:r>
      <w:r>
        <w:t>preliminary</w:t>
      </w:r>
      <w:r w:rsidRPr="008914BF">
        <w:t xml:space="preserve"> decision</w:t>
      </w:r>
      <w:r>
        <w:t>,</w:t>
      </w:r>
      <w:r w:rsidRPr="008914BF">
        <w:t xml:space="preserve"> the roll forward of </w:t>
      </w:r>
      <w:r>
        <w:t>Jemena's RAB</w:t>
      </w:r>
      <w:r w:rsidRPr="008914BF">
        <w:t xml:space="preserve"> includes </w:t>
      </w:r>
      <w:r>
        <w:t>estimated</w:t>
      </w:r>
      <w:r w:rsidRPr="008914BF">
        <w:t xml:space="preserve"> capex</w:t>
      </w:r>
      <w:r>
        <w:t xml:space="preserve"> values</w:t>
      </w:r>
      <w:r w:rsidRPr="008914BF">
        <w:t xml:space="preserve"> for </w:t>
      </w:r>
      <w:r>
        <w:t xml:space="preserve">2015. </w:t>
      </w:r>
      <w:r w:rsidRPr="00516A5D">
        <w:t>We will update the 201</w:t>
      </w:r>
      <w:r>
        <w:t>5</w:t>
      </w:r>
      <w:r w:rsidRPr="00516A5D">
        <w:t xml:space="preserve"> estimated capex value</w:t>
      </w:r>
      <w:r>
        <w:t xml:space="preserve">s </w:t>
      </w:r>
      <w:r w:rsidRPr="00516A5D">
        <w:t xml:space="preserve">for the </w:t>
      </w:r>
      <w:r>
        <w:t>final</w:t>
      </w:r>
      <w:r w:rsidRPr="00516A5D">
        <w:t xml:space="preserve"> decision</w:t>
      </w:r>
      <w:r>
        <w:t>.</w:t>
      </w:r>
    </w:p>
  </w:footnote>
  <w:footnote w:id="28">
    <w:p w:rsidR="00913655" w:rsidRDefault="00913655" w:rsidP="00645405">
      <w:pPr>
        <w:pStyle w:val="FootnoteText"/>
      </w:pPr>
      <w:r>
        <w:rPr>
          <w:rStyle w:val="FootnoteReference"/>
        </w:rPr>
        <w:footnoteRef/>
      </w:r>
      <w:r>
        <w:t xml:space="preserve"> </w:t>
      </w:r>
      <w:r>
        <w:tab/>
        <w:t>NER, cl. 6.5.1(e)(3).</w:t>
      </w:r>
    </w:p>
  </w:footnote>
  <w:footnote w:id="29">
    <w:p w:rsidR="00913655" w:rsidRDefault="00913655" w:rsidP="00F25732">
      <w:pPr>
        <w:pStyle w:val="FootnoteText"/>
      </w:pPr>
      <w:r>
        <w:rPr>
          <w:rStyle w:val="FootnoteReference"/>
        </w:rPr>
        <w:footnoteRef/>
      </w:r>
      <w:r>
        <w:t xml:space="preserve"> </w:t>
      </w:r>
      <w:r>
        <w:tab/>
        <w:t xml:space="preserve">AER, </w:t>
      </w:r>
      <w:r w:rsidRPr="00242CF5">
        <w:rPr>
          <w:rStyle w:val="AERtextitalic"/>
        </w:rPr>
        <w:t>Victorian distribution determination final decision 2011-2015</w:t>
      </w:r>
      <w:r>
        <w:t xml:space="preserve">, </w:t>
      </w:r>
      <w:r w:rsidRPr="00C61791">
        <w:t>29 October 2010</w:t>
      </w:r>
      <w:r>
        <w:t>, p. 57. For Jemena, t</w:t>
      </w:r>
      <w:r w:rsidRPr="00EE107D">
        <w:t xml:space="preserve">he </w:t>
      </w:r>
      <w:r>
        <w:t>September</w:t>
      </w:r>
      <w:r w:rsidRPr="00EE107D">
        <w:t xml:space="preserve"> quarter CPI is used as a proxy for the </w:t>
      </w:r>
      <w:r>
        <w:t>calendar</w:t>
      </w:r>
      <w:r w:rsidRPr="00EE107D">
        <w:t xml:space="preserve"> year in the 20</w:t>
      </w:r>
      <w:r>
        <w:t>11</w:t>
      </w:r>
      <w:r w:rsidRPr="00EE107D">
        <w:t>–15 regulatory control peri</w:t>
      </w:r>
      <w:r>
        <w:t>od. As discussed in attachment 14</w:t>
      </w:r>
      <w:r w:rsidRPr="00EE107D">
        <w:t xml:space="preserve">, the </w:t>
      </w:r>
      <w:r>
        <w:t>June</w:t>
      </w:r>
      <w:r w:rsidRPr="00EE107D">
        <w:t xml:space="preserve"> quarter CPI will be used as a proxy for the </w:t>
      </w:r>
      <w:r>
        <w:t>calendar</w:t>
      </w:r>
      <w:r w:rsidRPr="00EE107D">
        <w:t xml:space="preserve"> year for the 201</w:t>
      </w:r>
      <w:r>
        <w:t>6</w:t>
      </w:r>
      <w:r w:rsidRPr="00EE107D">
        <w:t>–20 regulatory control period.</w:t>
      </w:r>
    </w:p>
  </w:footnote>
  <w:footnote w:id="30">
    <w:p w:rsidR="00913655" w:rsidRDefault="00913655">
      <w:pPr>
        <w:pStyle w:val="FootnoteText"/>
      </w:pPr>
      <w:r>
        <w:rPr>
          <w:rStyle w:val="FootnoteReference"/>
        </w:rPr>
        <w:footnoteRef/>
      </w:r>
      <w:r>
        <w:t xml:space="preserve"> </w:t>
      </w:r>
      <w:r>
        <w:tab/>
        <w:t xml:space="preserve">NER, cl. 6.5.1(b)–(d). Model published at: </w:t>
      </w:r>
      <w:r w:rsidRPr="00645405">
        <w:t>http://www.aer.gov.au/node/6908</w:t>
      </w:r>
      <w:r>
        <w:t>.</w:t>
      </w:r>
    </w:p>
  </w:footnote>
  <w:footnote w:id="31">
    <w:p w:rsidR="00913655" w:rsidRDefault="00913655" w:rsidP="00BA5A9A">
      <w:pPr>
        <w:pStyle w:val="FootnoteText"/>
      </w:pPr>
      <w:r>
        <w:rPr>
          <w:rStyle w:val="FootnoteReference"/>
        </w:rPr>
        <w:footnoteRef/>
      </w:r>
      <w:r>
        <w:t xml:space="preserve"> </w:t>
      </w:r>
      <w:r>
        <w:tab/>
      </w:r>
      <w:r w:rsidRPr="00BA5A9A">
        <w:t>Essential Services Commission</w:t>
      </w:r>
      <w:r>
        <w:t xml:space="preserve">, </w:t>
      </w:r>
      <w:r w:rsidRPr="00BA5A9A">
        <w:rPr>
          <w:rStyle w:val="AERtextitalic"/>
        </w:rPr>
        <w:t>Electricity Distribution Price Review 2006-10</w:t>
      </w:r>
      <w:r>
        <w:t>, October 2006, p. 252.</w:t>
      </w:r>
    </w:p>
  </w:footnote>
  <w:footnote w:id="32">
    <w:p w:rsidR="00913655" w:rsidRDefault="00913655">
      <w:pPr>
        <w:pStyle w:val="FootnoteText"/>
      </w:pPr>
      <w:r>
        <w:rPr>
          <w:rStyle w:val="FootnoteReference"/>
        </w:rPr>
        <w:footnoteRef/>
      </w:r>
      <w:r>
        <w:t xml:space="preserve"> </w:t>
      </w:r>
      <w:r>
        <w:tab/>
        <w:t>Cell G184 in the 'Input' sheet of the RFM.</w:t>
      </w:r>
    </w:p>
  </w:footnote>
  <w:footnote w:id="33">
    <w:p w:rsidR="00913655" w:rsidRDefault="00913655">
      <w:pPr>
        <w:pStyle w:val="FootnoteText"/>
      </w:pPr>
      <w:r>
        <w:rPr>
          <w:rStyle w:val="FootnoteReference"/>
        </w:rPr>
        <w:footnoteRef/>
      </w:r>
      <w:r>
        <w:t xml:space="preserve"> </w:t>
      </w:r>
      <w:r>
        <w:tab/>
        <w:t>Jemena</w:t>
      </w:r>
      <w:r w:rsidRPr="00A2527A">
        <w:t xml:space="preserve">, </w:t>
      </w:r>
      <w:r w:rsidRPr="00A2527A">
        <w:rPr>
          <w:rStyle w:val="AERtextitalic"/>
        </w:rPr>
        <w:t xml:space="preserve">Email response to AER information request AER </w:t>
      </w:r>
      <w:r>
        <w:rPr>
          <w:rStyle w:val="AERtextitalic"/>
        </w:rPr>
        <w:t>JEN</w:t>
      </w:r>
      <w:r w:rsidRPr="00A2527A">
        <w:rPr>
          <w:rStyle w:val="AERtextitalic"/>
        </w:rPr>
        <w:t xml:space="preserve"> IR#010</w:t>
      </w:r>
      <w:r w:rsidRPr="00A2527A">
        <w:t xml:space="preserve">, </w:t>
      </w:r>
      <w:r>
        <w:t>10</w:t>
      </w:r>
      <w:r w:rsidRPr="00A2527A">
        <w:t xml:space="preserve"> July 2014.</w:t>
      </w:r>
    </w:p>
  </w:footnote>
  <w:footnote w:id="34">
    <w:p w:rsidR="00913655" w:rsidRDefault="00913655" w:rsidP="00453477">
      <w:pPr>
        <w:pStyle w:val="FootnoteText"/>
      </w:pPr>
      <w:r>
        <w:rPr>
          <w:rStyle w:val="FootnoteReference"/>
        </w:rPr>
        <w:footnoteRef/>
      </w:r>
      <w:r>
        <w:t xml:space="preserve"> </w:t>
      </w:r>
      <w:r>
        <w:tab/>
      </w:r>
      <w:r w:rsidRPr="00F27FE5">
        <w:t>Victorian Energy Consumer and User Alliance</w:t>
      </w:r>
      <w:r>
        <w:t xml:space="preserve">, </w:t>
      </w:r>
      <w:r w:rsidRPr="00F13B8D">
        <w:rPr>
          <w:rStyle w:val="AERtextitalic"/>
        </w:rPr>
        <w:t xml:space="preserve">Submission to the AER Victorian </w:t>
      </w:r>
      <w:r>
        <w:rPr>
          <w:rStyle w:val="AERtextitalic"/>
        </w:rPr>
        <w:t>d</w:t>
      </w:r>
      <w:r w:rsidRPr="00F13B8D">
        <w:rPr>
          <w:rStyle w:val="AERtextitalic"/>
        </w:rPr>
        <w:t xml:space="preserve">istribution </w:t>
      </w:r>
      <w:r>
        <w:rPr>
          <w:rStyle w:val="AERtextitalic"/>
        </w:rPr>
        <w:t>n</w:t>
      </w:r>
      <w:r w:rsidRPr="00F13B8D">
        <w:rPr>
          <w:rStyle w:val="AERtextitalic"/>
        </w:rPr>
        <w:t xml:space="preserve">etworks’ 2016-20 </w:t>
      </w:r>
      <w:r>
        <w:rPr>
          <w:rStyle w:val="AERtextitalic"/>
        </w:rPr>
        <w:t>r</w:t>
      </w:r>
      <w:r w:rsidRPr="00F13B8D">
        <w:rPr>
          <w:rStyle w:val="AERtextitalic"/>
        </w:rPr>
        <w:t xml:space="preserve">evenue </w:t>
      </w:r>
      <w:r>
        <w:rPr>
          <w:rStyle w:val="AERtextitalic"/>
        </w:rPr>
        <w:t>p</w:t>
      </w:r>
      <w:r w:rsidRPr="00F13B8D">
        <w:rPr>
          <w:rStyle w:val="AERtextitalic"/>
        </w:rPr>
        <w:t>roposals</w:t>
      </w:r>
      <w:r w:rsidRPr="00F27FE5">
        <w:t>, 13 July 2015</w:t>
      </w:r>
      <w:r>
        <w:t>, pp.</w:t>
      </w:r>
      <w:r w:rsidR="0000151C">
        <w:t xml:space="preserve"> </w:t>
      </w:r>
      <w:r>
        <w:t>22–24.</w:t>
      </w:r>
    </w:p>
  </w:footnote>
  <w:footnote w:id="35">
    <w:p w:rsidR="00913655" w:rsidRDefault="00913655">
      <w:pPr>
        <w:pStyle w:val="FootnoteText"/>
      </w:pPr>
      <w:r>
        <w:rPr>
          <w:rStyle w:val="FootnoteReference"/>
        </w:rPr>
        <w:footnoteRef/>
      </w:r>
      <w:r>
        <w:t xml:space="preserve"> </w:t>
      </w:r>
      <w:r>
        <w:tab/>
        <w:t xml:space="preserve">AER, </w:t>
      </w:r>
      <w:r w:rsidRPr="00BC2C2F">
        <w:rPr>
          <w:rStyle w:val="AERtextitalic"/>
        </w:rPr>
        <w:t>Final Framework and Approach for the Victorian Electricity Distributors</w:t>
      </w:r>
      <w:r>
        <w:t>,</w:t>
      </w:r>
      <w:r w:rsidRPr="00BC2C2F">
        <w:t xml:space="preserve"> October 2014</w:t>
      </w:r>
      <w:r>
        <w:t xml:space="preserve">, </w:t>
      </w:r>
      <w:r w:rsidR="0000151C">
        <w:t>p</w:t>
      </w:r>
      <w:r>
        <w:t>p. 121–126.</w:t>
      </w:r>
    </w:p>
  </w:footnote>
  <w:footnote w:id="36">
    <w:p w:rsidR="00913655" w:rsidRDefault="00913655">
      <w:pPr>
        <w:pStyle w:val="FootnoteText"/>
      </w:pPr>
      <w:r>
        <w:rPr>
          <w:rStyle w:val="FootnoteReference"/>
        </w:rPr>
        <w:footnoteRef/>
      </w:r>
      <w:r>
        <w:t xml:space="preserve"> </w:t>
      </w:r>
      <w:r>
        <w:tab/>
      </w:r>
      <w:r w:rsidRPr="00BC2C2F">
        <w:t>Our ex post capex measures are set out in the capex incentives guideline, AER,</w:t>
      </w:r>
      <w:r w:rsidRPr="00A03DB4">
        <w:rPr>
          <w:rStyle w:val="AERtextitalic"/>
        </w:rPr>
        <w:t xml:space="preserve"> Capital expenditure incentive guideline for electricity network service providers</w:t>
      </w:r>
      <w:r w:rsidRPr="00BC2C2F">
        <w:t xml:space="preserve">, November 2013, pp. 13–19, 20–21. The guideline also sets out how all our capex incentive measures are consistent with the capex incentive objective.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55" w:rsidRDefault="007D7FC3">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913655">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55" w:rsidRDefault="007D7FC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C6961CB0"/>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OVgMVd0u7DvC7/gZeVONIVEFWx9Xcb3TGqCDG7jpiM=" w:saltValue="2AHYzLQXhYM0GMu12aPyG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3.docx"/>
  </w:docVars>
  <w:rsids>
    <w:rsidRoot w:val="00961A4A"/>
    <w:rsid w:val="0000151C"/>
    <w:rsid w:val="00010286"/>
    <w:rsid w:val="00021202"/>
    <w:rsid w:val="00021252"/>
    <w:rsid w:val="00021C2B"/>
    <w:rsid w:val="0002517F"/>
    <w:rsid w:val="00026495"/>
    <w:rsid w:val="00030A47"/>
    <w:rsid w:val="0003578C"/>
    <w:rsid w:val="000357E3"/>
    <w:rsid w:val="000401AF"/>
    <w:rsid w:val="000604C4"/>
    <w:rsid w:val="00063247"/>
    <w:rsid w:val="00070F9F"/>
    <w:rsid w:val="0007137B"/>
    <w:rsid w:val="0007366C"/>
    <w:rsid w:val="00085663"/>
    <w:rsid w:val="00085EBF"/>
    <w:rsid w:val="00091B15"/>
    <w:rsid w:val="000A2929"/>
    <w:rsid w:val="000A3020"/>
    <w:rsid w:val="000A6C7B"/>
    <w:rsid w:val="000B58EC"/>
    <w:rsid w:val="000C2B40"/>
    <w:rsid w:val="000D06C1"/>
    <w:rsid w:val="000D122C"/>
    <w:rsid w:val="000D13B2"/>
    <w:rsid w:val="000D3016"/>
    <w:rsid w:val="000E1819"/>
    <w:rsid w:val="000E4821"/>
    <w:rsid w:val="000E6C72"/>
    <w:rsid w:val="000F0B2B"/>
    <w:rsid w:val="000F3E72"/>
    <w:rsid w:val="000F48B1"/>
    <w:rsid w:val="00100502"/>
    <w:rsid w:val="00116EB2"/>
    <w:rsid w:val="001203E0"/>
    <w:rsid w:val="00124609"/>
    <w:rsid w:val="00126A4C"/>
    <w:rsid w:val="001346CF"/>
    <w:rsid w:val="00142AB6"/>
    <w:rsid w:val="0014573B"/>
    <w:rsid w:val="001573E4"/>
    <w:rsid w:val="00157F46"/>
    <w:rsid w:val="00160756"/>
    <w:rsid w:val="001608CE"/>
    <w:rsid w:val="001620E4"/>
    <w:rsid w:val="0017232E"/>
    <w:rsid w:val="001730D7"/>
    <w:rsid w:val="00174102"/>
    <w:rsid w:val="001754EE"/>
    <w:rsid w:val="00180157"/>
    <w:rsid w:val="00185CB9"/>
    <w:rsid w:val="00186F77"/>
    <w:rsid w:val="001926A4"/>
    <w:rsid w:val="00192AD5"/>
    <w:rsid w:val="001B45A0"/>
    <w:rsid w:val="001B7D00"/>
    <w:rsid w:val="001D055E"/>
    <w:rsid w:val="001D52FB"/>
    <w:rsid w:val="001F05A4"/>
    <w:rsid w:val="001F492E"/>
    <w:rsid w:val="001F6DA3"/>
    <w:rsid w:val="002010BC"/>
    <w:rsid w:val="002016E7"/>
    <w:rsid w:val="00201F98"/>
    <w:rsid w:val="00202E03"/>
    <w:rsid w:val="0020478D"/>
    <w:rsid w:val="0020492C"/>
    <w:rsid w:val="00205584"/>
    <w:rsid w:val="002061C2"/>
    <w:rsid w:val="00224DB9"/>
    <w:rsid w:val="00227DCE"/>
    <w:rsid w:val="0023276C"/>
    <w:rsid w:val="00232A00"/>
    <w:rsid w:val="00233775"/>
    <w:rsid w:val="00245919"/>
    <w:rsid w:val="0025118F"/>
    <w:rsid w:val="00251745"/>
    <w:rsid w:val="002634D6"/>
    <w:rsid w:val="00263AC0"/>
    <w:rsid w:val="00264264"/>
    <w:rsid w:val="0026772D"/>
    <w:rsid w:val="002746B9"/>
    <w:rsid w:val="00286874"/>
    <w:rsid w:val="00290C63"/>
    <w:rsid w:val="00296B65"/>
    <w:rsid w:val="002A7DEF"/>
    <w:rsid w:val="002B0699"/>
    <w:rsid w:val="002B1003"/>
    <w:rsid w:val="002B573C"/>
    <w:rsid w:val="002C233C"/>
    <w:rsid w:val="002C3BFB"/>
    <w:rsid w:val="002D167D"/>
    <w:rsid w:val="002D3D9A"/>
    <w:rsid w:val="002D72E8"/>
    <w:rsid w:val="002E5666"/>
    <w:rsid w:val="002E7B22"/>
    <w:rsid w:val="002F21E9"/>
    <w:rsid w:val="002F7986"/>
    <w:rsid w:val="00301B40"/>
    <w:rsid w:val="003029EE"/>
    <w:rsid w:val="0030370B"/>
    <w:rsid w:val="00305CC8"/>
    <w:rsid w:val="00307F6D"/>
    <w:rsid w:val="003177A2"/>
    <w:rsid w:val="003271B5"/>
    <w:rsid w:val="00327A1E"/>
    <w:rsid w:val="00330C5B"/>
    <w:rsid w:val="00331264"/>
    <w:rsid w:val="00334C8D"/>
    <w:rsid w:val="00343A18"/>
    <w:rsid w:val="00344473"/>
    <w:rsid w:val="003518B3"/>
    <w:rsid w:val="00353EEF"/>
    <w:rsid w:val="003617CB"/>
    <w:rsid w:val="00362D5E"/>
    <w:rsid w:val="003800A3"/>
    <w:rsid w:val="003846F1"/>
    <w:rsid w:val="00391067"/>
    <w:rsid w:val="003931A7"/>
    <w:rsid w:val="003B484F"/>
    <w:rsid w:val="003B7FBA"/>
    <w:rsid w:val="003D710D"/>
    <w:rsid w:val="003E2590"/>
    <w:rsid w:val="003E34A1"/>
    <w:rsid w:val="003F174D"/>
    <w:rsid w:val="003F7442"/>
    <w:rsid w:val="003F750D"/>
    <w:rsid w:val="00415F31"/>
    <w:rsid w:val="00423A77"/>
    <w:rsid w:val="004348DC"/>
    <w:rsid w:val="00434D01"/>
    <w:rsid w:val="00453477"/>
    <w:rsid w:val="004550C0"/>
    <w:rsid w:val="0045777E"/>
    <w:rsid w:val="00467515"/>
    <w:rsid w:val="00471D33"/>
    <w:rsid w:val="00474EC7"/>
    <w:rsid w:val="00480B4B"/>
    <w:rsid w:val="00485DC4"/>
    <w:rsid w:val="0049439A"/>
    <w:rsid w:val="00495CFA"/>
    <w:rsid w:val="004A3FBC"/>
    <w:rsid w:val="004A43D1"/>
    <w:rsid w:val="004A5EB9"/>
    <w:rsid w:val="004B0B45"/>
    <w:rsid w:val="004B4412"/>
    <w:rsid w:val="004B6822"/>
    <w:rsid w:val="004C348C"/>
    <w:rsid w:val="004D55BA"/>
    <w:rsid w:val="004E22EC"/>
    <w:rsid w:val="004F6A0E"/>
    <w:rsid w:val="00504EAD"/>
    <w:rsid w:val="00516B70"/>
    <w:rsid w:val="00530128"/>
    <w:rsid w:val="00532467"/>
    <w:rsid w:val="00537FD6"/>
    <w:rsid w:val="005428F5"/>
    <w:rsid w:val="00564A4D"/>
    <w:rsid w:val="0056588A"/>
    <w:rsid w:val="005661F7"/>
    <w:rsid w:val="00567BA5"/>
    <w:rsid w:val="00571B35"/>
    <w:rsid w:val="00571D57"/>
    <w:rsid w:val="00577A09"/>
    <w:rsid w:val="005829C2"/>
    <w:rsid w:val="00584D8F"/>
    <w:rsid w:val="005854E5"/>
    <w:rsid w:val="00586819"/>
    <w:rsid w:val="00591397"/>
    <w:rsid w:val="0059704C"/>
    <w:rsid w:val="005A3569"/>
    <w:rsid w:val="005A404D"/>
    <w:rsid w:val="005B1E3C"/>
    <w:rsid w:val="005B3FB7"/>
    <w:rsid w:val="005B704A"/>
    <w:rsid w:val="005C0A7F"/>
    <w:rsid w:val="005C26CC"/>
    <w:rsid w:val="005C4C9C"/>
    <w:rsid w:val="005D7BA2"/>
    <w:rsid w:val="005E36C2"/>
    <w:rsid w:val="005E4D56"/>
    <w:rsid w:val="006007DE"/>
    <w:rsid w:val="00601638"/>
    <w:rsid w:val="00610EF9"/>
    <w:rsid w:val="00612A33"/>
    <w:rsid w:val="00612F4F"/>
    <w:rsid w:val="00615C6B"/>
    <w:rsid w:val="00621DCE"/>
    <w:rsid w:val="00632D6D"/>
    <w:rsid w:val="006424DE"/>
    <w:rsid w:val="00642C3E"/>
    <w:rsid w:val="00644AFA"/>
    <w:rsid w:val="00645405"/>
    <w:rsid w:val="00651C3A"/>
    <w:rsid w:val="00651CB2"/>
    <w:rsid w:val="006560CA"/>
    <w:rsid w:val="0066104A"/>
    <w:rsid w:val="00663DAD"/>
    <w:rsid w:val="00665649"/>
    <w:rsid w:val="006672AA"/>
    <w:rsid w:val="00675E20"/>
    <w:rsid w:val="00676679"/>
    <w:rsid w:val="00683068"/>
    <w:rsid w:val="00683C89"/>
    <w:rsid w:val="00691D9A"/>
    <w:rsid w:val="006930D1"/>
    <w:rsid w:val="0069777B"/>
    <w:rsid w:val="006A3613"/>
    <w:rsid w:val="006B2395"/>
    <w:rsid w:val="006B45A4"/>
    <w:rsid w:val="006B4CF9"/>
    <w:rsid w:val="006B785B"/>
    <w:rsid w:val="006B7AC8"/>
    <w:rsid w:val="006C1736"/>
    <w:rsid w:val="006C4798"/>
    <w:rsid w:val="006D2912"/>
    <w:rsid w:val="006D550F"/>
    <w:rsid w:val="006E638F"/>
    <w:rsid w:val="006F3AD1"/>
    <w:rsid w:val="006F3FC8"/>
    <w:rsid w:val="006F5875"/>
    <w:rsid w:val="0070011E"/>
    <w:rsid w:val="00701CAB"/>
    <w:rsid w:val="00707563"/>
    <w:rsid w:val="00712451"/>
    <w:rsid w:val="0072348C"/>
    <w:rsid w:val="00724A37"/>
    <w:rsid w:val="00724D80"/>
    <w:rsid w:val="00727530"/>
    <w:rsid w:val="007303C3"/>
    <w:rsid w:val="00733EE6"/>
    <w:rsid w:val="00741C46"/>
    <w:rsid w:val="00741E23"/>
    <w:rsid w:val="007429BE"/>
    <w:rsid w:val="00743223"/>
    <w:rsid w:val="00746667"/>
    <w:rsid w:val="00746E01"/>
    <w:rsid w:val="00747EEA"/>
    <w:rsid w:val="00757364"/>
    <w:rsid w:val="00757BDF"/>
    <w:rsid w:val="00757FEC"/>
    <w:rsid w:val="007609D0"/>
    <w:rsid w:val="00763E5D"/>
    <w:rsid w:val="00767740"/>
    <w:rsid w:val="007742C7"/>
    <w:rsid w:val="00776FF3"/>
    <w:rsid w:val="00777EE6"/>
    <w:rsid w:val="00782EEA"/>
    <w:rsid w:val="007A6C62"/>
    <w:rsid w:val="007B186E"/>
    <w:rsid w:val="007B2C72"/>
    <w:rsid w:val="007C1C53"/>
    <w:rsid w:val="007C74BB"/>
    <w:rsid w:val="007D301C"/>
    <w:rsid w:val="007D456E"/>
    <w:rsid w:val="007D7FC3"/>
    <w:rsid w:val="007E4904"/>
    <w:rsid w:val="007E4CB5"/>
    <w:rsid w:val="007F066B"/>
    <w:rsid w:val="007F1625"/>
    <w:rsid w:val="007F213A"/>
    <w:rsid w:val="007F75C4"/>
    <w:rsid w:val="008004D9"/>
    <w:rsid w:val="008033C4"/>
    <w:rsid w:val="00806B2F"/>
    <w:rsid w:val="00806C88"/>
    <w:rsid w:val="0081034E"/>
    <w:rsid w:val="008127F5"/>
    <w:rsid w:val="0081740A"/>
    <w:rsid w:val="008221F2"/>
    <w:rsid w:val="00822AE3"/>
    <w:rsid w:val="00825985"/>
    <w:rsid w:val="008344F6"/>
    <w:rsid w:val="0083510F"/>
    <w:rsid w:val="008408C5"/>
    <w:rsid w:val="00844567"/>
    <w:rsid w:val="00851209"/>
    <w:rsid w:val="0085722A"/>
    <w:rsid w:val="00864B35"/>
    <w:rsid w:val="00867C0F"/>
    <w:rsid w:val="00882481"/>
    <w:rsid w:val="008837AC"/>
    <w:rsid w:val="008A102C"/>
    <w:rsid w:val="008A587D"/>
    <w:rsid w:val="008B20E4"/>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054F1"/>
    <w:rsid w:val="00913655"/>
    <w:rsid w:val="009233EE"/>
    <w:rsid w:val="009272AD"/>
    <w:rsid w:val="009277DC"/>
    <w:rsid w:val="009460AA"/>
    <w:rsid w:val="009507FC"/>
    <w:rsid w:val="00951978"/>
    <w:rsid w:val="00955006"/>
    <w:rsid w:val="0095518B"/>
    <w:rsid w:val="00961A4A"/>
    <w:rsid w:val="009661DE"/>
    <w:rsid w:val="00977972"/>
    <w:rsid w:val="00983C25"/>
    <w:rsid w:val="009856B7"/>
    <w:rsid w:val="00985C86"/>
    <w:rsid w:val="00993ACF"/>
    <w:rsid w:val="009A5113"/>
    <w:rsid w:val="009A5FC3"/>
    <w:rsid w:val="009B5BA9"/>
    <w:rsid w:val="009B6F3A"/>
    <w:rsid w:val="009B6F84"/>
    <w:rsid w:val="009B74B0"/>
    <w:rsid w:val="009D3906"/>
    <w:rsid w:val="009D6B46"/>
    <w:rsid w:val="009E4B33"/>
    <w:rsid w:val="009F4940"/>
    <w:rsid w:val="009F5BA1"/>
    <w:rsid w:val="00A013CD"/>
    <w:rsid w:val="00A02A88"/>
    <w:rsid w:val="00A03DB4"/>
    <w:rsid w:val="00A0562E"/>
    <w:rsid w:val="00A05F9B"/>
    <w:rsid w:val="00A0726D"/>
    <w:rsid w:val="00A20EB0"/>
    <w:rsid w:val="00A2527A"/>
    <w:rsid w:val="00A32FBB"/>
    <w:rsid w:val="00A3580F"/>
    <w:rsid w:val="00A428EE"/>
    <w:rsid w:val="00A4478A"/>
    <w:rsid w:val="00A44852"/>
    <w:rsid w:val="00A4650A"/>
    <w:rsid w:val="00A50502"/>
    <w:rsid w:val="00A57D04"/>
    <w:rsid w:val="00A60A26"/>
    <w:rsid w:val="00A61598"/>
    <w:rsid w:val="00A61D73"/>
    <w:rsid w:val="00A84A99"/>
    <w:rsid w:val="00A84F46"/>
    <w:rsid w:val="00A871F4"/>
    <w:rsid w:val="00A9652C"/>
    <w:rsid w:val="00AA3DA5"/>
    <w:rsid w:val="00AC1B2C"/>
    <w:rsid w:val="00AC3264"/>
    <w:rsid w:val="00AD0B7E"/>
    <w:rsid w:val="00AE0232"/>
    <w:rsid w:val="00AE1BF1"/>
    <w:rsid w:val="00AE7401"/>
    <w:rsid w:val="00AF0DD2"/>
    <w:rsid w:val="00AF2FE3"/>
    <w:rsid w:val="00B0209D"/>
    <w:rsid w:val="00B07CEA"/>
    <w:rsid w:val="00B13048"/>
    <w:rsid w:val="00B1716D"/>
    <w:rsid w:val="00B17A1D"/>
    <w:rsid w:val="00B207A0"/>
    <w:rsid w:val="00B42DDB"/>
    <w:rsid w:val="00B514DD"/>
    <w:rsid w:val="00B52AF0"/>
    <w:rsid w:val="00B561BD"/>
    <w:rsid w:val="00B56654"/>
    <w:rsid w:val="00B56E03"/>
    <w:rsid w:val="00B757A6"/>
    <w:rsid w:val="00B8080B"/>
    <w:rsid w:val="00B82223"/>
    <w:rsid w:val="00B87BA5"/>
    <w:rsid w:val="00B87C39"/>
    <w:rsid w:val="00B9562D"/>
    <w:rsid w:val="00BA4665"/>
    <w:rsid w:val="00BA5A9A"/>
    <w:rsid w:val="00BB2FB2"/>
    <w:rsid w:val="00BB3304"/>
    <w:rsid w:val="00BB7528"/>
    <w:rsid w:val="00BC2C2F"/>
    <w:rsid w:val="00BD310B"/>
    <w:rsid w:val="00BD3446"/>
    <w:rsid w:val="00BD4360"/>
    <w:rsid w:val="00BD4879"/>
    <w:rsid w:val="00BD48BA"/>
    <w:rsid w:val="00BD500F"/>
    <w:rsid w:val="00BE1F1B"/>
    <w:rsid w:val="00BE47B5"/>
    <w:rsid w:val="00C03733"/>
    <w:rsid w:val="00C04223"/>
    <w:rsid w:val="00C12A2A"/>
    <w:rsid w:val="00C14F1D"/>
    <w:rsid w:val="00C25FA6"/>
    <w:rsid w:val="00C334B7"/>
    <w:rsid w:val="00C42ACA"/>
    <w:rsid w:val="00C47783"/>
    <w:rsid w:val="00C532EA"/>
    <w:rsid w:val="00C538A9"/>
    <w:rsid w:val="00C53B5A"/>
    <w:rsid w:val="00C54F5A"/>
    <w:rsid w:val="00C569B4"/>
    <w:rsid w:val="00C56A3E"/>
    <w:rsid w:val="00C64344"/>
    <w:rsid w:val="00C6770A"/>
    <w:rsid w:val="00C67A92"/>
    <w:rsid w:val="00C7497E"/>
    <w:rsid w:val="00C84560"/>
    <w:rsid w:val="00C847FF"/>
    <w:rsid w:val="00C84F52"/>
    <w:rsid w:val="00C86679"/>
    <w:rsid w:val="00C93973"/>
    <w:rsid w:val="00C97C9A"/>
    <w:rsid w:val="00CA1CF5"/>
    <w:rsid w:val="00CA489E"/>
    <w:rsid w:val="00CA52A2"/>
    <w:rsid w:val="00CB0279"/>
    <w:rsid w:val="00CB1FD3"/>
    <w:rsid w:val="00CB26DD"/>
    <w:rsid w:val="00CB666B"/>
    <w:rsid w:val="00CC7F1D"/>
    <w:rsid w:val="00CE484B"/>
    <w:rsid w:val="00CF0DEE"/>
    <w:rsid w:val="00CF3198"/>
    <w:rsid w:val="00CF61CE"/>
    <w:rsid w:val="00CF6EDE"/>
    <w:rsid w:val="00D006AE"/>
    <w:rsid w:val="00D01CF0"/>
    <w:rsid w:val="00D01EFD"/>
    <w:rsid w:val="00D0442A"/>
    <w:rsid w:val="00D05A2E"/>
    <w:rsid w:val="00D17683"/>
    <w:rsid w:val="00D36901"/>
    <w:rsid w:val="00D3779A"/>
    <w:rsid w:val="00D45694"/>
    <w:rsid w:val="00D61388"/>
    <w:rsid w:val="00D61A54"/>
    <w:rsid w:val="00D64DEA"/>
    <w:rsid w:val="00D7168E"/>
    <w:rsid w:val="00D71E57"/>
    <w:rsid w:val="00D73C99"/>
    <w:rsid w:val="00D75AA2"/>
    <w:rsid w:val="00D80893"/>
    <w:rsid w:val="00D8266E"/>
    <w:rsid w:val="00D84854"/>
    <w:rsid w:val="00D848B4"/>
    <w:rsid w:val="00D85296"/>
    <w:rsid w:val="00D87FE7"/>
    <w:rsid w:val="00D92CF1"/>
    <w:rsid w:val="00D92D38"/>
    <w:rsid w:val="00D950F5"/>
    <w:rsid w:val="00DA4752"/>
    <w:rsid w:val="00DA61F3"/>
    <w:rsid w:val="00DA6B93"/>
    <w:rsid w:val="00DB0F93"/>
    <w:rsid w:val="00DB1A67"/>
    <w:rsid w:val="00DB3629"/>
    <w:rsid w:val="00DB5074"/>
    <w:rsid w:val="00DB5B21"/>
    <w:rsid w:val="00DB7A52"/>
    <w:rsid w:val="00DC63AA"/>
    <w:rsid w:val="00DC6EF7"/>
    <w:rsid w:val="00DC7981"/>
    <w:rsid w:val="00DE1093"/>
    <w:rsid w:val="00DE4EFA"/>
    <w:rsid w:val="00DE5520"/>
    <w:rsid w:val="00DE563D"/>
    <w:rsid w:val="00DE5E2E"/>
    <w:rsid w:val="00DE6470"/>
    <w:rsid w:val="00DE772C"/>
    <w:rsid w:val="00DF312A"/>
    <w:rsid w:val="00DF6739"/>
    <w:rsid w:val="00E00421"/>
    <w:rsid w:val="00E01851"/>
    <w:rsid w:val="00E04818"/>
    <w:rsid w:val="00E05A4E"/>
    <w:rsid w:val="00E06442"/>
    <w:rsid w:val="00E06BCF"/>
    <w:rsid w:val="00E1001C"/>
    <w:rsid w:val="00E14673"/>
    <w:rsid w:val="00E15F5D"/>
    <w:rsid w:val="00E23993"/>
    <w:rsid w:val="00E257D6"/>
    <w:rsid w:val="00E25B8C"/>
    <w:rsid w:val="00E310D5"/>
    <w:rsid w:val="00E32710"/>
    <w:rsid w:val="00E463BD"/>
    <w:rsid w:val="00E51D65"/>
    <w:rsid w:val="00E567C7"/>
    <w:rsid w:val="00E61A5B"/>
    <w:rsid w:val="00E6200B"/>
    <w:rsid w:val="00E65C85"/>
    <w:rsid w:val="00E66199"/>
    <w:rsid w:val="00E711C7"/>
    <w:rsid w:val="00E755EC"/>
    <w:rsid w:val="00E7624D"/>
    <w:rsid w:val="00E809A7"/>
    <w:rsid w:val="00E81ED0"/>
    <w:rsid w:val="00E86890"/>
    <w:rsid w:val="00E90201"/>
    <w:rsid w:val="00E94AA5"/>
    <w:rsid w:val="00EA3D42"/>
    <w:rsid w:val="00EA5133"/>
    <w:rsid w:val="00EA6B1B"/>
    <w:rsid w:val="00EB5BC8"/>
    <w:rsid w:val="00EB606C"/>
    <w:rsid w:val="00EC04F1"/>
    <w:rsid w:val="00EC1597"/>
    <w:rsid w:val="00EC5F0D"/>
    <w:rsid w:val="00ED0EC2"/>
    <w:rsid w:val="00ED7323"/>
    <w:rsid w:val="00EE1DB9"/>
    <w:rsid w:val="00EE28F3"/>
    <w:rsid w:val="00EE50D1"/>
    <w:rsid w:val="00EF5110"/>
    <w:rsid w:val="00F02C52"/>
    <w:rsid w:val="00F0334E"/>
    <w:rsid w:val="00F10411"/>
    <w:rsid w:val="00F122B2"/>
    <w:rsid w:val="00F15882"/>
    <w:rsid w:val="00F171E0"/>
    <w:rsid w:val="00F1740F"/>
    <w:rsid w:val="00F20BD3"/>
    <w:rsid w:val="00F2526A"/>
    <w:rsid w:val="00F25732"/>
    <w:rsid w:val="00F37099"/>
    <w:rsid w:val="00F373A5"/>
    <w:rsid w:val="00F41D74"/>
    <w:rsid w:val="00F47559"/>
    <w:rsid w:val="00F608C1"/>
    <w:rsid w:val="00F61176"/>
    <w:rsid w:val="00F64C7B"/>
    <w:rsid w:val="00F65B25"/>
    <w:rsid w:val="00F676DD"/>
    <w:rsid w:val="00F71667"/>
    <w:rsid w:val="00F73CB4"/>
    <w:rsid w:val="00F75A26"/>
    <w:rsid w:val="00F76706"/>
    <w:rsid w:val="00F768C8"/>
    <w:rsid w:val="00F81B8D"/>
    <w:rsid w:val="00F83FAD"/>
    <w:rsid w:val="00F8653A"/>
    <w:rsid w:val="00F92349"/>
    <w:rsid w:val="00F952A0"/>
    <w:rsid w:val="00FA2084"/>
    <w:rsid w:val="00FA3C7F"/>
    <w:rsid w:val="00FB2B1D"/>
    <w:rsid w:val="00FB4402"/>
    <w:rsid w:val="00FB60FE"/>
    <w:rsid w:val="00FB74E2"/>
    <w:rsid w:val="00FC71DC"/>
    <w:rsid w:val="00FD11E5"/>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96666285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6E00A2-5129-48D8-8D6A-9CCB1908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360F9C3A</Template>
  <TotalTime>0</TotalTime>
  <Pages>17</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2015-10-25T01:05:00Z</dcterms:created>
  <dcterms:modified xsi:type="dcterms:W3CDTF">2015-10-25T01:05:00Z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8429243</vt:lpwstr>
  </property>
  <property fmtid="{D5CDD505-2E9C-101B-9397-08002B2CF9AE}" pid="3" name="_MarkAsFinal">
    <vt:bool>true</vt:bool>
  </property>
</Properties>
</file>