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C65AC08" wp14:editId="13858EF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4E534F"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DA4752">
            <w:t xml:space="preserve"> </w:t>
          </w:r>
          <w:r w:rsidR="00415F31">
            <w:rPr>
              <w:rFonts w:cs="Arial"/>
            </w:rPr>
            <w:t>–</w:t>
          </w:r>
          <w:r w:rsidR="00DA4752">
            <w:t xml:space="preserve"> </w:t>
          </w:r>
          <w:r w:rsidR="00B51F3F">
            <w:t>Annual revenue requirement</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113766"/>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4E534F">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B27914">
        <w:t>f-</w:t>
      </w:r>
      <w:r w:rsidR="00B27914" w:rsidRPr="001663B6">
        <w:t>factor scheme</w:t>
      </w:r>
    </w:p>
    <w:p w:rsidR="00185A29" w:rsidRDefault="00185A29" w:rsidP="0070011E"/>
    <w:p w:rsidR="00DE563D" w:rsidRPr="00A72B34" w:rsidRDefault="00DE563D" w:rsidP="00DE772C">
      <w:pPr>
        <w:pStyle w:val="UnnumberedHeading"/>
        <w:numPr>
          <w:ilvl w:val="0"/>
          <w:numId w:val="23"/>
        </w:numPr>
      </w:pPr>
      <w:bookmarkStart w:id="5" w:name="_Toc403144133"/>
      <w:bookmarkStart w:id="6" w:name="_Toc433113767"/>
      <w:r>
        <w:lastRenderedPageBreak/>
        <w:t>Contents</w:t>
      </w:r>
      <w:bookmarkEnd w:id="5"/>
      <w:bookmarkEnd w:id="6"/>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37AF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13766" w:history="1">
            <w:r w:rsidR="00237AF2" w:rsidRPr="008E00FB">
              <w:rPr>
                <w:rStyle w:val="Hyperlink"/>
              </w:rPr>
              <w:t>Note</w:t>
            </w:r>
            <w:r w:rsidR="00237AF2">
              <w:rPr>
                <w:webHidden/>
              </w:rPr>
              <w:tab/>
            </w:r>
            <w:r w:rsidR="00237AF2">
              <w:rPr>
                <w:webHidden/>
              </w:rPr>
              <w:fldChar w:fldCharType="begin"/>
            </w:r>
            <w:r w:rsidR="00237AF2">
              <w:rPr>
                <w:webHidden/>
              </w:rPr>
              <w:instrText xml:space="preserve"> PAGEREF _Toc433113766 \h </w:instrText>
            </w:r>
            <w:r w:rsidR="00237AF2">
              <w:rPr>
                <w:webHidden/>
              </w:rPr>
            </w:r>
            <w:r w:rsidR="00237AF2">
              <w:rPr>
                <w:webHidden/>
              </w:rPr>
              <w:fldChar w:fldCharType="separate"/>
            </w:r>
            <w:r w:rsidR="00237AF2">
              <w:rPr>
                <w:webHidden/>
              </w:rPr>
              <w:t>1-2</w:t>
            </w:r>
            <w:r w:rsidR="00237AF2">
              <w:rPr>
                <w:webHidden/>
              </w:rPr>
              <w:fldChar w:fldCharType="end"/>
            </w:r>
          </w:hyperlink>
        </w:p>
        <w:p w:rsidR="00237AF2" w:rsidRDefault="000C694F">
          <w:pPr>
            <w:pStyle w:val="TOC1"/>
            <w:rPr>
              <w:rFonts w:asciiTheme="minorHAnsi" w:eastAsiaTheme="minorEastAsia" w:hAnsiTheme="minorHAnsi"/>
              <w:b w:val="0"/>
              <w:color w:val="auto"/>
              <w:sz w:val="22"/>
              <w:lang w:val="en-AU" w:eastAsia="en-AU"/>
            </w:rPr>
          </w:pPr>
          <w:hyperlink w:anchor="_Toc433113767" w:history="1">
            <w:r w:rsidR="00237AF2" w:rsidRPr="008E00FB">
              <w:rPr>
                <w:rStyle w:val="Hyperlink"/>
              </w:rPr>
              <w:t>Contents</w:t>
            </w:r>
            <w:r w:rsidR="00237AF2">
              <w:rPr>
                <w:webHidden/>
              </w:rPr>
              <w:tab/>
            </w:r>
            <w:r w:rsidR="00237AF2">
              <w:rPr>
                <w:webHidden/>
              </w:rPr>
              <w:fldChar w:fldCharType="begin"/>
            </w:r>
            <w:r w:rsidR="00237AF2">
              <w:rPr>
                <w:webHidden/>
              </w:rPr>
              <w:instrText xml:space="preserve"> PAGEREF _Toc433113767 \h </w:instrText>
            </w:r>
            <w:r w:rsidR="00237AF2">
              <w:rPr>
                <w:webHidden/>
              </w:rPr>
            </w:r>
            <w:r w:rsidR="00237AF2">
              <w:rPr>
                <w:webHidden/>
              </w:rPr>
              <w:fldChar w:fldCharType="separate"/>
            </w:r>
            <w:r w:rsidR="00237AF2">
              <w:rPr>
                <w:webHidden/>
              </w:rPr>
              <w:t>1-3</w:t>
            </w:r>
            <w:r w:rsidR="00237AF2">
              <w:rPr>
                <w:webHidden/>
              </w:rPr>
              <w:fldChar w:fldCharType="end"/>
            </w:r>
          </w:hyperlink>
        </w:p>
        <w:p w:rsidR="00237AF2" w:rsidRDefault="000C694F">
          <w:pPr>
            <w:pStyle w:val="TOC1"/>
            <w:rPr>
              <w:rFonts w:asciiTheme="minorHAnsi" w:eastAsiaTheme="minorEastAsia" w:hAnsiTheme="minorHAnsi"/>
              <w:b w:val="0"/>
              <w:color w:val="auto"/>
              <w:sz w:val="22"/>
              <w:lang w:val="en-AU" w:eastAsia="en-AU"/>
            </w:rPr>
          </w:pPr>
          <w:hyperlink w:anchor="_Toc433113768" w:history="1">
            <w:r w:rsidR="00237AF2" w:rsidRPr="008E00FB">
              <w:rPr>
                <w:rStyle w:val="Hyperlink"/>
              </w:rPr>
              <w:t>Shortened forms</w:t>
            </w:r>
            <w:r w:rsidR="00237AF2">
              <w:rPr>
                <w:webHidden/>
              </w:rPr>
              <w:tab/>
            </w:r>
            <w:r w:rsidR="00237AF2">
              <w:rPr>
                <w:webHidden/>
              </w:rPr>
              <w:fldChar w:fldCharType="begin"/>
            </w:r>
            <w:r w:rsidR="00237AF2">
              <w:rPr>
                <w:webHidden/>
              </w:rPr>
              <w:instrText xml:space="preserve"> PAGEREF _Toc433113768 \h </w:instrText>
            </w:r>
            <w:r w:rsidR="00237AF2">
              <w:rPr>
                <w:webHidden/>
              </w:rPr>
            </w:r>
            <w:r w:rsidR="00237AF2">
              <w:rPr>
                <w:webHidden/>
              </w:rPr>
              <w:fldChar w:fldCharType="separate"/>
            </w:r>
            <w:r w:rsidR="00237AF2">
              <w:rPr>
                <w:webHidden/>
              </w:rPr>
              <w:t>1-4</w:t>
            </w:r>
            <w:r w:rsidR="00237AF2">
              <w:rPr>
                <w:webHidden/>
              </w:rPr>
              <w:fldChar w:fldCharType="end"/>
            </w:r>
          </w:hyperlink>
        </w:p>
        <w:p w:rsidR="00237AF2" w:rsidRDefault="000C694F">
          <w:pPr>
            <w:pStyle w:val="TOC1"/>
            <w:rPr>
              <w:rFonts w:asciiTheme="minorHAnsi" w:eastAsiaTheme="minorEastAsia" w:hAnsiTheme="minorHAnsi"/>
              <w:b w:val="0"/>
              <w:color w:val="auto"/>
              <w:sz w:val="22"/>
              <w:lang w:val="en-AU" w:eastAsia="en-AU"/>
            </w:rPr>
          </w:pPr>
          <w:hyperlink w:anchor="_Toc433113769" w:history="1">
            <w:r w:rsidR="00237AF2" w:rsidRPr="008E00FB">
              <w:rPr>
                <w:rStyle w:val="Hyperlink"/>
              </w:rPr>
              <w:t>1</w:t>
            </w:r>
            <w:r w:rsidR="00237AF2">
              <w:rPr>
                <w:rFonts w:asciiTheme="minorHAnsi" w:eastAsiaTheme="minorEastAsia" w:hAnsiTheme="minorHAnsi"/>
                <w:b w:val="0"/>
                <w:color w:val="auto"/>
                <w:sz w:val="22"/>
                <w:lang w:val="en-AU" w:eastAsia="en-AU"/>
              </w:rPr>
              <w:tab/>
            </w:r>
            <w:r w:rsidR="00237AF2" w:rsidRPr="008E00FB">
              <w:rPr>
                <w:rStyle w:val="Hyperlink"/>
              </w:rPr>
              <w:t>Annual revenue requirement</w:t>
            </w:r>
            <w:r w:rsidR="00237AF2">
              <w:rPr>
                <w:webHidden/>
              </w:rPr>
              <w:tab/>
            </w:r>
            <w:r w:rsidR="00237AF2">
              <w:rPr>
                <w:webHidden/>
              </w:rPr>
              <w:fldChar w:fldCharType="begin"/>
            </w:r>
            <w:r w:rsidR="00237AF2">
              <w:rPr>
                <w:webHidden/>
              </w:rPr>
              <w:instrText xml:space="preserve"> PAGEREF _Toc433113769 \h </w:instrText>
            </w:r>
            <w:r w:rsidR="00237AF2">
              <w:rPr>
                <w:webHidden/>
              </w:rPr>
            </w:r>
            <w:r w:rsidR="00237AF2">
              <w:rPr>
                <w:webHidden/>
              </w:rPr>
              <w:fldChar w:fldCharType="separate"/>
            </w:r>
            <w:r w:rsidR="00237AF2">
              <w:rPr>
                <w:webHidden/>
              </w:rPr>
              <w:t>1-6</w:t>
            </w:r>
            <w:r w:rsidR="00237AF2">
              <w:rPr>
                <w:webHidden/>
              </w:rPr>
              <w:fldChar w:fldCharType="end"/>
            </w:r>
          </w:hyperlink>
        </w:p>
        <w:p w:rsidR="00237AF2" w:rsidRDefault="000C694F">
          <w:pPr>
            <w:pStyle w:val="TOC2"/>
            <w:rPr>
              <w:rFonts w:asciiTheme="minorHAnsi" w:eastAsiaTheme="minorEastAsia" w:hAnsiTheme="minorHAnsi"/>
              <w:b w:val="0"/>
              <w:color w:val="auto"/>
              <w:sz w:val="22"/>
              <w:lang w:eastAsia="en-AU"/>
            </w:rPr>
          </w:pPr>
          <w:hyperlink w:anchor="_Toc433113770" w:history="1">
            <w:r w:rsidR="00237AF2" w:rsidRPr="008E00FB">
              <w:rPr>
                <w:rStyle w:val="Hyperlink"/>
              </w:rPr>
              <w:t>1.1</w:t>
            </w:r>
            <w:r w:rsidR="00237AF2">
              <w:rPr>
                <w:rFonts w:asciiTheme="minorHAnsi" w:eastAsiaTheme="minorEastAsia" w:hAnsiTheme="minorHAnsi"/>
                <w:b w:val="0"/>
                <w:color w:val="auto"/>
                <w:sz w:val="22"/>
                <w:lang w:eastAsia="en-AU"/>
              </w:rPr>
              <w:tab/>
            </w:r>
            <w:r w:rsidR="00237AF2" w:rsidRPr="008E00FB">
              <w:rPr>
                <w:rStyle w:val="Hyperlink"/>
              </w:rPr>
              <w:t>Preliminary decision</w:t>
            </w:r>
            <w:r w:rsidR="00237AF2">
              <w:rPr>
                <w:webHidden/>
              </w:rPr>
              <w:tab/>
            </w:r>
            <w:r w:rsidR="00237AF2">
              <w:rPr>
                <w:webHidden/>
              </w:rPr>
              <w:fldChar w:fldCharType="begin"/>
            </w:r>
            <w:r w:rsidR="00237AF2">
              <w:rPr>
                <w:webHidden/>
              </w:rPr>
              <w:instrText xml:space="preserve"> PAGEREF _Toc433113770 \h </w:instrText>
            </w:r>
            <w:r w:rsidR="00237AF2">
              <w:rPr>
                <w:webHidden/>
              </w:rPr>
            </w:r>
            <w:r w:rsidR="00237AF2">
              <w:rPr>
                <w:webHidden/>
              </w:rPr>
              <w:fldChar w:fldCharType="separate"/>
            </w:r>
            <w:r w:rsidR="00237AF2">
              <w:rPr>
                <w:webHidden/>
              </w:rPr>
              <w:t>1-6</w:t>
            </w:r>
            <w:r w:rsidR="00237AF2">
              <w:rPr>
                <w:webHidden/>
              </w:rPr>
              <w:fldChar w:fldCharType="end"/>
            </w:r>
          </w:hyperlink>
        </w:p>
        <w:p w:rsidR="00237AF2" w:rsidRDefault="000C694F">
          <w:pPr>
            <w:pStyle w:val="TOC2"/>
            <w:rPr>
              <w:rFonts w:asciiTheme="minorHAnsi" w:eastAsiaTheme="minorEastAsia" w:hAnsiTheme="minorHAnsi"/>
              <w:b w:val="0"/>
              <w:color w:val="auto"/>
              <w:sz w:val="22"/>
              <w:lang w:eastAsia="en-AU"/>
            </w:rPr>
          </w:pPr>
          <w:hyperlink w:anchor="_Toc433113771" w:history="1">
            <w:r w:rsidR="00237AF2" w:rsidRPr="008E00FB">
              <w:rPr>
                <w:rStyle w:val="Hyperlink"/>
              </w:rPr>
              <w:t>1.2</w:t>
            </w:r>
            <w:r w:rsidR="00237AF2">
              <w:rPr>
                <w:rFonts w:asciiTheme="minorHAnsi" w:eastAsiaTheme="minorEastAsia" w:hAnsiTheme="minorHAnsi"/>
                <w:b w:val="0"/>
                <w:color w:val="auto"/>
                <w:sz w:val="22"/>
                <w:lang w:eastAsia="en-AU"/>
              </w:rPr>
              <w:tab/>
            </w:r>
            <w:r w:rsidR="00237AF2" w:rsidRPr="008E00FB">
              <w:rPr>
                <w:rStyle w:val="Hyperlink"/>
              </w:rPr>
              <w:t>Powercor's proposal</w:t>
            </w:r>
            <w:r w:rsidR="00237AF2">
              <w:rPr>
                <w:webHidden/>
              </w:rPr>
              <w:tab/>
            </w:r>
            <w:r w:rsidR="00237AF2">
              <w:rPr>
                <w:webHidden/>
              </w:rPr>
              <w:fldChar w:fldCharType="begin"/>
            </w:r>
            <w:r w:rsidR="00237AF2">
              <w:rPr>
                <w:webHidden/>
              </w:rPr>
              <w:instrText xml:space="preserve"> PAGEREF _Toc433113771 \h </w:instrText>
            </w:r>
            <w:r w:rsidR="00237AF2">
              <w:rPr>
                <w:webHidden/>
              </w:rPr>
            </w:r>
            <w:r w:rsidR="00237AF2">
              <w:rPr>
                <w:webHidden/>
              </w:rPr>
              <w:fldChar w:fldCharType="separate"/>
            </w:r>
            <w:r w:rsidR="00237AF2">
              <w:rPr>
                <w:webHidden/>
              </w:rPr>
              <w:t>1-8</w:t>
            </w:r>
            <w:r w:rsidR="00237AF2">
              <w:rPr>
                <w:webHidden/>
              </w:rPr>
              <w:fldChar w:fldCharType="end"/>
            </w:r>
          </w:hyperlink>
        </w:p>
        <w:p w:rsidR="00237AF2" w:rsidRDefault="000C694F">
          <w:pPr>
            <w:pStyle w:val="TOC2"/>
            <w:rPr>
              <w:rFonts w:asciiTheme="minorHAnsi" w:eastAsiaTheme="minorEastAsia" w:hAnsiTheme="minorHAnsi"/>
              <w:b w:val="0"/>
              <w:color w:val="auto"/>
              <w:sz w:val="22"/>
              <w:lang w:eastAsia="en-AU"/>
            </w:rPr>
          </w:pPr>
          <w:hyperlink w:anchor="_Toc433113772" w:history="1">
            <w:r w:rsidR="00237AF2" w:rsidRPr="008E00FB">
              <w:rPr>
                <w:rStyle w:val="Hyperlink"/>
              </w:rPr>
              <w:t>1.3</w:t>
            </w:r>
            <w:r w:rsidR="00237AF2">
              <w:rPr>
                <w:rFonts w:asciiTheme="minorHAnsi" w:eastAsiaTheme="minorEastAsia" w:hAnsiTheme="minorHAnsi"/>
                <w:b w:val="0"/>
                <w:color w:val="auto"/>
                <w:sz w:val="22"/>
                <w:lang w:eastAsia="en-AU"/>
              </w:rPr>
              <w:tab/>
            </w:r>
            <w:r w:rsidR="00237AF2" w:rsidRPr="008E00FB">
              <w:rPr>
                <w:rStyle w:val="Hyperlink"/>
              </w:rPr>
              <w:t>AER’s assessment approach</w:t>
            </w:r>
            <w:r w:rsidR="00237AF2">
              <w:rPr>
                <w:webHidden/>
              </w:rPr>
              <w:tab/>
            </w:r>
            <w:r w:rsidR="00237AF2">
              <w:rPr>
                <w:webHidden/>
              </w:rPr>
              <w:fldChar w:fldCharType="begin"/>
            </w:r>
            <w:r w:rsidR="00237AF2">
              <w:rPr>
                <w:webHidden/>
              </w:rPr>
              <w:instrText xml:space="preserve"> PAGEREF _Toc433113772 \h </w:instrText>
            </w:r>
            <w:r w:rsidR="00237AF2">
              <w:rPr>
                <w:webHidden/>
              </w:rPr>
            </w:r>
            <w:r w:rsidR="00237AF2">
              <w:rPr>
                <w:webHidden/>
              </w:rPr>
              <w:fldChar w:fldCharType="separate"/>
            </w:r>
            <w:r w:rsidR="00237AF2">
              <w:rPr>
                <w:webHidden/>
              </w:rPr>
              <w:t>1-8</w:t>
            </w:r>
            <w:r w:rsidR="00237AF2">
              <w:rPr>
                <w:webHidden/>
              </w:rPr>
              <w:fldChar w:fldCharType="end"/>
            </w:r>
          </w:hyperlink>
        </w:p>
        <w:p w:rsidR="00237AF2" w:rsidRDefault="000C694F">
          <w:pPr>
            <w:pStyle w:val="TOC3"/>
            <w:rPr>
              <w:rFonts w:asciiTheme="minorHAnsi" w:eastAsiaTheme="minorEastAsia" w:hAnsiTheme="minorHAnsi"/>
              <w:lang w:eastAsia="en-AU"/>
            </w:rPr>
          </w:pPr>
          <w:hyperlink w:anchor="_Toc433113773" w:history="1">
            <w:r w:rsidR="00237AF2" w:rsidRPr="008E00FB">
              <w:rPr>
                <w:rStyle w:val="Hyperlink"/>
              </w:rPr>
              <w:t>1.3.1</w:t>
            </w:r>
            <w:r w:rsidR="00237AF2">
              <w:rPr>
                <w:rFonts w:asciiTheme="minorHAnsi" w:eastAsiaTheme="minorEastAsia" w:hAnsiTheme="minorHAnsi"/>
                <w:lang w:eastAsia="en-AU"/>
              </w:rPr>
              <w:tab/>
            </w:r>
            <w:r w:rsidR="00237AF2" w:rsidRPr="008E00FB">
              <w:rPr>
                <w:rStyle w:val="Hyperlink"/>
              </w:rPr>
              <w:t>The building block costs</w:t>
            </w:r>
            <w:r w:rsidR="00237AF2">
              <w:rPr>
                <w:webHidden/>
              </w:rPr>
              <w:tab/>
            </w:r>
            <w:r w:rsidR="00237AF2">
              <w:rPr>
                <w:webHidden/>
              </w:rPr>
              <w:fldChar w:fldCharType="begin"/>
            </w:r>
            <w:r w:rsidR="00237AF2">
              <w:rPr>
                <w:webHidden/>
              </w:rPr>
              <w:instrText xml:space="preserve"> PAGEREF _Toc433113773 \h </w:instrText>
            </w:r>
            <w:r w:rsidR="00237AF2">
              <w:rPr>
                <w:webHidden/>
              </w:rPr>
            </w:r>
            <w:r w:rsidR="00237AF2">
              <w:rPr>
                <w:webHidden/>
              </w:rPr>
              <w:fldChar w:fldCharType="separate"/>
            </w:r>
            <w:r w:rsidR="00237AF2">
              <w:rPr>
                <w:webHidden/>
              </w:rPr>
              <w:t>1-10</w:t>
            </w:r>
            <w:r w:rsidR="00237AF2">
              <w:rPr>
                <w:webHidden/>
              </w:rPr>
              <w:fldChar w:fldCharType="end"/>
            </w:r>
          </w:hyperlink>
        </w:p>
        <w:p w:rsidR="00237AF2" w:rsidRDefault="000C694F">
          <w:pPr>
            <w:pStyle w:val="TOC2"/>
            <w:rPr>
              <w:rFonts w:asciiTheme="minorHAnsi" w:eastAsiaTheme="minorEastAsia" w:hAnsiTheme="minorHAnsi"/>
              <w:b w:val="0"/>
              <w:color w:val="auto"/>
              <w:sz w:val="22"/>
              <w:lang w:eastAsia="en-AU"/>
            </w:rPr>
          </w:pPr>
          <w:hyperlink w:anchor="_Toc433113774" w:history="1">
            <w:r w:rsidR="00237AF2" w:rsidRPr="008E00FB">
              <w:rPr>
                <w:rStyle w:val="Hyperlink"/>
              </w:rPr>
              <w:t>1.4</w:t>
            </w:r>
            <w:r w:rsidR="00237AF2">
              <w:rPr>
                <w:rFonts w:asciiTheme="minorHAnsi" w:eastAsiaTheme="minorEastAsia" w:hAnsiTheme="minorHAnsi"/>
                <w:b w:val="0"/>
                <w:color w:val="auto"/>
                <w:sz w:val="22"/>
                <w:lang w:eastAsia="en-AU"/>
              </w:rPr>
              <w:tab/>
            </w:r>
            <w:r w:rsidR="00237AF2" w:rsidRPr="008E00FB">
              <w:rPr>
                <w:rStyle w:val="Hyperlink"/>
              </w:rPr>
              <w:t>Reasons for preliminary decision</w:t>
            </w:r>
            <w:r w:rsidR="00237AF2">
              <w:rPr>
                <w:webHidden/>
              </w:rPr>
              <w:tab/>
            </w:r>
            <w:r w:rsidR="00237AF2">
              <w:rPr>
                <w:webHidden/>
              </w:rPr>
              <w:fldChar w:fldCharType="begin"/>
            </w:r>
            <w:r w:rsidR="00237AF2">
              <w:rPr>
                <w:webHidden/>
              </w:rPr>
              <w:instrText xml:space="preserve"> PAGEREF _Toc433113774 \h </w:instrText>
            </w:r>
            <w:r w:rsidR="00237AF2">
              <w:rPr>
                <w:webHidden/>
              </w:rPr>
            </w:r>
            <w:r w:rsidR="00237AF2">
              <w:rPr>
                <w:webHidden/>
              </w:rPr>
              <w:fldChar w:fldCharType="separate"/>
            </w:r>
            <w:r w:rsidR="00237AF2">
              <w:rPr>
                <w:webHidden/>
              </w:rPr>
              <w:t>1-10</w:t>
            </w:r>
            <w:r w:rsidR="00237AF2">
              <w:rPr>
                <w:webHidden/>
              </w:rPr>
              <w:fldChar w:fldCharType="end"/>
            </w:r>
          </w:hyperlink>
        </w:p>
        <w:p w:rsidR="00237AF2" w:rsidRDefault="000C694F">
          <w:pPr>
            <w:pStyle w:val="TOC3"/>
            <w:rPr>
              <w:rFonts w:asciiTheme="minorHAnsi" w:eastAsiaTheme="minorEastAsia" w:hAnsiTheme="minorHAnsi"/>
              <w:lang w:eastAsia="en-AU"/>
            </w:rPr>
          </w:pPr>
          <w:hyperlink w:anchor="_Toc433113775" w:history="1">
            <w:r w:rsidR="00237AF2" w:rsidRPr="008E00FB">
              <w:rPr>
                <w:rStyle w:val="Hyperlink"/>
              </w:rPr>
              <w:t>1.4.1</w:t>
            </w:r>
            <w:r w:rsidR="00237AF2">
              <w:rPr>
                <w:rFonts w:asciiTheme="minorHAnsi" w:eastAsiaTheme="minorEastAsia" w:hAnsiTheme="minorHAnsi"/>
                <w:lang w:eastAsia="en-AU"/>
              </w:rPr>
              <w:tab/>
            </w:r>
            <w:r w:rsidR="00237AF2" w:rsidRPr="008E00FB">
              <w:rPr>
                <w:rStyle w:val="Hyperlink"/>
              </w:rPr>
              <w:t>Revenue smoothing</w:t>
            </w:r>
            <w:r w:rsidR="00237AF2">
              <w:rPr>
                <w:webHidden/>
              </w:rPr>
              <w:tab/>
            </w:r>
            <w:r w:rsidR="00237AF2">
              <w:rPr>
                <w:webHidden/>
              </w:rPr>
              <w:fldChar w:fldCharType="begin"/>
            </w:r>
            <w:r w:rsidR="00237AF2">
              <w:rPr>
                <w:webHidden/>
              </w:rPr>
              <w:instrText xml:space="preserve"> PAGEREF _Toc433113775 \h </w:instrText>
            </w:r>
            <w:r w:rsidR="00237AF2">
              <w:rPr>
                <w:webHidden/>
              </w:rPr>
            </w:r>
            <w:r w:rsidR="00237AF2">
              <w:rPr>
                <w:webHidden/>
              </w:rPr>
              <w:fldChar w:fldCharType="separate"/>
            </w:r>
            <w:r w:rsidR="00237AF2">
              <w:rPr>
                <w:webHidden/>
              </w:rPr>
              <w:t>1-11</w:t>
            </w:r>
            <w:r w:rsidR="00237AF2">
              <w:rPr>
                <w:webHidden/>
              </w:rPr>
              <w:fldChar w:fldCharType="end"/>
            </w:r>
          </w:hyperlink>
        </w:p>
        <w:p w:rsidR="00237AF2" w:rsidRDefault="000C694F">
          <w:pPr>
            <w:pStyle w:val="TOC3"/>
            <w:rPr>
              <w:rFonts w:asciiTheme="minorHAnsi" w:eastAsiaTheme="minorEastAsia" w:hAnsiTheme="minorHAnsi"/>
              <w:lang w:eastAsia="en-AU"/>
            </w:rPr>
          </w:pPr>
          <w:hyperlink w:anchor="_Toc433113776" w:history="1">
            <w:r w:rsidR="00237AF2" w:rsidRPr="008E00FB">
              <w:rPr>
                <w:rStyle w:val="Hyperlink"/>
              </w:rPr>
              <w:t>1.4.2</w:t>
            </w:r>
            <w:r w:rsidR="00237AF2">
              <w:rPr>
                <w:rFonts w:asciiTheme="minorHAnsi" w:eastAsiaTheme="minorEastAsia" w:hAnsiTheme="minorHAnsi"/>
                <w:lang w:eastAsia="en-AU"/>
              </w:rPr>
              <w:tab/>
            </w:r>
            <w:r w:rsidR="00237AF2" w:rsidRPr="008E00FB">
              <w:rPr>
                <w:rStyle w:val="Hyperlink"/>
              </w:rPr>
              <w:t>Shared assets</w:t>
            </w:r>
            <w:r w:rsidR="00237AF2">
              <w:rPr>
                <w:webHidden/>
              </w:rPr>
              <w:tab/>
            </w:r>
            <w:r w:rsidR="00237AF2">
              <w:rPr>
                <w:webHidden/>
              </w:rPr>
              <w:fldChar w:fldCharType="begin"/>
            </w:r>
            <w:r w:rsidR="00237AF2">
              <w:rPr>
                <w:webHidden/>
              </w:rPr>
              <w:instrText xml:space="preserve"> PAGEREF _Toc433113776 \h </w:instrText>
            </w:r>
            <w:r w:rsidR="00237AF2">
              <w:rPr>
                <w:webHidden/>
              </w:rPr>
            </w:r>
            <w:r w:rsidR="00237AF2">
              <w:rPr>
                <w:webHidden/>
              </w:rPr>
              <w:fldChar w:fldCharType="separate"/>
            </w:r>
            <w:r w:rsidR="00237AF2">
              <w:rPr>
                <w:webHidden/>
              </w:rPr>
              <w:t>1-12</w:t>
            </w:r>
            <w:r w:rsidR="00237AF2">
              <w:rPr>
                <w:webHidden/>
              </w:rPr>
              <w:fldChar w:fldCharType="end"/>
            </w:r>
          </w:hyperlink>
        </w:p>
        <w:p w:rsidR="00237AF2" w:rsidRDefault="000C694F">
          <w:pPr>
            <w:pStyle w:val="TOC3"/>
            <w:rPr>
              <w:rFonts w:asciiTheme="minorHAnsi" w:eastAsiaTheme="minorEastAsia" w:hAnsiTheme="minorHAnsi"/>
              <w:lang w:eastAsia="en-AU"/>
            </w:rPr>
          </w:pPr>
          <w:hyperlink w:anchor="_Toc433113777" w:history="1">
            <w:r w:rsidR="00237AF2" w:rsidRPr="008E00FB">
              <w:rPr>
                <w:rStyle w:val="Hyperlink"/>
              </w:rPr>
              <w:t>1.4.3</w:t>
            </w:r>
            <w:r w:rsidR="00237AF2">
              <w:rPr>
                <w:rFonts w:asciiTheme="minorHAnsi" w:eastAsiaTheme="minorEastAsia" w:hAnsiTheme="minorHAnsi"/>
                <w:lang w:eastAsia="en-AU"/>
              </w:rPr>
              <w:tab/>
            </w:r>
            <w:r w:rsidR="00237AF2" w:rsidRPr="008E00FB">
              <w:rPr>
                <w:rStyle w:val="Hyperlink"/>
              </w:rPr>
              <w:t>Indicative average distribution price impact</w:t>
            </w:r>
            <w:r w:rsidR="00237AF2">
              <w:rPr>
                <w:webHidden/>
              </w:rPr>
              <w:tab/>
            </w:r>
            <w:r w:rsidR="00237AF2">
              <w:rPr>
                <w:webHidden/>
              </w:rPr>
              <w:fldChar w:fldCharType="begin"/>
            </w:r>
            <w:r w:rsidR="00237AF2">
              <w:rPr>
                <w:webHidden/>
              </w:rPr>
              <w:instrText xml:space="preserve"> PAGEREF _Toc433113777 \h </w:instrText>
            </w:r>
            <w:r w:rsidR="00237AF2">
              <w:rPr>
                <w:webHidden/>
              </w:rPr>
            </w:r>
            <w:r w:rsidR="00237AF2">
              <w:rPr>
                <w:webHidden/>
              </w:rPr>
              <w:fldChar w:fldCharType="separate"/>
            </w:r>
            <w:r w:rsidR="00237AF2">
              <w:rPr>
                <w:webHidden/>
              </w:rPr>
              <w:t>1-13</w:t>
            </w:r>
            <w:r w:rsidR="00237AF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113768"/>
      <w:r>
        <w:lastRenderedPageBreak/>
        <w:t>Shortened forms</w:t>
      </w:r>
      <w:bookmarkEnd w:id="7"/>
      <w:bookmarkEnd w:id="8"/>
    </w:p>
    <w:tbl>
      <w:tblPr>
        <w:tblStyle w:val="AERtable-text0"/>
        <w:tblW w:w="0" w:type="auto"/>
        <w:tblLook w:val="04A0" w:firstRow="1" w:lastRow="0" w:firstColumn="1" w:lastColumn="0" w:noHBand="0" w:noVBand="1"/>
      </w:tblPr>
      <w:tblGrid>
        <w:gridCol w:w="3227"/>
        <w:gridCol w:w="5466"/>
      </w:tblGrid>
      <w:tr w:rsidR="001F05A4" w:rsidTr="00230D86">
        <w:trPr>
          <w:cnfStyle w:val="100000000000" w:firstRow="1" w:lastRow="0" w:firstColumn="0" w:lastColumn="0" w:oddVBand="0" w:evenVBand="0" w:oddHBand="0" w:evenHBand="0" w:firstRowFirstColumn="0" w:firstRowLastColumn="0" w:lastRowFirstColumn="0" w:lastRowLastColumn="0"/>
          <w:tblHeader/>
        </w:trPr>
        <w:tc>
          <w:tcPr>
            <w:tcW w:w="3227" w:type="dxa"/>
          </w:tcPr>
          <w:p w:rsidR="001F05A4" w:rsidRDefault="001F05A4" w:rsidP="00DE772C">
            <w:pPr>
              <w:numPr>
                <w:ilvl w:val="0"/>
                <w:numId w:val="24"/>
              </w:numPr>
            </w:pPr>
            <w:r>
              <w:t>Shortened form</w:t>
            </w:r>
          </w:p>
        </w:tc>
        <w:tc>
          <w:tcPr>
            <w:tcW w:w="5466" w:type="dxa"/>
          </w:tcPr>
          <w:p w:rsidR="001F05A4" w:rsidRDefault="001F05A4" w:rsidP="00DE772C">
            <w:pPr>
              <w:numPr>
                <w:ilvl w:val="0"/>
                <w:numId w:val="24"/>
              </w:numPr>
            </w:pPr>
            <w:r>
              <w:t>Extended form</w:t>
            </w:r>
          </w:p>
        </w:tc>
      </w:tr>
      <w:tr w:rsidR="005C4C9C" w:rsidTr="00230D86">
        <w:tc>
          <w:tcPr>
            <w:tcW w:w="3227" w:type="dxa"/>
          </w:tcPr>
          <w:p w:rsidR="005C4C9C" w:rsidRPr="005C4C9C" w:rsidRDefault="005C4C9C" w:rsidP="005C4C9C">
            <w:pPr>
              <w:numPr>
                <w:ilvl w:val="0"/>
                <w:numId w:val="24"/>
              </w:numPr>
            </w:pPr>
            <w:r w:rsidRPr="005C4C9C">
              <w:t>AEMC</w:t>
            </w:r>
          </w:p>
        </w:tc>
        <w:tc>
          <w:tcPr>
            <w:tcW w:w="5466" w:type="dxa"/>
          </w:tcPr>
          <w:p w:rsidR="005C4C9C" w:rsidRPr="005C4C9C" w:rsidRDefault="005C4C9C" w:rsidP="005C4C9C">
            <w:pPr>
              <w:numPr>
                <w:ilvl w:val="0"/>
                <w:numId w:val="24"/>
              </w:numPr>
            </w:pPr>
            <w:r w:rsidRPr="005C4C9C">
              <w:t>Australian Energy Market Commission</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AEMO</w:t>
            </w:r>
          </w:p>
        </w:tc>
        <w:tc>
          <w:tcPr>
            <w:tcW w:w="5466" w:type="dxa"/>
          </w:tcPr>
          <w:p w:rsidR="005C4C9C" w:rsidRPr="005C4C9C" w:rsidRDefault="005C4C9C" w:rsidP="005C4C9C">
            <w:pPr>
              <w:numPr>
                <w:ilvl w:val="0"/>
                <w:numId w:val="24"/>
              </w:numPr>
            </w:pPr>
            <w:r w:rsidRPr="005C4C9C">
              <w:t>Australian Energy Market Operator</w:t>
            </w:r>
          </w:p>
        </w:tc>
      </w:tr>
      <w:tr w:rsidR="005C4C9C" w:rsidTr="00230D86">
        <w:tc>
          <w:tcPr>
            <w:tcW w:w="3227" w:type="dxa"/>
          </w:tcPr>
          <w:p w:rsidR="005C4C9C" w:rsidRPr="005C4C9C" w:rsidRDefault="005C4C9C" w:rsidP="005C4C9C">
            <w:pPr>
              <w:numPr>
                <w:ilvl w:val="0"/>
                <w:numId w:val="24"/>
              </w:numPr>
            </w:pPr>
            <w:r w:rsidRPr="005C4C9C">
              <w:t>AER</w:t>
            </w:r>
          </w:p>
        </w:tc>
        <w:tc>
          <w:tcPr>
            <w:tcW w:w="5466" w:type="dxa"/>
          </w:tcPr>
          <w:p w:rsidR="005C4C9C" w:rsidRPr="005C4C9C" w:rsidRDefault="005C4C9C" w:rsidP="005C4C9C">
            <w:pPr>
              <w:numPr>
                <w:ilvl w:val="0"/>
                <w:numId w:val="24"/>
              </w:numPr>
            </w:pPr>
            <w:r w:rsidRPr="005C4C9C">
              <w:t>Australian Energy Regulator</w:t>
            </w:r>
          </w:p>
        </w:tc>
      </w:tr>
      <w:tr w:rsidR="00B27914"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B27914" w:rsidRPr="005C4C9C" w:rsidRDefault="00B27914" w:rsidP="005C4C9C">
            <w:pPr>
              <w:numPr>
                <w:ilvl w:val="0"/>
                <w:numId w:val="24"/>
              </w:numPr>
            </w:pPr>
            <w:r>
              <w:t>AMI</w:t>
            </w:r>
          </w:p>
        </w:tc>
        <w:tc>
          <w:tcPr>
            <w:tcW w:w="5466" w:type="dxa"/>
          </w:tcPr>
          <w:p w:rsidR="00B27914" w:rsidRPr="005C4C9C" w:rsidRDefault="00B27914" w:rsidP="005C4C9C">
            <w:pPr>
              <w:numPr>
                <w:ilvl w:val="0"/>
                <w:numId w:val="24"/>
              </w:numPr>
            </w:pPr>
            <w:r>
              <w:t>advanced metering infrastructure</w:t>
            </w:r>
          </w:p>
        </w:tc>
      </w:tr>
      <w:tr w:rsidR="005C4C9C" w:rsidTr="00230D86">
        <w:tc>
          <w:tcPr>
            <w:tcW w:w="3227" w:type="dxa"/>
          </w:tcPr>
          <w:p w:rsidR="005C4C9C" w:rsidRPr="005C4C9C" w:rsidRDefault="005C4C9C" w:rsidP="005C4C9C">
            <w:pPr>
              <w:numPr>
                <w:ilvl w:val="0"/>
                <w:numId w:val="24"/>
              </w:numPr>
            </w:pPr>
            <w:r w:rsidRPr="005C4C9C">
              <w:t>augex</w:t>
            </w:r>
          </w:p>
        </w:tc>
        <w:tc>
          <w:tcPr>
            <w:tcW w:w="5466" w:type="dxa"/>
          </w:tcPr>
          <w:p w:rsidR="005C4C9C" w:rsidRPr="005C4C9C" w:rsidRDefault="005C4C9C" w:rsidP="005C4C9C">
            <w:pPr>
              <w:numPr>
                <w:ilvl w:val="0"/>
                <w:numId w:val="24"/>
              </w:numPr>
            </w:pPr>
            <w:r w:rsidRPr="005C4C9C">
              <w:t>augmentation expenditure</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capex</w:t>
            </w:r>
          </w:p>
        </w:tc>
        <w:tc>
          <w:tcPr>
            <w:tcW w:w="5466" w:type="dxa"/>
          </w:tcPr>
          <w:p w:rsidR="005C4C9C" w:rsidRPr="005C4C9C" w:rsidRDefault="005C4C9C" w:rsidP="005C4C9C">
            <w:pPr>
              <w:numPr>
                <w:ilvl w:val="0"/>
                <w:numId w:val="24"/>
              </w:numPr>
            </w:pPr>
            <w:r w:rsidRPr="005C4C9C">
              <w:t>capital expenditure</w:t>
            </w:r>
          </w:p>
        </w:tc>
      </w:tr>
      <w:tr w:rsidR="005C4C9C" w:rsidTr="00230D86">
        <w:tc>
          <w:tcPr>
            <w:tcW w:w="3227" w:type="dxa"/>
          </w:tcPr>
          <w:p w:rsidR="005C4C9C" w:rsidRPr="005C4C9C" w:rsidRDefault="005C4C9C" w:rsidP="005C4C9C">
            <w:pPr>
              <w:numPr>
                <w:ilvl w:val="0"/>
                <w:numId w:val="24"/>
              </w:numPr>
            </w:pPr>
            <w:r w:rsidRPr="005C4C9C">
              <w:t>CCP</w:t>
            </w:r>
          </w:p>
        </w:tc>
        <w:tc>
          <w:tcPr>
            <w:tcW w:w="5466" w:type="dxa"/>
          </w:tcPr>
          <w:p w:rsidR="005C4C9C" w:rsidRPr="005C4C9C" w:rsidRDefault="005C4C9C" w:rsidP="005C4C9C">
            <w:pPr>
              <w:numPr>
                <w:ilvl w:val="0"/>
                <w:numId w:val="24"/>
              </w:numPr>
            </w:pPr>
            <w:r w:rsidRPr="005C4C9C">
              <w:t>Consumer Challenge Panel</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CESS</w:t>
            </w:r>
          </w:p>
        </w:tc>
        <w:tc>
          <w:tcPr>
            <w:tcW w:w="5466" w:type="dxa"/>
          </w:tcPr>
          <w:p w:rsidR="005C4C9C" w:rsidRPr="005C4C9C" w:rsidRDefault="005C4C9C" w:rsidP="005C4C9C">
            <w:pPr>
              <w:numPr>
                <w:ilvl w:val="0"/>
                <w:numId w:val="24"/>
              </w:numPr>
            </w:pPr>
            <w:r w:rsidRPr="005C4C9C">
              <w:t>capital expenditure sharing scheme</w:t>
            </w:r>
          </w:p>
        </w:tc>
      </w:tr>
      <w:tr w:rsidR="005C4C9C" w:rsidTr="00230D86">
        <w:tc>
          <w:tcPr>
            <w:tcW w:w="3227" w:type="dxa"/>
          </w:tcPr>
          <w:p w:rsidR="005C4C9C" w:rsidRPr="005C4C9C" w:rsidRDefault="005C4C9C" w:rsidP="005C4C9C">
            <w:pPr>
              <w:numPr>
                <w:ilvl w:val="0"/>
                <w:numId w:val="24"/>
              </w:numPr>
            </w:pPr>
            <w:r w:rsidRPr="005C4C9C">
              <w:t>CPI</w:t>
            </w:r>
          </w:p>
        </w:tc>
        <w:tc>
          <w:tcPr>
            <w:tcW w:w="5466" w:type="dxa"/>
          </w:tcPr>
          <w:p w:rsidR="005C4C9C" w:rsidRPr="005C4C9C" w:rsidRDefault="005C4C9C" w:rsidP="005C4C9C">
            <w:pPr>
              <w:numPr>
                <w:ilvl w:val="0"/>
                <w:numId w:val="24"/>
              </w:numPr>
            </w:pPr>
            <w:r w:rsidRPr="005C4C9C">
              <w:t>consumer price index</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DRP</w:t>
            </w:r>
          </w:p>
        </w:tc>
        <w:tc>
          <w:tcPr>
            <w:tcW w:w="5466" w:type="dxa"/>
          </w:tcPr>
          <w:p w:rsidR="005C4C9C" w:rsidRPr="005C4C9C" w:rsidRDefault="005C4C9C" w:rsidP="005C4C9C">
            <w:pPr>
              <w:numPr>
                <w:ilvl w:val="0"/>
                <w:numId w:val="24"/>
              </w:numPr>
            </w:pPr>
            <w:r w:rsidRPr="005C4C9C">
              <w:t>debt risk premium</w:t>
            </w:r>
          </w:p>
        </w:tc>
      </w:tr>
      <w:tr w:rsidR="005C4C9C" w:rsidTr="00230D86">
        <w:tc>
          <w:tcPr>
            <w:tcW w:w="3227" w:type="dxa"/>
          </w:tcPr>
          <w:p w:rsidR="005C4C9C" w:rsidRPr="005C4C9C" w:rsidRDefault="005C4C9C" w:rsidP="005C4C9C">
            <w:pPr>
              <w:numPr>
                <w:ilvl w:val="0"/>
                <w:numId w:val="24"/>
              </w:numPr>
            </w:pPr>
            <w:r w:rsidRPr="005C4C9C">
              <w:t>DMIA</w:t>
            </w:r>
          </w:p>
        </w:tc>
        <w:tc>
          <w:tcPr>
            <w:tcW w:w="5466" w:type="dxa"/>
          </w:tcPr>
          <w:p w:rsidR="005C4C9C" w:rsidRPr="005C4C9C" w:rsidRDefault="005C4C9C" w:rsidP="005C4C9C">
            <w:pPr>
              <w:numPr>
                <w:ilvl w:val="0"/>
                <w:numId w:val="24"/>
              </w:numPr>
            </w:pPr>
            <w:r w:rsidRPr="005C4C9C">
              <w:t>demand management innovation allowance</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DMIS</w:t>
            </w:r>
          </w:p>
        </w:tc>
        <w:tc>
          <w:tcPr>
            <w:tcW w:w="5466" w:type="dxa"/>
          </w:tcPr>
          <w:p w:rsidR="005C4C9C" w:rsidRPr="005C4C9C" w:rsidRDefault="005C4C9C" w:rsidP="005C4C9C">
            <w:pPr>
              <w:numPr>
                <w:ilvl w:val="0"/>
                <w:numId w:val="24"/>
              </w:numPr>
            </w:pPr>
            <w:r w:rsidRPr="005C4C9C">
              <w:t>demand management incentive scheme</w:t>
            </w:r>
          </w:p>
        </w:tc>
      </w:tr>
      <w:tr w:rsidR="005C4C9C" w:rsidTr="00230D86">
        <w:tc>
          <w:tcPr>
            <w:tcW w:w="3227" w:type="dxa"/>
          </w:tcPr>
          <w:p w:rsidR="005C4C9C" w:rsidRPr="005C4C9C" w:rsidRDefault="005C4C9C" w:rsidP="005C4C9C">
            <w:pPr>
              <w:numPr>
                <w:ilvl w:val="0"/>
                <w:numId w:val="24"/>
              </w:numPr>
            </w:pPr>
            <w:r w:rsidRPr="005C4C9C">
              <w:t>distributor</w:t>
            </w:r>
          </w:p>
        </w:tc>
        <w:tc>
          <w:tcPr>
            <w:tcW w:w="5466" w:type="dxa"/>
          </w:tcPr>
          <w:p w:rsidR="005C4C9C" w:rsidRPr="005C4C9C" w:rsidRDefault="005C4C9C" w:rsidP="005C4C9C">
            <w:pPr>
              <w:numPr>
                <w:ilvl w:val="0"/>
                <w:numId w:val="24"/>
              </w:numPr>
            </w:pPr>
            <w:r w:rsidRPr="005C4C9C">
              <w:t>distribution network service provider</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DUoS</w:t>
            </w:r>
          </w:p>
        </w:tc>
        <w:tc>
          <w:tcPr>
            <w:tcW w:w="5466" w:type="dxa"/>
          </w:tcPr>
          <w:p w:rsidR="005C4C9C" w:rsidRPr="005C4C9C" w:rsidRDefault="005C4C9C" w:rsidP="005C4C9C">
            <w:pPr>
              <w:numPr>
                <w:ilvl w:val="0"/>
                <w:numId w:val="24"/>
              </w:numPr>
            </w:pPr>
            <w:r w:rsidRPr="005C4C9C">
              <w:t>distribution use of system</w:t>
            </w:r>
          </w:p>
        </w:tc>
      </w:tr>
      <w:tr w:rsidR="005C4C9C" w:rsidTr="00230D86">
        <w:tc>
          <w:tcPr>
            <w:tcW w:w="3227" w:type="dxa"/>
          </w:tcPr>
          <w:p w:rsidR="005C4C9C" w:rsidRPr="005C4C9C" w:rsidRDefault="005C4C9C" w:rsidP="005C4C9C">
            <w:pPr>
              <w:numPr>
                <w:ilvl w:val="0"/>
                <w:numId w:val="24"/>
              </w:numPr>
            </w:pPr>
            <w:r w:rsidRPr="005C4C9C">
              <w:t>EBSS</w:t>
            </w:r>
          </w:p>
        </w:tc>
        <w:tc>
          <w:tcPr>
            <w:tcW w:w="5466" w:type="dxa"/>
          </w:tcPr>
          <w:p w:rsidR="005C4C9C" w:rsidRPr="005C4C9C" w:rsidRDefault="005C4C9C" w:rsidP="005C4C9C">
            <w:pPr>
              <w:numPr>
                <w:ilvl w:val="0"/>
                <w:numId w:val="24"/>
              </w:numPr>
            </w:pPr>
            <w:r w:rsidRPr="005C4C9C">
              <w:t>efficiency benefit sharing scheme</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ERP</w:t>
            </w:r>
          </w:p>
        </w:tc>
        <w:tc>
          <w:tcPr>
            <w:tcW w:w="5466" w:type="dxa"/>
          </w:tcPr>
          <w:p w:rsidR="005C4C9C" w:rsidRPr="005C4C9C" w:rsidRDefault="005C4C9C" w:rsidP="005C4C9C">
            <w:pPr>
              <w:numPr>
                <w:ilvl w:val="0"/>
                <w:numId w:val="24"/>
              </w:numPr>
            </w:pPr>
            <w:r w:rsidRPr="005C4C9C">
              <w:t>equity risk premium</w:t>
            </w:r>
          </w:p>
        </w:tc>
      </w:tr>
      <w:tr w:rsidR="005C4C9C" w:rsidTr="00230D86">
        <w:tc>
          <w:tcPr>
            <w:tcW w:w="3227" w:type="dxa"/>
          </w:tcPr>
          <w:p w:rsidR="005C4C9C" w:rsidRPr="005C4C9C" w:rsidRDefault="005C4C9C" w:rsidP="005C4C9C">
            <w:pPr>
              <w:numPr>
                <w:ilvl w:val="0"/>
                <w:numId w:val="24"/>
              </w:numPr>
            </w:pPr>
            <w:r w:rsidRPr="005C4C9C">
              <w:t>Expenditure Assessment Guideline</w:t>
            </w:r>
          </w:p>
        </w:tc>
        <w:tc>
          <w:tcPr>
            <w:tcW w:w="5466"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F&amp;A</w:t>
            </w:r>
          </w:p>
        </w:tc>
        <w:tc>
          <w:tcPr>
            <w:tcW w:w="5466" w:type="dxa"/>
          </w:tcPr>
          <w:p w:rsidR="005C4C9C" w:rsidRPr="005C4C9C" w:rsidRDefault="005C4C9C" w:rsidP="005C4C9C">
            <w:pPr>
              <w:numPr>
                <w:ilvl w:val="0"/>
                <w:numId w:val="24"/>
              </w:numPr>
            </w:pPr>
            <w:r w:rsidRPr="005C4C9C">
              <w:t>framework and approach</w:t>
            </w:r>
          </w:p>
        </w:tc>
      </w:tr>
      <w:tr w:rsidR="005C4C9C" w:rsidTr="00230D86">
        <w:tc>
          <w:tcPr>
            <w:tcW w:w="3227" w:type="dxa"/>
          </w:tcPr>
          <w:p w:rsidR="005C4C9C" w:rsidRPr="005C4C9C" w:rsidRDefault="005C4C9C" w:rsidP="005C4C9C">
            <w:pPr>
              <w:numPr>
                <w:ilvl w:val="0"/>
                <w:numId w:val="24"/>
              </w:numPr>
            </w:pPr>
            <w:r w:rsidRPr="005C4C9C">
              <w:t>MRP</w:t>
            </w:r>
          </w:p>
        </w:tc>
        <w:tc>
          <w:tcPr>
            <w:tcW w:w="5466" w:type="dxa"/>
          </w:tcPr>
          <w:p w:rsidR="005C4C9C" w:rsidRPr="005C4C9C" w:rsidRDefault="005C4C9C" w:rsidP="005C4C9C">
            <w:pPr>
              <w:numPr>
                <w:ilvl w:val="0"/>
                <w:numId w:val="24"/>
              </w:numPr>
            </w:pPr>
            <w:r w:rsidRPr="005C4C9C">
              <w:t>market risk premium</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NEL</w:t>
            </w:r>
          </w:p>
        </w:tc>
        <w:tc>
          <w:tcPr>
            <w:tcW w:w="5466" w:type="dxa"/>
          </w:tcPr>
          <w:p w:rsidR="005C4C9C" w:rsidRPr="005C4C9C" w:rsidRDefault="005C4C9C" w:rsidP="005C4C9C">
            <w:pPr>
              <w:numPr>
                <w:ilvl w:val="0"/>
                <w:numId w:val="24"/>
              </w:numPr>
            </w:pPr>
            <w:r w:rsidRPr="005C4C9C">
              <w:t>national electricity law</w:t>
            </w:r>
          </w:p>
        </w:tc>
      </w:tr>
      <w:tr w:rsidR="005C4C9C" w:rsidTr="00230D86">
        <w:tc>
          <w:tcPr>
            <w:tcW w:w="3227" w:type="dxa"/>
          </w:tcPr>
          <w:p w:rsidR="005C4C9C" w:rsidRPr="005C4C9C" w:rsidRDefault="005C4C9C" w:rsidP="005C4C9C">
            <w:pPr>
              <w:numPr>
                <w:ilvl w:val="0"/>
                <w:numId w:val="24"/>
              </w:numPr>
            </w:pPr>
            <w:r w:rsidRPr="005C4C9C">
              <w:t>NEM</w:t>
            </w:r>
          </w:p>
        </w:tc>
        <w:tc>
          <w:tcPr>
            <w:tcW w:w="5466" w:type="dxa"/>
          </w:tcPr>
          <w:p w:rsidR="005C4C9C" w:rsidRPr="005C4C9C" w:rsidRDefault="005C4C9C" w:rsidP="005C4C9C">
            <w:pPr>
              <w:numPr>
                <w:ilvl w:val="0"/>
                <w:numId w:val="24"/>
              </w:numPr>
            </w:pPr>
            <w:r w:rsidRPr="005C4C9C">
              <w:t>national electricity market</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NEO</w:t>
            </w:r>
          </w:p>
        </w:tc>
        <w:tc>
          <w:tcPr>
            <w:tcW w:w="5466" w:type="dxa"/>
          </w:tcPr>
          <w:p w:rsidR="005C4C9C" w:rsidRPr="005C4C9C" w:rsidRDefault="005C4C9C" w:rsidP="005C4C9C">
            <w:pPr>
              <w:numPr>
                <w:ilvl w:val="0"/>
                <w:numId w:val="24"/>
              </w:numPr>
            </w:pPr>
            <w:r w:rsidRPr="005C4C9C">
              <w:t>national electricity objective</w:t>
            </w:r>
          </w:p>
        </w:tc>
      </w:tr>
      <w:tr w:rsidR="005C4C9C" w:rsidTr="00230D86">
        <w:tc>
          <w:tcPr>
            <w:tcW w:w="3227" w:type="dxa"/>
          </w:tcPr>
          <w:p w:rsidR="005C4C9C" w:rsidRPr="005C4C9C" w:rsidRDefault="005C4C9C" w:rsidP="005C4C9C">
            <w:pPr>
              <w:numPr>
                <w:ilvl w:val="0"/>
                <w:numId w:val="24"/>
              </w:numPr>
            </w:pPr>
            <w:r w:rsidRPr="005C4C9C">
              <w:t>NER</w:t>
            </w:r>
          </w:p>
        </w:tc>
        <w:tc>
          <w:tcPr>
            <w:tcW w:w="5466" w:type="dxa"/>
          </w:tcPr>
          <w:p w:rsidR="005C4C9C" w:rsidRPr="005C4C9C" w:rsidRDefault="005C4C9C" w:rsidP="005C4C9C">
            <w:pPr>
              <w:numPr>
                <w:ilvl w:val="0"/>
                <w:numId w:val="24"/>
              </w:numPr>
            </w:pPr>
            <w:r w:rsidRPr="005C4C9C">
              <w:t>national electricity rules</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NSP</w:t>
            </w:r>
          </w:p>
        </w:tc>
        <w:tc>
          <w:tcPr>
            <w:tcW w:w="5466" w:type="dxa"/>
          </w:tcPr>
          <w:p w:rsidR="005C4C9C" w:rsidRPr="005C4C9C" w:rsidRDefault="005C4C9C" w:rsidP="005C4C9C">
            <w:pPr>
              <w:numPr>
                <w:ilvl w:val="0"/>
                <w:numId w:val="24"/>
              </w:numPr>
            </w:pPr>
            <w:r w:rsidRPr="005C4C9C">
              <w:t>network service provider</w:t>
            </w:r>
          </w:p>
        </w:tc>
      </w:tr>
      <w:tr w:rsidR="005C4C9C" w:rsidTr="00230D86">
        <w:tc>
          <w:tcPr>
            <w:tcW w:w="3227" w:type="dxa"/>
          </w:tcPr>
          <w:p w:rsidR="005C4C9C" w:rsidRPr="005C4C9C" w:rsidRDefault="005C4C9C" w:rsidP="005C4C9C">
            <w:pPr>
              <w:numPr>
                <w:ilvl w:val="0"/>
                <w:numId w:val="24"/>
              </w:numPr>
            </w:pPr>
            <w:r w:rsidRPr="005C4C9C">
              <w:t>opex</w:t>
            </w:r>
          </w:p>
        </w:tc>
        <w:tc>
          <w:tcPr>
            <w:tcW w:w="5466" w:type="dxa"/>
          </w:tcPr>
          <w:p w:rsidR="005C4C9C" w:rsidRPr="005C4C9C" w:rsidRDefault="005C4C9C" w:rsidP="005C4C9C">
            <w:pPr>
              <w:numPr>
                <w:ilvl w:val="0"/>
                <w:numId w:val="24"/>
              </w:numPr>
            </w:pPr>
            <w:r w:rsidRPr="005C4C9C">
              <w:t>operating expenditure</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PPI</w:t>
            </w:r>
          </w:p>
        </w:tc>
        <w:tc>
          <w:tcPr>
            <w:tcW w:w="5466" w:type="dxa"/>
          </w:tcPr>
          <w:p w:rsidR="005C4C9C" w:rsidRPr="005C4C9C" w:rsidRDefault="005C4C9C" w:rsidP="005C4C9C">
            <w:pPr>
              <w:numPr>
                <w:ilvl w:val="0"/>
                <w:numId w:val="24"/>
              </w:numPr>
            </w:pPr>
            <w:r w:rsidRPr="005C4C9C">
              <w:t>partial performance indicators</w:t>
            </w:r>
          </w:p>
        </w:tc>
      </w:tr>
      <w:tr w:rsidR="005C4C9C" w:rsidTr="00230D86">
        <w:tc>
          <w:tcPr>
            <w:tcW w:w="3227" w:type="dxa"/>
          </w:tcPr>
          <w:p w:rsidR="005C4C9C" w:rsidRPr="005C4C9C" w:rsidRDefault="005C4C9C" w:rsidP="005C4C9C">
            <w:pPr>
              <w:numPr>
                <w:ilvl w:val="0"/>
                <w:numId w:val="24"/>
              </w:numPr>
            </w:pPr>
            <w:r w:rsidRPr="005C4C9C">
              <w:t>PTRM</w:t>
            </w:r>
          </w:p>
        </w:tc>
        <w:tc>
          <w:tcPr>
            <w:tcW w:w="5466" w:type="dxa"/>
          </w:tcPr>
          <w:p w:rsidR="005C4C9C" w:rsidRPr="005C4C9C" w:rsidRDefault="005C4C9C" w:rsidP="005C4C9C">
            <w:pPr>
              <w:numPr>
                <w:ilvl w:val="0"/>
                <w:numId w:val="24"/>
              </w:numPr>
            </w:pPr>
            <w:r w:rsidRPr="005C4C9C">
              <w:t>post-tax revenue model</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RAB</w:t>
            </w:r>
          </w:p>
        </w:tc>
        <w:tc>
          <w:tcPr>
            <w:tcW w:w="5466" w:type="dxa"/>
          </w:tcPr>
          <w:p w:rsidR="005C4C9C" w:rsidRPr="005C4C9C" w:rsidRDefault="005C4C9C" w:rsidP="005C4C9C">
            <w:pPr>
              <w:numPr>
                <w:ilvl w:val="0"/>
                <w:numId w:val="24"/>
              </w:numPr>
            </w:pPr>
            <w:r w:rsidRPr="005C4C9C">
              <w:t>regulatory asset base</w:t>
            </w:r>
          </w:p>
        </w:tc>
      </w:tr>
      <w:tr w:rsidR="005C4C9C" w:rsidTr="00230D86">
        <w:tc>
          <w:tcPr>
            <w:tcW w:w="3227" w:type="dxa"/>
          </w:tcPr>
          <w:p w:rsidR="005C4C9C" w:rsidRPr="005C4C9C" w:rsidRDefault="005C4C9C" w:rsidP="005C4C9C">
            <w:pPr>
              <w:numPr>
                <w:ilvl w:val="0"/>
                <w:numId w:val="24"/>
              </w:numPr>
            </w:pPr>
            <w:r w:rsidRPr="005C4C9C">
              <w:t>RBA</w:t>
            </w:r>
          </w:p>
        </w:tc>
        <w:tc>
          <w:tcPr>
            <w:tcW w:w="5466" w:type="dxa"/>
          </w:tcPr>
          <w:p w:rsidR="005C4C9C" w:rsidRPr="005C4C9C" w:rsidRDefault="005C4C9C" w:rsidP="005C4C9C">
            <w:pPr>
              <w:numPr>
                <w:ilvl w:val="0"/>
                <w:numId w:val="24"/>
              </w:numPr>
            </w:pPr>
            <w:r w:rsidRPr="005C4C9C">
              <w:t>Reserve Bank of Australia</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repex</w:t>
            </w:r>
          </w:p>
        </w:tc>
        <w:tc>
          <w:tcPr>
            <w:tcW w:w="5466" w:type="dxa"/>
          </w:tcPr>
          <w:p w:rsidR="005C4C9C" w:rsidRPr="005C4C9C" w:rsidRDefault="005C4C9C" w:rsidP="005C4C9C">
            <w:pPr>
              <w:numPr>
                <w:ilvl w:val="0"/>
                <w:numId w:val="24"/>
              </w:numPr>
            </w:pPr>
            <w:r w:rsidRPr="005C4C9C">
              <w:t>replacement expenditure</w:t>
            </w:r>
          </w:p>
        </w:tc>
      </w:tr>
      <w:tr w:rsidR="005C4C9C" w:rsidTr="00230D86">
        <w:tc>
          <w:tcPr>
            <w:tcW w:w="3227" w:type="dxa"/>
          </w:tcPr>
          <w:p w:rsidR="005C4C9C" w:rsidRPr="005C4C9C" w:rsidRDefault="005C4C9C" w:rsidP="005C4C9C">
            <w:pPr>
              <w:numPr>
                <w:ilvl w:val="0"/>
                <w:numId w:val="24"/>
              </w:numPr>
            </w:pPr>
            <w:r w:rsidRPr="005C4C9C">
              <w:lastRenderedPageBreak/>
              <w:t>RFM</w:t>
            </w:r>
          </w:p>
        </w:tc>
        <w:tc>
          <w:tcPr>
            <w:tcW w:w="5466" w:type="dxa"/>
          </w:tcPr>
          <w:p w:rsidR="005C4C9C" w:rsidRPr="005C4C9C" w:rsidRDefault="005C4C9C" w:rsidP="005C4C9C">
            <w:pPr>
              <w:numPr>
                <w:ilvl w:val="0"/>
                <w:numId w:val="24"/>
              </w:numPr>
            </w:pPr>
            <w:r w:rsidRPr="005C4C9C">
              <w:t>roll forward model</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RIN</w:t>
            </w:r>
          </w:p>
        </w:tc>
        <w:tc>
          <w:tcPr>
            <w:tcW w:w="5466" w:type="dxa"/>
          </w:tcPr>
          <w:p w:rsidR="005C4C9C" w:rsidRPr="005C4C9C" w:rsidRDefault="005C4C9C" w:rsidP="005C4C9C">
            <w:pPr>
              <w:numPr>
                <w:ilvl w:val="0"/>
                <w:numId w:val="24"/>
              </w:numPr>
            </w:pPr>
            <w:r w:rsidRPr="005C4C9C">
              <w:t>regulatory information notice</w:t>
            </w:r>
          </w:p>
        </w:tc>
      </w:tr>
      <w:tr w:rsidR="005C4C9C" w:rsidTr="00230D86">
        <w:tc>
          <w:tcPr>
            <w:tcW w:w="3227" w:type="dxa"/>
          </w:tcPr>
          <w:p w:rsidR="005C4C9C" w:rsidRPr="005C4C9C" w:rsidRDefault="005C4C9C" w:rsidP="005C4C9C">
            <w:pPr>
              <w:numPr>
                <w:ilvl w:val="0"/>
                <w:numId w:val="24"/>
              </w:numPr>
            </w:pPr>
            <w:r w:rsidRPr="005C4C9C">
              <w:t>RPP</w:t>
            </w:r>
          </w:p>
        </w:tc>
        <w:tc>
          <w:tcPr>
            <w:tcW w:w="5466" w:type="dxa"/>
          </w:tcPr>
          <w:p w:rsidR="005C4C9C" w:rsidRPr="005C4C9C" w:rsidRDefault="005C4C9C" w:rsidP="005C4C9C">
            <w:pPr>
              <w:numPr>
                <w:ilvl w:val="0"/>
                <w:numId w:val="24"/>
              </w:numPr>
            </w:pPr>
            <w:r w:rsidRPr="005C4C9C">
              <w:t>revenue and pricing principles</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SAIDI</w:t>
            </w:r>
          </w:p>
        </w:tc>
        <w:tc>
          <w:tcPr>
            <w:tcW w:w="5466" w:type="dxa"/>
          </w:tcPr>
          <w:p w:rsidR="005C4C9C" w:rsidRPr="005C4C9C" w:rsidRDefault="005C4C9C" w:rsidP="005C4C9C">
            <w:pPr>
              <w:numPr>
                <w:ilvl w:val="0"/>
                <w:numId w:val="24"/>
              </w:numPr>
            </w:pPr>
            <w:r w:rsidRPr="005C4C9C">
              <w:t>system average interruption duration index</w:t>
            </w:r>
          </w:p>
        </w:tc>
      </w:tr>
      <w:tr w:rsidR="005C4C9C" w:rsidTr="00230D86">
        <w:tc>
          <w:tcPr>
            <w:tcW w:w="3227" w:type="dxa"/>
          </w:tcPr>
          <w:p w:rsidR="005C4C9C" w:rsidRPr="005C4C9C" w:rsidRDefault="005C4C9C" w:rsidP="005C4C9C">
            <w:pPr>
              <w:numPr>
                <w:ilvl w:val="0"/>
                <w:numId w:val="24"/>
              </w:numPr>
            </w:pPr>
            <w:r w:rsidRPr="005C4C9C">
              <w:t>SAIFI</w:t>
            </w:r>
          </w:p>
        </w:tc>
        <w:tc>
          <w:tcPr>
            <w:tcW w:w="5466" w:type="dxa"/>
          </w:tcPr>
          <w:p w:rsidR="005C4C9C" w:rsidRPr="005C4C9C" w:rsidRDefault="005C4C9C" w:rsidP="005C4C9C">
            <w:pPr>
              <w:numPr>
                <w:ilvl w:val="0"/>
                <w:numId w:val="24"/>
              </w:numPr>
            </w:pPr>
            <w:r w:rsidRPr="005C4C9C">
              <w:t>system average interruption frequency index</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SLCAPM</w:t>
            </w:r>
          </w:p>
        </w:tc>
        <w:tc>
          <w:tcPr>
            <w:tcW w:w="5466" w:type="dxa"/>
          </w:tcPr>
          <w:p w:rsidR="005C4C9C" w:rsidRPr="005C4C9C" w:rsidRDefault="005C4C9C" w:rsidP="005C4C9C">
            <w:pPr>
              <w:numPr>
                <w:ilvl w:val="0"/>
                <w:numId w:val="24"/>
              </w:numPr>
            </w:pPr>
            <w:r w:rsidRPr="005C4C9C">
              <w:t>Sharpe-Lintner capital asset pricing model</w:t>
            </w:r>
          </w:p>
        </w:tc>
      </w:tr>
      <w:tr w:rsidR="005C4C9C" w:rsidTr="00230D86">
        <w:tc>
          <w:tcPr>
            <w:tcW w:w="3227" w:type="dxa"/>
          </w:tcPr>
          <w:p w:rsidR="005C4C9C" w:rsidRPr="005C4C9C" w:rsidRDefault="005C4C9C" w:rsidP="005C4C9C">
            <w:pPr>
              <w:numPr>
                <w:ilvl w:val="0"/>
                <w:numId w:val="24"/>
              </w:numPr>
            </w:pPr>
            <w:r w:rsidRPr="005C4C9C">
              <w:t>STPIS</w:t>
            </w:r>
          </w:p>
        </w:tc>
        <w:tc>
          <w:tcPr>
            <w:tcW w:w="5466" w:type="dxa"/>
          </w:tcPr>
          <w:p w:rsidR="005C4C9C" w:rsidRPr="005C4C9C" w:rsidRDefault="005C4C9C" w:rsidP="005C4C9C">
            <w:pPr>
              <w:numPr>
                <w:ilvl w:val="0"/>
                <w:numId w:val="24"/>
              </w:numPr>
            </w:pPr>
            <w:r w:rsidRPr="005C4C9C">
              <w:t>service target performance incentive scheme</w:t>
            </w:r>
          </w:p>
        </w:tc>
      </w:tr>
      <w:tr w:rsidR="005C4C9C" w:rsidTr="00230D86">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WACC</w:t>
            </w:r>
          </w:p>
        </w:tc>
        <w:tc>
          <w:tcPr>
            <w:tcW w:w="5466"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B51F3F" w:rsidP="00B51F3F">
      <w:pPr>
        <w:pStyle w:val="Heading1"/>
      </w:pPr>
      <w:bookmarkStart w:id="9" w:name="_Toc433113769"/>
      <w:r>
        <w:lastRenderedPageBreak/>
        <w:t>Annual revenue requirement</w:t>
      </w:r>
      <w:bookmarkEnd w:id="9"/>
    </w:p>
    <w:p w:rsidR="00D6684D" w:rsidRPr="00D6684D" w:rsidRDefault="00D6684D" w:rsidP="00D6684D">
      <w:pPr>
        <w:numPr>
          <w:ilvl w:val="0"/>
          <w:numId w:val="24"/>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 xml:space="preserve">building block costs for each year of the regulatory control period before smoothing. The ARRs are smoothed across the period to reduce fluctuations between years and to determine expected revenues for each year. The expected revenues are the amounts that Powercor will target for annual pricing purposes and </w:t>
      </w:r>
      <w:r w:rsidRPr="00F95B9F">
        <w:t xml:space="preserve">recover from </w:t>
      </w:r>
      <w:r>
        <w:t xml:space="preserve">customers for </w:t>
      </w:r>
      <w:r w:rsidRPr="00F95B9F">
        <w:t>the provision of standard control services for each year of the regulatory control period</w:t>
      </w:r>
      <w:r>
        <w:t>. This attachment sets out our preliminary decision on Powercor's ARRs and expected revenues for the 2016–20 regulatory control period.</w:t>
      </w:r>
    </w:p>
    <w:p w:rsidR="009A5113" w:rsidRDefault="005C0A7F" w:rsidP="009A5113">
      <w:pPr>
        <w:pStyle w:val="Heading2"/>
      </w:pPr>
      <w:bookmarkStart w:id="10" w:name="_Toc408404320"/>
      <w:bookmarkStart w:id="11" w:name="_Toc433113770"/>
      <w:r>
        <w:t>Preliminary</w:t>
      </w:r>
      <w:r w:rsidR="009A5113" w:rsidRPr="0074565D">
        <w:t xml:space="preserve"> decision</w:t>
      </w:r>
      <w:bookmarkEnd w:id="10"/>
      <w:bookmarkEnd w:id="11"/>
    </w:p>
    <w:p w:rsidR="00D6684D" w:rsidRPr="002B52F6" w:rsidRDefault="00D6684D" w:rsidP="00D6684D">
      <w:r>
        <w:t xml:space="preserve">We </w:t>
      </w:r>
      <w:r w:rsidRPr="0094506C">
        <w:t xml:space="preserve">do not accept </w:t>
      </w:r>
      <w:r>
        <w:t>Powercor's</w:t>
      </w:r>
      <w:r w:rsidRPr="0094506C">
        <w:t xml:space="preserve"> proposed total revenue requirement</w:t>
      </w:r>
      <w:r>
        <w:t xml:space="preserve"> </w:t>
      </w:r>
      <w:r w:rsidRPr="0094506C">
        <w:t>of $</w:t>
      </w:r>
      <w:r>
        <w:t>36</w:t>
      </w:r>
      <w:r w:rsidR="00A95F36">
        <w:t>62.2</w:t>
      </w:r>
      <w:r>
        <w:t> </w:t>
      </w:r>
      <w:r w:rsidRPr="0094506C">
        <w:t xml:space="preserve">million </w:t>
      </w:r>
      <w:r>
        <w:t>($</w:t>
      </w:r>
      <w:r w:rsidR="009244CD">
        <w:t> </w:t>
      </w:r>
      <w:r>
        <w:t xml:space="preserve">nominal) </w:t>
      </w:r>
      <w:r w:rsidRPr="0094506C">
        <w:t xml:space="preserve">over the </w:t>
      </w:r>
      <w:r>
        <w:t>2016–20</w:t>
      </w:r>
      <w:r w:rsidRPr="0094506C">
        <w:t xml:space="preserve"> </w:t>
      </w:r>
      <w:r>
        <w:t xml:space="preserve">regulatory control </w:t>
      </w:r>
      <w:r w:rsidRPr="0094506C">
        <w:t xml:space="preserve">period. </w:t>
      </w:r>
      <w:r>
        <w:t>This is because we have not accepted the building block costs in Powercor's proposal.</w:t>
      </w:r>
      <w:r w:rsidRPr="0094506C">
        <w:t xml:space="preserve"> We determine a total revenue requirement </w:t>
      </w:r>
      <w:r w:rsidRPr="000B6AE9">
        <w:t>of $</w:t>
      </w:r>
      <w:r w:rsidR="009244CD">
        <w:t>3</w:t>
      </w:r>
      <w:r w:rsidR="008B0511">
        <w:t>098.0 </w:t>
      </w:r>
      <w:r w:rsidRPr="00C83946">
        <w:t>million ($ nominal)</w:t>
      </w:r>
      <w:r w:rsidRPr="000B6AE9">
        <w:t xml:space="preserve"> for</w:t>
      </w:r>
      <w:r w:rsidRPr="002B52F6">
        <w:t xml:space="preserve"> </w:t>
      </w:r>
      <w:r>
        <w:t xml:space="preserve">Powercor </w:t>
      </w:r>
      <w:r w:rsidRPr="0094506C">
        <w:t xml:space="preserve">for </w:t>
      </w:r>
      <w:r>
        <w:t xml:space="preserve">the 2016–20 regulatory control period, reflecting our preliminary decision on the various </w:t>
      </w:r>
      <w:r w:rsidRPr="000B6AE9">
        <w:t xml:space="preserve">building block costs. This is a reduction of </w:t>
      </w:r>
      <w:r w:rsidRPr="00C83946">
        <w:t>$</w:t>
      </w:r>
      <w:r w:rsidR="008B0511">
        <w:t>564.2 </w:t>
      </w:r>
      <w:r w:rsidRPr="00C83946">
        <w:t>million ($ nominal)</w:t>
      </w:r>
      <w:r w:rsidRPr="000B6AE9">
        <w:t xml:space="preserve"> or </w:t>
      </w:r>
      <w:r w:rsidR="009244CD">
        <w:t>15.</w:t>
      </w:r>
      <w:r w:rsidR="008B0511">
        <w:t>4 </w:t>
      </w:r>
      <w:r w:rsidRPr="00C83946">
        <w:t>per cent</w:t>
      </w:r>
      <w:r w:rsidRPr="000B6AE9">
        <w:t xml:space="preserve"> to </w:t>
      </w:r>
      <w:r>
        <w:t>Powercor's</w:t>
      </w:r>
      <w:r w:rsidRPr="002B52F6">
        <w:t xml:space="preserve"> proposal.</w:t>
      </w:r>
    </w:p>
    <w:p w:rsidR="00D6684D" w:rsidRDefault="00D6684D" w:rsidP="00D6684D">
      <w:r w:rsidRPr="00AC0E54">
        <w:t xml:space="preserve">As a result of our smoothing of the ARRs, our </w:t>
      </w:r>
      <w:r>
        <w:t>preliminary</w:t>
      </w:r>
      <w:r w:rsidRPr="00AC0E54">
        <w:t xml:space="preserve"> decision </w:t>
      </w:r>
      <w:r>
        <w:t xml:space="preserve">on the annual expected revenue and X factor for each regulatory year of the 2016–20 regulatory control </w:t>
      </w:r>
      <w:proofErr w:type="gramStart"/>
      <w:r>
        <w:t>period</w:t>
      </w:r>
      <w:proofErr w:type="gramEnd"/>
      <w:r>
        <w:t xml:space="preserve"> is set out in </w:t>
      </w:r>
      <w:r w:rsidR="009244CD">
        <w:fldChar w:fldCharType="begin"/>
      </w:r>
      <w:r w:rsidR="009244CD">
        <w:instrText xml:space="preserve"> REF _Ref397598046 \h </w:instrText>
      </w:r>
      <w:r w:rsidR="009244CD">
        <w:fldChar w:fldCharType="separate"/>
      </w:r>
      <w:r w:rsidR="009244CD">
        <w:t xml:space="preserve">Table </w:t>
      </w:r>
      <w:r w:rsidR="009244CD">
        <w:rPr>
          <w:noProof/>
        </w:rPr>
        <w:t>1</w:t>
      </w:r>
      <w:r w:rsidR="009244CD">
        <w:t>.</w:t>
      </w:r>
      <w:r w:rsidR="009244CD">
        <w:rPr>
          <w:noProof/>
        </w:rPr>
        <w:t>1</w:t>
      </w:r>
      <w:r w:rsidR="009244CD">
        <w:fldChar w:fldCharType="end"/>
      </w:r>
      <w:r>
        <w:t xml:space="preserve">. Our preliminary decision </w:t>
      </w:r>
      <w:r w:rsidRPr="00AC0E54">
        <w:t>is to approve total expected revenues (</w:t>
      </w:r>
      <w:r w:rsidRPr="000B6AE9">
        <w:t xml:space="preserve">smoothed) of </w:t>
      </w:r>
      <w:r w:rsidRPr="00C83946">
        <w:t>$</w:t>
      </w:r>
      <w:r w:rsidR="008B0511">
        <w:t>3085.8 </w:t>
      </w:r>
      <w:r w:rsidRPr="00C83946">
        <w:t>million ($ nominal)</w:t>
      </w:r>
      <w:r w:rsidRPr="000B6AE9">
        <w:t xml:space="preserve"> for</w:t>
      </w:r>
      <w:r w:rsidRPr="00AC0E54">
        <w:t xml:space="preserve"> the </w:t>
      </w:r>
      <w:r>
        <w:t>2016–20</w:t>
      </w:r>
      <w:r w:rsidRPr="00AC0E54">
        <w:t xml:space="preserve"> </w:t>
      </w:r>
      <w:r>
        <w:t xml:space="preserve">regulatory control </w:t>
      </w:r>
      <w:r w:rsidRPr="00AC0E54">
        <w:t>period.</w:t>
      </w:r>
    </w:p>
    <w:p w:rsidR="00D6684D" w:rsidRDefault="00D6684D" w:rsidP="00D6684D">
      <w:pPr>
        <w:numPr>
          <w:ilvl w:val="0"/>
          <w:numId w:val="24"/>
        </w:numPr>
      </w:pPr>
      <w:r>
        <w:fldChar w:fldCharType="begin"/>
      </w:r>
      <w:r>
        <w:instrText xml:space="preserve"> REF _Ref397598037 \h </w:instrText>
      </w:r>
      <w:r>
        <w:fldChar w:fldCharType="separate"/>
      </w:r>
      <w:r w:rsidR="009244CD">
        <w:t xml:space="preserve">Figure </w:t>
      </w:r>
      <w:r w:rsidR="009244CD">
        <w:rPr>
          <w:noProof/>
        </w:rPr>
        <w:t>1</w:t>
      </w:r>
      <w:r w:rsidR="009244CD">
        <w:t>.</w:t>
      </w:r>
      <w:r w:rsidR="009244CD">
        <w:rPr>
          <w:noProof/>
        </w:rPr>
        <w:t>1</w:t>
      </w:r>
      <w:r>
        <w:fldChar w:fldCharType="end"/>
      </w:r>
      <w:r w:rsidRPr="00933B05">
        <w:t xml:space="preserve"> </w:t>
      </w:r>
      <w:r>
        <w:t>shows</w:t>
      </w:r>
      <w:r w:rsidRPr="00933B05">
        <w:t xml:space="preserve"> the difference between </w:t>
      </w:r>
      <w:r>
        <w:t xml:space="preserve">Powercor's </w:t>
      </w:r>
      <w:r w:rsidRPr="00933B05">
        <w:t xml:space="preserve">proposal and </w:t>
      </w:r>
      <w:r>
        <w:t>our preliminary</w:t>
      </w:r>
      <w:r w:rsidRPr="00933B05">
        <w:t xml:space="preserve"> </w:t>
      </w:r>
      <w:r>
        <w:t>decision</w:t>
      </w:r>
      <w:r w:rsidRPr="00933B05">
        <w:t>.</w:t>
      </w:r>
      <w:r>
        <w:t xml:space="preserve"> </w:t>
      </w:r>
    </w:p>
    <w:p w:rsidR="00D6684D" w:rsidRPr="00AF5046" w:rsidRDefault="00D6684D" w:rsidP="00D6684D">
      <w:pPr>
        <w:pStyle w:val="ListParagraph"/>
        <w:numPr>
          <w:ilvl w:val="0"/>
          <w:numId w:val="24"/>
        </w:numPr>
      </w:pPr>
      <w:r w:rsidRPr="00AF5046">
        <w:fldChar w:fldCharType="begin"/>
      </w:r>
      <w:r w:rsidRPr="00AF5046">
        <w:instrText xml:space="preserve"> REF _Ref397598046 \h </w:instrText>
      </w:r>
      <w:r w:rsidRPr="00AF5046">
        <w:fldChar w:fldCharType="separate"/>
      </w:r>
      <w:r w:rsidR="009244CD">
        <w:t xml:space="preserve">Table </w:t>
      </w:r>
      <w:r w:rsidR="009244CD">
        <w:rPr>
          <w:noProof/>
        </w:rPr>
        <w:t>1</w:t>
      </w:r>
      <w:r w:rsidR="009244CD">
        <w:t>.</w:t>
      </w:r>
      <w:r w:rsidR="009244CD">
        <w:rPr>
          <w:noProof/>
        </w:rPr>
        <w:t>1</w:t>
      </w:r>
      <w:r w:rsidRPr="00AF5046">
        <w:fldChar w:fldCharType="end"/>
      </w:r>
      <w:r w:rsidRPr="00AF5046">
        <w:t xml:space="preserve"> shows our preliminary decision on the building block costs, the ARR, annual expected revenue and X factor for each year of the </w:t>
      </w:r>
      <w:r>
        <w:t>2016–20</w:t>
      </w:r>
      <w:r w:rsidRPr="00AF5046">
        <w:t xml:space="preserve"> regulatory control </w:t>
      </w:r>
      <w:proofErr w:type="gramStart"/>
      <w:r w:rsidRPr="00AF5046">
        <w:t>period</w:t>
      </w:r>
      <w:proofErr w:type="gramEnd"/>
      <w:r w:rsidRPr="00AF5046">
        <w:t xml:space="preserve">. </w:t>
      </w:r>
    </w:p>
    <w:p w:rsidR="00D6684D" w:rsidRDefault="00D6684D" w:rsidP="00D6684D">
      <w:pPr>
        <w:numPr>
          <w:ilvl w:val="0"/>
          <w:numId w:val="24"/>
        </w:numPr>
      </w:pPr>
    </w:p>
    <w:p w:rsidR="00D6684D" w:rsidRDefault="00D6684D" w:rsidP="00D6684D">
      <w:pPr>
        <w:pStyle w:val="Caption"/>
      </w:pPr>
      <w:bookmarkStart w:id="12" w:name="_Ref397598037"/>
      <w:r>
        <w:lastRenderedPageBreak/>
        <w:t xml:space="preserve">Figure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Figure \* ARABIC \s 1 </w:instrText>
      </w:r>
      <w:r w:rsidR="000C694F">
        <w:fldChar w:fldCharType="separate"/>
      </w:r>
      <w:r w:rsidR="009244CD">
        <w:rPr>
          <w:noProof/>
        </w:rPr>
        <w:t>1</w:t>
      </w:r>
      <w:r w:rsidR="000C694F">
        <w:rPr>
          <w:noProof/>
        </w:rPr>
        <w:fldChar w:fldCharType="end"/>
      </w:r>
      <w:bookmarkEnd w:id="12"/>
      <w:r>
        <w:tab/>
      </w:r>
      <w:r w:rsidRPr="00090AE1">
        <w:t>AER</w:t>
      </w:r>
      <w:r>
        <w:t>'s preliminary</w:t>
      </w:r>
      <w:r w:rsidRPr="00090AE1">
        <w:t xml:space="preserve"> </w:t>
      </w:r>
      <w:r>
        <w:t>decision</w:t>
      </w:r>
      <w:r w:rsidRPr="00090AE1">
        <w:t xml:space="preserve"> on </w:t>
      </w:r>
      <w:r>
        <w:t>Powercor's revenue for the 2016–20 regulatory control period</w:t>
      </w:r>
      <w:r w:rsidRPr="00090AE1">
        <w:t xml:space="preserve"> ($million, nominal)</w:t>
      </w:r>
    </w:p>
    <w:p w:rsidR="00D6684D" w:rsidRDefault="008B0511" w:rsidP="00D6684D">
      <w:r w:rsidRPr="008B0511">
        <w:rPr>
          <w:noProof/>
          <w:lang w:eastAsia="en-AU"/>
        </w:rPr>
        <w:drawing>
          <wp:inline distT="0" distB="0" distL="0" distR="0" wp14:anchorId="01F9C683" wp14:editId="66414B9B">
            <wp:extent cx="5382895" cy="322783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D6684D" w:rsidRPr="00891A81" w:rsidRDefault="00D6684D" w:rsidP="009244CD">
      <w:pPr>
        <w:pStyle w:val="AERtablesource"/>
      </w:pPr>
      <w:r w:rsidRPr="00891A81">
        <w:t xml:space="preserve">Source: </w:t>
      </w:r>
      <w:r>
        <w:tab/>
      </w:r>
      <w:r w:rsidR="009244CD">
        <w:t>Powercor</w:t>
      </w:r>
      <w:r w:rsidR="009244CD" w:rsidRPr="00DC4EE3">
        <w:t xml:space="preserve">, </w:t>
      </w:r>
      <w:r w:rsidR="009244CD" w:rsidRPr="00DC4EE3">
        <w:rPr>
          <w:rStyle w:val="AERtextitalic"/>
        </w:rPr>
        <w:t>Regulatory proposal</w:t>
      </w:r>
      <w:r w:rsidR="009244CD">
        <w:t>, April 2015</w:t>
      </w:r>
      <w:r w:rsidR="009244CD" w:rsidRPr="00DC4EE3">
        <w:t xml:space="preserve">, </w:t>
      </w:r>
      <w:r w:rsidR="008B0511">
        <w:t xml:space="preserve">Attachment </w:t>
      </w:r>
      <w:r w:rsidR="008B0511" w:rsidRPr="008B0511">
        <w:rPr>
          <w:rStyle w:val="AERtextitalic"/>
        </w:rPr>
        <w:t>PAL 2016-20 PTRM</w:t>
      </w:r>
      <w:r w:rsidR="00741AA2">
        <w:t>.</w:t>
      </w:r>
    </w:p>
    <w:p w:rsidR="00D6684D" w:rsidRPr="00891A81" w:rsidRDefault="00D6684D" w:rsidP="00D6684D">
      <w:pPr>
        <w:pStyle w:val="AERtablesource"/>
      </w:pPr>
      <w:r>
        <w:tab/>
      </w:r>
      <w:r w:rsidRPr="00891A81">
        <w:t>AER analysis</w:t>
      </w:r>
      <w:r w:rsidR="00546E8B">
        <w:t>.</w:t>
      </w:r>
      <w:r w:rsidRPr="00891A81">
        <w:t xml:space="preserve"> </w:t>
      </w:r>
    </w:p>
    <w:p w:rsidR="00D6684D" w:rsidRDefault="00D6684D" w:rsidP="00D6684D">
      <w:pPr>
        <w:pStyle w:val="Caption"/>
      </w:pPr>
      <w:bookmarkStart w:id="13" w:name="_Ref397598046"/>
      <w:r>
        <w:t xml:space="preserve">Table </w:t>
      </w:r>
      <w:r w:rsidR="000C694F">
        <w:fldChar w:fldCharType="begin"/>
      </w:r>
      <w:r w:rsidR="000C694F">
        <w:instrText xml:space="preserve"> STYLE</w:instrText>
      </w:r>
      <w:r w:rsidR="000C694F">
        <w:instrText xml:space="preserv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Table \* ARABIC \s 1 </w:instrText>
      </w:r>
      <w:r w:rsidR="000C694F">
        <w:fldChar w:fldCharType="separate"/>
      </w:r>
      <w:r w:rsidR="009244CD">
        <w:rPr>
          <w:noProof/>
        </w:rPr>
        <w:t>1</w:t>
      </w:r>
      <w:r w:rsidR="000C694F">
        <w:rPr>
          <w:noProof/>
        </w:rPr>
        <w:fldChar w:fldCharType="end"/>
      </w:r>
      <w:bookmarkEnd w:id="13"/>
      <w:r>
        <w:tab/>
        <w:t>AER's</w:t>
      </w:r>
      <w:r w:rsidRPr="00090AE1">
        <w:t xml:space="preserve"> </w:t>
      </w:r>
      <w:r>
        <w:t>preliminary</w:t>
      </w:r>
      <w:r w:rsidRPr="00090AE1">
        <w:t xml:space="preserve"> </w:t>
      </w:r>
      <w:r>
        <w:t>decision</w:t>
      </w:r>
      <w:r w:rsidRPr="00090AE1">
        <w:t xml:space="preserve"> on </w:t>
      </w:r>
      <w:r>
        <w:t xml:space="preserve">Powercor's </w:t>
      </w:r>
      <w:r w:rsidRPr="00090AE1">
        <w:t>revenue</w:t>
      </w:r>
      <w:r>
        <w:t xml:space="preserve">s for the 2016–20 regulatory control period </w:t>
      </w:r>
      <w:r w:rsidRPr="00090AE1">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D6684D" w:rsidRPr="00616865" w:rsidTr="00741A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D6684D" w:rsidRPr="00616865" w:rsidRDefault="00D6684D" w:rsidP="00741AA2">
            <w:r w:rsidRPr="00616865">
              <w:t> </w:t>
            </w:r>
          </w:p>
        </w:tc>
        <w:tc>
          <w:tcPr>
            <w:tcW w:w="512" w:type="pct"/>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16</w:t>
            </w:r>
          </w:p>
        </w:tc>
        <w:tc>
          <w:tcPr>
            <w:tcW w:w="513" w:type="pct"/>
            <w:noWrap/>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17</w:t>
            </w:r>
          </w:p>
        </w:tc>
        <w:tc>
          <w:tcPr>
            <w:tcW w:w="513" w:type="pct"/>
            <w:noWrap/>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18</w:t>
            </w:r>
          </w:p>
        </w:tc>
        <w:tc>
          <w:tcPr>
            <w:tcW w:w="512" w:type="pct"/>
            <w:noWrap/>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19</w:t>
            </w:r>
          </w:p>
        </w:tc>
        <w:tc>
          <w:tcPr>
            <w:tcW w:w="513" w:type="pct"/>
            <w:noWrap/>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2020</w:t>
            </w:r>
          </w:p>
        </w:tc>
        <w:tc>
          <w:tcPr>
            <w:tcW w:w="513" w:type="pct"/>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rsidRPr="00616865">
              <w:t>Total</w:t>
            </w:r>
          </w:p>
        </w:tc>
      </w:tr>
      <w:tr w:rsidR="008B0511"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741AA2">
            <w:r w:rsidRPr="001B5FCB">
              <w:t>Return on capital</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201.2</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215.7</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230.8</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246.3</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261.1</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1155.1</w:t>
            </w:r>
          </w:p>
        </w:tc>
      </w:tr>
      <w:tr w:rsidR="008B0511"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741AA2">
            <w:r w:rsidRPr="001B5FCB">
              <w:t>Regulatory depreciation</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102.3</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89.6</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96.6</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105.8</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108.9</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503.2</w:t>
            </w:r>
          </w:p>
        </w:tc>
      </w:tr>
      <w:tr w:rsidR="008B0511"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741AA2">
            <w:r w:rsidRPr="001B5FCB">
              <w:t>Operating expenditure</w:t>
            </w:r>
            <w:r w:rsidRPr="000B6AE9">
              <w:rPr>
                <w:rStyle w:val="AERsuperscript"/>
              </w:rPr>
              <w:t>a</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228.6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238.5</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250.6</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262.6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275.6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1255.9</w:t>
            </w:r>
          </w:p>
        </w:tc>
      </w:tr>
      <w:tr w:rsidR="008B0511"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AF448E">
            <w:r w:rsidRPr="001B5FCB">
              <w:t>Revenue adjustments</w:t>
            </w:r>
            <w:r>
              <w:rPr>
                <w:rStyle w:val="AERsuperscript"/>
              </w:rPr>
              <w:t>b</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4.2</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t>–</w:t>
            </w:r>
            <w:r w:rsidRPr="008B0511">
              <w:t>2.7</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3.3</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11.5</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0.7</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16.9</w:t>
            </w:r>
          </w:p>
        </w:tc>
      </w:tr>
      <w:tr w:rsidR="008B0511"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741AA2">
            <w:r w:rsidRPr="001B5FCB">
              <w:t>Net tax allowance</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37.6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33.2</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30.7</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33.0</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32.6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pPr>
            <w:r w:rsidRPr="008B0511">
              <w:t>167.0</w:t>
            </w:r>
          </w:p>
        </w:tc>
      </w:tr>
      <w:tr w:rsidR="008B0511"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1B5FCB" w:rsidRDefault="008B0511" w:rsidP="00741AA2">
            <w:r w:rsidRPr="001B5FCB">
              <w:t>Annual revenue requirement (unsmoothed)</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573.8</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574.2</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612.0</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659.2</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678.8</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3098.0</w:t>
            </w:r>
          </w:p>
        </w:tc>
      </w:tr>
      <w:tr w:rsidR="008B0511" w:rsidRPr="008B0511" w:rsidTr="00741AA2">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8B0511" w:rsidRDefault="008B0511" w:rsidP="00741AA2">
            <w:pPr>
              <w:rPr>
                <w:rStyle w:val="Strong"/>
              </w:rPr>
            </w:pPr>
            <w:r w:rsidRPr="008B0511">
              <w:rPr>
                <w:rStyle w:val="Strong"/>
              </w:rPr>
              <w:t>Annual expected revenue (smoothed)</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621.8</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586.6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605.8</w:t>
            </w:r>
          </w:p>
        </w:tc>
        <w:tc>
          <w:tcPr>
            <w:tcW w:w="512"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625.6</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646.0</w:t>
            </w:r>
          </w:p>
        </w:tc>
        <w:tc>
          <w:tcPr>
            <w:tcW w:w="513" w:type="pct"/>
            <w:noWrap/>
            <w:vAlign w:val="bottom"/>
          </w:tcPr>
          <w:p w:rsidR="008B0511" w:rsidRPr="008B0511" w:rsidRDefault="008B0511" w:rsidP="008B0511">
            <w:pPr>
              <w:cnfStyle w:val="000000000000" w:firstRow="0" w:lastRow="0" w:firstColumn="0" w:lastColumn="0" w:oddVBand="0" w:evenVBand="0" w:oddHBand="0" w:evenHBand="0" w:firstRowFirstColumn="0" w:firstRowLastColumn="0" w:lastRowFirstColumn="0" w:lastRowLastColumn="0"/>
              <w:rPr>
                <w:rStyle w:val="Strong"/>
              </w:rPr>
            </w:pPr>
            <w:r w:rsidRPr="008B0511">
              <w:rPr>
                <w:rStyle w:val="Strong"/>
              </w:rPr>
              <w:t>3085.8</w:t>
            </w:r>
          </w:p>
        </w:tc>
      </w:tr>
      <w:tr w:rsidR="008B0511"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B0511" w:rsidRPr="00333424" w:rsidRDefault="008B0511" w:rsidP="00AF448E">
            <w:r w:rsidRPr="00333424">
              <w:t>X factor</w:t>
            </w:r>
            <w:r>
              <w:rPr>
                <w:rStyle w:val="AERsuperscript"/>
              </w:rPr>
              <w:t>c</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7.96%</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7.96%</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t>–</w:t>
            </w:r>
            <w:r w:rsidRPr="008B0511">
              <w:t>0.75%</w:t>
            </w:r>
          </w:p>
        </w:tc>
        <w:tc>
          <w:tcPr>
            <w:tcW w:w="512"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t>–</w:t>
            </w:r>
            <w:r w:rsidRPr="008B0511">
              <w:t>0.75%</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t>–</w:t>
            </w:r>
            <w:r w:rsidRPr="008B0511">
              <w:t>0.75%</w:t>
            </w:r>
          </w:p>
        </w:tc>
        <w:tc>
          <w:tcPr>
            <w:tcW w:w="513" w:type="pct"/>
            <w:noWrap/>
            <w:vAlign w:val="bottom"/>
          </w:tcPr>
          <w:p w:rsidR="008B0511" w:rsidRPr="008B0511" w:rsidRDefault="008B0511" w:rsidP="008B0511">
            <w:pPr>
              <w:cnfStyle w:val="000000010000" w:firstRow="0" w:lastRow="0" w:firstColumn="0" w:lastColumn="0" w:oddVBand="0" w:evenVBand="0" w:oddHBand="0" w:evenHBand="1" w:firstRowFirstColumn="0" w:firstRowLastColumn="0" w:lastRowFirstColumn="0" w:lastRowLastColumn="0"/>
            </w:pPr>
            <w:r w:rsidRPr="008B0511">
              <w:t>n/a</w:t>
            </w:r>
          </w:p>
        </w:tc>
      </w:tr>
    </w:tbl>
    <w:p w:rsidR="00AF448E" w:rsidRDefault="00D6684D" w:rsidP="00AF448E">
      <w:pPr>
        <w:pStyle w:val="AERtablesource"/>
      </w:pPr>
      <w:r>
        <w:t>Source:</w:t>
      </w:r>
      <w:r>
        <w:tab/>
        <w:t>AER analysis.</w:t>
      </w:r>
      <w:r w:rsidR="00AF448E">
        <w:t xml:space="preserve"> </w:t>
      </w:r>
    </w:p>
    <w:p w:rsidR="00AF448E" w:rsidRPr="00AF448E" w:rsidRDefault="00AF448E" w:rsidP="00AF448E">
      <w:pPr>
        <w:pStyle w:val="AERtablesource"/>
      </w:pPr>
      <w:r>
        <w:t>(a)</w:t>
      </w:r>
      <w:r>
        <w:tab/>
        <w:t>Operating expenditure includes debt raising costs.</w:t>
      </w:r>
    </w:p>
    <w:p w:rsidR="00D6684D" w:rsidRDefault="00D6684D" w:rsidP="00D6684D">
      <w:pPr>
        <w:pStyle w:val="AERtablesource"/>
      </w:pPr>
      <w:r>
        <w:t>(</w:t>
      </w:r>
      <w:r w:rsidR="00AF448E">
        <w:t>b</w:t>
      </w:r>
      <w:r>
        <w:t>)</w:t>
      </w:r>
      <w:r>
        <w:tab/>
      </w:r>
      <w:r w:rsidRPr="00D44939">
        <w:t xml:space="preserve">Revenue adjustments include efficiency benefit sharing scheme </w:t>
      </w:r>
      <w:r>
        <w:t>carry-overs</w:t>
      </w:r>
      <w:r w:rsidR="009244CD">
        <w:t>,</w:t>
      </w:r>
      <w:r w:rsidR="00AF448E">
        <w:t xml:space="preserve"> </w:t>
      </w:r>
      <w:r w:rsidR="00546E8B">
        <w:t>2010 S</w:t>
      </w:r>
      <w:r w:rsidR="008B0511">
        <w:t>-factor scheme close out</w:t>
      </w:r>
      <w:r w:rsidR="009244CD">
        <w:t xml:space="preserve"> </w:t>
      </w:r>
      <w:r w:rsidR="009244CD" w:rsidRPr="00D44939">
        <w:t xml:space="preserve">and </w:t>
      </w:r>
      <w:r w:rsidR="00B723AE">
        <w:t>demand management innovation allowance (</w:t>
      </w:r>
      <w:r w:rsidR="009244CD">
        <w:t>DMIA</w:t>
      </w:r>
      <w:r w:rsidR="00B723AE">
        <w:t>)</w:t>
      </w:r>
      <w:r w:rsidR="009244CD">
        <w:t>.</w:t>
      </w:r>
    </w:p>
    <w:p w:rsidR="00D6684D" w:rsidRDefault="009244CD" w:rsidP="00D6684D">
      <w:pPr>
        <w:pStyle w:val="AERtablesource"/>
      </w:pPr>
      <w:r>
        <w:t>(c</w:t>
      </w:r>
      <w:r w:rsidR="00D6684D">
        <w:t>)</w:t>
      </w:r>
      <w:r w:rsidR="00D6684D">
        <w:tab/>
      </w:r>
      <w:r w:rsidR="00D6684D" w:rsidRPr="001C2DB8">
        <w:t xml:space="preserve">The X factor </w:t>
      </w:r>
      <w:r w:rsidR="00D6684D">
        <w:t>from 2</w:t>
      </w:r>
      <w:r>
        <w:t>017 to 20</w:t>
      </w:r>
      <w:r w:rsidR="00D6684D">
        <w:t xml:space="preserve">20 </w:t>
      </w:r>
      <w:r w:rsidR="00D6684D" w:rsidRPr="001C2DB8">
        <w:t>will be revised to reflect the annual return on debt update.</w:t>
      </w:r>
      <w:r w:rsidR="00D6684D">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9A5113" w:rsidRDefault="004E534F" w:rsidP="009A5113">
      <w:pPr>
        <w:pStyle w:val="Heading2"/>
      </w:pPr>
      <w:bookmarkStart w:id="14" w:name="_Toc433113771"/>
      <w:proofErr w:type="spellStart"/>
      <w:r>
        <w:lastRenderedPageBreak/>
        <w:t>Powercor</w:t>
      </w:r>
      <w:r w:rsidR="005C0A7F">
        <w:t>'s</w:t>
      </w:r>
      <w:proofErr w:type="spellEnd"/>
      <w:r w:rsidR="005C0A7F">
        <w:t xml:space="preserve"> proposal</w:t>
      </w:r>
      <w:bookmarkEnd w:id="14"/>
    </w:p>
    <w:p w:rsidR="00D6684D" w:rsidRDefault="00D6684D" w:rsidP="00D6684D">
      <w:pPr>
        <w:numPr>
          <w:ilvl w:val="0"/>
          <w:numId w:val="24"/>
        </w:numPr>
      </w:pPr>
      <w:r>
        <w:t>Powercor proposed a total revenue requirement of $36</w:t>
      </w:r>
      <w:r w:rsidR="0075654A">
        <w:t>62</w:t>
      </w:r>
      <w:r>
        <w:t xml:space="preserve">.2 million ($ nominal) for the 2016–20 regulatory control period. </w:t>
      </w:r>
      <w:r>
        <w:fldChar w:fldCharType="begin"/>
      </w:r>
      <w:r>
        <w:instrText xml:space="preserve"> REF _Ref397603550 \h </w:instrText>
      </w:r>
      <w:r>
        <w:fldChar w:fldCharType="separate"/>
      </w:r>
      <w:r w:rsidR="009244CD">
        <w:t xml:space="preserve">Table </w:t>
      </w:r>
      <w:r w:rsidR="009244CD">
        <w:rPr>
          <w:noProof/>
        </w:rPr>
        <w:t>1</w:t>
      </w:r>
      <w:r w:rsidR="009244CD">
        <w:t>.</w:t>
      </w:r>
      <w:r w:rsidR="009244CD">
        <w:rPr>
          <w:noProof/>
        </w:rPr>
        <w:t>2</w:t>
      </w:r>
      <w:r>
        <w:fldChar w:fldCharType="end"/>
      </w:r>
      <w:r>
        <w:t xml:space="preserve"> shows</w:t>
      </w:r>
      <w:r w:rsidRPr="00BB6E98">
        <w:t xml:space="preserve"> </w:t>
      </w:r>
      <w:proofErr w:type="spellStart"/>
      <w:r>
        <w:t>Powercor's</w:t>
      </w:r>
      <w:proofErr w:type="spellEnd"/>
      <w:r>
        <w:t xml:space="preserve"> proposed</w:t>
      </w:r>
      <w:r w:rsidRPr="00BB6E98">
        <w:t xml:space="preserve"> building block</w:t>
      </w:r>
      <w:r>
        <w:t xml:space="preserve"> cost</w:t>
      </w:r>
      <w:r w:rsidRPr="00BB6E98">
        <w:t>s</w:t>
      </w:r>
      <w:r>
        <w:t>,</w:t>
      </w:r>
      <w:r w:rsidRPr="00BB6E98">
        <w:t xml:space="preserve"> the </w:t>
      </w:r>
      <w:r>
        <w:t>ARR, expected revenue and X factor for each year of the 2016–20 regulatory control period</w:t>
      </w:r>
      <w:r w:rsidRPr="00BB6E98">
        <w:t>.</w:t>
      </w:r>
    </w:p>
    <w:p w:rsidR="00D6684D" w:rsidRDefault="00D6684D" w:rsidP="00D6684D">
      <w:pPr>
        <w:pStyle w:val="Caption"/>
      </w:pPr>
      <w:bookmarkStart w:id="15" w:name="_Ref397603550"/>
      <w:r>
        <w:t xml:space="preserve">Table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Table \* ARABIC \s 1 </w:instrText>
      </w:r>
      <w:r w:rsidR="000C694F">
        <w:fldChar w:fldCharType="separate"/>
      </w:r>
      <w:r w:rsidR="009244CD">
        <w:rPr>
          <w:noProof/>
        </w:rPr>
        <w:t>2</w:t>
      </w:r>
      <w:r w:rsidR="000C694F">
        <w:rPr>
          <w:noProof/>
        </w:rPr>
        <w:fldChar w:fldCharType="end"/>
      </w:r>
      <w:bookmarkEnd w:id="15"/>
      <w:r>
        <w:tab/>
        <w:t>Powercor's proposed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D6684D" w:rsidRPr="00616865" w:rsidTr="00741A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616865" w:rsidRDefault="00D6684D" w:rsidP="00741AA2">
            <w:r w:rsidRPr="00616865">
              <w:t> </w:t>
            </w:r>
          </w:p>
        </w:tc>
        <w:tc>
          <w:tcPr>
            <w:tcW w:w="897"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16</w:t>
            </w:r>
          </w:p>
        </w:tc>
        <w:tc>
          <w:tcPr>
            <w:tcW w:w="898"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17</w:t>
            </w:r>
          </w:p>
        </w:tc>
        <w:tc>
          <w:tcPr>
            <w:tcW w:w="898"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18</w:t>
            </w:r>
          </w:p>
        </w:tc>
        <w:tc>
          <w:tcPr>
            <w:tcW w:w="897"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19</w:t>
            </w:r>
          </w:p>
        </w:tc>
        <w:tc>
          <w:tcPr>
            <w:tcW w:w="898"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t>20</w:t>
            </w:r>
            <w:r w:rsidRPr="00616865">
              <w:t>20</w:t>
            </w:r>
          </w:p>
        </w:tc>
        <w:tc>
          <w:tcPr>
            <w:tcW w:w="898" w:type="dxa"/>
            <w:noWrap/>
            <w:hideMark/>
          </w:tcPr>
          <w:p w:rsidR="00D6684D" w:rsidRPr="00616865" w:rsidRDefault="00D6684D" w:rsidP="00741AA2">
            <w:pPr>
              <w:cnfStyle w:val="100000000000" w:firstRow="1" w:lastRow="0" w:firstColumn="0" w:lastColumn="0" w:oddVBand="0" w:evenVBand="0" w:oddHBand="0" w:evenHBand="0" w:firstRowFirstColumn="0" w:firstRowLastColumn="0" w:lastRowFirstColumn="0" w:lastRowLastColumn="0"/>
            </w:pPr>
            <w:r w:rsidRPr="00616865">
              <w:t>Total</w:t>
            </w:r>
          </w:p>
        </w:tc>
      </w:tr>
      <w:tr w:rsidR="00D6684D"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r w:rsidRPr="00D8618F">
              <w:t>Return on capital</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242.0</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266.0</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290.8</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316.1</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340.6</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1455.5</w:t>
            </w:r>
          </w:p>
        </w:tc>
      </w:tr>
      <w:tr w:rsidR="00D6684D"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r w:rsidRPr="00D8618F">
              <w:t>Regulatory depreciation</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87.7</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84.0</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97.1</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110.5</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124.2</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503.5</w:t>
            </w:r>
          </w:p>
        </w:tc>
      </w:tr>
      <w:tr w:rsidR="00D6684D"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r w:rsidRPr="00D8618F">
              <w:t>Operating expenditure</w:t>
            </w:r>
            <w:r w:rsidRPr="00404B2F">
              <w:rPr>
                <w:rStyle w:val="AERsuperscript"/>
              </w:rPr>
              <w:t>a</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254.0</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269.2</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289.2</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306.7</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325.0</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pPr>
            <w:r>
              <w:t>1444.1</w:t>
            </w:r>
          </w:p>
        </w:tc>
      </w:tr>
      <w:tr w:rsidR="00D6684D"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3A37B6" w:rsidP="00741AA2">
            <w:r>
              <w:t>Revenue Adjustments</w:t>
            </w:r>
            <w:r w:rsidR="00D6684D" w:rsidRPr="004C25D6">
              <w:rPr>
                <w:rStyle w:val="AERsuperscript"/>
              </w:rPr>
              <w:t>b</w:t>
            </w:r>
          </w:p>
        </w:tc>
        <w:tc>
          <w:tcPr>
            <w:tcW w:w="897" w:type="dxa"/>
            <w:noWrap/>
          </w:tcPr>
          <w:p w:rsidR="00D6684D" w:rsidRPr="000721C2" w:rsidRDefault="003A37B6" w:rsidP="00741AA2">
            <w:pPr>
              <w:cnfStyle w:val="000000010000" w:firstRow="0" w:lastRow="0" w:firstColumn="0" w:lastColumn="0" w:oddVBand="0" w:evenVBand="0" w:oddHBand="0" w:evenHBand="1" w:firstRowFirstColumn="0" w:firstRowLastColumn="0" w:lastRowFirstColumn="0" w:lastRowLastColumn="0"/>
            </w:pPr>
            <w:r>
              <w:t>1.9</w:t>
            </w:r>
          </w:p>
        </w:tc>
        <w:tc>
          <w:tcPr>
            <w:tcW w:w="898" w:type="dxa"/>
            <w:noWrap/>
          </w:tcPr>
          <w:p w:rsidR="00D6684D" w:rsidRPr="000721C2" w:rsidRDefault="003A37B6" w:rsidP="00741AA2">
            <w:pPr>
              <w:cnfStyle w:val="000000010000" w:firstRow="0" w:lastRow="0" w:firstColumn="0" w:lastColumn="0" w:oddVBand="0" w:evenVBand="0" w:oddHBand="0" w:evenHBand="1" w:firstRowFirstColumn="0" w:firstRowLastColumn="0" w:lastRowFirstColumn="0" w:lastRowLastColumn="0"/>
            </w:pPr>
            <w:r>
              <w:t>–1.2</w:t>
            </w:r>
          </w:p>
        </w:tc>
        <w:tc>
          <w:tcPr>
            <w:tcW w:w="898" w:type="dxa"/>
            <w:noWrap/>
          </w:tcPr>
          <w:p w:rsidR="00D6684D" w:rsidRPr="000721C2" w:rsidRDefault="003A37B6" w:rsidP="00741AA2">
            <w:pPr>
              <w:cnfStyle w:val="000000010000" w:firstRow="0" w:lastRow="0" w:firstColumn="0" w:lastColumn="0" w:oddVBand="0" w:evenVBand="0" w:oddHBand="0" w:evenHBand="1" w:firstRowFirstColumn="0" w:firstRowLastColumn="0" w:lastRowFirstColumn="0" w:lastRowLastColumn="0"/>
            </w:pPr>
            <w:r>
              <w:t>4.4</w:t>
            </w:r>
          </w:p>
        </w:tc>
        <w:tc>
          <w:tcPr>
            <w:tcW w:w="897" w:type="dxa"/>
            <w:noWrap/>
          </w:tcPr>
          <w:p w:rsidR="00D6684D" w:rsidRPr="000721C2" w:rsidRDefault="003A37B6" w:rsidP="00741AA2">
            <w:pPr>
              <w:cnfStyle w:val="000000010000" w:firstRow="0" w:lastRow="0" w:firstColumn="0" w:lastColumn="0" w:oddVBand="0" w:evenVBand="0" w:oddHBand="0" w:evenHBand="1" w:firstRowFirstColumn="0" w:firstRowLastColumn="0" w:lastRowFirstColumn="0" w:lastRowLastColumn="0"/>
            </w:pPr>
            <w:r>
              <w:t>9.1</w:t>
            </w:r>
          </w:p>
        </w:tc>
        <w:tc>
          <w:tcPr>
            <w:tcW w:w="898" w:type="dxa"/>
            <w:noWrap/>
          </w:tcPr>
          <w:p w:rsidR="00D6684D" w:rsidRPr="000721C2" w:rsidRDefault="008B0511" w:rsidP="00741AA2">
            <w:pPr>
              <w:cnfStyle w:val="000000010000" w:firstRow="0" w:lastRow="0" w:firstColumn="0" w:lastColumn="0" w:oddVBand="0" w:evenVBand="0" w:oddHBand="0" w:evenHBand="1" w:firstRowFirstColumn="0" w:firstRowLastColumn="0" w:lastRowFirstColumn="0" w:lastRowLastColumn="0"/>
            </w:pPr>
            <w:r>
              <w:t>0.0</w:t>
            </w:r>
          </w:p>
        </w:tc>
        <w:tc>
          <w:tcPr>
            <w:tcW w:w="898" w:type="dxa"/>
            <w:noWrap/>
          </w:tcPr>
          <w:p w:rsidR="00D6684D" w:rsidRPr="000721C2" w:rsidRDefault="003A37B6" w:rsidP="00741AA2">
            <w:pPr>
              <w:cnfStyle w:val="000000010000" w:firstRow="0" w:lastRow="0" w:firstColumn="0" w:lastColumn="0" w:oddVBand="0" w:evenVBand="0" w:oddHBand="0" w:evenHBand="1" w:firstRowFirstColumn="0" w:firstRowLastColumn="0" w:lastRowFirstColumn="0" w:lastRowLastColumn="0"/>
            </w:pPr>
            <w:r>
              <w:t>14.2</w:t>
            </w:r>
          </w:p>
        </w:tc>
      </w:tr>
      <w:tr w:rsidR="00D6684D" w:rsidRPr="00616865" w:rsidTr="00741AA2">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r w:rsidRPr="00D8618F">
              <w:t>Net tax allowance</w:t>
            </w:r>
          </w:p>
        </w:tc>
        <w:tc>
          <w:tcPr>
            <w:tcW w:w="897"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50.1</w:t>
            </w:r>
          </w:p>
        </w:tc>
        <w:tc>
          <w:tcPr>
            <w:tcW w:w="898"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47.8</w:t>
            </w:r>
          </w:p>
        </w:tc>
        <w:tc>
          <w:tcPr>
            <w:tcW w:w="898"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45.9</w:t>
            </w:r>
          </w:p>
        </w:tc>
        <w:tc>
          <w:tcPr>
            <w:tcW w:w="897"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49.6</w:t>
            </w:r>
          </w:p>
        </w:tc>
        <w:tc>
          <w:tcPr>
            <w:tcW w:w="898"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51.5</w:t>
            </w:r>
          </w:p>
        </w:tc>
        <w:tc>
          <w:tcPr>
            <w:tcW w:w="898" w:type="dxa"/>
            <w:noWrap/>
            <w:vAlign w:val="bottom"/>
          </w:tcPr>
          <w:p w:rsidR="00D6684D" w:rsidRPr="00D8618F" w:rsidRDefault="00D6684D" w:rsidP="00741AA2">
            <w:pPr>
              <w:cnfStyle w:val="000000000000" w:firstRow="0" w:lastRow="0" w:firstColumn="0" w:lastColumn="0" w:oddVBand="0" w:evenVBand="0" w:oddHBand="0" w:evenHBand="0" w:firstRowFirstColumn="0" w:firstRowLastColumn="0" w:lastRowFirstColumn="0" w:lastRowLastColumn="0"/>
            </w:pPr>
            <w:r>
              <w:t>244.8</w:t>
            </w:r>
          </w:p>
        </w:tc>
      </w:tr>
      <w:tr w:rsidR="00D6684D"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r w:rsidRPr="006C6E80">
              <w:t>Annual revenue requirement (unsmoothed)</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635.7</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665.8</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727.4</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792.0</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841.3</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3662.2</w:t>
            </w:r>
          </w:p>
        </w:tc>
      </w:tr>
      <w:tr w:rsidR="00D6684D" w:rsidRPr="005D1E0B" w:rsidTr="00741AA2">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741AA2">
            <w:pPr>
              <w:rPr>
                <w:rStyle w:val="Strong"/>
              </w:rPr>
            </w:pPr>
            <w:r w:rsidRPr="00372EE1">
              <w:rPr>
                <w:rStyle w:val="Strong"/>
              </w:rPr>
              <w:t>Annual expected revenue (smoothed)</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652.2</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689.2</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728.4</w:t>
            </w:r>
          </w:p>
        </w:tc>
        <w:tc>
          <w:tcPr>
            <w:tcW w:w="897"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769.7</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813.4</w:t>
            </w:r>
          </w:p>
        </w:tc>
        <w:tc>
          <w:tcPr>
            <w:tcW w:w="898" w:type="dxa"/>
            <w:noWrap/>
            <w:vAlign w:val="bottom"/>
          </w:tcPr>
          <w:p w:rsidR="00D6684D" w:rsidRPr="00404B2F" w:rsidRDefault="00D6684D" w:rsidP="00741AA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3652.2</w:t>
            </w:r>
          </w:p>
        </w:tc>
      </w:tr>
      <w:tr w:rsidR="00D6684D" w:rsidRPr="00616865" w:rsidTr="00741A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6684D" w:rsidRPr="00404B2F" w:rsidRDefault="00D6684D" w:rsidP="009E5080">
            <w:r w:rsidRPr="00D8618F">
              <w:t xml:space="preserve">X factor </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3.55</w:t>
            </w:r>
            <w:r w:rsidR="009E5080">
              <w:t>%</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–3.00</w:t>
            </w:r>
            <w:r w:rsidR="009E5080">
              <w:t>%</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–3.00</w:t>
            </w:r>
            <w:r w:rsidR="009E5080">
              <w:t>%</w:t>
            </w:r>
          </w:p>
        </w:tc>
        <w:tc>
          <w:tcPr>
            <w:tcW w:w="897"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–3.00</w:t>
            </w:r>
            <w:r w:rsidR="009E5080">
              <w:t>%</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–3.00</w:t>
            </w:r>
            <w:r w:rsidR="009E5080">
              <w:t>%</w:t>
            </w:r>
          </w:p>
        </w:tc>
        <w:tc>
          <w:tcPr>
            <w:tcW w:w="898" w:type="dxa"/>
            <w:noWrap/>
            <w:vAlign w:val="bottom"/>
          </w:tcPr>
          <w:p w:rsidR="00D6684D" w:rsidRPr="00404B2F" w:rsidRDefault="00D6684D" w:rsidP="00741AA2">
            <w:pPr>
              <w:cnfStyle w:val="000000010000" w:firstRow="0" w:lastRow="0" w:firstColumn="0" w:lastColumn="0" w:oddVBand="0" w:evenVBand="0" w:oddHBand="0" w:evenHBand="1" w:firstRowFirstColumn="0" w:firstRowLastColumn="0" w:lastRowFirstColumn="0" w:lastRowLastColumn="0"/>
            </w:pPr>
            <w:r>
              <w:t>n/a</w:t>
            </w:r>
          </w:p>
        </w:tc>
      </w:tr>
    </w:tbl>
    <w:p w:rsidR="00D6684D" w:rsidRDefault="00D6684D" w:rsidP="00D6684D">
      <w:pPr>
        <w:pStyle w:val="AERtablesource"/>
      </w:pPr>
      <w:r w:rsidRPr="004E488E">
        <w:t>Source:</w:t>
      </w:r>
      <w:r w:rsidRPr="004E488E">
        <w:tab/>
      </w:r>
      <w:r>
        <w:t>Powercor</w:t>
      </w:r>
      <w:r w:rsidRPr="00DB7CF9">
        <w:t xml:space="preserve">, </w:t>
      </w:r>
      <w:r w:rsidRPr="00DB7CF9">
        <w:rPr>
          <w:rStyle w:val="AERtextitalic"/>
        </w:rPr>
        <w:t>Regulatory proposal</w:t>
      </w:r>
      <w:r w:rsidRPr="00DB7CF9">
        <w:t xml:space="preserve">, </w:t>
      </w:r>
      <w:r w:rsidR="00822AD7">
        <w:t>April 2015</w:t>
      </w:r>
      <w:r w:rsidRPr="00DB7CF9">
        <w:t xml:space="preserve">, </w:t>
      </w:r>
      <w:r>
        <w:t xml:space="preserve">p. </w:t>
      </w:r>
      <w:r w:rsidR="005E73F9">
        <w:t>260</w:t>
      </w:r>
      <w:r>
        <w:t xml:space="preserve">, table </w:t>
      </w:r>
      <w:r w:rsidR="005E73F9">
        <w:t>13.9.</w:t>
      </w:r>
    </w:p>
    <w:p w:rsidR="00D6684D" w:rsidRDefault="00D6684D" w:rsidP="00D6684D">
      <w:pPr>
        <w:pStyle w:val="AERtablesource"/>
      </w:pPr>
      <w:r w:rsidRPr="00D817C6">
        <w:t>(a)</w:t>
      </w:r>
      <w:r w:rsidRPr="00D817C6">
        <w:tab/>
      </w:r>
      <w:r>
        <w:t>Operating expenditure includes proposed forecast DMIA</w:t>
      </w:r>
      <w:r w:rsidR="00003BE7">
        <w:t xml:space="preserve"> and debt raising costs.</w:t>
      </w:r>
    </w:p>
    <w:p w:rsidR="003A37B6" w:rsidRDefault="003A37B6" w:rsidP="003A37B6">
      <w:pPr>
        <w:pStyle w:val="AERtablesource"/>
      </w:pPr>
      <w:r>
        <w:t xml:space="preserve">(b) </w:t>
      </w:r>
      <w:r>
        <w:tab/>
      </w:r>
      <w:r w:rsidRPr="00D44939">
        <w:t xml:space="preserve">Revenue adjustments include </w:t>
      </w:r>
      <w:r w:rsidR="008B0511" w:rsidRPr="00D44939">
        <w:t xml:space="preserve">efficiency benefit sharing scheme </w:t>
      </w:r>
      <w:r w:rsidR="008B0511">
        <w:t>carry-overs</w:t>
      </w:r>
      <w:r w:rsidR="006F128E">
        <w:t xml:space="preserve"> and</w:t>
      </w:r>
      <w:r w:rsidR="008B0511">
        <w:t xml:space="preserve"> </w:t>
      </w:r>
      <w:r w:rsidR="00546E8B">
        <w:t>2010 S</w:t>
      </w:r>
      <w:r w:rsidR="008B0511">
        <w:t>-factor scheme close out.</w:t>
      </w:r>
      <w:r>
        <w:t xml:space="preserve"> </w:t>
      </w:r>
    </w:p>
    <w:p w:rsidR="009A5113" w:rsidRDefault="009A5113" w:rsidP="009A5113">
      <w:pPr>
        <w:pStyle w:val="Heading2"/>
      </w:pPr>
      <w:bookmarkStart w:id="16" w:name="_Toc408404322"/>
      <w:bookmarkStart w:id="17" w:name="_Toc433113772"/>
      <w:r w:rsidRPr="0074565D">
        <w:t>AER’s assessment approach</w:t>
      </w:r>
      <w:bookmarkEnd w:id="16"/>
      <w:bookmarkEnd w:id="17"/>
    </w:p>
    <w:p w:rsidR="00D6684D" w:rsidRDefault="00D6684D" w:rsidP="00D6684D">
      <w:r>
        <w:t>We are required to determine the ARR</w:t>
      </w:r>
      <w:r w:rsidRPr="00CE1BED">
        <w:t xml:space="preserve"> for </w:t>
      </w:r>
      <w:r>
        <w:t xml:space="preserve">Powercor for </w:t>
      </w:r>
      <w:r w:rsidRPr="00CE1BED">
        <w:t xml:space="preserve">each year of the </w:t>
      </w:r>
      <w:r>
        <w:t xml:space="preserve">2016–20 regulatory control </w:t>
      </w:r>
      <w:r w:rsidRPr="00CE1BED">
        <w:t>period</w:t>
      </w:r>
      <w:r>
        <w:t>.</w:t>
      </w:r>
      <w:r>
        <w:rPr>
          <w:rStyle w:val="FootnoteReference"/>
        </w:rPr>
        <w:footnoteReference w:id="1"/>
      </w:r>
      <w:r>
        <w:t xml:space="preserve"> </w:t>
      </w:r>
    </w:p>
    <w:p w:rsidR="00D6684D" w:rsidRDefault="00D6684D" w:rsidP="00D6684D">
      <w:r>
        <w:t xml:space="preserve">In this determination we first calculate ARRs for each year of the 2016–20 regulatory control period. To do this we consider the various costs facing the service provider and the trade-offs and interactions between these costs, service quality and across years. </w:t>
      </w:r>
      <w:r w:rsidRPr="000B32FD">
        <w:t>This reflects the AER's holistic assessment of the service provider's proposal.</w:t>
      </w:r>
    </w:p>
    <w:p w:rsidR="00D6684D" w:rsidRDefault="00D6684D" w:rsidP="00D6684D">
      <w:r>
        <w:t>The ARR</w:t>
      </w:r>
      <w:r w:rsidRPr="005A0FD1">
        <w:t xml:space="preserve"> </w:t>
      </w:r>
      <w:r>
        <w:t xml:space="preserve">for each year </w:t>
      </w:r>
      <w:r w:rsidRPr="005A0FD1">
        <w:t xml:space="preserve">is </w:t>
      </w:r>
      <w:r>
        <w:t xml:space="preserve">the sum of the building block costs. These building block costs are set out in section </w:t>
      </w:r>
      <w:r>
        <w:fldChar w:fldCharType="begin"/>
      </w:r>
      <w:r>
        <w:instrText xml:space="preserve"> REF _Ref417306779 \r \h </w:instrText>
      </w:r>
      <w:r>
        <w:fldChar w:fldCharType="separate"/>
      </w:r>
      <w:r w:rsidR="009244CD">
        <w:t>1.3.1</w:t>
      </w:r>
      <w:r>
        <w:fldChar w:fldCharType="end"/>
      </w:r>
      <w:r>
        <w:t xml:space="preserve">. The </w:t>
      </w:r>
      <w:r w:rsidRPr="00D046F4">
        <w:t xml:space="preserve">AER's post-tax revenue model (PTRM) </w:t>
      </w:r>
      <w:r>
        <w:t xml:space="preserve">brings together these building block costs and calculates the resulting ARRs. </w:t>
      </w:r>
    </w:p>
    <w:p w:rsidR="00D6684D" w:rsidRDefault="00D6684D" w:rsidP="00D6684D">
      <w:r>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xml:space="preserve">. These trade-offs are </w:t>
      </w:r>
      <w:r>
        <w:lastRenderedPageBreak/>
        <w:t>discussed in the interrelationships section of the various attachments to this preliminary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D6684D" w:rsidRDefault="00D6684D" w:rsidP="00D6684D">
      <w:r w:rsidRPr="000721C2">
        <w:t xml:space="preserve">Having determined the total revenue requirement for the </w:t>
      </w:r>
      <w:r>
        <w:t>2016–20</w:t>
      </w:r>
      <w:r w:rsidRPr="000721C2">
        <w:t xml:space="preserve"> regulatory control period, the ARRs for each regulatory year are smoothed across the </w:t>
      </w:r>
      <w:r>
        <w:t>2016–20</w:t>
      </w:r>
      <w:r w:rsidRPr="000721C2">
        <w:t xml:space="preserve"> regulatory control period</w:t>
      </w:r>
      <w:r>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service provider with the total revenue requirement for the </w:t>
      </w:r>
      <w:r>
        <w:t>2016–20</w:t>
      </w:r>
      <w:r w:rsidRPr="000721C2">
        <w:t xml:space="preserve">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p>
    <w:p w:rsidR="00D6684D" w:rsidRPr="007118FB" w:rsidRDefault="00D6684D" w:rsidP="00D6684D">
      <w:pPr>
        <w:numPr>
          <w:ilvl w:val="0"/>
          <w:numId w:val="24"/>
        </w:numPr>
      </w:pPr>
      <w:r w:rsidRPr="000721C2">
        <w:t xml:space="preserve">For this preliminary decision, the expected revenue in the last year of the regulatory control period </w:t>
      </w:r>
      <w:r w:rsidR="00095400">
        <w:t>is</w:t>
      </w:r>
      <w:r w:rsidRPr="000721C2">
        <w:t xml:space="preserve"> not required to be as close as reasonably possible to the ARR for that year, due to the transitional provisions.</w:t>
      </w:r>
      <w:r w:rsidRPr="00722046">
        <w:rPr>
          <w:rStyle w:val="AERsuperscript"/>
          <w:sz w:val="22"/>
        </w:rPr>
        <w:footnoteReference w:id="6"/>
      </w:r>
      <w:r w:rsidRPr="000721C2">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due to the </w:t>
      </w:r>
      <w:r w:rsidR="0015454E">
        <w:t>expected</w:t>
      </w:r>
      <w:r w:rsidR="0015454E" w:rsidRPr="007118FB">
        <w:t xml:space="preserve"> </w:t>
      </w:r>
      <w:r w:rsidRPr="007118FB">
        <w:t>true-up for 2</w:t>
      </w:r>
      <w:r w:rsidR="009244CD">
        <w:t>0</w:t>
      </w:r>
      <w:r w:rsidRPr="007118FB">
        <w:t>1</w:t>
      </w:r>
      <w:r>
        <w:t>6 over the remaining years of the 2016–20 regulatory control period for the substitute decision</w:t>
      </w:r>
      <w:r w:rsidR="00C46256">
        <w:t>,</w:t>
      </w:r>
      <w:r>
        <w:rPr>
          <w:rStyle w:val="FootnoteReference"/>
        </w:rPr>
        <w:footnoteReference w:id="7"/>
      </w:r>
      <w:r w:rsidRPr="007118FB">
        <w:t xml:space="preserve"> we have </w:t>
      </w:r>
      <w:r>
        <w:t>provided a gradual decrease in smooth</w:t>
      </w:r>
      <w:r w:rsidR="00C46256">
        <w:t>ed</w:t>
      </w:r>
      <w:r>
        <w:t xml:space="preserve"> revenues </w:t>
      </w:r>
      <w:r w:rsidR="001E5F64">
        <w:t xml:space="preserve">over the first two regulatory years. We have also </w:t>
      </w:r>
      <w:r w:rsidRPr="007118FB">
        <w:t xml:space="preserve">allowed the divergence in the final year revenues to exceed 3 per cent in </w:t>
      </w:r>
      <w:r>
        <w:t>this preliminary decision</w:t>
      </w:r>
      <w:r w:rsidRPr="007118FB">
        <w:t xml:space="preserve">. This helps minimise the prospect of a significant price decrease followed by significant price increases over the </w:t>
      </w:r>
      <w:r>
        <w:t>2016–20</w:t>
      </w:r>
      <w:r w:rsidRPr="007118FB">
        <w:t xml:space="preserve"> regulatory control period. We will review the smoothing for the </w:t>
      </w:r>
      <w:r>
        <w:t xml:space="preserve">substitute </w:t>
      </w:r>
      <w:r w:rsidRPr="007118FB">
        <w:t>decision if necessary.</w:t>
      </w:r>
    </w:p>
    <w:p w:rsidR="00D6684D" w:rsidRDefault="00D6684D" w:rsidP="00D6684D">
      <w:pPr>
        <w:rPr>
          <w:rStyle w:val="AERbody"/>
        </w:rPr>
      </w:pPr>
      <w:r w:rsidRPr="000721C2">
        <w:rPr>
          <w:rStyle w:val="AERbody"/>
        </w:rPr>
        <w:t>The building block costs (and the elements that drive those costs) used to determine the unsmoothed ARR are set out below.</w:t>
      </w:r>
    </w:p>
    <w:p w:rsidR="00B723AE" w:rsidRDefault="00B723AE" w:rsidP="00D6684D">
      <w:pPr>
        <w:rPr>
          <w:rStyle w:val="AERbody"/>
        </w:rPr>
      </w:pPr>
    </w:p>
    <w:p w:rsidR="00D6684D" w:rsidRPr="00E70C4D" w:rsidRDefault="00D6684D" w:rsidP="00D6684D">
      <w:pPr>
        <w:pStyle w:val="Heading3"/>
        <w:ind w:left="1021" w:hanging="1021"/>
      </w:pPr>
      <w:bookmarkStart w:id="18" w:name="_Toc415666266"/>
      <w:bookmarkStart w:id="19" w:name="_Ref417306779"/>
      <w:bookmarkStart w:id="20" w:name="_Toc433113773"/>
      <w:r w:rsidRPr="00E70C4D">
        <w:lastRenderedPageBreak/>
        <w:t>The building block costs</w:t>
      </w:r>
      <w:bookmarkEnd w:id="18"/>
      <w:bookmarkEnd w:id="19"/>
      <w:bookmarkEnd w:id="20"/>
      <w:r w:rsidRPr="00E70C4D">
        <w:t xml:space="preserve"> </w:t>
      </w:r>
    </w:p>
    <w:p w:rsidR="00D6684D" w:rsidRPr="000721C2" w:rsidRDefault="00D6684D" w:rsidP="00D6684D">
      <w:pPr>
        <w:numPr>
          <w:ilvl w:val="0"/>
          <w:numId w:val="24"/>
        </w:numPr>
      </w:pPr>
      <w:r w:rsidRPr="000721C2">
        <w:t xml:space="preserve">The efficient costs to be recovered by a service provider can be thought of as being made up of various building block costs. Our preliminary decision assesses each of the building block costs and the elements that drive these costs. The building block costs are approved reflecting trade-offs and interactions between the cost elements, service quality and across years. </w:t>
      </w:r>
      <w:r>
        <w:fldChar w:fldCharType="begin"/>
      </w:r>
      <w:r>
        <w:instrText xml:space="preserve"> REF _Ref415657725 \h </w:instrText>
      </w:r>
      <w:r>
        <w:fldChar w:fldCharType="separate"/>
      </w:r>
      <w:r w:rsidR="009244CD">
        <w:t xml:space="preserve">Table </w:t>
      </w:r>
      <w:r w:rsidR="009244CD">
        <w:rPr>
          <w:noProof/>
        </w:rPr>
        <w:t>1</w:t>
      </w:r>
      <w:r w:rsidR="009244CD">
        <w:t>.</w:t>
      </w:r>
      <w:r w:rsidR="009244CD">
        <w:rPr>
          <w:noProof/>
        </w:rPr>
        <w:t>3</w:t>
      </w:r>
      <w:r>
        <w:fldChar w:fldCharType="end"/>
      </w:r>
      <w:r>
        <w:t xml:space="preserve"> </w:t>
      </w:r>
      <w:r w:rsidRPr="000721C2">
        <w:t>shows the building block costs that form the ARR for each year and where discussion on the elements that drive these costs can be found within this preliminary decision.</w:t>
      </w:r>
    </w:p>
    <w:p w:rsidR="00D6684D" w:rsidRPr="000721C2" w:rsidRDefault="00D6684D" w:rsidP="00D6684D">
      <w:pPr>
        <w:pStyle w:val="Caption"/>
      </w:pPr>
      <w:bookmarkStart w:id="21" w:name="_Ref415657725"/>
      <w:r>
        <w:t xml:space="preserve">Table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Table \* ARABIC \s 1 </w:instrText>
      </w:r>
      <w:r w:rsidR="000C694F">
        <w:fldChar w:fldCharType="separate"/>
      </w:r>
      <w:r w:rsidR="009244CD">
        <w:rPr>
          <w:noProof/>
        </w:rPr>
        <w:t>3</w:t>
      </w:r>
      <w:r w:rsidR="000C694F">
        <w:rPr>
          <w:noProof/>
        </w:rPr>
        <w:fldChar w:fldCharType="end"/>
      </w:r>
      <w:bookmarkEnd w:id="21"/>
      <w:r>
        <w:tab/>
      </w:r>
      <w:r w:rsidRPr="000721C2">
        <w:t>Building block costs</w:t>
      </w:r>
    </w:p>
    <w:tbl>
      <w:tblPr>
        <w:tblStyle w:val="AERtable-text0"/>
        <w:tblW w:w="8755" w:type="dxa"/>
        <w:tblLook w:val="04A0" w:firstRow="1" w:lastRow="0" w:firstColumn="1" w:lastColumn="0" w:noHBand="0" w:noVBand="1"/>
      </w:tblPr>
      <w:tblGrid>
        <w:gridCol w:w="3959"/>
        <w:gridCol w:w="4796"/>
      </w:tblGrid>
      <w:tr w:rsidR="00D6684D" w:rsidRPr="00356B64" w:rsidTr="00741AA2">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D6684D" w:rsidRPr="000721C2" w:rsidRDefault="00D6684D" w:rsidP="00741AA2">
            <w:r w:rsidRPr="000721C2">
              <w:t> Building block costs</w:t>
            </w:r>
          </w:p>
        </w:tc>
        <w:tc>
          <w:tcPr>
            <w:tcW w:w="4796" w:type="dxa"/>
            <w:noWrap/>
            <w:hideMark/>
          </w:tcPr>
          <w:p w:rsidR="00D6684D" w:rsidRPr="000721C2" w:rsidRDefault="00D6684D" w:rsidP="00741AA2">
            <w:r w:rsidRPr="000721C2">
              <w:t>Attachments where elements are discussed</w:t>
            </w:r>
          </w:p>
        </w:tc>
      </w:tr>
      <w:tr w:rsidR="00D6684D" w:rsidRPr="00E77F29" w:rsidTr="00741AA2">
        <w:trPr>
          <w:trHeight w:val="196"/>
        </w:trPr>
        <w:tc>
          <w:tcPr>
            <w:tcW w:w="3959" w:type="dxa"/>
            <w:noWrap/>
          </w:tcPr>
          <w:p w:rsidR="00D6684D" w:rsidRPr="000721C2" w:rsidRDefault="00D6684D" w:rsidP="00741AA2">
            <w:r w:rsidRPr="000721C2">
              <w:t>Return on capital</w:t>
            </w:r>
          </w:p>
        </w:tc>
        <w:tc>
          <w:tcPr>
            <w:tcW w:w="4796" w:type="dxa"/>
            <w:noWrap/>
            <w:hideMark/>
          </w:tcPr>
          <w:p w:rsidR="00D6684D" w:rsidRPr="000721C2" w:rsidRDefault="00D6684D" w:rsidP="00741AA2">
            <w:r w:rsidRPr="000721C2">
              <w:t>Regulatory asset base (attachment 2)</w:t>
            </w:r>
          </w:p>
          <w:p w:rsidR="00D6684D" w:rsidRPr="000721C2" w:rsidRDefault="00D6684D" w:rsidP="00741AA2">
            <w:r w:rsidRPr="000721C2">
              <w:t xml:space="preserve">Capex (attachment 6) </w:t>
            </w:r>
          </w:p>
          <w:p w:rsidR="00D6684D" w:rsidRPr="000721C2" w:rsidRDefault="00D6684D" w:rsidP="00741AA2">
            <w:r w:rsidRPr="000721C2">
              <w:t>Rate of return (attachment 3)</w:t>
            </w:r>
          </w:p>
        </w:tc>
      </w:tr>
      <w:tr w:rsidR="00D6684D" w:rsidRPr="00356B64" w:rsidTr="00741AA2">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D6684D" w:rsidRPr="000721C2" w:rsidRDefault="00D6684D" w:rsidP="00741AA2">
            <w:r w:rsidRPr="000721C2">
              <w:t>Regulatory depreciation (return of capital)</w:t>
            </w:r>
          </w:p>
        </w:tc>
        <w:tc>
          <w:tcPr>
            <w:tcW w:w="4796" w:type="dxa"/>
            <w:noWrap/>
            <w:hideMark/>
          </w:tcPr>
          <w:p w:rsidR="00D6684D" w:rsidRPr="000721C2" w:rsidRDefault="00D6684D" w:rsidP="00741AA2">
            <w:r w:rsidRPr="000721C2">
              <w:t>Regulatory asset base (attachment 2)</w:t>
            </w:r>
          </w:p>
          <w:p w:rsidR="00D6684D" w:rsidRPr="000721C2" w:rsidRDefault="00D6684D" w:rsidP="00741AA2">
            <w:r w:rsidRPr="000721C2">
              <w:t xml:space="preserve">Capex (attachment 6) </w:t>
            </w:r>
          </w:p>
          <w:p w:rsidR="00D6684D" w:rsidRPr="000721C2" w:rsidRDefault="00D6684D" w:rsidP="00741AA2">
            <w:r w:rsidRPr="000721C2">
              <w:t>Rate of return (attachment 3) </w:t>
            </w:r>
          </w:p>
        </w:tc>
      </w:tr>
      <w:tr w:rsidR="00D6684D" w:rsidRPr="00356B64" w:rsidTr="00741AA2">
        <w:trPr>
          <w:trHeight w:val="196"/>
        </w:trPr>
        <w:tc>
          <w:tcPr>
            <w:tcW w:w="3959" w:type="dxa"/>
            <w:noWrap/>
          </w:tcPr>
          <w:p w:rsidR="00D6684D" w:rsidRPr="000721C2" w:rsidRDefault="00D6684D" w:rsidP="00741AA2">
            <w:r w:rsidRPr="000721C2">
              <w:t>Operating expenditure (opex)</w:t>
            </w:r>
          </w:p>
        </w:tc>
        <w:tc>
          <w:tcPr>
            <w:tcW w:w="4796" w:type="dxa"/>
            <w:noWrap/>
            <w:hideMark/>
          </w:tcPr>
          <w:p w:rsidR="00D6684D" w:rsidRPr="000721C2" w:rsidRDefault="00D6684D" w:rsidP="00741AA2">
            <w:r w:rsidRPr="000721C2">
              <w:t>Opex (attachment 7)</w:t>
            </w:r>
          </w:p>
        </w:tc>
      </w:tr>
      <w:tr w:rsidR="00D6684D" w:rsidRPr="00356B64" w:rsidTr="00741AA2">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D6684D" w:rsidRPr="000721C2" w:rsidRDefault="00D6684D" w:rsidP="00741AA2">
            <w:r w:rsidRPr="000721C2">
              <w:t>Efficiency benefits/penalties</w:t>
            </w:r>
          </w:p>
        </w:tc>
        <w:tc>
          <w:tcPr>
            <w:tcW w:w="4796" w:type="dxa"/>
            <w:noWrap/>
            <w:hideMark/>
          </w:tcPr>
          <w:p w:rsidR="00D6684D" w:rsidRPr="000721C2" w:rsidRDefault="00D6684D" w:rsidP="00741AA2">
            <w:r w:rsidRPr="000721C2">
              <w:t>Efficiency benefit sharing scheme (attachment 9) </w:t>
            </w:r>
          </w:p>
        </w:tc>
      </w:tr>
      <w:tr w:rsidR="00D6684D" w:rsidRPr="00356B64" w:rsidTr="00741AA2">
        <w:trPr>
          <w:trHeight w:val="196"/>
        </w:trPr>
        <w:tc>
          <w:tcPr>
            <w:tcW w:w="3959" w:type="dxa"/>
            <w:noWrap/>
          </w:tcPr>
          <w:p w:rsidR="00D6684D" w:rsidRPr="000721C2" w:rsidRDefault="00D6684D" w:rsidP="00741AA2">
            <w:r w:rsidRPr="000721C2">
              <w:t>Estimated cost of corporate tax</w:t>
            </w:r>
          </w:p>
        </w:tc>
        <w:tc>
          <w:tcPr>
            <w:tcW w:w="4796" w:type="dxa"/>
            <w:noWrap/>
          </w:tcPr>
          <w:p w:rsidR="00D6684D" w:rsidRPr="000721C2" w:rsidRDefault="00D6684D" w:rsidP="00741AA2">
            <w:r w:rsidRPr="000721C2">
              <w:t xml:space="preserve">Corporate income tax  (attachment 8) </w:t>
            </w:r>
          </w:p>
          <w:p w:rsidR="00D6684D" w:rsidRPr="000721C2" w:rsidRDefault="00AF433C" w:rsidP="00AF433C">
            <w:r>
              <w:t>Value of imputation credits</w:t>
            </w:r>
            <w:r w:rsidR="00D6684D" w:rsidRPr="000721C2">
              <w:t xml:space="preserve"> (attachment 4)</w:t>
            </w:r>
          </w:p>
        </w:tc>
      </w:tr>
      <w:tr w:rsidR="00D6684D" w:rsidRPr="00356B64" w:rsidTr="00741AA2">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D6684D" w:rsidRPr="000721C2" w:rsidRDefault="00D6684D" w:rsidP="00741AA2">
            <w:r>
              <w:t>Adjustment for shared assets</w:t>
            </w:r>
          </w:p>
        </w:tc>
        <w:tc>
          <w:tcPr>
            <w:tcW w:w="4796" w:type="dxa"/>
            <w:noWrap/>
          </w:tcPr>
          <w:p w:rsidR="00D6684D" w:rsidRPr="000721C2" w:rsidRDefault="00D6684D" w:rsidP="00741AA2">
            <w:r>
              <w:t>Annual revenue requirement (attachment 1)</w:t>
            </w:r>
          </w:p>
        </w:tc>
      </w:tr>
      <w:tr w:rsidR="00D6684D" w:rsidRPr="00356B64" w:rsidTr="00741AA2">
        <w:trPr>
          <w:trHeight w:val="196"/>
        </w:trPr>
        <w:tc>
          <w:tcPr>
            <w:tcW w:w="3959" w:type="dxa"/>
            <w:noWrap/>
          </w:tcPr>
          <w:p w:rsidR="00D6684D" w:rsidRDefault="00D6684D" w:rsidP="00741AA2">
            <w:r>
              <w:t>Demand management innovation allowance</w:t>
            </w:r>
          </w:p>
        </w:tc>
        <w:tc>
          <w:tcPr>
            <w:tcW w:w="4796" w:type="dxa"/>
            <w:noWrap/>
          </w:tcPr>
          <w:p w:rsidR="00D6684D" w:rsidRDefault="00D6684D" w:rsidP="00741AA2">
            <w:r w:rsidRPr="00D817C6">
              <w:t>Demand management incentive scheme</w:t>
            </w:r>
            <w:r>
              <w:t xml:space="preserve"> (attachment 12)</w:t>
            </w:r>
          </w:p>
        </w:tc>
      </w:tr>
    </w:tbl>
    <w:p w:rsidR="00D6684D" w:rsidRPr="00D6684D" w:rsidRDefault="00D6684D" w:rsidP="00D6684D"/>
    <w:p w:rsidR="009A5113" w:rsidRPr="0074565D" w:rsidRDefault="009A5113" w:rsidP="009A5113">
      <w:pPr>
        <w:pStyle w:val="Heading2"/>
      </w:pPr>
      <w:bookmarkStart w:id="22" w:name="_Toc408404324"/>
      <w:bookmarkStart w:id="23" w:name="_Toc433113774"/>
      <w:r w:rsidRPr="0074565D">
        <w:t xml:space="preserve">Reasons for </w:t>
      </w:r>
      <w:r w:rsidR="00801110">
        <w:t>preliminary</w:t>
      </w:r>
      <w:r w:rsidR="00651CB2" w:rsidRPr="0074565D">
        <w:t xml:space="preserve"> </w:t>
      </w:r>
      <w:r w:rsidRPr="0074565D">
        <w:t>decision</w:t>
      </w:r>
      <w:bookmarkEnd w:id="22"/>
      <w:bookmarkEnd w:id="23"/>
      <w:r w:rsidRPr="0074565D">
        <w:t xml:space="preserve"> </w:t>
      </w:r>
    </w:p>
    <w:p w:rsidR="00D6684D" w:rsidRDefault="00D6684D" w:rsidP="00D6684D">
      <w:r>
        <w:t>For this preliminary decision, w</w:t>
      </w:r>
      <w:r w:rsidRPr="001903C4">
        <w:t xml:space="preserve">e determine </w:t>
      </w:r>
      <w:r>
        <w:t xml:space="preserve">a total revenue </w:t>
      </w:r>
      <w:r w:rsidRPr="000B6AE9">
        <w:t xml:space="preserve">requirement of </w:t>
      </w:r>
      <w:r w:rsidRPr="00C83946">
        <w:t>$</w:t>
      </w:r>
      <w:r w:rsidR="001E5F64">
        <w:t>3</w:t>
      </w:r>
      <w:r w:rsidR="008B0511">
        <w:t>098.0 </w:t>
      </w:r>
      <w:r w:rsidRPr="00C83946">
        <w:t>million ($ nominal)</w:t>
      </w:r>
      <w:r w:rsidRPr="000B6AE9">
        <w:t xml:space="preserve"> for </w:t>
      </w:r>
      <w:r>
        <w:t xml:space="preserve">Powercor over </w:t>
      </w:r>
      <w:r w:rsidRPr="001903C4">
        <w:t xml:space="preserve">the </w:t>
      </w:r>
      <w:r>
        <w:t>2016–20 regulatory control period</w:t>
      </w:r>
      <w:r w:rsidRPr="001903C4">
        <w:t xml:space="preserve">. This </w:t>
      </w:r>
      <w:r w:rsidRPr="000B6AE9">
        <w:t xml:space="preserve">is </w:t>
      </w:r>
      <w:r w:rsidRPr="00C83946">
        <w:t>$</w:t>
      </w:r>
      <w:r w:rsidR="00AF5B35">
        <w:t>564.2 </w:t>
      </w:r>
      <w:r w:rsidRPr="00C83946">
        <w:t xml:space="preserve">million ($ nominal) or </w:t>
      </w:r>
      <w:r w:rsidR="001E5F64">
        <w:t>15.</w:t>
      </w:r>
      <w:r w:rsidR="00AF5B35">
        <w:t>4</w:t>
      </w:r>
      <w:r w:rsidR="001E5F64">
        <w:t> </w:t>
      </w:r>
      <w:r w:rsidRPr="00C83946">
        <w:t>per cent</w:t>
      </w:r>
      <w:r w:rsidRPr="000B6AE9">
        <w:t xml:space="preserve"> below</w:t>
      </w:r>
      <w:r w:rsidRPr="001903C4">
        <w:t xml:space="preserve"> </w:t>
      </w:r>
      <w:r>
        <w:t xml:space="preserve">Powercor's </w:t>
      </w:r>
      <w:r w:rsidRPr="001903C4">
        <w:t>proposal</w:t>
      </w:r>
      <w:r>
        <w:t xml:space="preserve">. This </w:t>
      </w:r>
      <w:r w:rsidRPr="001903C4">
        <w:t xml:space="preserve">reflects the impact of our </w:t>
      </w:r>
      <w:r>
        <w:t>preliminary</w:t>
      </w:r>
      <w:r w:rsidRPr="001903C4">
        <w:t xml:space="preserve"> decision on the various building block c</w:t>
      </w:r>
      <w:r>
        <w:t>ost</w:t>
      </w:r>
      <w:r w:rsidRPr="001903C4">
        <w:t>s.</w:t>
      </w:r>
      <w:r>
        <w:t xml:space="preserve"> </w:t>
      </w:r>
      <w:r>
        <w:fldChar w:fldCharType="begin"/>
      </w:r>
      <w:r>
        <w:instrText xml:space="preserve"> REF _Ref398709260 \h </w:instrText>
      </w:r>
      <w:r>
        <w:fldChar w:fldCharType="separate"/>
      </w:r>
      <w:r w:rsidR="009244CD">
        <w:t xml:space="preserve">Figure </w:t>
      </w:r>
      <w:r w:rsidR="009244CD">
        <w:rPr>
          <w:noProof/>
        </w:rPr>
        <w:t>1</w:t>
      </w:r>
      <w:r w:rsidR="009244CD">
        <w:t>.</w:t>
      </w:r>
      <w:r w:rsidR="009244CD">
        <w:rPr>
          <w:noProof/>
        </w:rPr>
        <w:t>2</w:t>
      </w:r>
      <w:r>
        <w:fldChar w:fldCharType="end"/>
      </w:r>
      <w:r>
        <w:t xml:space="preserve"> shows the difference between</w:t>
      </w:r>
      <w:r w:rsidRPr="008659AA">
        <w:t xml:space="preserve"> </w:t>
      </w:r>
      <w:r>
        <w:t xml:space="preserve">Powercor's </w:t>
      </w:r>
      <w:r w:rsidRPr="008659AA">
        <w:t xml:space="preserve">proposed </w:t>
      </w:r>
      <w:r>
        <w:t>ARRs and our</w:t>
      </w:r>
      <w:r w:rsidRPr="008659AA">
        <w:t xml:space="preserve"> </w:t>
      </w:r>
      <w:r>
        <w:t>preliminary decision.</w:t>
      </w:r>
    </w:p>
    <w:p w:rsidR="00D6684D" w:rsidRDefault="00D6684D" w:rsidP="00D6684D">
      <w:pPr>
        <w:pStyle w:val="Caption"/>
      </w:pPr>
      <w:bookmarkStart w:id="24" w:name="_Ref398709260"/>
      <w:r>
        <w:lastRenderedPageBreak/>
        <w:t xml:space="preserve">Figure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Figure \* ARABIC \s 1 </w:instrText>
      </w:r>
      <w:r w:rsidR="000C694F">
        <w:fldChar w:fldCharType="separate"/>
      </w:r>
      <w:r w:rsidR="009244CD">
        <w:rPr>
          <w:noProof/>
        </w:rPr>
        <w:t>2</w:t>
      </w:r>
      <w:r w:rsidR="000C694F">
        <w:rPr>
          <w:noProof/>
        </w:rPr>
        <w:fldChar w:fldCharType="end"/>
      </w:r>
      <w:bookmarkEnd w:id="24"/>
      <w:r>
        <w:tab/>
      </w:r>
      <w:r w:rsidRPr="00FC471A">
        <w:t xml:space="preserve">AER's </w:t>
      </w:r>
      <w:r>
        <w:t>preliminary</w:t>
      </w:r>
      <w:r w:rsidRPr="00FC471A">
        <w:t xml:space="preserve"> </w:t>
      </w:r>
      <w:r>
        <w:t>decision</w:t>
      </w:r>
      <w:r w:rsidRPr="00FC471A">
        <w:t xml:space="preserve"> </w:t>
      </w:r>
      <w:r>
        <w:t>and</w:t>
      </w:r>
      <w:r w:rsidRPr="00FC471A">
        <w:t xml:space="preserve"> </w:t>
      </w:r>
      <w:r>
        <w:t xml:space="preserve">Powercor's </w:t>
      </w:r>
      <w:r w:rsidRPr="00FC471A">
        <w:t xml:space="preserve">proposed </w:t>
      </w:r>
      <w:r>
        <w:t>annual revenue requirement</w:t>
      </w:r>
      <w:r w:rsidRPr="00FC471A">
        <w:t xml:space="preserve"> ($million, nominal)</w:t>
      </w:r>
    </w:p>
    <w:p w:rsidR="00D6684D" w:rsidRDefault="00AF5B35" w:rsidP="00AF5B35">
      <w:pPr>
        <w:numPr>
          <w:ilvl w:val="0"/>
          <w:numId w:val="24"/>
        </w:numPr>
      </w:pPr>
      <w:r w:rsidRPr="00AF5B35">
        <w:rPr>
          <w:noProof/>
          <w:lang w:eastAsia="en-AU"/>
        </w:rPr>
        <w:drawing>
          <wp:inline distT="0" distB="0" distL="0" distR="0" wp14:anchorId="57E6DC15" wp14:editId="4E95F2BC">
            <wp:extent cx="5382895" cy="3939861"/>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D6684D" w:rsidRDefault="00D6684D" w:rsidP="00D6684D">
      <w:pPr>
        <w:pStyle w:val="AERtablesource"/>
      </w:pPr>
      <w:r w:rsidRPr="004E488E">
        <w:t>Source:</w:t>
      </w:r>
      <w:r w:rsidRPr="004E488E">
        <w:tab/>
      </w:r>
      <w:r>
        <w:t>Powercor</w:t>
      </w:r>
      <w:r w:rsidRPr="00DB7CF9">
        <w:t xml:space="preserve">, </w:t>
      </w:r>
      <w:r w:rsidRPr="00DB7CF9">
        <w:rPr>
          <w:rStyle w:val="AERtextitalic"/>
        </w:rPr>
        <w:t>Regulatory proposal</w:t>
      </w:r>
      <w:r w:rsidRPr="00DB7CF9">
        <w:t xml:space="preserve">, </w:t>
      </w:r>
      <w:r w:rsidR="0019716D">
        <w:t>April 2015</w:t>
      </w:r>
      <w:r w:rsidRPr="00DB7CF9">
        <w:t>,</w:t>
      </w:r>
      <w:r w:rsidR="00974554" w:rsidRPr="00974554">
        <w:t xml:space="preserve"> </w:t>
      </w:r>
      <w:r w:rsidR="00974554">
        <w:t>p. 260, table 13.9.</w:t>
      </w:r>
    </w:p>
    <w:p w:rsidR="00D6684D" w:rsidRDefault="00D6684D" w:rsidP="00D6684D">
      <w:pPr>
        <w:pStyle w:val="AERtablesource"/>
      </w:pPr>
      <w:r>
        <w:tab/>
        <w:t>AER analysis.</w:t>
      </w:r>
      <w:r w:rsidRPr="009A697B">
        <w:t xml:space="preserve"> </w:t>
      </w:r>
    </w:p>
    <w:p w:rsidR="0010680E" w:rsidRDefault="00D6684D" w:rsidP="00D6684D">
      <w:pPr>
        <w:pStyle w:val="AERtablesource"/>
      </w:pPr>
      <w:r>
        <w:t>Note:</w:t>
      </w:r>
      <w:r>
        <w:tab/>
      </w:r>
      <w:r w:rsidR="00AF5B35" w:rsidRPr="00D44939">
        <w:t xml:space="preserve">Revenue adjustments include efficiency benefit sharing scheme </w:t>
      </w:r>
      <w:r w:rsidR="00AF5B35">
        <w:t xml:space="preserve">carry-overs, </w:t>
      </w:r>
      <w:r w:rsidR="00AF433C">
        <w:t>2010 S</w:t>
      </w:r>
      <w:r w:rsidR="00AF5B35">
        <w:t>-factor scheme close out</w:t>
      </w:r>
      <w:r w:rsidR="00B723AE">
        <w:t xml:space="preserve"> and DMIA</w:t>
      </w:r>
      <w:r w:rsidR="00AF5B35">
        <w:t xml:space="preserve">. </w:t>
      </w:r>
    </w:p>
    <w:p w:rsidR="00D6684D" w:rsidRDefault="0010680E" w:rsidP="00D6684D">
      <w:pPr>
        <w:pStyle w:val="AERtablesource"/>
      </w:pPr>
      <w:r>
        <w:tab/>
        <w:t>Opex includes debt raising costs.</w:t>
      </w:r>
      <w:r w:rsidR="00AF5B35">
        <w:t xml:space="preserve"> </w:t>
      </w:r>
    </w:p>
    <w:p w:rsidR="006801F1" w:rsidRDefault="00D6684D" w:rsidP="00D6684D">
      <w:r>
        <w:t>The most significant changes to Powercor's proposal include:</w:t>
      </w:r>
    </w:p>
    <w:p w:rsidR="006801F1" w:rsidRDefault="00D6684D" w:rsidP="00B723AE">
      <w:pPr>
        <w:pStyle w:val="AERbulletlistfirststyle"/>
      </w:pPr>
      <w:r>
        <w:t xml:space="preserve">a reduction </w:t>
      </w:r>
      <w:r w:rsidR="00E50A6A">
        <w:t xml:space="preserve">in </w:t>
      </w:r>
      <w:r>
        <w:t xml:space="preserve">the return </w:t>
      </w:r>
      <w:r w:rsidR="00E50A6A">
        <w:t xml:space="preserve">on capital allowance </w:t>
      </w:r>
      <w:r>
        <w:t xml:space="preserve">of </w:t>
      </w:r>
      <w:r w:rsidR="006801F1">
        <w:t>20.6 </w:t>
      </w:r>
      <w:r w:rsidRPr="00C83946">
        <w:t>per cent</w:t>
      </w:r>
      <w:r w:rsidRPr="000B6AE9">
        <w:t xml:space="preserve"> (</w:t>
      </w:r>
      <w:r>
        <w:t>attachment</w:t>
      </w:r>
      <w:r w:rsidR="00A85B77">
        <w:t>s 2 and</w:t>
      </w:r>
      <w:r>
        <w:t xml:space="preserve"> 3)</w:t>
      </w:r>
    </w:p>
    <w:p w:rsidR="006801F1" w:rsidRDefault="00D6684D" w:rsidP="00B723AE">
      <w:pPr>
        <w:pStyle w:val="AERbulletlistfirststyle"/>
      </w:pPr>
      <w:r>
        <w:t xml:space="preserve">a reduction in the capex allowance of </w:t>
      </w:r>
      <w:r w:rsidR="001E5F64">
        <w:t>20.8 </w:t>
      </w:r>
      <w:r w:rsidRPr="00C83946">
        <w:t>per cent</w:t>
      </w:r>
      <w:r w:rsidRPr="000B6AE9">
        <w:t xml:space="preserve"> (attachment</w:t>
      </w:r>
      <w:r>
        <w:t xml:space="preserve"> 6)</w:t>
      </w:r>
    </w:p>
    <w:p w:rsidR="006801F1" w:rsidRDefault="00D6684D" w:rsidP="00B723AE">
      <w:pPr>
        <w:pStyle w:val="AERbulletlistfirststyle"/>
      </w:pPr>
      <w:r>
        <w:t xml:space="preserve">a reduction in the opex allowance of </w:t>
      </w:r>
      <w:r w:rsidR="00AF5B35">
        <w:t>13.0</w:t>
      </w:r>
      <w:r w:rsidR="001E5F64">
        <w:t> </w:t>
      </w:r>
      <w:r w:rsidRPr="00C83946">
        <w:t>per cent</w:t>
      </w:r>
      <w:r>
        <w:t xml:space="preserve"> (attachment 7)</w:t>
      </w:r>
    </w:p>
    <w:p w:rsidR="00B723AE" w:rsidRDefault="006801F1" w:rsidP="00B723AE">
      <w:pPr>
        <w:pStyle w:val="AERbulletlistfirststyle"/>
      </w:pPr>
      <w:proofErr w:type="gramStart"/>
      <w:r>
        <w:t>a</w:t>
      </w:r>
      <w:proofErr w:type="gramEnd"/>
      <w:r>
        <w:t xml:space="preserve"> reduction in the cost of corporate income tax allowance of 31.8 per cent (attachment 8)</w:t>
      </w:r>
      <w:r w:rsidR="00D6684D">
        <w:t xml:space="preserve">. </w:t>
      </w:r>
    </w:p>
    <w:p w:rsidR="00722046" w:rsidRDefault="00722046" w:rsidP="00722046">
      <w:pPr>
        <w:pStyle w:val="AERbulletlistfirststyle"/>
        <w:numPr>
          <w:ilvl w:val="0"/>
          <w:numId w:val="0"/>
        </w:numPr>
        <w:ind w:left="357"/>
      </w:pPr>
    </w:p>
    <w:p w:rsidR="00D6684D" w:rsidRPr="00056981" w:rsidRDefault="00D6684D" w:rsidP="00D6684D">
      <w:pPr>
        <w:pStyle w:val="Heading3"/>
        <w:ind w:left="1021" w:hanging="1021"/>
      </w:pPr>
      <w:bookmarkStart w:id="25" w:name="_Toc415666268"/>
      <w:bookmarkStart w:id="26" w:name="_Toc433113775"/>
      <w:bookmarkStart w:id="27" w:name="_Ref398727972"/>
      <w:bookmarkStart w:id="28" w:name="_Toc403571580"/>
      <w:bookmarkStart w:id="29" w:name="_Toc404611387"/>
      <w:r w:rsidRPr="00056981">
        <w:t xml:space="preserve">Revenue </w:t>
      </w:r>
      <w:r>
        <w:t>smoothing</w:t>
      </w:r>
      <w:bookmarkEnd w:id="25"/>
      <w:bookmarkEnd w:id="26"/>
    </w:p>
    <w:p w:rsidR="001E5F64" w:rsidRDefault="00D6684D" w:rsidP="00393649">
      <w:pPr>
        <w:numPr>
          <w:ilvl w:val="0"/>
          <w:numId w:val="24"/>
        </w:numPr>
      </w:pPr>
      <w:r>
        <w:t xml:space="preserve">We have taken </w:t>
      </w:r>
      <w:r w:rsidR="001E5F64">
        <w:t xml:space="preserve">into account </w:t>
      </w:r>
      <w:r>
        <w:t xml:space="preserve">the building block costs determined in this decision when smoothing </w:t>
      </w:r>
      <w:r w:rsidRPr="00BD4F8B">
        <w:t>the expected revenues</w:t>
      </w:r>
      <w:r>
        <w:t xml:space="preserve"> for Powercor over the 2016–20 regulatory control period. </w:t>
      </w:r>
      <w:r w:rsidR="001E5F64" w:rsidRPr="00F424C3">
        <w:t xml:space="preserve">We consider that our profile of X factors </w:t>
      </w:r>
      <w:r w:rsidR="001E5F64">
        <w:t xml:space="preserve">is reasonable given the requirements </w:t>
      </w:r>
      <w:r w:rsidR="001E5F64">
        <w:lastRenderedPageBreak/>
        <w:t>of the transitional rules.</w:t>
      </w:r>
      <w:r w:rsidR="001E5F64">
        <w:rPr>
          <w:rStyle w:val="FootnoteReference"/>
        </w:rPr>
        <w:footnoteReference w:id="8"/>
      </w:r>
      <w:r w:rsidR="001E5F64">
        <w:t xml:space="preserve"> </w:t>
      </w:r>
      <w:r w:rsidR="001E5F64" w:rsidRPr="009C6CDD">
        <w:t xml:space="preserve">Due to the </w:t>
      </w:r>
      <w:r w:rsidR="00ED6FBF">
        <w:t>expected</w:t>
      </w:r>
      <w:r w:rsidR="00ED6FBF" w:rsidRPr="009C6CDD">
        <w:t xml:space="preserve"> </w:t>
      </w:r>
      <w:r w:rsidR="001E5F64" w:rsidRPr="009C6CDD">
        <w:t xml:space="preserve">true-up for 2016 </w:t>
      </w:r>
      <w:r w:rsidR="001E5F64">
        <w:t>in</w:t>
      </w:r>
      <w:r w:rsidR="001E5F64" w:rsidRPr="009C6CDD">
        <w:t xml:space="preserve"> the subs</w:t>
      </w:r>
      <w:r w:rsidR="00AF433C">
        <w:t>titute</w:t>
      </w:r>
      <w:r w:rsidR="001E5F64" w:rsidRPr="009C6CDD">
        <w:t xml:space="preserve"> decision</w:t>
      </w:r>
      <w:r w:rsidR="00393649">
        <w:t>,</w:t>
      </w:r>
      <w:r w:rsidR="001E5F64">
        <w:rPr>
          <w:rStyle w:val="FootnoteReference"/>
        </w:rPr>
        <w:footnoteReference w:id="9"/>
      </w:r>
      <w:r w:rsidR="001E5F64" w:rsidRPr="009C6CDD">
        <w:t xml:space="preserve"> we have provided a gradual decrease in expected revenues over the first two regulatory years. </w:t>
      </w:r>
      <w:r w:rsidR="001E5F64">
        <w:t xml:space="preserve">We have also allowed the difference between smoothed and unsmoothed revenues in the last year of the 2016–20 regulatory control period to diverge more than would be usual. This approach smooths the revenues by allowing for a more gradual path for lower revenues over the 2016–20 regulatory control period. </w:t>
      </w:r>
    </w:p>
    <w:p w:rsidR="00D6684D" w:rsidRPr="00C729DC" w:rsidRDefault="00D6684D" w:rsidP="00D6684D">
      <w:pPr>
        <w:numPr>
          <w:ilvl w:val="0"/>
          <w:numId w:val="24"/>
        </w:numPr>
      </w:pPr>
      <w:r w:rsidRPr="007118FB">
        <w:t xml:space="preserve">In the present circumstances, based on the X factors we have determined for </w:t>
      </w:r>
      <w:r>
        <w:t>Powercor</w:t>
      </w:r>
      <w:r w:rsidRPr="007118FB">
        <w:t>, the difference between the expected revenue and ARR for 20</w:t>
      </w:r>
      <w:r w:rsidR="00C70C0A">
        <w:t>20</w:t>
      </w:r>
      <w:r w:rsidRPr="007118FB">
        <w:t xml:space="preserve"> is around </w:t>
      </w:r>
      <w:r w:rsidR="00C70C0A">
        <w:t>4.8</w:t>
      </w:r>
      <w:r w:rsidR="00916EAB">
        <w:t> </w:t>
      </w:r>
      <w:r w:rsidRPr="007118FB">
        <w:t xml:space="preserve">per cent. While </w:t>
      </w:r>
      <w:r>
        <w:t xml:space="preserve">we consider </w:t>
      </w:r>
      <w:r w:rsidRPr="007118FB">
        <w:t>th</w:t>
      </w:r>
      <w:r>
        <w:t>is</w:t>
      </w:r>
      <w:r w:rsidRPr="007118FB">
        <w:t xml:space="preserve"> divergence is </w:t>
      </w:r>
      <w:r w:rsidR="00AF433C">
        <w:t>larger than usual</w:t>
      </w:r>
      <w:r w:rsidRPr="007118FB">
        <w:t xml:space="preserve">, it avoids the situation </w:t>
      </w:r>
      <w:r>
        <w:t xml:space="preserve">where cost changes for the substitute decision and the consequent true-up could result in </w:t>
      </w:r>
      <w:r w:rsidRPr="007118FB">
        <w:t>a</w:t>
      </w:r>
      <w:r>
        <w:t xml:space="preserve"> large</w:t>
      </w:r>
      <w:r w:rsidRPr="007118FB">
        <w:t xml:space="preserve"> price decrease in 2016 followed by significant price increases for the remaining </w:t>
      </w:r>
      <w:r>
        <w:t>four y</w:t>
      </w:r>
      <w:r w:rsidRPr="007118FB">
        <w:t>ears of the regulatory control period. We will review this smoothing for the final decision if necessary.</w:t>
      </w:r>
      <w:r w:rsidRPr="00D67E40">
        <w:rPr>
          <w:rStyle w:val="CommentReference"/>
        </w:rPr>
        <w:t xml:space="preserve"> </w:t>
      </w:r>
    </w:p>
    <w:p w:rsidR="00D6684D" w:rsidRDefault="00D6684D" w:rsidP="00D6684D">
      <w:pPr>
        <w:pStyle w:val="Heading3"/>
        <w:ind w:left="1021" w:hanging="1021"/>
      </w:pPr>
      <w:bookmarkStart w:id="30" w:name="_Toc415666269"/>
      <w:bookmarkStart w:id="31" w:name="_Toc433113776"/>
      <w:r>
        <w:t>Shared assets</w:t>
      </w:r>
      <w:bookmarkEnd w:id="30"/>
      <w:bookmarkEnd w:id="31"/>
      <w:r>
        <w:t xml:space="preserve"> </w:t>
      </w:r>
    </w:p>
    <w:p w:rsidR="00D6684D" w:rsidRDefault="00D6684D" w:rsidP="00D6684D">
      <w:pPr>
        <w:numPr>
          <w:ilvl w:val="0"/>
          <w:numId w:val="24"/>
        </w:numPr>
      </w:pPr>
      <w:r w:rsidRPr="007F7AA6">
        <w:t xml:space="preserve">Service providers, such as </w:t>
      </w:r>
      <w:r>
        <w:t>Powercor</w:t>
      </w:r>
      <w:r w:rsidRPr="007F7AA6">
        <w:t xml:space="preserve">, may use assets to provide both </w:t>
      </w:r>
      <w:r w:rsidR="00835F1B">
        <w:t xml:space="preserve">the </w:t>
      </w:r>
      <w:r w:rsidRPr="007F7AA6">
        <w:t xml:space="preserve">standard control services we regulate and </w:t>
      </w:r>
      <w:r w:rsidR="00835F1B">
        <w:t xml:space="preserve">other </w:t>
      </w:r>
      <w:r w:rsidRPr="007F7AA6">
        <w:t>unregulated services. These assets are called 'shared assets'.</w:t>
      </w:r>
      <w:r w:rsidRPr="00722046">
        <w:rPr>
          <w:rStyle w:val="AERsuperscript"/>
          <w:sz w:val="22"/>
        </w:rPr>
        <w:footnoteReference w:id="10"/>
      </w:r>
      <w:r w:rsidRPr="00722046">
        <w:rPr>
          <w:rStyle w:val="AERsuperscript"/>
          <w:sz w:val="22"/>
        </w:rPr>
        <w:t xml:space="preserve"> </w:t>
      </w:r>
      <w:r w:rsidRPr="007F7AA6">
        <w:t>Of the unregulated revenues a service provider earns from shared assets, 10</w:t>
      </w:r>
      <w:r w:rsidR="00835F1B">
        <w:t> </w:t>
      </w:r>
      <w:r w:rsidRPr="007F7AA6">
        <w:t>per cent will be used to reduce the service provider's prices for standard control services.</w:t>
      </w:r>
      <w:r w:rsidRPr="00722046">
        <w:rPr>
          <w:rStyle w:val="AERsuperscript"/>
          <w:sz w:val="22"/>
        </w:rPr>
        <w:footnoteReference w:id="11"/>
      </w:r>
      <w:r>
        <w:t xml:space="preserve"> </w:t>
      </w:r>
    </w:p>
    <w:p w:rsidR="00D6684D" w:rsidRPr="007F7AA6" w:rsidRDefault="00D6684D" w:rsidP="00D6684D">
      <w:pPr>
        <w:numPr>
          <w:ilvl w:val="0"/>
          <w:numId w:val="24"/>
        </w:numPr>
      </w:pPr>
      <w:r>
        <w:t>Shared asset</w:t>
      </w:r>
      <w:r w:rsidRPr="007F7AA6">
        <w:t xml:space="preserve"> </w:t>
      </w:r>
      <w:r w:rsidR="00B47DCA">
        <w:t>revenue</w:t>
      </w:r>
      <w:r w:rsidR="00B47DCA" w:rsidRPr="007F7AA6">
        <w:t xml:space="preserve"> </w:t>
      </w:r>
      <w:r w:rsidRPr="007F7AA6">
        <w:t>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722046">
        <w:rPr>
          <w:rStyle w:val="AERsuperscript"/>
          <w:sz w:val="22"/>
        </w:rPr>
        <w:footnoteReference w:id="12"/>
      </w:r>
      <w:r w:rsidRPr="007F7AA6">
        <w:t xml:space="preserve">  </w:t>
      </w:r>
    </w:p>
    <w:p w:rsidR="00A07365" w:rsidRPr="003D05AA" w:rsidRDefault="00A07365" w:rsidP="00A07365">
      <w:pPr>
        <w:rPr>
          <w:rStyle w:val="AERbody"/>
        </w:rPr>
      </w:pPr>
      <w:bookmarkStart w:id="32" w:name="_Ref415670989"/>
      <w:r>
        <w:rPr>
          <w:rStyle w:val="AERbody"/>
        </w:rPr>
        <w:t>Powercor</w:t>
      </w:r>
      <w:r w:rsidRPr="003D05AA">
        <w:rPr>
          <w:rStyle w:val="AERbody"/>
        </w:rPr>
        <w:t xml:space="preserve"> submitted that its shared asset unregulated revenues are forecast to be between 0.</w:t>
      </w:r>
      <w:r w:rsidR="00376BA8">
        <w:rPr>
          <w:rStyle w:val="AERbody"/>
        </w:rPr>
        <w:t>4</w:t>
      </w:r>
      <w:r w:rsidRPr="003D05AA">
        <w:rPr>
          <w:rStyle w:val="AERbody"/>
        </w:rPr>
        <w:t xml:space="preserve"> and 0.</w:t>
      </w:r>
      <w:r w:rsidR="00376BA8">
        <w:rPr>
          <w:rStyle w:val="AERbody"/>
        </w:rPr>
        <w:t>5</w:t>
      </w:r>
      <w:r w:rsidRPr="003D05AA">
        <w:rPr>
          <w:rStyle w:val="AERbody"/>
        </w:rPr>
        <w:t xml:space="preserve"> per cent of its total expected revenue in each regulatory year of the 201</w:t>
      </w:r>
      <w:r w:rsidR="00376BA8">
        <w:rPr>
          <w:rStyle w:val="AERbody"/>
        </w:rPr>
        <w:t>6</w:t>
      </w:r>
      <w:r w:rsidRPr="003D05AA">
        <w:rPr>
          <w:rStyle w:val="AERbody"/>
        </w:rPr>
        <w:t>–</w:t>
      </w:r>
      <w:r>
        <w:rPr>
          <w:rStyle w:val="AERbody"/>
        </w:rPr>
        <w:t>20</w:t>
      </w:r>
      <w:r w:rsidRPr="003D05AA">
        <w:rPr>
          <w:rStyle w:val="AERbody"/>
        </w:rPr>
        <w:t xml:space="preserve"> </w:t>
      </w:r>
      <w:r>
        <w:rPr>
          <w:rStyle w:val="AERbody"/>
        </w:rPr>
        <w:t xml:space="preserve">regulatory control </w:t>
      </w:r>
      <w:proofErr w:type="gramStart"/>
      <w:r w:rsidRPr="003D05AA">
        <w:rPr>
          <w:rStyle w:val="AERbody"/>
        </w:rPr>
        <w:t>period</w:t>
      </w:r>
      <w:proofErr w:type="gramEnd"/>
      <w:r w:rsidRPr="003D05AA">
        <w:rPr>
          <w:rStyle w:val="AERbody"/>
        </w:rPr>
        <w:t>.</w:t>
      </w:r>
      <w:r w:rsidRPr="00722046">
        <w:rPr>
          <w:rStyle w:val="AERsuperscript"/>
          <w:sz w:val="22"/>
        </w:rPr>
        <w:footnoteReference w:id="13"/>
      </w:r>
      <w:r w:rsidRPr="003D05AA">
        <w:rPr>
          <w:rStyle w:val="AERbody"/>
        </w:rPr>
        <w:t xml:space="preserve"> </w:t>
      </w:r>
      <w:r w:rsidR="00B47DCA">
        <w:rPr>
          <w:rStyle w:val="AERbody"/>
        </w:rPr>
        <w:t>W</w:t>
      </w:r>
      <w:r w:rsidRPr="003D05AA">
        <w:rPr>
          <w:rStyle w:val="AERbody"/>
        </w:rPr>
        <w:t>e consider</w:t>
      </w:r>
      <w:r>
        <w:rPr>
          <w:rStyle w:val="AERbody"/>
        </w:rPr>
        <w:t xml:space="preserve"> </w:t>
      </w:r>
      <w:proofErr w:type="spellStart"/>
      <w:r>
        <w:rPr>
          <w:rStyle w:val="AERbody"/>
        </w:rPr>
        <w:t>Powercor</w:t>
      </w:r>
      <w:r w:rsidRPr="003D05AA">
        <w:rPr>
          <w:rStyle w:val="AERbody"/>
        </w:rPr>
        <w:t>'s</w:t>
      </w:r>
      <w:proofErr w:type="spellEnd"/>
      <w:r w:rsidRPr="003D05AA">
        <w:rPr>
          <w:rStyle w:val="AERbody"/>
        </w:rPr>
        <w:t xml:space="preserve"> forecasts are reasonable</w:t>
      </w:r>
      <w:r w:rsidR="00B47DCA">
        <w:rPr>
          <w:rStyle w:val="AERbody"/>
        </w:rPr>
        <w:t>, based on Powercor’s reporting of historical shared assets revenue and our assessment of this revenue source for other service providers</w:t>
      </w:r>
      <w:r w:rsidRPr="003D05AA">
        <w:rPr>
          <w:rStyle w:val="AERbody"/>
        </w:rPr>
        <w:t>.</w:t>
      </w:r>
      <w:r w:rsidR="00B47DCA">
        <w:rPr>
          <w:rStyle w:val="FootnoteReference"/>
        </w:rPr>
        <w:footnoteReference w:id="14"/>
      </w:r>
      <w:r w:rsidR="00595462">
        <w:rPr>
          <w:rStyle w:val="AERbody"/>
        </w:rPr>
        <w:t xml:space="preserve"> Ho</w:t>
      </w:r>
      <w:r w:rsidRPr="003D05AA">
        <w:rPr>
          <w:rStyle w:val="AERbody"/>
        </w:rPr>
        <w:t xml:space="preserve">wever, </w:t>
      </w:r>
      <w:proofErr w:type="spellStart"/>
      <w:r>
        <w:rPr>
          <w:rStyle w:val="AERbody"/>
        </w:rPr>
        <w:t>Powercor</w:t>
      </w:r>
      <w:r w:rsidRPr="003D05AA">
        <w:rPr>
          <w:rStyle w:val="AERbody"/>
        </w:rPr>
        <w:t>'s</w:t>
      </w:r>
      <w:proofErr w:type="spellEnd"/>
      <w:r w:rsidRPr="003D05AA">
        <w:rPr>
          <w:rStyle w:val="AERbody"/>
        </w:rPr>
        <w:t xml:space="preserve"> forecast unregulated revenues must be compared to the regulated revenues we determine, rather than those proposed by </w:t>
      </w:r>
      <w:r>
        <w:rPr>
          <w:rStyle w:val="AERbody"/>
        </w:rPr>
        <w:t>Powercor</w:t>
      </w:r>
      <w:r w:rsidRPr="003D05AA">
        <w:rPr>
          <w:rStyle w:val="AERbody"/>
        </w:rPr>
        <w:t xml:space="preserve">. On that basis, we consider </w:t>
      </w:r>
      <w:r w:rsidR="00376BA8">
        <w:rPr>
          <w:rStyle w:val="AERbody"/>
        </w:rPr>
        <w:t>Powercor</w:t>
      </w:r>
      <w:r w:rsidRPr="003D05AA">
        <w:rPr>
          <w:rStyle w:val="AERbody"/>
        </w:rPr>
        <w:t xml:space="preserve">'s unregulated revenues are between </w:t>
      </w:r>
      <w:r w:rsidRPr="004F5D73">
        <w:t>0.</w:t>
      </w:r>
      <w:r>
        <w:t>5</w:t>
      </w:r>
      <w:r w:rsidRPr="004F5D73">
        <w:t xml:space="preserve"> and 0.</w:t>
      </w:r>
      <w:r>
        <w:t>6</w:t>
      </w:r>
      <w:r w:rsidRPr="004F5D73">
        <w:t xml:space="preserve"> per cent of</w:t>
      </w:r>
      <w:r w:rsidRPr="003D05AA">
        <w:rPr>
          <w:rStyle w:val="AERbody"/>
        </w:rPr>
        <w:t xml:space="preserve"> its total expected revenue in </w:t>
      </w:r>
      <w:r>
        <w:rPr>
          <w:rStyle w:val="AERbody"/>
        </w:rPr>
        <w:t>each regulatory year of the 2016–20</w:t>
      </w:r>
      <w:r w:rsidRPr="003D05AA">
        <w:rPr>
          <w:rStyle w:val="AERbody"/>
        </w:rPr>
        <w:t xml:space="preserve"> </w:t>
      </w:r>
      <w:r>
        <w:rPr>
          <w:rStyle w:val="AERbody"/>
        </w:rPr>
        <w:t xml:space="preserve">regulatory control </w:t>
      </w:r>
      <w:r w:rsidRPr="003D05AA">
        <w:rPr>
          <w:rStyle w:val="AERbody"/>
        </w:rPr>
        <w:t>period.</w:t>
      </w:r>
      <w:r w:rsidR="00230D86">
        <w:rPr>
          <w:rStyle w:val="AERbody"/>
        </w:rPr>
        <w:t xml:space="preserve"> </w:t>
      </w:r>
      <w:r w:rsidR="00230D86">
        <w:rPr>
          <w:rStyle w:val="AERbody"/>
        </w:rPr>
        <w:lastRenderedPageBreak/>
        <w:t xml:space="preserve">Hence, the materiality threshold is not met </w:t>
      </w:r>
      <w:r w:rsidR="001A7250">
        <w:rPr>
          <w:rStyle w:val="AERbody"/>
        </w:rPr>
        <w:t xml:space="preserve">in any year of the 2016–20 regulatory control period </w:t>
      </w:r>
      <w:r w:rsidR="00230D86">
        <w:rPr>
          <w:rStyle w:val="AERbody"/>
        </w:rPr>
        <w:t xml:space="preserve">and we </w:t>
      </w:r>
      <w:r w:rsidR="001A7250">
        <w:rPr>
          <w:rStyle w:val="AERbody"/>
        </w:rPr>
        <w:t>do</w:t>
      </w:r>
      <w:r w:rsidR="00230D86">
        <w:rPr>
          <w:rStyle w:val="AERbody"/>
        </w:rPr>
        <w:t xml:space="preserve"> not apply a shared asset revenue adjustment.</w:t>
      </w:r>
    </w:p>
    <w:p w:rsidR="00A07365" w:rsidRDefault="00A07365" w:rsidP="00A07365">
      <w:pPr>
        <w:numPr>
          <w:ilvl w:val="0"/>
          <w:numId w:val="24"/>
        </w:numPr>
      </w:pPr>
      <w:r>
        <w:rPr>
          <w:rStyle w:val="AERbody"/>
        </w:rPr>
        <w:t xml:space="preserve">We note </w:t>
      </w:r>
      <w:r w:rsidRPr="003D05AA">
        <w:rPr>
          <w:rStyle w:val="AERbody"/>
        </w:rPr>
        <w:t>unregulated revenues from shared assets may in future become material.</w:t>
      </w:r>
      <w:r w:rsidR="00230D86">
        <w:rPr>
          <w:rStyle w:val="FootnoteReference"/>
        </w:rPr>
        <w:footnoteReference w:id="15"/>
      </w:r>
      <w:r w:rsidRPr="003D05AA">
        <w:rPr>
          <w:rStyle w:val="AERbody"/>
        </w:rPr>
        <w:t xml:space="preserve"> We will monitor </w:t>
      </w:r>
      <w:r w:rsidR="00376BA8">
        <w:rPr>
          <w:rStyle w:val="AERbody"/>
        </w:rPr>
        <w:t>Powercor</w:t>
      </w:r>
      <w:r w:rsidRPr="003D05AA">
        <w:rPr>
          <w:rStyle w:val="AERbody"/>
        </w:rPr>
        <w:t>'s shared asset unregulated revenues and, if necessary, determine our own forecasts for future regulatory control periods.</w:t>
      </w:r>
    </w:p>
    <w:p w:rsidR="00D6684D" w:rsidRPr="00F50889" w:rsidRDefault="00D6684D" w:rsidP="00D6684D">
      <w:pPr>
        <w:pStyle w:val="Heading3"/>
        <w:ind w:left="1021" w:hanging="1021"/>
      </w:pPr>
      <w:bookmarkStart w:id="33" w:name="_Toc415666270"/>
      <w:bookmarkStart w:id="34" w:name="_Toc433113777"/>
      <w:bookmarkEnd w:id="32"/>
      <w:r w:rsidRPr="00F37EDD">
        <w:t>Indicative</w:t>
      </w:r>
      <w:r w:rsidRPr="00F50889">
        <w:t xml:space="preserve"> average distribution price impact</w:t>
      </w:r>
      <w:bookmarkEnd w:id="27"/>
      <w:bookmarkEnd w:id="28"/>
      <w:bookmarkEnd w:id="29"/>
      <w:bookmarkEnd w:id="33"/>
      <w:bookmarkEnd w:id="34"/>
    </w:p>
    <w:p w:rsidR="00D6684D" w:rsidRDefault="00D6684D" w:rsidP="00D6684D">
      <w:pPr>
        <w:numPr>
          <w:ilvl w:val="0"/>
          <w:numId w:val="24"/>
        </w:numPr>
      </w:pPr>
      <w:r>
        <w:rPr>
          <w:rStyle w:val="AERbody"/>
        </w:rPr>
        <w:t xml:space="preserve">Our preliminary decision on Powercor's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D6684D" w:rsidRDefault="00D6684D" w:rsidP="00D6684D">
      <w:pPr>
        <w:numPr>
          <w:ilvl w:val="0"/>
          <w:numId w:val="24"/>
        </w:numPr>
        <w:rPr>
          <w:rStyle w:val="AERbody"/>
        </w:rPr>
      </w:pPr>
      <w:r>
        <w:rPr>
          <w:rStyle w:val="AERbody"/>
        </w:rPr>
        <w:t xml:space="preserve">We </w:t>
      </w:r>
      <w:r w:rsidRPr="00177C01">
        <w:rPr>
          <w:rStyle w:val="AERbody"/>
        </w:rPr>
        <w:t>regulat</w:t>
      </w:r>
      <w:r>
        <w:rPr>
          <w:rStyle w:val="AERbody"/>
        </w:rPr>
        <w:t>e</w:t>
      </w:r>
      <w:r w:rsidRPr="00177C01">
        <w:rPr>
          <w:rStyle w:val="AERbody"/>
        </w:rPr>
        <w:t xml:space="preserve"> </w:t>
      </w:r>
      <w:r>
        <w:rPr>
          <w:rStyle w:val="AERbody"/>
        </w:rPr>
        <w:t xml:space="preserve">Powercor's </w:t>
      </w:r>
      <w:r w:rsidRPr="00177C01">
        <w:rPr>
          <w:rStyle w:val="AERbody"/>
        </w:rPr>
        <w:t>standard control services under a revenue cap</w:t>
      </w:r>
      <w:r>
        <w:rPr>
          <w:rStyle w:val="AERbody"/>
        </w:rPr>
        <w:t xml:space="preserve"> form of control. </w:t>
      </w:r>
      <w:r w:rsidRPr="007322F8">
        <w:t xml:space="preserve">This means our preliminary decision on </w:t>
      </w:r>
      <w:r>
        <w:t>Powercor's</w:t>
      </w:r>
      <w:r w:rsidRPr="007322F8">
        <w:t xml:space="preserve"> expected revenues do not directly translate to price impacts</w:t>
      </w:r>
      <w:r>
        <w:t>.</w:t>
      </w:r>
      <w:r w:rsidRPr="00177C01">
        <w:rPr>
          <w:rStyle w:val="AERbody"/>
        </w:rPr>
        <w:t xml:space="preserve"> This is because </w:t>
      </w:r>
      <w:r>
        <w:rPr>
          <w:rStyle w:val="AERbody"/>
        </w:rPr>
        <w:t xml:space="preserve">Powercor's </w:t>
      </w:r>
      <w:r w:rsidRPr="00177C01">
        <w:rPr>
          <w:rStyle w:val="AERbody"/>
        </w:rPr>
        <w:t>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Powercor</w:t>
      </w:r>
      <w:r w:rsidRPr="00051610">
        <w:t xml:space="preserve"> as part of th</w:t>
      </w:r>
      <w:r>
        <w:t>is determination</w:t>
      </w:r>
      <w:r w:rsidRPr="00051610">
        <w:t xml:space="preserve">. </w:t>
      </w:r>
      <w:r>
        <w:rPr>
          <w:rStyle w:val="AERbody"/>
        </w:rPr>
        <w:t xml:space="preserve">However, we will assess Powercor's annual pricing proposals before the commencement of each regulatory year </w:t>
      </w:r>
      <w:r w:rsidR="00BF4D8B">
        <w:rPr>
          <w:rStyle w:val="AERbody"/>
        </w:rPr>
        <w:t xml:space="preserve">within </w:t>
      </w:r>
      <w:r>
        <w:rPr>
          <w:rStyle w:val="AERbody"/>
        </w:rPr>
        <w:t>the 2016–20 regulatory control period</w:t>
      </w:r>
      <w:r w:rsidR="00BF4D8B">
        <w:rPr>
          <w:rStyle w:val="AERbody"/>
        </w:rPr>
        <w:t>. In each assessment we will</w:t>
      </w:r>
      <w:r>
        <w:rPr>
          <w:rStyle w:val="AERbody"/>
        </w:rPr>
        <w:t xml:space="preserve"> administer the pricing requirements </w:t>
      </w:r>
      <w:r w:rsidR="00BF4D8B">
        <w:rPr>
          <w:rStyle w:val="AERbody"/>
        </w:rPr>
        <w:t xml:space="preserve">set </w:t>
      </w:r>
      <w:r>
        <w:rPr>
          <w:rStyle w:val="AERbody"/>
        </w:rPr>
        <w:t xml:space="preserve">in this distribution determination. </w:t>
      </w:r>
    </w:p>
    <w:p w:rsidR="00D6684D" w:rsidRDefault="00D6684D" w:rsidP="00D6684D">
      <w:pPr>
        <w:numPr>
          <w:ilvl w:val="0"/>
          <w:numId w:val="24"/>
        </w:numPr>
        <w:rPr>
          <w:rStyle w:val="AERbody"/>
        </w:rPr>
      </w:pPr>
      <w:r>
        <w:rPr>
          <w:rStyle w:val="AERbody"/>
        </w:rPr>
        <w:t>For this preliminary decision, we have estimated some indicative average distribution price impacts flowing from our determination on the expected revenues for Powercor over the 2016–20 regulatory control period.</w:t>
      </w:r>
      <w:r w:rsidRPr="00706C44">
        <w:rPr>
          <w:rStyle w:val="AERbody"/>
        </w:rPr>
        <w:t xml:space="preserve"> </w:t>
      </w:r>
      <w:r w:rsidR="005B77FA">
        <w:rPr>
          <w:rStyle w:val="AERbody"/>
        </w:rPr>
        <w:t>In this section, our estimates only relate to standard control services (that is, the core electricity distribution charges)</w:t>
      </w:r>
      <w:r w:rsidR="001604C6">
        <w:rPr>
          <w:rStyle w:val="AERbody"/>
        </w:rPr>
        <w:t>,</w:t>
      </w:r>
      <w:r w:rsidR="005B77FA">
        <w:rPr>
          <w:rStyle w:val="AERbody"/>
        </w:rPr>
        <w:t xml:space="preserve"> not alternative control services (such as metering, including advanced metering infrastructure (AMI) charges). </w:t>
      </w:r>
      <w:r w:rsidR="00956946">
        <w:rPr>
          <w:rStyle w:val="AERbody"/>
        </w:rPr>
        <w:t xml:space="preserve">These indicative price impacts assume that actual energy consumption across the </w:t>
      </w:r>
      <w:r w:rsidR="00AF433C">
        <w:rPr>
          <w:rStyle w:val="AERbody"/>
        </w:rPr>
        <w:t>2016–20 regulatory control period</w:t>
      </w:r>
      <w:r w:rsidR="00956946">
        <w:rPr>
          <w:rStyle w:val="AERbody"/>
        </w:rPr>
        <w:t xml:space="preserve"> matches </w:t>
      </w:r>
      <w:proofErr w:type="spellStart"/>
      <w:r w:rsidR="00956946">
        <w:rPr>
          <w:rStyle w:val="AERbody"/>
        </w:rPr>
        <w:t>Powercor</w:t>
      </w:r>
      <w:r w:rsidR="00BF4D8B">
        <w:rPr>
          <w:rStyle w:val="AERbody"/>
        </w:rPr>
        <w:t>'s</w:t>
      </w:r>
      <w:proofErr w:type="spellEnd"/>
      <w:r w:rsidR="00BF4D8B">
        <w:rPr>
          <w:rStyle w:val="AERbody"/>
        </w:rPr>
        <w:t xml:space="preserve"> forecast energy consumption, </w:t>
      </w:r>
      <w:r w:rsidR="00956946">
        <w:rPr>
          <w:rStyle w:val="AERbody"/>
        </w:rPr>
        <w:t>which we have adopted for this preliminary decision.</w:t>
      </w:r>
    </w:p>
    <w:p w:rsidR="00D6684D" w:rsidRDefault="00D6684D" w:rsidP="00D6684D">
      <w:pPr>
        <w:numPr>
          <w:ilvl w:val="0"/>
          <w:numId w:val="24"/>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9618EA">
        <w:t xml:space="preserve">Figure </w:t>
      </w:r>
      <w:r w:rsidR="009618EA">
        <w:rPr>
          <w:noProof/>
        </w:rPr>
        <w:t>1</w:t>
      </w:r>
      <w:r w:rsidR="009618EA">
        <w:t>.</w:t>
      </w:r>
      <w:r w:rsidR="009618EA">
        <w:rPr>
          <w:noProof/>
        </w:rPr>
        <w:t>3</w:t>
      </w:r>
      <w:r>
        <w:rPr>
          <w:rStyle w:val="AERbody"/>
        </w:rPr>
        <w:fldChar w:fldCharType="end"/>
      </w:r>
      <w:r>
        <w:rPr>
          <w:rStyle w:val="AERbody"/>
        </w:rPr>
        <w:t xml:space="preserve"> shows </w:t>
      </w:r>
      <w:proofErr w:type="spellStart"/>
      <w:r>
        <w:rPr>
          <w:rStyle w:val="AERbody"/>
        </w:rPr>
        <w:t>Powercor's</w:t>
      </w:r>
      <w:proofErr w:type="spellEnd"/>
      <w:r>
        <w:rPr>
          <w:rStyle w:val="AERbody"/>
        </w:rPr>
        <w:t xml:space="preserve"> </w:t>
      </w:r>
      <w:r w:rsidRPr="00706C44">
        <w:rPr>
          <w:rStyle w:val="AERbody"/>
        </w:rPr>
        <w:t xml:space="preserve">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established in our preliminary</w:t>
      </w:r>
      <w:r w:rsidRPr="00706C44">
        <w:rPr>
          <w:rStyle w:val="AERbody"/>
        </w:rPr>
        <w:t xml:space="preserve"> decision </w:t>
      </w:r>
      <w:r>
        <w:rPr>
          <w:rStyle w:val="AERbody"/>
        </w:rPr>
        <w:t>compared to its proposed revenue requirement</w:t>
      </w:r>
      <w:r w:rsidRPr="00706C44">
        <w:rPr>
          <w:rStyle w:val="AERbody"/>
        </w:rPr>
        <w:t>.</w:t>
      </w:r>
      <w:r>
        <w:rPr>
          <w:rStyle w:val="AERbody"/>
        </w:rPr>
        <w:t xml:space="preserve"> </w:t>
      </w:r>
      <w:bookmarkStart w:id="35" w:name="_Ref397941631"/>
      <w:r w:rsidR="009144CB">
        <w:rPr>
          <w:rStyle w:val="AERbody"/>
        </w:rPr>
        <w:t xml:space="preserve">The indicative price path is estimated </w:t>
      </w:r>
      <w:r w:rsidR="00AF433C">
        <w:rPr>
          <w:rStyle w:val="AERbody"/>
        </w:rPr>
        <w:t>using the approved</w:t>
      </w:r>
      <w:r w:rsidR="009144CB">
        <w:rPr>
          <w:rStyle w:val="AERbody"/>
        </w:rPr>
        <w:t xml:space="preserve"> expected revenue </w:t>
      </w:r>
      <w:r w:rsidR="00AF433C">
        <w:rPr>
          <w:rStyle w:val="AERbody"/>
        </w:rPr>
        <w:t xml:space="preserve">dividing </w:t>
      </w:r>
      <w:r w:rsidR="009144CB">
        <w:rPr>
          <w:rStyle w:val="AERbody"/>
        </w:rPr>
        <w:t xml:space="preserve">by forecast energy consumption for each year of the 2016–20 regulatory control period. </w:t>
      </w:r>
      <w:r w:rsidRPr="00446442">
        <w:t>For presentational purposes, the prices are scaled so that the price index begins at 1.0</w:t>
      </w:r>
      <w:r w:rsidR="002D2B2E">
        <w:t>0</w:t>
      </w:r>
      <w:r w:rsidRPr="00446442">
        <w:t xml:space="preserve"> in </w:t>
      </w:r>
      <w:r w:rsidR="002D2B2E">
        <w:t>2015</w:t>
      </w:r>
      <w:r w:rsidRPr="00446442">
        <w:t>.</w:t>
      </w:r>
      <w:r w:rsidRPr="00F15277">
        <w:t xml:space="preserve"> The index provides a simple overall measure of the relative movement in expected distribution prices over the </w:t>
      </w:r>
      <w:r>
        <w:t>2016–20 regulatory control</w:t>
      </w:r>
      <w:r w:rsidRPr="00F15277">
        <w:t xml:space="preserve"> period.</w:t>
      </w:r>
      <w:r>
        <w:t xml:space="preserve"> </w:t>
      </w:r>
    </w:p>
    <w:p w:rsidR="00D6684D" w:rsidRDefault="00D6684D" w:rsidP="00D6684D">
      <w:pPr>
        <w:pStyle w:val="Caption"/>
      </w:pPr>
      <w:bookmarkStart w:id="36" w:name="_Ref417307328"/>
      <w:bookmarkEnd w:id="35"/>
      <w:r>
        <w:lastRenderedPageBreak/>
        <w:t xml:space="preserve">Figure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Figure \* ARABIC \s 1 </w:instrText>
      </w:r>
      <w:r w:rsidR="000C694F">
        <w:fldChar w:fldCharType="separate"/>
      </w:r>
      <w:r w:rsidR="009618EA">
        <w:rPr>
          <w:noProof/>
        </w:rPr>
        <w:t>3</w:t>
      </w:r>
      <w:r w:rsidR="000C694F">
        <w:rPr>
          <w:noProof/>
        </w:rPr>
        <w:fldChar w:fldCharType="end"/>
      </w:r>
      <w:bookmarkEnd w:id="36"/>
      <w:r>
        <w:tab/>
      </w:r>
      <w:r w:rsidRPr="006615FD">
        <w:t xml:space="preserve">AER's preliminary decision and </w:t>
      </w:r>
      <w:r>
        <w:t>Powercor's</w:t>
      </w:r>
      <w:r w:rsidRPr="006615FD">
        <w:t xml:space="preserve"> proposed indicative price path (nominal price index)</w:t>
      </w:r>
    </w:p>
    <w:p w:rsidR="00D6684D" w:rsidRPr="00F50889" w:rsidRDefault="00E92D3D" w:rsidP="00D6684D">
      <w:pPr>
        <w:rPr>
          <w:rStyle w:val="CommentReference"/>
          <w:b/>
          <w:bCs/>
        </w:rPr>
      </w:pPr>
      <w:r w:rsidRPr="00E92D3D">
        <w:rPr>
          <w:noProof/>
          <w:lang w:eastAsia="en-AU"/>
        </w:rPr>
        <w:drawing>
          <wp:inline distT="0" distB="0" distL="0" distR="0" wp14:anchorId="7BCE50EA" wp14:editId="35030A82">
            <wp:extent cx="5374005" cy="3234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4005" cy="3234690"/>
                    </a:xfrm>
                    <a:prstGeom prst="rect">
                      <a:avLst/>
                    </a:prstGeom>
                    <a:noFill/>
                    <a:ln>
                      <a:noFill/>
                    </a:ln>
                  </pic:spPr>
                </pic:pic>
              </a:graphicData>
            </a:graphic>
          </wp:inline>
        </w:drawing>
      </w:r>
    </w:p>
    <w:p w:rsidR="00D6684D" w:rsidRPr="006615FD" w:rsidRDefault="00D6684D" w:rsidP="00D6684D">
      <w:pPr>
        <w:pStyle w:val="AERtablesource"/>
      </w:pPr>
      <w:r w:rsidRPr="006615FD">
        <w:t>Source:</w:t>
      </w:r>
      <w:r w:rsidRPr="006615FD">
        <w:tab/>
        <w:t xml:space="preserve">AER analysis. </w:t>
      </w:r>
    </w:p>
    <w:p w:rsidR="00D6684D" w:rsidRPr="006615FD" w:rsidRDefault="00D6684D" w:rsidP="00D6684D">
      <w:pPr>
        <w:pStyle w:val="AERtablesource"/>
      </w:pPr>
      <w:r w:rsidRPr="006615FD">
        <w:t>Notes:</w:t>
      </w:r>
      <w:r w:rsidRPr="006615FD">
        <w:tab/>
      </w:r>
      <w:r w:rsidR="00992D77">
        <w:t xml:space="preserve">The nominal price index is constructed by dividing expected revenue </w:t>
      </w:r>
      <w:r w:rsidR="005B77FA">
        <w:t xml:space="preserve">for standard control services </w:t>
      </w:r>
      <w:r w:rsidR="00992D77">
        <w:t>by forecast energy consumption for each year of the regulatory control period, then scaling relative to the base year (2015).</w:t>
      </w:r>
      <w:r w:rsidRPr="006615FD">
        <w:t xml:space="preserve">  </w:t>
      </w:r>
    </w:p>
    <w:p w:rsidR="00D6684D" w:rsidRPr="006615FD" w:rsidRDefault="00D6684D" w:rsidP="00D6684D">
      <w:r w:rsidRPr="006615FD">
        <w:t xml:space="preserve">We estimate that our preliminary decision on </w:t>
      </w:r>
      <w:r>
        <w:t>Powercor's</w:t>
      </w:r>
      <w:r w:rsidRPr="006615FD">
        <w:t xml:space="preserve"> annual expected revenue will result in a decrease to average distribution charges by about </w:t>
      </w:r>
      <w:r w:rsidR="00EA34ED">
        <w:t>1.9</w:t>
      </w:r>
      <w:r w:rsidR="00C70C0A">
        <w:t> </w:t>
      </w:r>
      <w:r>
        <w:t xml:space="preserve">per cent </w:t>
      </w:r>
      <w:r w:rsidRPr="006615FD">
        <w:t xml:space="preserve">per annum over the </w:t>
      </w:r>
      <w:r>
        <w:t>2016–20</w:t>
      </w:r>
      <w:r w:rsidRPr="006615FD">
        <w:t xml:space="preserve"> regulatory control period in nominal terms.</w:t>
      </w:r>
      <w:r w:rsidRPr="006615FD">
        <w:rPr>
          <w:rStyle w:val="FootnoteReference"/>
        </w:rPr>
        <w:footnoteReference w:id="16"/>
      </w:r>
      <w:r w:rsidRPr="006615FD">
        <w:t xml:space="preserve"> This compares to the nominal average increase of approximately </w:t>
      </w:r>
      <w:r w:rsidR="00EA34ED">
        <w:t>2.7</w:t>
      </w:r>
      <w:r w:rsidR="00C70C0A">
        <w:t> </w:t>
      </w:r>
      <w:r>
        <w:t xml:space="preserve">per cent </w:t>
      </w:r>
      <w:r w:rsidRPr="006615FD">
        <w:t xml:space="preserve">per annum proposed by </w:t>
      </w:r>
      <w:r>
        <w:t>Powercor</w:t>
      </w:r>
      <w:r w:rsidRPr="006615FD">
        <w:t xml:space="preserve"> over the </w:t>
      </w:r>
      <w:r>
        <w:t>2016–20</w:t>
      </w:r>
      <w:r w:rsidRPr="006615FD">
        <w:t xml:space="preserve"> regulatory control period.</w:t>
      </w:r>
      <w:r w:rsidR="009144CB">
        <w:t xml:space="preserve"> These high-level estimates reflect the aggregate change across the entire network and do not reflect the particular tariff components for specific end users.</w:t>
      </w:r>
    </w:p>
    <w:p w:rsidR="00D6684D" w:rsidRDefault="00D6684D" w:rsidP="00D6684D">
      <w:pPr>
        <w:numPr>
          <w:ilvl w:val="0"/>
          <w:numId w:val="24"/>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9244CD">
        <w:t xml:space="preserve">Table </w:t>
      </w:r>
      <w:r w:rsidR="009244CD">
        <w:rPr>
          <w:noProof/>
        </w:rPr>
        <w:t>1</w:t>
      </w:r>
      <w:r w:rsidR="009244CD">
        <w:t>.</w:t>
      </w:r>
      <w:r w:rsidR="009244CD">
        <w:rPr>
          <w:noProof/>
        </w:rPr>
        <w:t>4</w:t>
      </w:r>
      <w:r>
        <w:rPr>
          <w:rStyle w:val="AERbody"/>
        </w:rPr>
        <w:fldChar w:fldCharType="end"/>
      </w:r>
      <w:r>
        <w:rPr>
          <w:rStyle w:val="AERbody"/>
        </w:rPr>
        <w:t xml:space="preserve"> </w:t>
      </w:r>
      <w:r w:rsidRPr="00663C10">
        <w:rPr>
          <w:rStyle w:val="AERbody"/>
        </w:rPr>
        <w:t xml:space="preserve">displays the comparison of the </w:t>
      </w:r>
      <w:r w:rsidR="009144CB">
        <w:rPr>
          <w:rStyle w:val="AERbody"/>
        </w:rPr>
        <w:t xml:space="preserve">revenue and </w:t>
      </w:r>
      <w:r w:rsidRPr="00663C10">
        <w:rPr>
          <w:rStyle w:val="AERbody"/>
        </w:rPr>
        <w:t xml:space="preserve">price impacts of </w:t>
      </w:r>
      <w:r>
        <w:rPr>
          <w:rStyle w:val="AERbody"/>
        </w:rPr>
        <w:t xml:space="preserve">Powercor's </w:t>
      </w:r>
      <w:r w:rsidRPr="00663C10">
        <w:rPr>
          <w:rStyle w:val="AERbody"/>
        </w:rPr>
        <w:t xml:space="preserve">proposal and our </w:t>
      </w:r>
      <w:r>
        <w:rPr>
          <w:rStyle w:val="AERbody"/>
        </w:rPr>
        <w:t>preliminary</w:t>
      </w:r>
      <w:r w:rsidRPr="00663C10">
        <w:rPr>
          <w:rStyle w:val="AERbody"/>
        </w:rPr>
        <w:t xml:space="preserve"> decision.</w:t>
      </w:r>
      <w:bookmarkStart w:id="37" w:name="_Ref397951148"/>
    </w:p>
    <w:p w:rsidR="00D6684D" w:rsidRDefault="00D6684D" w:rsidP="00D6684D">
      <w:pPr>
        <w:rPr>
          <w:rStyle w:val="AERbody"/>
        </w:rPr>
      </w:pPr>
    </w:p>
    <w:p w:rsidR="00D6684D" w:rsidRDefault="00D6684D" w:rsidP="00D6684D">
      <w:pPr>
        <w:rPr>
          <w:rStyle w:val="AERbody"/>
        </w:rPr>
      </w:pPr>
    </w:p>
    <w:p w:rsidR="00D6684D" w:rsidRPr="00F50889" w:rsidRDefault="00D6684D" w:rsidP="00D6684D"/>
    <w:p w:rsidR="00D6684D" w:rsidRDefault="00D6684D" w:rsidP="00D6684D">
      <w:pPr>
        <w:pStyle w:val="Caption"/>
        <w:rPr>
          <w:rStyle w:val="AERbody"/>
        </w:rPr>
      </w:pPr>
      <w:bookmarkStart w:id="38" w:name="_Ref404611300"/>
      <w:r>
        <w:lastRenderedPageBreak/>
        <w:t xml:space="preserve">Table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Table \* ARABIC \s 1 </w:instrText>
      </w:r>
      <w:r w:rsidR="000C694F">
        <w:fldChar w:fldCharType="separate"/>
      </w:r>
      <w:r w:rsidR="009244CD">
        <w:rPr>
          <w:noProof/>
        </w:rPr>
        <w:t>4</w:t>
      </w:r>
      <w:r w:rsidR="000C694F">
        <w:rPr>
          <w:noProof/>
        </w:rPr>
        <w:fldChar w:fldCharType="end"/>
      </w:r>
      <w:bookmarkEnd w:id="37"/>
      <w:bookmarkEnd w:id="38"/>
      <w:r>
        <w:tab/>
      </w:r>
      <w:r w:rsidRPr="0031076B">
        <w:t xml:space="preserve">Comparison of </w:t>
      </w:r>
      <w:r>
        <w:t xml:space="preserve">revenue and </w:t>
      </w:r>
      <w:r w:rsidRPr="0031076B">
        <w:t xml:space="preserve">price impacts of </w:t>
      </w:r>
      <w:r>
        <w:t xml:space="preserve">Powercor's </w:t>
      </w:r>
      <w:r w:rsidRPr="0031076B">
        <w:t xml:space="preserve">proposal and </w:t>
      </w:r>
      <w:r>
        <w:t xml:space="preserve">the </w:t>
      </w:r>
      <w:r w:rsidRPr="0031076B">
        <w:t>AER</w:t>
      </w:r>
      <w:r>
        <w:t>'s</w:t>
      </w:r>
      <w:r w:rsidRPr="0031076B">
        <w:t xml:space="preserve"> </w:t>
      </w:r>
      <w:r>
        <w:t>preliminary</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2518"/>
        <w:gridCol w:w="1030"/>
        <w:gridCol w:w="1029"/>
        <w:gridCol w:w="1029"/>
        <w:gridCol w:w="1029"/>
        <w:gridCol w:w="1029"/>
        <w:gridCol w:w="1029"/>
      </w:tblGrid>
      <w:tr w:rsidR="00296757" w:rsidRPr="009362A4" w:rsidTr="00B723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296757" w:rsidRPr="005953FD" w:rsidRDefault="00296757" w:rsidP="00741AA2">
            <w:r w:rsidRPr="005953FD">
              <w:t> </w:t>
            </w:r>
          </w:p>
        </w:tc>
        <w:tc>
          <w:tcPr>
            <w:tcW w:w="592" w:type="pct"/>
            <w:noWrap/>
            <w:hideMark/>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rPr>
                <w:b w:val="0"/>
              </w:rPr>
            </w:pPr>
            <w:r>
              <w:t>20</w:t>
            </w:r>
            <w:r w:rsidRPr="005953FD">
              <w:t>15</w:t>
            </w:r>
          </w:p>
        </w:tc>
        <w:tc>
          <w:tcPr>
            <w:tcW w:w="592" w:type="pct"/>
            <w:noWrap/>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pPr>
            <w:r>
              <w:t>20</w:t>
            </w:r>
            <w:r w:rsidRPr="005953FD">
              <w:t>16</w:t>
            </w:r>
          </w:p>
        </w:tc>
        <w:tc>
          <w:tcPr>
            <w:tcW w:w="592" w:type="pct"/>
            <w:noWrap/>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pPr>
            <w:r>
              <w:t>20</w:t>
            </w:r>
            <w:r w:rsidRPr="005953FD">
              <w:t>17</w:t>
            </w:r>
          </w:p>
        </w:tc>
        <w:tc>
          <w:tcPr>
            <w:tcW w:w="592" w:type="pct"/>
            <w:noWrap/>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pPr>
            <w:r>
              <w:t>20</w:t>
            </w:r>
            <w:r w:rsidRPr="005953FD">
              <w:t>18</w:t>
            </w:r>
          </w:p>
        </w:tc>
        <w:tc>
          <w:tcPr>
            <w:tcW w:w="592" w:type="pct"/>
            <w:noWrap/>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pPr>
            <w:r>
              <w:t>20</w:t>
            </w:r>
            <w:r w:rsidRPr="005953FD">
              <w:t>19</w:t>
            </w:r>
          </w:p>
        </w:tc>
        <w:tc>
          <w:tcPr>
            <w:tcW w:w="592" w:type="pct"/>
            <w:noWrap/>
          </w:tcPr>
          <w:p w:rsidR="00296757" w:rsidRPr="005953FD" w:rsidRDefault="00296757" w:rsidP="00741AA2">
            <w:pPr>
              <w:cnfStyle w:val="100000000000" w:firstRow="1" w:lastRow="0" w:firstColumn="0" w:lastColumn="0" w:oddVBand="0" w:evenVBand="0" w:oddHBand="0" w:evenHBand="0" w:firstRowFirstColumn="0" w:firstRowLastColumn="0" w:lastRowFirstColumn="0" w:lastRowLastColumn="0"/>
            </w:pPr>
            <w:r>
              <w:t>2020</w:t>
            </w:r>
          </w:p>
        </w:tc>
      </w:tr>
      <w:tr w:rsidR="00B40BE8" w:rsidRPr="00AF5B35" w:rsidTr="00B40BE8">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B40BE8" w:rsidRPr="00B40BE8" w:rsidRDefault="00B40BE8" w:rsidP="00B40BE8">
            <w:pPr>
              <w:rPr>
                <w:rStyle w:val="Strong"/>
              </w:rPr>
            </w:pPr>
            <w:r w:rsidRPr="00AF5B35">
              <w:rPr>
                <w:rStyle w:val="Strong"/>
              </w:rPr>
              <w:t>AER preliminary decision</w:t>
            </w:r>
          </w:p>
        </w:tc>
        <w:tc>
          <w:tcPr>
            <w:tcW w:w="592" w:type="pct"/>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sidRPr="00AF5B35">
              <w:rPr>
                <w:rStyle w:val="Strong"/>
              </w:rPr>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sidRPr="00AF5B35">
              <w:rPr>
                <w:rStyle w:val="Strong"/>
              </w:rPr>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sidRPr="00AF5B35">
              <w:rPr>
                <w:rStyle w:val="Strong"/>
              </w:rPr>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sidRPr="00AF5B35">
              <w:rPr>
                <w:rStyle w:val="Strong"/>
              </w:rPr>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rPr>
                <w:rStyle w:val="Strong"/>
              </w:rPr>
            </w:pPr>
            <w:r w:rsidRPr="00AF5B35">
              <w:rPr>
                <w:rStyle w:val="Strong"/>
              </w:rPr>
              <w:t> </w:t>
            </w:r>
          </w:p>
        </w:tc>
      </w:tr>
      <w:tr w:rsidR="00B40BE8" w:rsidRPr="009362A4" w:rsidTr="00B40B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B40BE8" w:rsidRPr="00B40BE8" w:rsidRDefault="00B40BE8" w:rsidP="00B40BE8">
            <w:r w:rsidRPr="003C1D88">
              <w:t>Revenue ($m, nominal)</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659.0</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621.8</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586.6</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605.8</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625.6</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646.0</w:t>
            </w:r>
          </w:p>
        </w:tc>
      </w:tr>
      <w:tr w:rsidR="00B40BE8" w:rsidRPr="009362A4" w:rsidTr="00B40BE8">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B40BE8" w:rsidRPr="00B40BE8" w:rsidRDefault="00B40BE8" w:rsidP="00B40BE8">
            <w:r w:rsidRPr="003C1D88">
              <w:t>Price path (nominal index)</w:t>
            </w:r>
            <w:r w:rsidRPr="00B40BE8">
              <w:rPr>
                <w:rStyle w:val="AERsuperscript"/>
              </w:rPr>
              <w:t>a</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1.00</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0.93</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0.86</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0.88</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0.89</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0.91</w:t>
            </w:r>
          </w:p>
        </w:tc>
      </w:tr>
      <w:tr w:rsidR="00B40BE8" w:rsidRPr="009362A4" w:rsidTr="00B40B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B40BE8" w:rsidRPr="00B40BE8" w:rsidRDefault="00B40BE8" w:rsidP="00B40BE8">
            <w:r w:rsidRPr="003C1D88">
              <w:t>Revenue (change %)</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 </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t>–</w:t>
            </w:r>
            <w:r w:rsidRPr="00B40BE8">
              <w:t>5.7%</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t>–</w:t>
            </w:r>
            <w:r w:rsidRPr="00B40BE8">
              <w:t>5.7%</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3.3%</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3.3%</w:t>
            </w:r>
          </w:p>
        </w:tc>
        <w:tc>
          <w:tcPr>
            <w:tcW w:w="592"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AF5B35">
              <w:t>3.3%</w:t>
            </w:r>
          </w:p>
        </w:tc>
      </w:tr>
      <w:tr w:rsidR="00B40BE8" w:rsidRPr="009362A4" w:rsidTr="00B40BE8">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B40BE8" w:rsidRPr="00B40BE8" w:rsidRDefault="00B40BE8" w:rsidP="00B40BE8">
            <w:r w:rsidRPr="003C1D88">
              <w:t>Price path (change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 </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w:t>
            </w:r>
            <w:r w:rsidRPr="00B40BE8">
              <w:t>7.1%</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w:t>
            </w:r>
            <w:r w:rsidRPr="00B40BE8">
              <w:t>6.9%</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1.6%</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1.6%</w:t>
            </w:r>
          </w:p>
        </w:tc>
        <w:tc>
          <w:tcPr>
            <w:tcW w:w="592"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AF5B35">
              <w:t>1.7%</w:t>
            </w:r>
          </w:p>
        </w:tc>
      </w:tr>
      <w:tr w:rsidR="00296757" w:rsidRPr="009362A4" w:rsidTr="00B723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296757" w:rsidRPr="003C1D88" w:rsidRDefault="00296757" w:rsidP="00741AA2">
            <w:pPr>
              <w:rPr>
                <w:rStyle w:val="Strong"/>
              </w:rPr>
            </w:pPr>
            <w:proofErr w:type="spellStart"/>
            <w:r>
              <w:rPr>
                <w:rStyle w:val="Strong"/>
              </w:rPr>
              <w:t>Powercor</w:t>
            </w:r>
            <w:proofErr w:type="spellEnd"/>
            <w:r w:rsidRPr="003C1D88">
              <w:rPr>
                <w:rStyle w:val="Strong"/>
              </w:rPr>
              <w:t xml:space="preserve"> proposal</w:t>
            </w:r>
          </w:p>
        </w:tc>
        <w:tc>
          <w:tcPr>
            <w:tcW w:w="592" w:type="pct"/>
          </w:tcPr>
          <w:p w:rsidR="00296757" w:rsidRPr="003C1D88" w:rsidRDefault="00296757" w:rsidP="0029675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w:t>
            </w:r>
          </w:p>
        </w:tc>
        <w:tc>
          <w:tcPr>
            <w:tcW w:w="592" w:type="pct"/>
            <w:noWrap/>
          </w:tcPr>
          <w:p w:rsidR="00296757" w:rsidRPr="003C1D88" w:rsidRDefault="00296757" w:rsidP="00741AA2">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296757" w:rsidRPr="003C1D88" w:rsidRDefault="00296757" w:rsidP="00741AA2">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296757" w:rsidRPr="003C1D88" w:rsidRDefault="00296757" w:rsidP="00741AA2">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296757" w:rsidRPr="003C1D88" w:rsidRDefault="00296757" w:rsidP="00741AA2">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296757" w:rsidRPr="003C1D88" w:rsidRDefault="00296757" w:rsidP="00741AA2">
            <w:pPr>
              <w:cnfStyle w:val="000000010000" w:firstRow="0" w:lastRow="0" w:firstColumn="0" w:lastColumn="0" w:oddVBand="0" w:evenVBand="0" w:oddHBand="0" w:evenHBand="1" w:firstRowFirstColumn="0" w:firstRowLastColumn="0" w:lastRowFirstColumn="0" w:lastRowLastColumn="0"/>
            </w:pPr>
            <w:r w:rsidRPr="003C1D88">
              <w:t> </w:t>
            </w:r>
          </w:p>
        </w:tc>
      </w:tr>
      <w:tr w:rsidR="00AF5B35" w:rsidRPr="009362A4" w:rsidTr="00B723AE">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F5B35" w:rsidRPr="003C1D88" w:rsidRDefault="00AF5B35" w:rsidP="00741AA2">
            <w:r w:rsidRPr="003C1D88">
              <w:t>Revenue ($m, nominal)</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659.0</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652.2</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689.2</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728.4</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769.7</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813.4</w:t>
            </w:r>
          </w:p>
        </w:tc>
      </w:tr>
      <w:tr w:rsidR="00AF5B35" w:rsidRPr="009362A4" w:rsidTr="00B723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F5B35" w:rsidRPr="003C1D88" w:rsidRDefault="00AF5B35" w:rsidP="00741AA2">
            <w:r w:rsidRPr="003C1D88">
              <w:t>Price path (nominal index)</w:t>
            </w:r>
            <w:r w:rsidR="0071153D" w:rsidRPr="00B74340">
              <w:rPr>
                <w:rStyle w:val="AERsuperscript"/>
              </w:rPr>
              <w:t>a</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1.00</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0.97</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1.02</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1.06</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1.10</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1.14</w:t>
            </w:r>
          </w:p>
        </w:tc>
      </w:tr>
      <w:tr w:rsidR="00AF5B35" w:rsidRPr="009362A4" w:rsidTr="00B723AE">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F5B35" w:rsidRPr="009A697B" w:rsidRDefault="00AF5B35" w:rsidP="00741AA2">
            <w:r w:rsidRPr="009A697B">
              <w:t>Revenue (change %)</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 </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t>–</w:t>
            </w:r>
            <w:r w:rsidRPr="00AF5B35">
              <w:t>1.0%</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5.7%</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5.7%</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5.7%</w:t>
            </w:r>
          </w:p>
        </w:tc>
        <w:tc>
          <w:tcPr>
            <w:tcW w:w="592" w:type="pct"/>
            <w:noWrap/>
          </w:tcPr>
          <w:p w:rsidR="00AF5B35" w:rsidRPr="00AF5B35" w:rsidRDefault="00AF5B35" w:rsidP="00AF5B35">
            <w:pPr>
              <w:cnfStyle w:val="000000000000" w:firstRow="0" w:lastRow="0" w:firstColumn="0" w:lastColumn="0" w:oddVBand="0" w:evenVBand="0" w:oddHBand="0" w:evenHBand="0" w:firstRowFirstColumn="0" w:firstRowLastColumn="0" w:lastRowFirstColumn="0" w:lastRowLastColumn="0"/>
            </w:pPr>
            <w:r w:rsidRPr="00AF5B35">
              <w:t>5.7%</w:t>
            </w:r>
          </w:p>
        </w:tc>
      </w:tr>
      <w:tr w:rsidR="00AF5B35" w:rsidRPr="009362A4" w:rsidTr="00B723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F5B35" w:rsidRPr="009A697B" w:rsidRDefault="00AF5B35" w:rsidP="00741AA2">
            <w:r w:rsidRPr="009A697B">
              <w:t>Price path (change %)</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 </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t>–</w:t>
            </w:r>
            <w:r w:rsidRPr="00AF5B35">
              <w:t>2.6%</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4.3%</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4.0%</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4.0%</w:t>
            </w:r>
          </w:p>
        </w:tc>
        <w:tc>
          <w:tcPr>
            <w:tcW w:w="592" w:type="pct"/>
            <w:noWrap/>
          </w:tcPr>
          <w:p w:rsidR="00AF5B35" w:rsidRPr="00AF5B35" w:rsidRDefault="00AF5B35" w:rsidP="00AF5B35">
            <w:pPr>
              <w:cnfStyle w:val="000000010000" w:firstRow="0" w:lastRow="0" w:firstColumn="0" w:lastColumn="0" w:oddVBand="0" w:evenVBand="0" w:oddHBand="0" w:evenHBand="1" w:firstRowFirstColumn="0" w:firstRowLastColumn="0" w:lastRowFirstColumn="0" w:lastRowLastColumn="0"/>
            </w:pPr>
            <w:r w:rsidRPr="00AF5B35">
              <w:t>4.1%</w:t>
            </w:r>
          </w:p>
        </w:tc>
      </w:tr>
    </w:tbl>
    <w:p w:rsidR="00D6684D" w:rsidRDefault="00D6684D" w:rsidP="00D6684D">
      <w:pPr>
        <w:pStyle w:val="AERtablesource"/>
      </w:pPr>
      <w:r>
        <w:t>Source:</w:t>
      </w:r>
      <w:r>
        <w:tab/>
        <w:t>AER analysis.</w:t>
      </w:r>
    </w:p>
    <w:p w:rsidR="00042AED" w:rsidRPr="00042AED" w:rsidRDefault="00042AED" w:rsidP="00042AED">
      <w:pPr>
        <w:pStyle w:val="AERtablesource"/>
      </w:pPr>
      <w:r>
        <w:t>(a)</w:t>
      </w:r>
      <w:r>
        <w:tab/>
        <w:t xml:space="preserve">The nominal </w:t>
      </w:r>
      <w:r w:rsidR="00992D77">
        <w:t xml:space="preserve">price </w:t>
      </w:r>
      <w:r>
        <w:t xml:space="preserve">index is constructed by dividing expected revenue </w:t>
      </w:r>
      <w:r w:rsidR="00BF4D8B">
        <w:t xml:space="preserve">for standard control services </w:t>
      </w:r>
      <w:r>
        <w:t>by forecast energy consumption for each year of the regulatory control period, then scaling relative to the base year (2015).</w:t>
      </w:r>
    </w:p>
    <w:p w:rsidR="00D6684D" w:rsidRPr="008E1FC7" w:rsidRDefault="00D6684D" w:rsidP="00D6684D">
      <w:pPr>
        <w:numPr>
          <w:ilvl w:val="0"/>
          <w:numId w:val="24"/>
        </w:numPr>
      </w:pPr>
      <w:r w:rsidRPr="008E1FC7">
        <w:t xml:space="preserve">Distribution charges represent approximately </w:t>
      </w:r>
      <w:r w:rsidR="004F090E">
        <w:t>25</w:t>
      </w:r>
      <w:r w:rsidRPr="008E1FC7">
        <w:t xml:space="preserve"> per cent on average of </w:t>
      </w:r>
      <w:r>
        <w:t>Powercor's</w:t>
      </w:r>
      <w:r w:rsidRPr="008E1FC7">
        <w:t xml:space="preserve"> typical customer's annual electricity bill.</w:t>
      </w:r>
      <w:r w:rsidRPr="008E1FC7">
        <w:rPr>
          <w:rStyle w:val="FootnoteReference"/>
        </w:rPr>
        <w:footnoteReference w:id="17"/>
      </w:r>
      <w:r w:rsidRPr="008E1FC7">
        <w:t xml:space="preserve"> We expect that our preliminary decision, </w:t>
      </w:r>
      <w:r>
        <w:t xml:space="preserve">holding all </w:t>
      </w:r>
      <w:r w:rsidRPr="008E1FC7">
        <w:t xml:space="preserve">other </w:t>
      </w:r>
      <w:r>
        <w:t xml:space="preserve">components of the bill </w:t>
      </w:r>
      <w:r w:rsidR="009B6463">
        <w:t xml:space="preserve">(including metering components) </w:t>
      </w:r>
      <w:r>
        <w:t>constant</w:t>
      </w:r>
      <w:r w:rsidRPr="008E1FC7">
        <w:t xml:space="preserve">, will reduce the average annual electricity bills for residential customers in </w:t>
      </w:r>
      <w:r>
        <w:t>Powercor's</w:t>
      </w:r>
      <w:r w:rsidRPr="008E1FC7">
        <w:t xml:space="preserve"> network. This is because we estimate that our preliminary decision will result in lower distribution charges on average over the </w:t>
      </w:r>
      <w:r>
        <w:t>2016–20</w:t>
      </w:r>
      <w:r w:rsidRPr="008E1FC7">
        <w:t xml:space="preserve"> regulatory control period compared to </w:t>
      </w:r>
      <w:r>
        <w:t>Powercor's</w:t>
      </w:r>
      <w:r w:rsidRPr="008E1FC7">
        <w:t xml:space="preserve"> proposal as discussed above. We estimate that </w:t>
      </w:r>
      <w:r>
        <w:t>based on</w:t>
      </w:r>
      <w:r w:rsidRPr="008E1FC7">
        <w:t xml:space="preserve"> the distribution charges from our preliminary decision </w:t>
      </w:r>
      <w:r>
        <w:t>passing</w:t>
      </w:r>
      <w:r w:rsidRPr="008E1FC7">
        <w:t xml:space="preserve"> through to customers, we would expect the average annual electricity bill for residential customers to reduce by</w:t>
      </w:r>
      <w:r w:rsidR="00C73A40">
        <w:t xml:space="preserve"> </w:t>
      </w:r>
      <w:r w:rsidR="001710AE" w:rsidRPr="002E6C60">
        <w:t>$</w:t>
      </w:r>
      <w:r w:rsidR="001710AE">
        <w:t>32 </w:t>
      </w:r>
      <w:r w:rsidR="001710AE" w:rsidRPr="002E6C60">
        <w:t>(</w:t>
      </w:r>
      <w:r w:rsidR="001710AE">
        <w:t>1.</w:t>
      </w:r>
      <w:r w:rsidR="00AF5B35">
        <w:t>8</w:t>
      </w:r>
      <w:r w:rsidR="001710AE">
        <w:t> </w:t>
      </w:r>
      <w:r w:rsidR="001710AE" w:rsidRPr="002E6C60">
        <w:t>per cent) and $</w:t>
      </w:r>
      <w:r w:rsidR="001710AE">
        <w:t>29</w:t>
      </w:r>
      <w:r w:rsidR="001710AE" w:rsidRPr="002E6C60">
        <w:t xml:space="preserve"> (</w:t>
      </w:r>
      <w:r w:rsidR="001710AE">
        <w:t>1.6 </w:t>
      </w:r>
      <w:r w:rsidR="001710AE" w:rsidRPr="002E6C60">
        <w:t>per cent) in 2016 and 2017</w:t>
      </w:r>
      <w:r w:rsidR="001604C6">
        <w:t>,</w:t>
      </w:r>
      <w:r w:rsidR="001710AE" w:rsidRPr="002E6C60">
        <w:t xml:space="preserve"> respectively</w:t>
      </w:r>
      <w:r w:rsidR="00042AED">
        <w:t xml:space="preserve"> ($ nominal)</w:t>
      </w:r>
      <w:r w:rsidR="001710AE" w:rsidRPr="002E6C60">
        <w:t xml:space="preserve">. This would be followed by </w:t>
      </w:r>
      <w:r w:rsidR="001710AE">
        <w:t>in</w:t>
      </w:r>
      <w:r w:rsidR="001710AE" w:rsidRPr="002E6C60">
        <w:t>creases of about $</w:t>
      </w:r>
      <w:r w:rsidR="001710AE">
        <w:t>6</w:t>
      </w:r>
      <w:r w:rsidR="001710AE" w:rsidRPr="002E6C60">
        <w:t xml:space="preserve"> or </w:t>
      </w:r>
      <w:r w:rsidR="001710AE">
        <w:t>0.4</w:t>
      </w:r>
      <w:r w:rsidR="009D7892">
        <w:t xml:space="preserve"> per cent </w:t>
      </w:r>
      <w:r w:rsidR="001710AE" w:rsidRPr="002E6C60">
        <w:t>per annum from 2018 to 2020.</w:t>
      </w:r>
      <w:r w:rsidR="001710AE">
        <w:t xml:space="preserve"> </w:t>
      </w:r>
      <w:r>
        <w:t>By comparison, had</w:t>
      </w:r>
      <w:r w:rsidRPr="008E1FC7">
        <w:t xml:space="preserve"> we accepted </w:t>
      </w:r>
      <w:r>
        <w:t>Powercor's</w:t>
      </w:r>
      <w:r w:rsidRPr="008E1FC7">
        <w:t xml:space="preserve"> proposal, the average annual electricity bill for residential customers would increase by approximately </w:t>
      </w:r>
      <w:r>
        <w:t>$</w:t>
      </w:r>
      <w:r w:rsidR="001710AE">
        <w:t>13</w:t>
      </w:r>
      <w:r>
        <w:t xml:space="preserve"> or </w:t>
      </w:r>
      <w:r w:rsidR="001710AE">
        <w:t>0.7</w:t>
      </w:r>
      <w:r>
        <w:t xml:space="preserve"> per cent </w:t>
      </w:r>
      <w:r w:rsidR="009D7892">
        <w:t>(</w:t>
      </w:r>
      <w:r w:rsidR="00042AED">
        <w:t>$ </w:t>
      </w:r>
      <w:r w:rsidRPr="008E1FC7">
        <w:t xml:space="preserve">nominal) per annum over the </w:t>
      </w:r>
      <w:r>
        <w:t>2016–20</w:t>
      </w:r>
      <w:r w:rsidRPr="008E1FC7">
        <w:t xml:space="preserve"> regulatory control period. </w:t>
      </w:r>
    </w:p>
    <w:p w:rsidR="00D6684D" w:rsidRPr="008E1FC7" w:rsidRDefault="00D6684D" w:rsidP="00D6684D">
      <w:pPr>
        <w:numPr>
          <w:ilvl w:val="0"/>
          <w:numId w:val="24"/>
        </w:numPr>
      </w:pPr>
      <w:r w:rsidRPr="008E1FC7">
        <w:t>Our estimate</w:t>
      </w:r>
      <w:r>
        <w:t xml:space="preserve"> of the</w:t>
      </w:r>
      <w:r w:rsidRPr="008E1FC7">
        <w:t xml:space="preserve"> potential impact </w:t>
      </w:r>
      <w:r>
        <w:t xml:space="preserve">our preliminary decision will have for Powercor's residential customers </w:t>
      </w:r>
      <w:r w:rsidRPr="008E1FC7">
        <w:t xml:space="preserve">is based on the typical annual electricity usage of </w:t>
      </w:r>
      <w:r w:rsidR="00AF433C">
        <w:t xml:space="preserve">around </w:t>
      </w:r>
      <w:r>
        <w:rPr>
          <w:rStyle w:val="AERbody"/>
        </w:rPr>
        <w:t>4700 </w:t>
      </w:r>
      <w:r w:rsidRPr="00874D66">
        <w:rPr>
          <w:rStyle w:val="AERbody"/>
        </w:rPr>
        <w:t>kWh</w:t>
      </w:r>
      <w:r w:rsidRPr="008E1FC7">
        <w:t xml:space="preserve"> per annum for a residential customer in </w:t>
      </w:r>
      <w:r>
        <w:t>Victoria</w:t>
      </w:r>
      <w:r w:rsidRPr="008E1FC7">
        <w:t>.</w:t>
      </w:r>
      <w:r w:rsidRPr="008E1FC7">
        <w:rPr>
          <w:rStyle w:val="FootnoteReference"/>
        </w:rPr>
        <w:footnoteReference w:id="18"/>
      </w:r>
      <w:r w:rsidRPr="008E1FC7">
        <w:t xml:space="preserve"> Therefore</w:t>
      </w:r>
      <w:r w:rsidR="00C73A40">
        <w:t>,</w:t>
      </w:r>
      <w:r w:rsidRPr="008E1FC7">
        <w:t xml:space="preserve"> customers </w:t>
      </w:r>
      <w:r w:rsidRPr="008E1FC7">
        <w:lastRenderedPageBreak/>
        <w:t xml:space="preserve">with different usage will experience different changes in their bills. We also note that there are other factors, such as </w:t>
      </w:r>
      <w:r w:rsidR="009B6463">
        <w:t xml:space="preserve">metering costs, </w:t>
      </w:r>
      <w:r w:rsidRPr="008E1FC7">
        <w:t xml:space="preserve">transmission network costs, wholesale and retail costs, which affect electricity bills. </w:t>
      </w:r>
    </w:p>
    <w:p w:rsidR="00D6684D" w:rsidRPr="008E1FC7" w:rsidRDefault="00D6684D" w:rsidP="00D6684D">
      <w:r w:rsidRPr="008E1FC7">
        <w:t xml:space="preserve">Similarly, for an average small business customer in </w:t>
      </w:r>
      <w:r>
        <w:t xml:space="preserve">Victoria </w:t>
      </w:r>
      <w:r w:rsidRPr="008E1FC7">
        <w:t xml:space="preserve">that uses approximately </w:t>
      </w:r>
      <w:r>
        <w:rPr>
          <w:rStyle w:val="AERbody"/>
        </w:rPr>
        <w:t>12000 k</w:t>
      </w:r>
      <w:r w:rsidRPr="00874D66">
        <w:rPr>
          <w:rStyle w:val="AERbody"/>
        </w:rPr>
        <w:t>Wh</w:t>
      </w:r>
      <w:r w:rsidRPr="008E1FC7">
        <w:t xml:space="preserve"> of electricity per annum,</w:t>
      </w:r>
      <w:r w:rsidR="009144CB">
        <w:rPr>
          <w:rStyle w:val="FootnoteReference"/>
        </w:rPr>
        <w:footnoteReference w:id="19"/>
      </w:r>
      <w:r w:rsidRPr="008E1FC7">
        <w:t xml:space="preserve"> our preliminary decision for </w:t>
      </w:r>
      <w:r>
        <w:t>Powercor</w:t>
      </w:r>
      <w:r w:rsidRPr="008E1FC7">
        <w:t xml:space="preserve"> is expected to lead to lower average annual electricity bills. We estimate that </w:t>
      </w:r>
      <w:r>
        <w:t>based on</w:t>
      </w:r>
      <w:r w:rsidRPr="008E1FC7">
        <w:t xml:space="preserve"> the distribution charges from our preliminary decision </w:t>
      </w:r>
      <w:r>
        <w:t>passing</w:t>
      </w:r>
      <w:r w:rsidRPr="008E1FC7">
        <w:t xml:space="preserve"> through to customers, we would expect the average annual electricity bill for small business customers to reduce by </w:t>
      </w:r>
      <w:r w:rsidR="001710AE" w:rsidRPr="002E6C60">
        <w:t>$</w:t>
      </w:r>
      <w:r w:rsidR="001710AE">
        <w:t>7</w:t>
      </w:r>
      <w:r w:rsidR="0047192F">
        <w:t>1</w:t>
      </w:r>
      <w:r w:rsidR="001710AE" w:rsidRPr="002E6C60">
        <w:t xml:space="preserve"> (</w:t>
      </w:r>
      <w:r w:rsidR="001710AE">
        <w:t>1.</w:t>
      </w:r>
      <w:r w:rsidR="0047192F">
        <w:t>8</w:t>
      </w:r>
      <w:r w:rsidR="001710AE">
        <w:t> </w:t>
      </w:r>
      <w:r w:rsidR="001710AE" w:rsidRPr="002E6C60">
        <w:t>per cent) and $</w:t>
      </w:r>
      <w:r w:rsidR="001710AE">
        <w:t>6</w:t>
      </w:r>
      <w:r w:rsidR="0047192F">
        <w:t>4</w:t>
      </w:r>
      <w:r w:rsidR="001710AE" w:rsidRPr="002E6C60">
        <w:t xml:space="preserve"> (</w:t>
      </w:r>
      <w:r w:rsidR="001710AE">
        <w:t>1.6 </w:t>
      </w:r>
      <w:r w:rsidR="001710AE" w:rsidRPr="002E6C60">
        <w:t>per cent) in 2016 and 2017</w:t>
      </w:r>
      <w:r w:rsidR="001604C6">
        <w:t>,</w:t>
      </w:r>
      <w:r w:rsidR="001710AE" w:rsidRPr="002E6C60">
        <w:t xml:space="preserve"> respectively</w:t>
      </w:r>
      <w:r w:rsidR="00D8137B">
        <w:t xml:space="preserve"> ($ nominal)</w:t>
      </w:r>
      <w:r w:rsidR="001710AE" w:rsidRPr="002E6C60">
        <w:t xml:space="preserve">. This would be followed by </w:t>
      </w:r>
      <w:r w:rsidR="001710AE">
        <w:t>in</w:t>
      </w:r>
      <w:r w:rsidR="001710AE" w:rsidRPr="002E6C60">
        <w:t>creases of about $</w:t>
      </w:r>
      <w:r w:rsidR="001710AE">
        <w:t>14</w:t>
      </w:r>
      <w:r w:rsidR="001710AE" w:rsidRPr="002E6C60">
        <w:t xml:space="preserve"> or </w:t>
      </w:r>
      <w:r w:rsidR="001710AE">
        <w:t>0.4</w:t>
      </w:r>
      <w:r w:rsidR="001710AE" w:rsidRPr="002E6C60">
        <w:t xml:space="preserve"> per cent per annum from 2018 to 2020.</w:t>
      </w:r>
      <w:r>
        <w:t xml:space="preserve"> By comparison, had</w:t>
      </w:r>
      <w:r w:rsidRPr="008E1FC7">
        <w:t xml:space="preserve"> we accepted </w:t>
      </w:r>
      <w:r>
        <w:t>Powercor's</w:t>
      </w:r>
      <w:r w:rsidRPr="008E1FC7">
        <w:t xml:space="preserve"> proposal, the average annual electricity bill for small business customers would increase by approximately </w:t>
      </w:r>
      <w:r>
        <w:t>$</w:t>
      </w:r>
      <w:r w:rsidR="001710AE">
        <w:t>29</w:t>
      </w:r>
      <w:r>
        <w:t xml:space="preserve"> or </w:t>
      </w:r>
      <w:r w:rsidR="001710AE">
        <w:t>0.7</w:t>
      </w:r>
      <w:r w:rsidR="009D7892">
        <w:t xml:space="preserve"> per cent (</w:t>
      </w:r>
      <w:r w:rsidR="00D8137B">
        <w:t>$ </w:t>
      </w:r>
      <w:r>
        <w:t xml:space="preserve">nominal) </w:t>
      </w:r>
      <w:r w:rsidRPr="008E1FC7">
        <w:t xml:space="preserve">per annum over the </w:t>
      </w:r>
      <w:r>
        <w:t>2016–20</w:t>
      </w:r>
      <w:r w:rsidRPr="008E1FC7">
        <w:t xml:space="preserve"> regulatory control period. </w:t>
      </w:r>
    </w:p>
    <w:p w:rsidR="00D6684D" w:rsidRPr="008E1FC7" w:rsidRDefault="00D6684D" w:rsidP="00D6684D">
      <w:pPr>
        <w:numPr>
          <w:ilvl w:val="0"/>
          <w:numId w:val="24"/>
        </w:numPr>
      </w:pPr>
      <w:r>
        <w:fldChar w:fldCharType="begin"/>
      </w:r>
      <w:r>
        <w:instrText xml:space="preserve"> REF _Ref400716413 \h </w:instrText>
      </w:r>
      <w:r>
        <w:fldChar w:fldCharType="separate"/>
      </w:r>
      <w:r w:rsidR="00042AED">
        <w:t xml:space="preserve">Table </w:t>
      </w:r>
      <w:r w:rsidR="00042AED">
        <w:rPr>
          <w:noProof/>
        </w:rPr>
        <w:t>1</w:t>
      </w:r>
      <w:r w:rsidR="00042AED">
        <w:t>.</w:t>
      </w:r>
      <w:r w:rsidR="00042AED">
        <w:rPr>
          <w:noProof/>
        </w:rPr>
        <w:t>5</w:t>
      </w:r>
      <w:r>
        <w:fldChar w:fldCharType="end"/>
      </w:r>
      <w:r>
        <w:t xml:space="preserve"> </w:t>
      </w:r>
      <w:r w:rsidRPr="008E1FC7">
        <w:t xml:space="preserve">shows the estimated annual average impact of our preliminary decision for  the </w:t>
      </w:r>
      <w:r>
        <w:t>2016–20</w:t>
      </w:r>
      <w:r w:rsidRPr="008E1FC7">
        <w:t xml:space="preserve"> regulatory control period and </w:t>
      </w:r>
      <w:r>
        <w:t>Powercor's</w:t>
      </w:r>
      <w:r w:rsidRPr="008E1FC7">
        <w:t xml:space="preserve"> proposal on the average residential and small business customers' annual electricity bills. </w:t>
      </w:r>
    </w:p>
    <w:p w:rsidR="00D6684D" w:rsidRPr="00F50889" w:rsidRDefault="00D6684D" w:rsidP="00D6684D">
      <w:pPr>
        <w:pStyle w:val="Caption"/>
        <w:rPr>
          <w:rStyle w:val="AERbody"/>
        </w:rPr>
      </w:pPr>
      <w:bookmarkStart w:id="39" w:name="_Ref400716413"/>
      <w:r>
        <w:t xml:space="preserve">Table </w:t>
      </w:r>
      <w:r w:rsidR="000C694F">
        <w:fldChar w:fldCharType="begin"/>
      </w:r>
      <w:r w:rsidR="000C694F">
        <w:instrText xml:space="preserve"> STYLEREF 1 \s </w:instrText>
      </w:r>
      <w:r w:rsidR="000C694F">
        <w:fldChar w:fldCharType="separate"/>
      </w:r>
      <w:r w:rsidR="009244CD">
        <w:rPr>
          <w:noProof/>
        </w:rPr>
        <w:t>1</w:t>
      </w:r>
      <w:r w:rsidR="000C694F">
        <w:rPr>
          <w:noProof/>
        </w:rPr>
        <w:fldChar w:fldCharType="end"/>
      </w:r>
      <w:r>
        <w:t>.</w:t>
      </w:r>
      <w:r w:rsidR="000C694F">
        <w:fldChar w:fldCharType="begin"/>
      </w:r>
      <w:r w:rsidR="000C694F">
        <w:instrText xml:space="preserve"> SEQ Table \* ARABIC \s 1 </w:instrText>
      </w:r>
      <w:r w:rsidR="000C694F">
        <w:fldChar w:fldCharType="separate"/>
      </w:r>
      <w:r w:rsidR="00042AED">
        <w:rPr>
          <w:noProof/>
        </w:rPr>
        <w:t>5</w:t>
      </w:r>
      <w:r w:rsidR="000C694F">
        <w:rPr>
          <w:noProof/>
        </w:rPr>
        <w:fldChar w:fldCharType="end"/>
      </w:r>
      <w:bookmarkEnd w:id="39"/>
      <w:r>
        <w:tab/>
        <w:t>E</w:t>
      </w:r>
      <w:r w:rsidRPr="00EF62B7">
        <w:t xml:space="preserve">stimated impact of </w:t>
      </w:r>
      <w:proofErr w:type="spellStart"/>
      <w:r>
        <w:t>Powercor's</w:t>
      </w:r>
      <w:proofErr w:type="spellEnd"/>
      <w:r>
        <w:t xml:space="preserve"> </w:t>
      </w:r>
      <w:r w:rsidRPr="00B81CDA">
        <w:t xml:space="preserve">proposal </w:t>
      </w:r>
      <w:r>
        <w:t>and the AER's preliminary</w:t>
      </w:r>
      <w:r w:rsidRPr="00EF62B7">
        <w:t xml:space="preserve"> decision on </w:t>
      </w:r>
      <w:r>
        <w:t xml:space="preserve">annual </w:t>
      </w:r>
      <w:r w:rsidRPr="00EF62B7">
        <w:t xml:space="preserve">electricity </w:t>
      </w:r>
      <w:r>
        <w:t>bills</w:t>
      </w:r>
      <w:r w:rsidRPr="00EF62B7">
        <w:t xml:space="preserve"> for </w:t>
      </w:r>
      <w:r>
        <w:t>the 2016–20 regulatory control period</w:t>
      </w:r>
      <w:r w:rsidRPr="00EF62B7">
        <w:t xml:space="preserve"> ($ nominal)</w:t>
      </w:r>
    </w:p>
    <w:tbl>
      <w:tblPr>
        <w:tblStyle w:val="AERtable-numbers"/>
        <w:tblW w:w="5000" w:type="pct"/>
        <w:tblLook w:val="04A0" w:firstRow="1" w:lastRow="0" w:firstColumn="1" w:lastColumn="0" w:noHBand="0" w:noVBand="1"/>
      </w:tblPr>
      <w:tblGrid>
        <w:gridCol w:w="2954"/>
        <w:gridCol w:w="833"/>
        <w:gridCol w:w="1088"/>
        <w:gridCol w:w="1088"/>
        <w:gridCol w:w="910"/>
        <w:gridCol w:w="910"/>
        <w:gridCol w:w="910"/>
      </w:tblGrid>
      <w:tr w:rsidR="00D6684D" w:rsidRPr="00164ED7" w:rsidTr="004719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D6684D" w:rsidRPr="008E1FC7" w:rsidRDefault="00D6684D" w:rsidP="00741AA2">
            <w:r w:rsidRPr="008E1FC7">
              <w:t> </w:t>
            </w:r>
          </w:p>
        </w:tc>
        <w:tc>
          <w:tcPr>
            <w:tcW w:w="479"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15</w:t>
            </w:r>
          </w:p>
        </w:tc>
        <w:tc>
          <w:tcPr>
            <w:tcW w:w="626"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16</w:t>
            </w:r>
          </w:p>
        </w:tc>
        <w:tc>
          <w:tcPr>
            <w:tcW w:w="626"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17</w:t>
            </w:r>
          </w:p>
        </w:tc>
        <w:tc>
          <w:tcPr>
            <w:tcW w:w="523"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18</w:t>
            </w:r>
          </w:p>
        </w:tc>
        <w:tc>
          <w:tcPr>
            <w:tcW w:w="523"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19</w:t>
            </w:r>
          </w:p>
        </w:tc>
        <w:tc>
          <w:tcPr>
            <w:tcW w:w="523" w:type="pct"/>
            <w:noWrap/>
            <w:hideMark/>
          </w:tcPr>
          <w:p w:rsidR="00D6684D" w:rsidRPr="008E1FC7" w:rsidRDefault="00D6684D" w:rsidP="00741AA2">
            <w:pPr>
              <w:cnfStyle w:val="100000000000" w:firstRow="1" w:lastRow="0" w:firstColumn="0" w:lastColumn="0" w:oddVBand="0" w:evenVBand="0" w:oddHBand="0" w:evenHBand="0" w:firstRowFirstColumn="0" w:firstRowLastColumn="0" w:lastRowFirstColumn="0" w:lastRowLastColumn="0"/>
            </w:pPr>
            <w:r>
              <w:t>20</w:t>
            </w:r>
            <w:r w:rsidRPr="008E1FC7">
              <w:t>20</w:t>
            </w:r>
          </w:p>
        </w:tc>
      </w:tr>
      <w:tr w:rsidR="00B40BE8" w:rsidRPr="00164ED7" w:rsidTr="00B40BE8">
        <w:trPr>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B40BE8" w:rsidRPr="00B40BE8" w:rsidRDefault="00B40BE8" w:rsidP="00B40BE8">
            <w:pPr>
              <w:rPr>
                <w:rStyle w:val="Strong"/>
              </w:rPr>
            </w:pPr>
            <w:r w:rsidRPr="008764B6">
              <w:rPr>
                <w:rStyle w:val="Strong"/>
              </w:rPr>
              <w:t>AER preliminary decision</w:t>
            </w:r>
          </w:p>
        </w:tc>
        <w:tc>
          <w:tcPr>
            <w:tcW w:w="479"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1710AE">
              <w:t> </w:t>
            </w:r>
          </w:p>
        </w:tc>
      </w:tr>
      <w:tr w:rsidR="00B40BE8" w:rsidRPr="00164ED7" w:rsidTr="00B40B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B40BE8" w:rsidRPr="00B40BE8" w:rsidRDefault="00B40BE8" w:rsidP="00B40BE8">
            <w:r w:rsidRPr="008764B6">
              <w:t>Residential annual bill</w:t>
            </w:r>
          </w:p>
        </w:tc>
        <w:tc>
          <w:tcPr>
            <w:tcW w:w="479"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1816</w:t>
            </w:r>
            <w:r w:rsidRPr="00B40BE8">
              <w:rPr>
                <w:rStyle w:val="AERsuperscript"/>
              </w:rPr>
              <w:t>a</w:t>
            </w:r>
          </w:p>
        </w:tc>
        <w:tc>
          <w:tcPr>
            <w:tcW w:w="626"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1784</w:t>
            </w:r>
          </w:p>
        </w:tc>
        <w:tc>
          <w:tcPr>
            <w:tcW w:w="626"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1755</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1761</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1767</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1774</w:t>
            </w:r>
          </w:p>
        </w:tc>
      </w:tr>
      <w:tr w:rsidR="00B40BE8" w:rsidRPr="00164ED7" w:rsidTr="00B40BE8">
        <w:trPr>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B40BE8" w:rsidRPr="00B40BE8" w:rsidRDefault="00B40BE8" w:rsidP="00B40BE8">
            <w:r w:rsidRPr="008764B6">
              <w:t xml:space="preserve">Annual </w:t>
            </w:r>
            <w:proofErr w:type="spellStart"/>
            <w:r w:rsidRPr="008764B6">
              <w:t>change</w:t>
            </w:r>
            <w:r w:rsidRPr="00B40BE8">
              <w:rPr>
                <w:rStyle w:val="AERsuperscript"/>
              </w:rPr>
              <w:t>c</w:t>
            </w:r>
            <w:proofErr w:type="spellEnd"/>
          </w:p>
        </w:tc>
        <w:tc>
          <w:tcPr>
            <w:tcW w:w="479"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 </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–32 (–</w:t>
            </w:r>
            <w:r w:rsidRPr="00B40BE8">
              <w:t>1.8%)</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–29 (–</w:t>
            </w:r>
            <w:r w:rsidRPr="00B40BE8">
              <w:t>1.6%)</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6 (0.4%)</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6 (0.4%)</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7 (0.4%)</w:t>
            </w:r>
          </w:p>
        </w:tc>
      </w:tr>
      <w:tr w:rsidR="00B40BE8" w:rsidRPr="00164ED7" w:rsidTr="00B40B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B40BE8" w:rsidRPr="00B40BE8" w:rsidRDefault="00B40BE8" w:rsidP="00B40BE8">
            <w:r w:rsidRPr="008764B6">
              <w:t>Small business annual bill</w:t>
            </w:r>
          </w:p>
        </w:tc>
        <w:tc>
          <w:tcPr>
            <w:tcW w:w="479"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3998</w:t>
            </w:r>
            <w:r w:rsidRPr="00B40BE8">
              <w:rPr>
                <w:rStyle w:val="AERsuperscript"/>
              </w:rPr>
              <w:t>b</w:t>
            </w:r>
          </w:p>
        </w:tc>
        <w:tc>
          <w:tcPr>
            <w:tcW w:w="626"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3927</w:t>
            </w:r>
          </w:p>
        </w:tc>
        <w:tc>
          <w:tcPr>
            <w:tcW w:w="626"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3863</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3877</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3891</w:t>
            </w:r>
          </w:p>
        </w:tc>
        <w:tc>
          <w:tcPr>
            <w:tcW w:w="523" w:type="pct"/>
            <w:noWrap/>
          </w:tcPr>
          <w:p w:rsidR="00B40BE8" w:rsidRPr="00B40BE8" w:rsidRDefault="00B40BE8" w:rsidP="00B40BE8">
            <w:pPr>
              <w:cnfStyle w:val="000000010000" w:firstRow="0" w:lastRow="0" w:firstColumn="0" w:lastColumn="0" w:oddVBand="0" w:evenVBand="0" w:oddHBand="0" w:evenHBand="1" w:firstRowFirstColumn="0" w:firstRowLastColumn="0" w:lastRowFirstColumn="0" w:lastRowLastColumn="0"/>
            </w:pPr>
            <w:r w:rsidRPr="0047192F">
              <w:t>3906</w:t>
            </w:r>
          </w:p>
        </w:tc>
      </w:tr>
      <w:tr w:rsidR="00B40BE8" w:rsidRPr="00164ED7" w:rsidTr="00B40BE8">
        <w:trPr>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B40BE8" w:rsidRPr="00B40BE8" w:rsidRDefault="00B40BE8" w:rsidP="00B40BE8">
            <w:r w:rsidRPr="008764B6">
              <w:t xml:space="preserve">Annual </w:t>
            </w:r>
            <w:proofErr w:type="spellStart"/>
            <w:r w:rsidRPr="008764B6">
              <w:t>change</w:t>
            </w:r>
            <w:r w:rsidRPr="00B40BE8">
              <w:rPr>
                <w:rStyle w:val="AERsuperscript"/>
              </w:rPr>
              <w:t>c</w:t>
            </w:r>
            <w:proofErr w:type="spellEnd"/>
          </w:p>
        </w:tc>
        <w:tc>
          <w:tcPr>
            <w:tcW w:w="479"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 </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–71 (–</w:t>
            </w:r>
            <w:r w:rsidRPr="00B40BE8">
              <w:t>1.8%)</w:t>
            </w:r>
          </w:p>
        </w:tc>
        <w:tc>
          <w:tcPr>
            <w:tcW w:w="626"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t>–</w:t>
            </w:r>
            <w:r w:rsidRPr="00B40BE8">
              <w:t>64 (–1.6%)</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14 (0.4%)</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14 (0.4%)</w:t>
            </w:r>
          </w:p>
        </w:tc>
        <w:tc>
          <w:tcPr>
            <w:tcW w:w="523" w:type="pct"/>
            <w:noWrap/>
          </w:tcPr>
          <w:p w:rsidR="00B40BE8" w:rsidRPr="00B40BE8" w:rsidRDefault="00B40BE8" w:rsidP="00B40BE8">
            <w:pPr>
              <w:cnfStyle w:val="000000000000" w:firstRow="0" w:lastRow="0" w:firstColumn="0" w:lastColumn="0" w:oddVBand="0" w:evenVBand="0" w:oddHBand="0" w:evenHBand="0" w:firstRowFirstColumn="0" w:firstRowLastColumn="0" w:lastRowFirstColumn="0" w:lastRowLastColumn="0"/>
            </w:pPr>
            <w:r w:rsidRPr="0047192F">
              <w:t>15 (0.4%)</w:t>
            </w:r>
          </w:p>
        </w:tc>
      </w:tr>
      <w:tr w:rsidR="00D6684D" w:rsidRPr="00164ED7" w:rsidTr="004719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D6684D" w:rsidRPr="008E1FC7" w:rsidRDefault="00D6684D" w:rsidP="00741AA2">
            <w:pPr>
              <w:rPr>
                <w:rStyle w:val="Strong"/>
              </w:rPr>
            </w:pPr>
            <w:proofErr w:type="spellStart"/>
            <w:r>
              <w:rPr>
                <w:rStyle w:val="Strong"/>
              </w:rPr>
              <w:t>Powercor</w:t>
            </w:r>
            <w:proofErr w:type="spellEnd"/>
            <w:r w:rsidRPr="008E1FC7">
              <w:rPr>
                <w:rStyle w:val="Strong"/>
              </w:rPr>
              <w:t xml:space="preserve"> proposal</w:t>
            </w:r>
          </w:p>
        </w:tc>
        <w:tc>
          <w:tcPr>
            <w:tcW w:w="479"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c>
          <w:tcPr>
            <w:tcW w:w="626"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c>
          <w:tcPr>
            <w:tcW w:w="626"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c>
          <w:tcPr>
            <w:tcW w:w="523"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c>
          <w:tcPr>
            <w:tcW w:w="523"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c>
          <w:tcPr>
            <w:tcW w:w="523" w:type="pct"/>
            <w:noWrap/>
          </w:tcPr>
          <w:p w:rsidR="00D6684D" w:rsidRPr="008E1FC7" w:rsidRDefault="00D6684D" w:rsidP="00741AA2">
            <w:pPr>
              <w:cnfStyle w:val="000000010000" w:firstRow="0" w:lastRow="0" w:firstColumn="0" w:lastColumn="0" w:oddVBand="0" w:evenVBand="0" w:oddHBand="0" w:evenHBand="1" w:firstRowFirstColumn="0" w:firstRowLastColumn="0" w:lastRowFirstColumn="0" w:lastRowLastColumn="0"/>
            </w:pPr>
          </w:p>
        </w:tc>
      </w:tr>
      <w:tr w:rsidR="001710AE" w:rsidRPr="00164ED7" w:rsidTr="0047192F">
        <w:trPr>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1710AE" w:rsidRPr="008764B6" w:rsidRDefault="001710AE" w:rsidP="007D2B2F">
            <w:r w:rsidRPr="008764B6">
              <w:t>Residential annual bill</w:t>
            </w:r>
          </w:p>
        </w:tc>
        <w:tc>
          <w:tcPr>
            <w:tcW w:w="479" w:type="pct"/>
            <w:noWrap/>
            <w:vAlign w:val="bottom"/>
          </w:tcPr>
          <w:p w:rsidR="001710AE" w:rsidRPr="001710AE" w:rsidRDefault="001710AE" w:rsidP="003267F9">
            <w:pPr>
              <w:cnfStyle w:val="000000000000" w:firstRow="0" w:lastRow="0" w:firstColumn="0" w:lastColumn="0" w:oddVBand="0" w:evenVBand="0" w:oddHBand="0" w:evenHBand="0" w:firstRowFirstColumn="0" w:firstRowLastColumn="0" w:lastRowFirstColumn="0" w:lastRowLastColumn="0"/>
            </w:pPr>
            <w:r w:rsidRPr="001710AE">
              <w:t>1816</w:t>
            </w:r>
            <w:r w:rsidR="007D2B2F" w:rsidRPr="008764B6">
              <w:rPr>
                <w:rStyle w:val="AERsuperscript"/>
              </w:rPr>
              <w:t>a</w:t>
            </w:r>
          </w:p>
        </w:tc>
        <w:tc>
          <w:tcPr>
            <w:tcW w:w="626"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1804</w:t>
            </w:r>
          </w:p>
        </w:tc>
        <w:tc>
          <w:tcPr>
            <w:tcW w:w="626"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1823</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1842</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1861</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1881</w:t>
            </w:r>
          </w:p>
        </w:tc>
      </w:tr>
      <w:tr w:rsidR="001710AE" w:rsidRPr="00164ED7" w:rsidTr="004719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1710AE" w:rsidRPr="008764B6" w:rsidRDefault="001710AE" w:rsidP="00741AA2">
            <w:r w:rsidRPr="008764B6">
              <w:t>Annual change</w:t>
            </w:r>
            <w:r w:rsidR="009144CB" w:rsidRPr="00F705C3">
              <w:rPr>
                <w:rStyle w:val="AERsuperscript"/>
              </w:rPr>
              <w:t>c</w:t>
            </w:r>
          </w:p>
        </w:tc>
        <w:tc>
          <w:tcPr>
            <w:tcW w:w="479"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 </w:t>
            </w:r>
          </w:p>
        </w:tc>
        <w:tc>
          <w:tcPr>
            <w:tcW w:w="626"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t>–</w:t>
            </w:r>
            <w:r w:rsidRPr="001710AE">
              <w:t>12 (</w:t>
            </w:r>
            <w:r>
              <w:t>–</w:t>
            </w:r>
            <w:r w:rsidRPr="001710AE">
              <w:t>0.6%)</w:t>
            </w:r>
          </w:p>
        </w:tc>
        <w:tc>
          <w:tcPr>
            <w:tcW w:w="626"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19 (1.1%)</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18 (1</w:t>
            </w:r>
            <w:r w:rsidR="0047757C">
              <w:t>.0</w:t>
            </w:r>
            <w:r w:rsidRPr="001710AE">
              <w:t>%)</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19 (1</w:t>
            </w:r>
            <w:r w:rsidR="0047757C">
              <w:t>.0</w:t>
            </w:r>
            <w:r w:rsidRPr="001710AE">
              <w:t>%)</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20 (1.1%)</w:t>
            </w:r>
          </w:p>
        </w:tc>
      </w:tr>
      <w:tr w:rsidR="001710AE" w:rsidRPr="00164ED7" w:rsidTr="0047192F">
        <w:trPr>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1710AE" w:rsidRPr="008764B6" w:rsidRDefault="001710AE" w:rsidP="007D2B2F">
            <w:r w:rsidRPr="008764B6">
              <w:t>Small business annual bill</w:t>
            </w:r>
          </w:p>
        </w:tc>
        <w:tc>
          <w:tcPr>
            <w:tcW w:w="479" w:type="pct"/>
            <w:noWrap/>
            <w:vAlign w:val="bottom"/>
          </w:tcPr>
          <w:p w:rsidR="001710AE" w:rsidRPr="001710AE" w:rsidRDefault="001710AE" w:rsidP="003267F9">
            <w:pPr>
              <w:cnfStyle w:val="000000000000" w:firstRow="0" w:lastRow="0" w:firstColumn="0" w:lastColumn="0" w:oddVBand="0" w:evenVBand="0" w:oddHBand="0" w:evenHBand="0" w:firstRowFirstColumn="0" w:firstRowLastColumn="0" w:lastRowFirstColumn="0" w:lastRowLastColumn="0"/>
            </w:pPr>
            <w:r w:rsidRPr="001710AE">
              <w:t>3998</w:t>
            </w:r>
            <w:r w:rsidR="007D2B2F" w:rsidRPr="008764B6">
              <w:rPr>
                <w:rStyle w:val="AERsuperscript"/>
              </w:rPr>
              <w:t>b</w:t>
            </w:r>
          </w:p>
        </w:tc>
        <w:tc>
          <w:tcPr>
            <w:tcW w:w="626"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3972</w:t>
            </w:r>
          </w:p>
        </w:tc>
        <w:tc>
          <w:tcPr>
            <w:tcW w:w="626"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4014</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4054</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4096</w:t>
            </w:r>
          </w:p>
        </w:tc>
        <w:tc>
          <w:tcPr>
            <w:tcW w:w="523" w:type="pct"/>
            <w:noWrap/>
            <w:vAlign w:val="bottom"/>
          </w:tcPr>
          <w:p w:rsidR="001710AE" w:rsidRPr="001710AE" w:rsidRDefault="001710AE" w:rsidP="001710AE">
            <w:pPr>
              <w:cnfStyle w:val="000000000000" w:firstRow="0" w:lastRow="0" w:firstColumn="0" w:lastColumn="0" w:oddVBand="0" w:evenVBand="0" w:oddHBand="0" w:evenHBand="0" w:firstRowFirstColumn="0" w:firstRowLastColumn="0" w:lastRowFirstColumn="0" w:lastRowLastColumn="0"/>
            </w:pPr>
            <w:r w:rsidRPr="001710AE">
              <w:t>4141</w:t>
            </w:r>
          </w:p>
        </w:tc>
      </w:tr>
      <w:tr w:rsidR="001710AE" w:rsidRPr="00164ED7" w:rsidTr="004719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9" w:type="pct"/>
            <w:noWrap/>
            <w:hideMark/>
          </w:tcPr>
          <w:p w:rsidR="001710AE" w:rsidRPr="008764B6" w:rsidRDefault="001710AE" w:rsidP="00741AA2">
            <w:r w:rsidRPr="008764B6">
              <w:t>Annual change</w:t>
            </w:r>
            <w:r w:rsidR="009144CB" w:rsidRPr="00F705C3">
              <w:rPr>
                <w:rStyle w:val="AERsuperscript"/>
              </w:rPr>
              <w:t>c</w:t>
            </w:r>
          </w:p>
        </w:tc>
        <w:tc>
          <w:tcPr>
            <w:tcW w:w="479"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 </w:t>
            </w:r>
          </w:p>
        </w:tc>
        <w:tc>
          <w:tcPr>
            <w:tcW w:w="626"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t>–26 (–</w:t>
            </w:r>
            <w:r w:rsidRPr="001710AE">
              <w:t>0.6%)</w:t>
            </w:r>
          </w:p>
        </w:tc>
        <w:tc>
          <w:tcPr>
            <w:tcW w:w="626"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42 (1.1%)</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40 (1</w:t>
            </w:r>
            <w:r w:rsidR="0047757C">
              <w:t>.0</w:t>
            </w:r>
            <w:r w:rsidRPr="001710AE">
              <w:t>%)</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42 (1</w:t>
            </w:r>
            <w:r w:rsidR="0047757C">
              <w:t>.0</w:t>
            </w:r>
            <w:r w:rsidRPr="001710AE">
              <w:t>%)</w:t>
            </w:r>
          </w:p>
        </w:tc>
        <w:tc>
          <w:tcPr>
            <w:tcW w:w="523" w:type="pct"/>
            <w:noWrap/>
            <w:vAlign w:val="bottom"/>
          </w:tcPr>
          <w:p w:rsidR="001710AE" w:rsidRPr="001710AE" w:rsidRDefault="001710AE" w:rsidP="001710AE">
            <w:pPr>
              <w:cnfStyle w:val="000000010000" w:firstRow="0" w:lastRow="0" w:firstColumn="0" w:lastColumn="0" w:oddVBand="0" w:evenVBand="0" w:oddHBand="0" w:evenHBand="1" w:firstRowFirstColumn="0" w:firstRowLastColumn="0" w:lastRowFirstColumn="0" w:lastRowLastColumn="0"/>
            </w:pPr>
            <w:r w:rsidRPr="001710AE">
              <w:t>45 (1.1%)</w:t>
            </w:r>
          </w:p>
        </w:tc>
      </w:tr>
    </w:tbl>
    <w:p w:rsidR="005062E6" w:rsidRPr="008E1FC7" w:rsidRDefault="005062E6" w:rsidP="005062E6">
      <w:pPr>
        <w:pStyle w:val="AERtablesource"/>
      </w:pPr>
      <w:r w:rsidRPr="008E1FC7">
        <w:t>Source:</w:t>
      </w:r>
      <w:r w:rsidRPr="008E1FC7">
        <w:tab/>
        <w:t xml:space="preserve">AER analysis; </w:t>
      </w:r>
      <w:r>
        <w:t>ESC</w:t>
      </w:r>
      <w:r w:rsidR="001604C6">
        <w:t>,</w:t>
      </w:r>
      <w:r w:rsidR="001604C6" w:rsidRPr="008E1FC7">
        <w:t xml:space="preserve"> </w:t>
      </w:r>
      <w:r>
        <w:rPr>
          <w:rStyle w:val="AERtextitalic"/>
        </w:rPr>
        <w:t xml:space="preserve">Victorian Energy Retailers Comparative Performance Report - Pricing 2013-14, </w:t>
      </w:r>
      <w:r>
        <w:t>October</w:t>
      </w:r>
      <w:r w:rsidRPr="008E1FC7">
        <w:t xml:space="preserve"> 201</w:t>
      </w:r>
      <w:r>
        <w:t>4</w:t>
      </w:r>
      <w:r w:rsidRPr="008E1FC7">
        <w:t>.</w:t>
      </w:r>
    </w:p>
    <w:p w:rsidR="005062E6" w:rsidRPr="008E1FC7" w:rsidRDefault="005062E6" w:rsidP="005062E6">
      <w:pPr>
        <w:pStyle w:val="AERtablesource"/>
      </w:pPr>
      <w:r w:rsidRPr="008E1FC7">
        <w:t>(a)</w:t>
      </w:r>
      <w:r w:rsidRPr="008E1FC7">
        <w:tab/>
        <w:t xml:space="preserve">Based on </w:t>
      </w:r>
      <w:r w:rsidR="006B3237">
        <w:t>average of standing offers at June 2015 on Switch</w:t>
      </w:r>
      <w:r w:rsidR="00E60D2F">
        <w:t xml:space="preserve"> O</w:t>
      </w:r>
      <w:r w:rsidR="006B3237">
        <w:t xml:space="preserve">n comparison tool (postcode 3550) using </w:t>
      </w:r>
      <w:r w:rsidRPr="008E1FC7">
        <w:t xml:space="preserve">annual bill for typical consumption of </w:t>
      </w:r>
      <w:r w:rsidR="001710AE">
        <w:t>4690</w:t>
      </w:r>
      <w:r>
        <w:t xml:space="preserve"> k</w:t>
      </w:r>
      <w:r w:rsidRPr="008E1FC7">
        <w:t>Wh per year.</w:t>
      </w:r>
    </w:p>
    <w:p w:rsidR="009144CB" w:rsidRDefault="005062E6" w:rsidP="009144CB">
      <w:pPr>
        <w:pStyle w:val="AERtablesource"/>
      </w:pPr>
      <w:r w:rsidRPr="008E1FC7">
        <w:lastRenderedPageBreak/>
        <w:t>(b)</w:t>
      </w:r>
      <w:r w:rsidRPr="008E1FC7">
        <w:tab/>
      </w:r>
      <w:r w:rsidR="006B3237" w:rsidRPr="006B3237">
        <w:t>Based on average of standing offers at June 2015 on Switch</w:t>
      </w:r>
      <w:r w:rsidR="00E60D2F">
        <w:t xml:space="preserve"> O</w:t>
      </w:r>
      <w:r w:rsidR="006B3237" w:rsidRPr="006B3237">
        <w:t xml:space="preserve">n comparison tool (postcode 3550) using annual bill for </w:t>
      </w:r>
      <w:r w:rsidRPr="008E1FC7">
        <w:t>typical</w:t>
      </w:r>
      <w:r>
        <w:t xml:space="preserve"> small business</w:t>
      </w:r>
      <w:r w:rsidRPr="008E1FC7">
        <w:t xml:space="preserve"> consumption of </w:t>
      </w:r>
      <w:r>
        <w:t>120</w:t>
      </w:r>
      <w:r w:rsidR="001710AE">
        <w:t>2</w:t>
      </w:r>
      <w:r>
        <w:t>0 k</w:t>
      </w:r>
      <w:r w:rsidRPr="008E1FC7">
        <w:t>Wh per year</w:t>
      </w:r>
      <w:r w:rsidR="00D6684D" w:rsidRPr="008E1FC7">
        <w:t>.</w:t>
      </w:r>
      <w:r w:rsidR="009144CB" w:rsidRPr="009144CB">
        <w:t xml:space="preserve"> </w:t>
      </w:r>
    </w:p>
    <w:p w:rsidR="00D6684D" w:rsidRPr="008E1FC7" w:rsidRDefault="009144CB" w:rsidP="009144CB">
      <w:pPr>
        <w:pStyle w:val="AERtablesource"/>
      </w:pPr>
      <w:r>
        <w:t>(c)</w:t>
      </w:r>
      <w:r>
        <w:tab/>
        <w:t>Annual change amounts and percentages are indicative. They are derived by varying the distribution component of 2015 bill amounts in proportion to yearly expected revenue divided by forecast demand. Actual bill impacts will vary depending on</w:t>
      </w:r>
      <w:bookmarkStart w:id="40" w:name="_GoBack"/>
      <w:bookmarkEnd w:id="40"/>
      <w:r>
        <w:t xml:space="preserve"> electricity consumption and tariff class.</w:t>
      </w:r>
    </w:p>
    <w:sectPr w:rsidR="00D6684D" w:rsidRPr="008E1FC7"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F2" w:rsidRPr="00290C63" w:rsidRDefault="00237AF2" w:rsidP="00290C63">
      <w:r>
        <w:separator/>
      </w:r>
    </w:p>
    <w:p w:rsidR="00237AF2" w:rsidRDefault="00237AF2"/>
  </w:endnote>
  <w:endnote w:type="continuationSeparator" w:id="0">
    <w:p w:rsidR="00237AF2" w:rsidRPr="00290C63" w:rsidRDefault="00237AF2" w:rsidP="00290C63">
      <w:r>
        <w:continuationSeparator/>
      </w:r>
    </w:p>
    <w:p w:rsidR="00237AF2" w:rsidRDefault="0023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F2" w:rsidRDefault="00237AF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237AF2" w:rsidRDefault="00237AF2">
    <w:pPr>
      <w:pStyle w:val="Footer"/>
    </w:pPr>
  </w:p>
  <w:p w:rsidR="00237AF2" w:rsidRDefault="00237AF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237AF2" w:rsidRPr="00CA52A2" w:rsidRDefault="00237AF2" w:rsidP="00CA52A2">
        <w:pPr>
          <w:pStyle w:val="Footer"/>
        </w:pPr>
        <w:r w:rsidRPr="00CA52A2">
          <w:fldChar w:fldCharType="begin"/>
        </w:r>
        <w:r>
          <w:instrText xml:space="preserve"> PAGE   \* MERGEFORMAT </w:instrText>
        </w:r>
        <w:r w:rsidRPr="00CA52A2">
          <w:fldChar w:fldCharType="separate"/>
        </w:r>
        <w:r w:rsidR="00701F66">
          <w:rPr>
            <w:noProof/>
          </w:rPr>
          <w:t>1-17</w:t>
        </w:r>
        <w:r w:rsidRPr="00CA52A2">
          <w:fldChar w:fldCharType="end"/>
        </w:r>
        <w:r w:rsidRPr="00CA52A2">
          <w:t xml:space="preserve">         </w:t>
        </w:r>
        <w:r>
          <w:t xml:space="preserve"> </w:t>
        </w:r>
        <w:r>
          <w:tab/>
          <w:t xml:space="preserve">             </w:t>
        </w:r>
        <w:r w:rsidRPr="00CA52A2">
          <w:t xml:space="preserve"> Attachment </w:t>
        </w:r>
        <w:r>
          <w:t xml:space="preserve">1 </w:t>
        </w:r>
        <w:r w:rsidRPr="00CA52A2">
          <w:t xml:space="preserve">– </w:t>
        </w:r>
        <w:r>
          <w:t xml:space="preserve">Annual revenue requirement </w:t>
        </w:r>
        <w:r w:rsidRPr="00CA52A2">
          <w:t xml:space="preserve">| </w:t>
        </w:r>
        <w:r>
          <w:t>Powercor</w:t>
        </w:r>
        <w:r w:rsidRPr="00CA52A2">
          <w:t xml:space="preserve"> </w:t>
        </w:r>
        <w:r>
          <w:t>Preliminary decision 2016</w:t>
        </w:r>
        <w:r w:rsidRPr="00CA52A2">
          <w:t>–</w:t>
        </w:r>
        <w:r>
          <w:t>20</w:t>
        </w:r>
      </w:p>
    </w:sdtContent>
  </w:sdt>
  <w:p w:rsidR="00237AF2" w:rsidRDefault="00237AF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F2" w:rsidRPr="00290C63" w:rsidRDefault="00237AF2" w:rsidP="00290C63">
      <w:r>
        <w:separator/>
      </w:r>
    </w:p>
    <w:p w:rsidR="00237AF2" w:rsidRDefault="00237AF2"/>
  </w:footnote>
  <w:footnote w:type="continuationSeparator" w:id="0">
    <w:p w:rsidR="00237AF2" w:rsidRPr="00290C63" w:rsidRDefault="00237AF2" w:rsidP="00290C63">
      <w:r>
        <w:continuationSeparator/>
      </w:r>
    </w:p>
    <w:p w:rsidR="00237AF2" w:rsidRDefault="00237AF2"/>
  </w:footnote>
  <w:footnote w:id="1">
    <w:p w:rsidR="00237AF2" w:rsidRDefault="00237AF2" w:rsidP="00D6684D">
      <w:pPr>
        <w:pStyle w:val="FootnoteText"/>
      </w:pPr>
      <w:r>
        <w:rPr>
          <w:rStyle w:val="FootnoteReference"/>
        </w:rPr>
        <w:footnoteRef/>
      </w:r>
      <w:r>
        <w:t xml:space="preserve"> </w:t>
      </w:r>
      <w:r>
        <w:tab/>
        <w:t>NER, cl. 6.3.2(a</w:t>
      </w:r>
      <w:proofErr w:type="gramStart"/>
      <w:r>
        <w:t>)(</w:t>
      </w:r>
      <w:proofErr w:type="gramEnd"/>
      <w:r>
        <w:t>1).</w:t>
      </w:r>
    </w:p>
  </w:footnote>
  <w:footnote w:id="2">
    <w:p w:rsidR="00237AF2" w:rsidRDefault="00237AF2" w:rsidP="00D6684D">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237AF2" w:rsidRDefault="00237AF2" w:rsidP="00D6684D">
      <w:pPr>
        <w:pStyle w:val="FootnoteText"/>
      </w:pPr>
      <w:r>
        <w:rPr>
          <w:rStyle w:val="FootnoteReference"/>
        </w:rPr>
        <w:footnoteRef/>
      </w:r>
      <w:r>
        <w:t xml:space="preserve"> </w:t>
      </w:r>
      <w:r>
        <w:tab/>
        <w:t>NER, cl. 6.5.9(a).</w:t>
      </w:r>
    </w:p>
  </w:footnote>
  <w:footnote w:id="4">
    <w:p w:rsidR="00237AF2" w:rsidRDefault="00237AF2" w:rsidP="00D6684D">
      <w:pPr>
        <w:pStyle w:val="FootnoteText"/>
      </w:pPr>
      <w:r>
        <w:rPr>
          <w:rStyle w:val="FootnoteReference"/>
        </w:rPr>
        <w:footnoteRef/>
      </w:r>
      <w:r>
        <w:t xml:space="preserve"> </w:t>
      </w:r>
      <w:r>
        <w:tab/>
        <w:t>NER, cl. 6.5.9(3)(i).</w:t>
      </w:r>
      <w:r w:rsidRPr="00DB5BC2">
        <w:t xml:space="preserve"> </w:t>
      </w:r>
      <w:r>
        <w:t>The X factors represent the real revenue path over the 2016–20 regulatory control period under the CPI–X framework.</w:t>
      </w:r>
    </w:p>
  </w:footnote>
  <w:footnote w:id="5">
    <w:p w:rsidR="00237AF2" w:rsidRDefault="00237AF2" w:rsidP="00D6684D">
      <w:pPr>
        <w:pStyle w:val="FootnoteText"/>
      </w:pPr>
      <w:r>
        <w:rPr>
          <w:rStyle w:val="FootnoteReference"/>
        </w:rPr>
        <w:footnoteRef/>
      </w:r>
      <w:r>
        <w:t xml:space="preserve"> </w:t>
      </w:r>
      <w:r>
        <w:tab/>
        <w:t>NER, cl. 6.5.9(b)(2).</w:t>
      </w:r>
    </w:p>
  </w:footnote>
  <w:footnote w:id="6">
    <w:p w:rsidR="00237AF2" w:rsidRDefault="00237AF2" w:rsidP="00D6684D">
      <w:pPr>
        <w:pStyle w:val="FootnoteText"/>
      </w:pPr>
      <w:r>
        <w:rPr>
          <w:rStyle w:val="FootnoteReference"/>
        </w:rPr>
        <w:footnoteRef/>
      </w:r>
      <w:r>
        <w:t xml:space="preserve"> </w:t>
      </w:r>
      <w:r>
        <w:tab/>
        <w:t>NER, cl. 11.60.3(b).</w:t>
      </w:r>
    </w:p>
  </w:footnote>
  <w:footnote w:id="7">
    <w:p w:rsidR="00237AF2" w:rsidRDefault="00237AF2" w:rsidP="00D6684D">
      <w:pPr>
        <w:pStyle w:val="FootnoteText"/>
      </w:pPr>
      <w:r>
        <w:rPr>
          <w:rStyle w:val="FootnoteReference"/>
        </w:rPr>
        <w:footnoteRef/>
      </w:r>
      <w:r>
        <w:t xml:space="preserve"> </w:t>
      </w:r>
      <w:r>
        <w:tab/>
        <w:t>NER, cl. 11.60.4(d)(1).</w:t>
      </w:r>
    </w:p>
  </w:footnote>
  <w:footnote w:id="8">
    <w:p w:rsidR="00237AF2" w:rsidRDefault="00237AF2" w:rsidP="001E5F64">
      <w:pPr>
        <w:pStyle w:val="FootnoteText"/>
      </w:pPr>
      <w:r>
        <w:rPr>
          <w:rStyle w:val="FootnoteReference"/>
        </w:rPr>
        <w:footnoteRef/>
      </w:r>
      <w:r>
        <w:t xml:space="preserve"> </w:t>
      </w:r>
      <w:r>
        <w:tab/>
      </w:r>
      <w:proofErr w:type="gramStart"/>
      <w:r w:rsidRPr="009C6CDD">
        <w:t>NER, cl. 11.60.3(b).</w:t>
      </w:r>
      <w:proofErr w:type="gramEnd"/>
    </w:p>
  </w:footnote>
  <w:footnote w:id="9">
    <w:p w:rsidR="00237AF2" w:rsidRDefault="00237AF2" w:rsidP="001E5F64">
      <w:pPr>
        <w:pStyle w:val="FootnoteText"/>
      </w:pPr>
      <w:r>
        <w:rPr>
          <w:rStyle w:val="FootnoteReference"/>
        </w:rPr>
        <w:footnoteRef/>
      </w:r>
      <w:r>
        <w:t xml:space="preserve"> </w:t>
      </w:r>
      <w:r>
        <w:tab/>
      </w:r>
      <w:r w:rsidRPr="009C6CDD">
        <w:t>NER, cl. 11.60.4(d)(1).</w:t>
      </w:r>
    </w:p>
  </w:footnote>
  <w:footnote w:id="10">
    <w:p w:rsidR="00237AF2" w:rsidRDefault="00237AF2" w:rsidP="00D6684D">
      <w:pPr>
        <w:pStyle w:val="FootnoteText"/>
      </w:pPr>
      <w:r>
        <w:rPr>
          <w:rStyle w:val="FootnoteReference"/>
        </w:rPr>
        <w:footnoteRef/>
      </w:r>
      <w:r>
        <w:t xml:space="preserve"> </w:t>
      </w:r>
      <w:r>
        <w:tab/>
        <w:t>NER, cl. 6.4.4.</w:t>
      </w:r>
    </w:p>
  </w:footnote>
  <w:footnote w:id="11">
    <w:p w:rsidR="00237AF2" w:rsidRDefault="00237AF2" w:rsidP="00D6684D">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2">
    <w:p w:rsidR="00237AF2" w:rsidRDefault="00237AF2" w:rsidP="00D6684D">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3">
    <w:p w:rsidR="00237AF2" w:rsidRDefault="00237AF2" w:rsidP="00A07365">
      <w:pPr>
        <w:pStyle w:val="FootnoteText"/>
      </w:pPr>
      <w:r>
        <w:rPr>
          <w:rStyle w:val="FootnoteReference"/>
        </w:rPr>
        <w:footnoteRef/>
      </w:r>
      <w:r>
        <w:t xml:space="preserve"> </w:t>
      </w:r>
      <w:r>
        <w:tab/>
      </w:r>
      <w:proofErr w:type="spellStart"/>
      <w:r>
        <w:t>Powercor</w:t>
      </w:r>
      <w:proofErr w:type="spellEnd"/>
      <w:r w:rsidRPr="000A1179">
        <w:t xml:space="preserve">, </w:t>
      </w:r>
      <w:r w:rsidRPr="000A1179">
        <w:rPr>
          <w:rStyle w:val="AERtextitalic"/>
        </w:rPr>
        <w:t>Regulatory proposal</w:t>
      </w:r>
      <w:r>
        <w:t>, April 2015, p. 258, table 13.7.</w:t>
      </w:r>
    </w:p>
  </w:footnote>
  <w:footnote w:id="14">
    <w:p w:rsidR="00237AF2" w:rsidRDefault="00237AF2">
      <w:pPr>
        <w:pStyle w:val="FootnoteText"/>
      </w:pPr>
      <w:r>
        <w:rPr>
          <w:rStyle w:val="FootnoteReference"/>
        </w:rPr>
        <w:footnoteRef/>
      </w:r>
      <w:r>
        <w:t xml:space="preserve"> </w:t>
      </w:r>
      <w:r>
        <w:tab/>
        <w:t>This includes consideration of this issue for the other Victorian electricity distribution networks, as well as work undertaken during the development of our</w:t>
      </w:r>
      <w:r w:rsidRPr="00F40AF1">
        <w:t xml:space="preserve"> shared asset guideline</w:t>
      </w:r>
      <w:r>
        <w:t xml:space="preserve"> in 2013.</w:t>
      </w:r>
    </w:p>
  </w:footnote>
  <w:footnote w:id="15">
    <w:p w:rsidR="00237AF2" w:rsidRDefault="00237AF2">
      <w:pPr>
        <w:pStyle w:val="FootnoteText"/>
      </w:pPr>
      <w:r>
        <w:rPr>
          <w:rStyle w:val="FootnoteReference"/>
        </w:rPr>
        <w:footnoteRef/>
      </w:r>
      <w:r>
        <w:t xml:space="preserve"> </w:t>
      </w:r>
      <w:r>
        <w:tab/>
        <w:t>We will reassess the materiality of the forecast shared asset unregulated revenues for our final decision.</w:t>
      </w:r>
    </w:p>
  </w:footnote>
  <w:footnote w:id="16">
    <w:p w:rsidR="00237AF2" w:rsidRDefault="00237AF2" w:rsidP="00D6684D">
      <w:pPr>
        <w:pStyle w:val="FootnoteText"/>
      </w:pPr>
      <w:r>
        <w:rPr>
          <w:rStyle w:val="FootnoteReference"/>
        </w:rPr>
        <w:footnoteRef/>
      </w:r>
      <w:r>
        <w:t xml:space="preserve"> </w:t>
      </w:r>
      <w:r>
        <w:tab/>
      </w:r>
      <w:r w:rsidRPr="00E606D6">
        <w:t>This amount includes a forecast inflation rate of 2.5</w:t>
      </w:r>
      <w:r>
        <w:t>0</w:t>
      </w:r>
      <w:r w:rsidRPr="00E606D6">
        <w:t xml:space="preserve"> per cent per annum. In real terms we estimate average distribution charges to decline by </w:t>
      </w:r>
      <w:r>
        <w:t>4.3 per cent</w:t>
      </w:r>
      <w:r w:rsidRPr="00E606D6">
        <w:t xml:space="preserve"> per annum, compared to a</w:t>
      </w:r>
      <w:r>
        <w:t>n increase</w:t>
      </w:r>
      <w:r w:rsidRPr="00E606D6">
        <w:t xml:space="preserve"> of</w:t>
      </w:r>
      <w:r>
        <w:t xml:space="preserve"> 0.2 per cent</w:t>
      </w:r>
      <w:r w:rsidRPr="00E606D6">
        <w:t xml:space="preserve"> proposed by </w:t>
      </w:r>
      <w:r>
        <w:t>Powercor</w:t>
      </w:r>
      <w:r w:rsidRPr="00E606D6">
        <w:t>.</w:t>
      </w:r>
    </w:p>
  </w:footnote>
  <w:footnote w:id="17">
    <w:p w:rsidR="00237AF2" w:rsidRDefault="00237AF2" w:rsidP="00D6684D">
      <w:pPr>
        <w:pStyle w:val="FootnoteText"/>
      </w:pPr>
      <w:r>
        <w:rPr>
          <w:rStyle w:val="FootnoteReference"/>
        </w:rPr>
        <w:footnoteRef/>
      </w:r>
      <w:r>
        <w:t xml:space="preserve"> </w:t>
      </w:r>
      <w:r>
        <w:tab/>
      </w:r>
      <w:proofErr w:type="gramStart"/>
      <w:r>
        <w:t xml:space="preserve">Powercor, </w:t>
      </w:r>
      <w:r w:rsidRPr="00753B23">
        <w:rPr>
          <w:rStyle w:val="AERtextitalic"/>
        </w:rPr>
        <w:t>Regulatory proposal</w:t>
      </w:r>
      <w:r>
        <w:t>, April 2015, p. 21.</w:t>
      </w:r>
      <w:proofErr w:type="gramEnd"/>
    </w:p>
  </w:footnote>
  <w:footnote w:id="18">
    <w:p w:rsidR="00237AF2" w:rsidRDefault="00237AF2" w:rsidP="005062E6">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2013-14 -Supplementary Report on Electricity Flexible Prices</w:t>
      </w:r>
      <w:r>
        <w:t>, December 2014, p. 3.</w:t>
      </w:r>
    </w:p>
  </w:footnote>
  <w:footnote w:id="19">
    <w:p w:rsidR="00237AF2" w:rsidRDefault="00237AF2" w:rsidP="009144CB">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w:t>
      </w:r>
      <w:r>
        <w:t>, October 2014,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F2" w:rsidRDefault="000C694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237AF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F2" w:rsidRDefault="000C694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9aDv7VdK+jgM5Pi88AYGpl7Ai26DKCH8wJB5Pxcnxs=" w:saltValue="fF3F0MIvxekjzfTzdsn1Q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3BE7"/>
    <w:rsid w:val="00010286"/>
    <w:rsid w:val="000129AD"/>
    <w:rsid w:val="00021202"/>
    <w:rsid w:val="00021C2B"/>
    <w:rsid w:val="00024FAF"/>
    <w:rsid w:val="0002517F"/>
    <w:rsid w:val="00026495"/>
    <w:rsid w:val="0003578C"/>
    <w:rsid w:val="000401AF"/>
    <w:rsid w:val="00042AED"/>
    <w:rsid w:val="00063247"/>
    <w:rsid w:val="00070F9F"/>
    <w:rsid w:val="0007137B"/>
    <w:rsid w:val="00085663"/>
    <w:rsid w:val="00085EBF"/>
    <w:rsid w:val="00091B15"/>
    <w:rsid w:val="00095400"/>
    <w:rsid w:val="000A3020"/>
    <w:rsid w:val="000A6C7B"/>
    <w:rsid w:val="000B705D"/>
    <w:rsid w:val="000C2B40"/>
    <w:rsid w:val="000C694F"/>
    <w:rsid w:val="000D06C1"/>
    <w:rsid w:val="000D122C"/>
    <w:rsid w:val="000D3016"/>
    <w:rsid w:val="000E1819"/>
    <w:rsid w:val="000E34CB"/>
    <w:rsid w:val="000E4821"/>
    <w:rsid w:val="000E6C72"/>
    <w:rsid w:val="000F0B2B"/>
    <w:rsid w:val="000F3E72"/>
    <w:rsid w:val="000F48B1"/>
    <w:rsid w:val="0010680E"/>
    <w:rsid w:val="00116EB2"/>
    <w:rsid w:val="00124609"/>
    <w:rsid w:val="00126A4C"/>
    <w:rsid w:val="00142AB6"/>
    <w:rsid w:val="0014573B"/>
    <w:rsid w:val="0015454E"/>
    <w:rsid w:val="001573E4"/>
    <w:rsid w:val="001604C6"/>
    <w:rsid w:val="00160756"/>
    <w:rsid w:val="00164B4A"/>
    <w:rsid w:val="001710AE"/>
    <w:rsid w:val="0017232E"/>
    <w:rsid w:val="00174102"/>
    <w:rsid w:val="001754EE"/>
    <w:rsid w:val="00180157"/>
    <w:rsid w:val="00185A29"/>
    <w:rsid w:val="00185CB9"/>
    <w:rsid w:val="00186F77"/>
    <w:rsid w:val="001926A4"/>
    <w:rsid w:val="00192AD5"/>
    <w:rsid w:val="0019716D"/>
    <w:rsid w:val="001A7250"/>
    <w:rsid w:val="001B45A0"/>
    <w:rsid w:val="001B7D00"/>
    <w:rsid w:val="001D055E"/>
    <w:rsid w:val="001E5F64"/>
    <w:rsid w:val="001F05A4"/>
    <w:rsid w:val="001F492E"/>
    <w:rsid w:val="001F6DA3"/>
    <w:rsid w:val="002010BC"/>
    <w:rsid w:val="002016E7"/>
    <w:rsid w:val="00201F98"/>
    <w:rsid w:val="00202E03"/>
    <w:rsid w:val="0020478D"/>
    <w:rsid w:val="0020492C"/>
    <w:rsid w:val="00220CDB"/>
    <w:rsid w:val="00224DB9"/>
    <w:rsid w:val="00227DCE"/>
    <w:rsid w:val="00230D86"/>
    <w:rsid w:val="0023276C"/>
    <w:rsid w:val="00233775"/>
    <w:rsid w:val="00237AF2"/>
    <w:rsid w:val="00251745"/>
    <w:rsid w:val="00263AC0"/>
    <w:rsid w:val="00264264"/>
    <w:rsid w:val="0026772D"/>
    <w:rsid w:val="00286874"/>
    <w:rsid w:val="00290C63"/>
    <w:rsid w:val="00296757"/>
    <w:rsid w:val="00296B65"/>
    <w:rsid w:val="002A7DEF"/>
    <w:rsid w:val="002B1003"/>
    <w:rsid w:val="002B573C"/>
    <w:rsid w:val="002C233C"/>
    <w:rsid w:val="002D2B2E"/>
    <w:rsid w:val="002D72E8"/>
    <w:rsid w:val="002E7B22"/>
    <w:rsid w:val="002F7986"/>
    <w:rsid w:val="00301B40"/>
    <w:rsid w:val="003029EE"/>
    <w:rsid w:val="0030370B"/>
    <w:rsid w:val="00305CC8"/>
    <w:rsid w:val="00307F6D"/>
    <w:rsid w:val="003177A2"/>
    <w:rsid w:val="003267F9"/>
    <w:rsid w:val="003271B5"/>
    <w:rsid w:val="00327A1E"/>
    <w:rsid w:val="00331264"/>
    <w:rsid w:val="00334C8D"/>
    <w:rsid w:val="00343A18"/>
    <w:rsid w:val="00344473"/>
    <w:rsid w:val="003518B3"/>
    <w:rsid w:val="00376BA8"/>
    <w:rsid w:val="003846F1"/>
    <w:rsid w:val="003931A7"/>
    <w:rsid w:val="00393649"/>
    <w:rsid w:val="003A37B6"/>
    <w:rsid w:val="003A42E3"/>
    <w:rsid w:val="003B484F"/>
    <w:rsid w:val="003B7FBA"/>
    <w:rsid w:val="003D154A"/>
    <w:rsid w:val="003F174D"/>
    <w:rsid w:val="003F7442"/>
    <w:rsid w:val="00401157"/>
    <w:rsid w:val="00415F31"/>
    <w:rsid w:val="00423A77"/>
    <w:rsid w:val="0045777E"/>
    <w:rsid w:val="0047192F"/>
    <w:rsid w:val="00474EC7"/>
    <w:rsid w:val="0047757C"/>
    <w:rsid w:val="00480B4B"/>
    <w:rsid w:val="00485DC4"/>
    <w:rsid w:val="004A43D1"/>
    <w:rsid w:val="004B4412"/>
    <w:rsid w:val="004C348C"/>
    <w:rsid w:val="004D55BA"/>
    <w:rsid w:val="004E22EC"/>
    <w:rsid w:val="004E534F"/>
    <w:rsid w:val="004F090E"/>
    <w:rsid w:val="004F6A0E"/>
    <w:rsid w:val="005062E6"/>
    <w:rsid w:val="00530128"/>
    <w:rsid w:val="00532467"/>
    <w:rsid w:val="00537FD6"/>
    <w:rsid w:val="00546E8B"/>
    <w:rsid w:val="00563403"/>
    <w:rsid w:val="005635D6"/>
    <w:rsid w:val="00564A4D"/>
    <w:rsid w:val="0056588A"/>
    <w:rsid w:val="00567BA5"/>
    <w:rsid w:val="00571B35"/>
    <w:rsid w:val="00571D57"/>
    <w:rsid w:val="00577A09"/>
    <w:rsid w:val="005829C2"/>
    <w:rsid w:val="00584D8F"/>
    <w:rsid w:val="00586819"/>
    <w:rsid w:val="00591C49"/>
    <w:rsid w:val="00595462"/>
    <w:rsid w:val="0059704C"/>
    <w:rsid w:val="005A404D"/>
    <w:rsid w:val="005B1E3C"/>
    <w:rsid w:val="005B3FB7"/>
    <w:rsid w:val="005B704A"/>
    <w:rsid w:val="005B77FA"/>
    <w:rsid w:val="005C0A7F"/>
    <w:rsid w:val="005C26CC"/>
    <w:rsid w:val="005C4C9C"/>
    <w:rsid w:val="005C4D6D"/>
    <w:rsid w:val="005D7BA2"/>
    <w:rsid w:val="005E138B"/>
    <w:rsid w:val="005E36C2"/>
    <w:rsid w:val="005E73F9"/>
    <w:rsid w:val="006007DE"/>
    <w:rsid w:val="00601638"/>
    <w:rsid w:val="00610C1B"/>
    <w:rsid w:val="00610EF9"/>
    <w:rsid w:val="00612F4F"/>
    <w:rsid w:val="00615C6B"/>
    <w:rsid w:val="00621DCE"/>
    <w:rsid w:val="00632D6D"/>
    <w:rsid w:val="00642C3E"/>
    <w:rsid w:val="00644F35"/>
    <w:rsid w:val="00651C3A"/>
    <w:rsid w:val="00651CB2"/>
    <w:rsid w:val="006560CA"/>
    <w:rsid w:val="0066104A"/>
    <w:rsid w:val="00663DAD"/>
    <w:rsid w:val="00665649"/>
    <w:rsid w:val="006672AA"/>
    <w:rsid w:val="00675E20"/>
    <w:rsid w:val="00676679"/>
    <w:rsid w:val="006801F1"/>
    <w:rsid w:val="00683C89"/>
    <w:rsid w:val="00691D9A"/>
    <w:rsid w:val="006A695E"/>
    <w:rsid w:val="006A6DEC"/>
    <w:rsid w:val="006B2395"/>
    <w:rsid w:val="006B3237"/>
    <w:rsid w:val="006B45A4"/>
    <w:rsid w:val="006B4CF9"/>
    <w:rsid w:val="006B785B"/>
    <w:rsid w:val="006B7AC8"/>
    <w:rsid w:val="006C1736"/>
    <w:rsid w:val="006C4798"/>
    <w:rsid w:val="006D550F"/>
    <w:rsid w:val="006F128E"/>
    <w:rsid w:val="006F3AD1"/>
    <w:rsid w:val="006F3FC8"/>
    <w:rsid w:val="0070011E"/>
    <w:rsid w:val="00701CAB"/>
    <w:rsid w:val="00701F66"/>
    <w:rsid w:val="00707563"/>
    <w:rsid w:val="007110A8"/>
    <w:rsid w:val="0071153D"/>
    <w:rsid w:val="0072090D"/>
    <w:rsid w:val="00722046"/>
    <w:rsid w:val="0072348C"/>
    <w:rsid w:val="00724A37"/>
    <w:rsid w:val="007303C3"/>
    <w:rsid w:val="00741AA2"/>
    <w:rsid w:val="00741C46"/>
    <w:rsid w:val="00741E23"/>
    <w:rsid w:val="007429BE"/>
    <w:rsid w:val="00743223"/>
    <w:rsid w:val="00746E01"/>
    <w:rsid w:val="00747EEA"/>
    <w:rsid w:val="0075654A"/>
    <w:rsid w:val="00757364"/>
    <w:rsid w:val="00757BDF"/>
    <w:rsid w:val="007609D0"/>
    <w:rsid w:val="00763E5D"/>
    <w:rsid w:val="00767740"/>
    <w:rsid w:val="00777EE6"/>
    <w:rsid w:val="00782EEA"/>
    <w:rsid w:val="007B186E"/>
    <w:rsid w:val="007B2C72"/>
    <w:rsid w:val="007C1C53"/>
    <w:rsid w:val="007C74BB"/>
    <w:rsid w:val="007D2B2F"/>
    <w:rsid w:val="007D456E"/>
    <w:rsid w:val="007E4904"/>
    <w:rsid w:val="007E4CB5"/>
    <w:rsid w:val="007F066B"/>
    <w:rsid w:val="007F213A"/>
    <w:rsid w:val="007F75C4"/>
    <w:rsid w:val="0080049F"/>
    <w:rsid w:val="00801110"/>
    <w:rsid w:val="008033C4"/>
    <w:rsid w:val="00806C88"/>
    <w:rsid w:val="0081034E"/>
    <w:rsid w:val="008221F2"/>
    <w:rsid w:val="00822AD7"/>
    <w:rsid w:val="00825985"/>
    <w:rsid w:val="008344F6"/>
    <w:rsid w:val="0083510F"/>
    <w:rsid w:val="00835F1B"/>
    <w:rsid w:val="008408C5"/>
    <w:rsid w:val="00851209"/>
    <w:rsid w:val="0085722A"/>
    <w:rsid w:val="00864B35"/>
    <w:rsid w:val="00882481"/>
    <w:rsid w:val="008837AC"/>
    <w:rsid w:val="00892EB0"/>
    <w:rsid w:val="008A578E"/>
    <w:rsid w:val="008A587D"/>
    <w:rsid w:val="008A6A98"/>
    <w:rsid w:val="008B0511"/>
    <w:rsid w:val="008B35CD"/>
    <w:rsid w:val="008B4529"/>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144CB"/>
    <w:rsid w:val="00916EAB"/>
    <w:rsid w:val="009233EE"/>
    <w:rsid w:val="009244CD"/>
    <w:rsid w:val="009272AD"/>
    <w:rsid w:val="009277DC"/>
    <w:rsid w:val="009460AA"/>
    <w:rsid w:val="00951978"/>
    <w:rsid w:val="00956946"/>
    <w:rsid w:val="009618EA"/>
    <w:rsid w:val="00961A4A"/>
    <w:rsid w:val="009661DE"/>
    <w:rsid w:val="00966FCA"/>
    <w:rsid w:val="00974554"/>
    <w:rsid w:val="00983C25"/>
    <w:rsid w:val="009856B7"/>
    <w:rsid w:val="00985C86"/>
    <w:rsid w:val="00992D77"/>
    <w:rsid w:val="009A5113"/>
    <w:rsid w:val="009A5FC3"/>
    <w:rsid w:val="009B6463"/>
    <w:rsid w:val="009B6F84"/>
    <w:rsid w:val="009B74B0"/>
    <w:rsid w:val="009C6F17"/>
    <w:rsid w:val="009D33E5"/>
    <w:rsid w:val="009D3906"/>
    <w:rsid w:val="009D6B46"/>
    <w:rsid w:val="009D7892"/>
    <w:rsid w:val="009E07BA"/>
    <w:rsid w:val="009E5080"/>
    <w:rsid w:val="009F4940"/>
    <w:rsid w:val="009F5BA1"/>
    <w:rsid w:val="009F74CD"/>
    <w:rsid w:val="00A02A88"/>
    <w:rsid w:val="00A0562E"/>
    <w:rsid w:val="00A0726D"/>
    <w:rsid w:val="00A07365"/>
    <w:rsid w:val="00A32FBB"/>
    <w:rsid w:val="00A428EE"/>
    <w:rsid w:val="00A4478A"/>
    <w:rsid w:val="00A44852"/>
    <w:rsid w:val="00A4650A"/>
    <w:rsid w:val="00A50502"/>
    <w:rsid w:val="00A51852"/>
    <w:rsid w:val="00A57D04"/>
    <w:rsid w:val="00A60A26"/>
    <w:rsid w:val="00A61598"/>
    <w:rsid w:val="00A84A99"/>
    <w:rsid w:val="00A84F46"/>
    <w:rsid w:val="00A85B77"/>
    <w:rsid w:val="00A871F4"/>
    <w:rsid w:val="00A95F36"/>
    <w:rsid w:val="00AC1B2C"/>
    <w:rsid w:val="00AC3264"/>
    <w:rsid w:val="00AD5B86"/>
    <w:rsid w:val="00AE1BF1"/>
    <w:rsid w:val="00AF0DD2"/>
    <w:rsid w:val="00AF433C"/>
    <w:rsid w:val="00AF448E"/>
    <w:rsid w:val="00AF5B35"/>
    <w:rsid w:val="00B0209D"/>
    <w:rsid w:val="00B07CEA"/>
    <w:rsid w:val="00B13048"/>
    <w:rsid w:val="00B1716D"/>
    <w:rsid w:val="00B17A1D"/>
    <w:rsid w:val="00B207A0"/>
    <w:rsid w:val="00B27914"/>
    <w:rsid w:val="00B40BE8"/>
    <w:rsid w:val="00B47DCA"/>
    <w:rsid w:val="00B514DD"/>
    <w:rsid w:val="00B51F3F"/>
    <w:rsid w:val="00B52AF0"/>
    <w:rsid w:val="00B53AB1"/>
    <w:rsid w:val="00B561BD"/>
    <w:rsid w:val="00B56E03"/>
    <w:rsid w:val="00B61EDF"/>
    <w:rsid w:val="00B723AE"/>
    <w:rsid w:val="00B757A6"/>
    <w:rsid w:val="00B8080B"/>
    <w:rsid w:val="00B82223"/>
    <w:rsid w:val="00B87BA5"/>
    <w:rsid w:val="00B87C39"/>
    <w:rsid w:val="00B9562D"/>
    <w:rsid w:val="00BA4665"/>
    <w:rsid w:val="00BB2FB2"/>
    <w:rsid w:val="00BB3304"/>
    <w:rsid w:val="00BB7528"/>
    <w:rsid w:val="00BD310B"/>
    <w:rsid w:val="00BD3446"/>
    <w:rsid w:val="00BE1F1B"/>
    <w:rsid w:val="00BE47B5"/>
    <w:rsid w:val="00BF4D8B"/>
    <w:rsid w:val="00C04223"/>
    <w:rsid w:val="00C25FA6"/>
    <w:rsid w:val="00C343AF"/>
    <w:rsid w:val="00C42ACA"/>
    <w:rsid w:val="00C46256"/>
    <w:rsid w:val="00C538A9"/>
    <w:rsid w:val="00C53B5A"/>
    <w:rsid w:val="00C54F5A"/>
    <w:rsid w:val="00C569B4"/>
    <w:rsid w:val="00C56A3E"/>
    <w:rsid w:val="00C67A92"/>
    <w:rsid w:val="00C70C0A"/>
    <w:rsid w:val="00C73A40"/>
    <w:rsid w:val="00C7497E"/>
    <w:rsid w:val="00C84560"/>
    <w:rsid w:val="00C84F52"/>
    <w:rsid w:val="00C86679"/>
    <w:rsid w:val="00CA122A"/>
    <w:rsid w:val="00CA489E"/>
    <w:rsid w:val="00CA52A2"/>
    <w:rsid w:val="00CA604B"/>
    <w:rsid w:val="00CA7F66"/>
    <w:rsid w:val="00CB0279"/>
    <w:rsid w:val="00CB666B"/>
    <w:rsid w:val="00CC7F1D"/>
    <w:rsid w:val="00CE484B"/>
    <w:rsid w:val="00CF0DEE"/>
    <w:rsid w:val="00CF6EDE"/>
    <w:rsid w:val="00D006AE"/>
    <w:rsid w:val="00D01CF0"/>
    <w:rsid w:val="00D01EFD"/>
    <w:rsid w:val="00D0442A"/>
    <w:rsid w:val="00D17683"/>
    <w:rsid w:val="00D45694"/>
    <w:rsid w:val="00D61388"/>
    <w:rsid w:val="00D61A54"/>
    <w:rsid w:val="00D64DEA"/>
    <w:rsid w:val="00D6684D"/>
    <w:rsid w:val="00D7168E"/>
    <w:rsid w:val="00D71E57"/>
    <w:rsid w:val="00D75AA2"/>
    <w:rsid w:val="00D80893"/>
    <w:rsid w:val="00D8137B"/>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0A6A"/>
    <w:rsid w:val="00E51D65"/>
    <w:rsid w:val="00E60D2F"/>
    <w:rsid w:val="00E6200B"/>
    <w:rsid w:val="00E63BAA"/>
    <w:rsid w:val="00E65C85"/>
    <w:rsid w:val="00E66199"/>
    <w:rsid w:val="00E711C7"/>
    <w:rsid w:val="00E755EC"/>
    <w:rsid w:val="00E7624D"/>
    <w:rsid w:val="00E92D3D"/>
    <w:rsid w:val="00EA34ED"/>
    <w:rsid w:val="00EA3D42"/>
    <w:rsid w:val="00EA6B1B"/>
    <w:rsid w:val="00EB5BC8"/>
    <w:rsid w:val="00EB606C"/>
    <w:rsid w:val="00EC04F1"/>
    <w:rsid w:val="00ED0EC2"/>
    <w:rsid w:val="00ED6FBF"/>
    <w:rsid w:val="00ED7323"/>
    <w:rsid w:val="00EE28F3"/>
    <w:rsid w:val="00EE50D1"/>
    <w:rsid w:val="00EF5110"/>
    <w:rsid w:val="00F00AC7"/>
    <w:rsid w:val="00F0334E"/>
    <w:rsid w:val="00F0414E"/>
    <w:rsid w:val="00F10411"/>
    <w:rsid w:val="00F130DB"/>
    <w:rsid w:val="00F15882"/>
    <w:rsid w:val="00F171E0"/>
    <w:rsid w:val="00F20BD3"/>
    <w:rsid w:val="00F2526A"/>
    <w:rsid w:val="00F373A5"/>
    <w:rsid w:val="00F424C9"/>
    <w:rsid w:val="00F47559"/>
    <w:rsid w:val="00F61176"/>
    <w:rsid w:val="00F64C7B"/>
    <w:rsid w:val="00F65B25"/>
    <w:rsid w:val="00F676DD"/>
    <w:rsid w:val="00F71667"/>
    <w:rsid w:val="00F75A26"/>
    <w:rsid w:val="00F76706"/>
    <w:rsid w:val="00F768C8"/>
    <w:rsid w:val="00F81B8D"/>
    <w:rsid w:val="00F83FAD"/>
    <w:rsid w:val="00F8653A"/>
    <w:rsid w:val="00F92349"/>
    <w:rsid w:val="00F92B11"/>
    <w:rsid w:val="00F952A0"/>
    <w:rsid w:val="00FA3C7F"/>
    <w:rsid w:val="00FB4402"/>
    <w:rsid w:val="00FB60FE"/>
    <w:rsid w:val="00FB74E2"/>
    <w:rsid w:val="00FC71DC"/>
    <w:rsid w:val="00FD2ED2"/>
    <w:rsid w:val="00FD3055"/>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A4C97-4A7A-4A3C-A33E-9410EB49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A446CDD6</Template>
  <TotalTime>0</TotalTime>
  <Pages>18</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2015-10-24T23:28:00Z</dcterms:created>
  <dcterms:modified xsi:type="dcterms:W3CDTF">2015-10-24T23:28:00Z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8429471</vt:lpwstr>
  </property>
  <property fmtid="{D5CDD505-2E9C-101B-9397-08002B2CF9AE}" pid="3" name="_MarkAsFinal">
    <vt:bool>true</vt:bool>
  </property>
</Properties>
</file>