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E406B9A" wp14:editId="286CA599">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8A7262" w:rsidP="008F07A3">
          <w:pPr>
            <w:pStyle w:val="ReportSubtitle"/>
          </w:pPr>
          <w:r>
            <w:t>Powercor</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2B573C">
            <w:t>2</w:t>
          </w:r>
          <w:r w:rsidR="00DA4752">
            <w:t xml:space="preserve"> </w:t>
          </w:r>
          <w:r w:rsidR="00415F31">
            <w:rPr>
              <w:rFonts w:cs="Arial"/>
            </w:rPr>
            <w:t>–</w:t>
          </w:r>
          <w:r w:rsidR="00DA4752">
            <w:t xml:space="preserve"> </w:t>
          </w:r>
          <w:r w:rsidR="002B573C">
            <w:t>Regulatory asset base</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33172709"/>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8A7262">
        <w:t>Powercor</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272CA0" w:rsidRDefault="00272CA0" w:rsidP="0070011E">
      <w:r w:rsidRPr="001663B6">
        <w:t>Attachment 1</w:t>
      </w:r>
      <w:r w:rsidR="00173BF6">
        <w:t>8</w:t>
      </w:r>
      <w:r w:rsidRPr="001663B6">
        <w:t xml:space="preserve"> - </w:t>
      </w:r>
      <w:r>
        <w:t>f-</w:t>
      </w:r>
      <w:r w:rsidRPr="001663B6">
        <w:t>factor scheme</w:t>
      </w:r>
    </w:p>
    <w:p w:rsidR="00DE563D" w:rsidRPr="00A72B34" w:rsidRDefault="00DE563D" w:rsidP="00DE772C">
      <w:pPr>
        <w:pStyle w:val="UnnumberedHeading"/>
        <w:numPr>
          <w:ilvl w:val="0"/>
          <w:numId w:val="23"/>
        </w:numPr>
      </w:pPr>
      <w:bookmarkStart w:id="6" w:name="_Toc403144133"/>
      <w:bookmarkStart w:id="7" w:name="_Toc433172710"/>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BF206B" w:rsidRDefault="00BF206B">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33172709" w:history="1">
            <w:r w:rsidRPr="00AC3A64">
              <w:rPr>
                <w:rStyle w:val="Hyperlink"/>
              </w:rPr>
              <w:t>Note</w:t>
            </w:r>
            <w:r>
              <w:rPr>
                <w:webHidden/>
              </w:rPr>
              <w:tab/>
            </w:r>
            <w:r>
              <w:rPr>
                <w:webHidden/>
              </w:rPr>
              <w:fldChar w:fldCharType="begin"/>
            </w:r>
            <w:r>
              <w:rPr>
                <w:webHidden/>
              </w:rPr>
              <w:instrText xml:space="preserve"> PAGEREF _Toc433172709 \h </w:instrText>
            </w:r>
            <w:r>
              <w:rPr>
                <w:webHidden/>
              </w:rPr>
            </w:r>
            <w:r>
              <w:rPr>
                <w:webHidden/>
              </w:rPr>
              <w:fldChar w:fldCharType="separate"/>
            </w:r>
            <w:r w:rsidR="00C647D4">
              <w:rPr>
                <w:webHidden/>
              </w:rPr>
              <w:t>2-2</w:t>
            </w:r>
            <w:r>
              <w:rPr>
                <w:webHidden/>
              </w:rPr>
              <w:fldChar w:fldCharType="end"/>
            </w:r>
          </w:hyperlink>
        </w:p>
        <w:p w:rsidR="00BF206B" w:rsidRDefault="003F7350">
          <w:pPr>
            <w:pStyle w:val="TOC1"/>
            <w:rPr>
              <w:rFonts w:asciiTheme="minorHAnsi" w:eastAsiaTheme="minorEastAsia" w:hAnsiTheme="minorHAnsi"/>
              <w:b w:val="0"/>
              <w:color w:val="auto"/>
              <w:sz w:val="22"/>
              <w:lang w:val="en-AU" w:eastAsia="en-AU"/>
            </w:rPr>
          </w:pPr>
          <w:hyperlink w:anchor="_Toc433172710" w:history="1">
            <w:r w:rsidR="00BF206B" w:rsidRPr="00AC3A64">
              <w:rPr>
                <w:rStyle w:val="Hyperlink"/>
              </w:rPr>
              <w:t>Contents</w:t>
            </w:r>
            <w:r w:rsidR="00BF206B">
              <w:rPr>
                <w:webHidden/>
              </w:rPr>
              <w:tab/>
            </w:r>
            <w:r w:rsidR="00BF206B">
              <w:rPr>
                <w:webHidden/>
              </w:rPr>
              <w:fldChar w:fldCharType="begin"/>
            </w:r>
            <w:r w:rsidR="00BF206B">
              <w:rPr>
                <w:webHidden/>
              </w:rPr>
              <w:instrText xml:space="preserve"> PAGEREF _Toc433172710 \h </w:instrText>
            </w:r>
            <w:r w:rsidR="00BF206B">
              <w:rPr>
                <w:webHidden/>
              </w:rPr>
            </w:r>
            <w:r w:rsidR="00BF206B">
              <w:rPr>
                <w:webHidden/>
              </w:rPr>
              <w:fldChar w:fldCharType="separate"/>
            </w:r>
            <w:r w:rsidR="00C647D4">
              <w:rPr>
                <w:webHidden/>
              </w:rPr>
              <w:t>2-3</w:t>
            </w:r>
            <w:r w:rsidR="00BF206B">
              <w:rPr>
                <w:webHidden/>
              </w:rPr>
              <w:fldChar w:fldCharType="end"/>
            </w:r>
          </w:hyperlink>
        </w:p>
        <w:p w:rsidR="00BF206B" w:rsidRDefault="003F7350">
          <w:pPr>
            <w:pStyle w:val="TOC1"/>
            <w:rPr>
              <w:rFonts w:asciiTheme="minorHAnsi" w:eastAsiaTheme="minorEastAsia" w:hAnsiTheme="minorHAnsi"/>
              <w:b w:val="0"/>
              <w:color w:val="auto"/>
              <w:sz w:val="22"/>
              <w:lang w:val="en-AU" w:eastAsia="en-AU"/>
            </w:rPr>
          </w:pPr>
          <w:hyperlink w:anchor="_Toc433172711" w:history="1">
            <w:r w:rsidR="00BF206B" w:rsidRPr="00AC3A64">
              <w:rPr>
                <w:rStyle w:val="Hyperlink"/>
              </w:rPr>
              <w:t>Shortened forms</w:t>
            </w:r>
            <w:r w:rsidR="00BF206B">
              <w:rPr>
                <w:webHidden/>
              </w:rPr>
              <w:tab/>
            </w:r>
            <w:r w:rsidR="00BF206B">
              <w:rPr>
                <w:webHidden/>
              </w:rPr>
              <w:fldChar w:fldCharType="begin"/>
            </w:r>
            <w:r w:rsidR="00BF206B">
              <w:rPr>
                <w:webHidden/>
              </w:rPr>
              <w:instrText xml:space="preserve"> PAGEREF _Toc433172711 \h </w:instrText>
            </w:r>
            <w:r w:rsidR="00BF206B">
              <w:rPr>
                <w:webHidden/>
              </w:rPr>
            </w:r>
            <w:r w:rsidR="00BF206B">
              <w:rPr>
                <w:webHidden/>
              </w:rPr>
              <w:fldChar w:fldCharType="separate"/>
            </w:r>
            <w:r w:rsidR="00C647D4">
              <w:rPr>
                <w:webHidden/>
              </w:rPr>
              <w:t>2-4</w:t>
            </w:r>
            <w:r w:rsidR="00BF206B">
              <w:rPr>
                <w:webHidden/>
              </w:rPr>
              <w:fldChar w:fldCharType="end"/>
            </w:r>
          </w:hyperlink>
        </w:p>
        <w:p w:rsidR="00BF206B" w:rsidRDefault="003F7350">
          <w:pPr>
            <w:pStyle w:val="TOC1"/>
            <w:rPr>
              <w:rFonts w:asciiTheme="minorHAnsi" w:eastAsiaTheme="minorEastAsia" w:hAnsiTheme="minorHAnsi"/>
              <w:b w:val="0"/>
              <w:color w:val="auto"/>
              <w:sz w:val="22"/>
              <w:lang w:val="en-AU" w:eastAsia="en-AU"/>
            </w:rPr>
          </w:pPr>
          <w:hyperlink w:anchor="_Toc433172712" w:history="1">
            <w:r w:rsidR="00BF206B" w:rsidRPr="00AC3A64">
              <w:rPr>
                <w:rStyle w:val="Hyperlink"/>
              </w:rPr>
              <w:t>2</w:t>
            </w:r>
            <w:r w:rsidR="00BF206B">
              <w:rPr>
                <w:rFonts w:asciiTheme="minorHAnsi" w:eastAsiaTheme="minorEastAsia" w:hAnsiTheme="minorHAnsi"/>
                <w:b w:val="0"/>
                <w:color w:val="auto"/>
                <w:sz w:val="22"/>
                <w:lang w:val="en-AU" w:eastAsia="en-AU"/>
              </w:rPr>
              <w:tab/>
            </w:r>
            <w:r w:rsidR="00BF206B" w:rsidRPr="00AC3A64">
              <w:rPr>
                <w:rStyle w:val="Hyperlink"/>
              </w:rPr>
              <w:t>Regulatory asset base</w:t>
            </w:r>
            <w:r w:rsidR="00BF206B">
              <w:rPr>
                <w:webHidden/>
              </w:rPr>
              <w:tab/>
            </w:r>
            <w:r w:rsidR="00BF206B">
              <w:rPr>
                <w:webHidden/>
              </w:rPr>
              <w:fldChar w:fldCharType="begin"/>
            </w:r>
            <w:r w:rsidR="00BF206B">
              <w:rPr>
                <w:webHidden/>
              </w:rPr>
              <w:instrText xml:space="preserve"> PAGEREF _Toc433172712 \h </w:instrText>
            </w:r>
            <w:r w:rsidR="00BF206B">
              <w:rPr>
                <w:webHidden/>
              </w:rPr>
            </w:r>
            <w:r w:rsidR="00BF206B">
              <w:rPr>
                <w:webHidden/>
              </w:rPr>
              <w:fldChar w:fldCharType="separate"/>
            </w:r>
            <w:r w:rsidR="00C647D4">
              <w:rPr>
                <w:webHidden/>
              </w:rPr>
              <w:t>2-6</w:t>
            </w:r>
            <w:r w:rsidR="00BF206B">
              <w:rPr>
                <w:webHidden/>
              </w:rPr>
              <w:fldChar w:fldCharType="end"/>
            </w:r>
          </w:hyperlink>
        </w:p>
        <w:p w:rsidR="00BF206B" w:rsidRDefault="003F7350">
          <w:pPr>
            <w:pStyle w:val="TOC2"/>
            <w:rPr>
              <w:rFonts w:asciiTheme="minorHAnsi" w:eastAsiaTheme="minorEastAsia" w:hAnsiTheme="minorHAnsi"/>
              <w:b w:val="0"/>
              <w:color w:val="auto"/>
              <w:sz w:val="22"/>
              <w:lang w:eastAsia="en-AU"/>
            </w:rPr>
          </w:pPr>
          <w:hyperlink w:anchor="_Toc433172713" w:history="1">
            <w:r w:rsidR="00BF206B" w:rsidRPr="00AC3A64">
              <w:rPr>
                <w:rStyle w:val="Hyperlink"/>
              </w:rPr>
              <w:t>2.1</w:t>
            </w:r>
            <w:r w:rsidR="00BF206B">
              <w:rPr>
                <w:rFonts w:asciiTheme="minorHAnsi" w:eastAsiaTheme="minorEastAsia" w:hAnsiTheme="minorHAnsi"/>
                <w:b w:val="0"/>
                <w:color w:val="auto"/>
                <w:sz w:val="22"/>
                <w:lang w:eastAsia="en-AU"/>
              </w:rPr>
              <w:tab/>
            </w:r>
            <w:r w:rsidR="00BF206B" w:rsidRPr="00AC3A64">
              <w:rPr>
                <w:rStyle w:val="Hyperlink"/>
              </w:rPr>
              <w:t>Preliminary decision</w:t>
            </w:r>
            <w:r w:rsidR="00BF206B">
              <w:rPr>
                <w:webHidden/>
              </w:rPr>
              <w:tab/>
            </w:r>
            <w:r w:rsidR="00BF206B">
              <w:rPr>
                <w:webHidden/>
              </w:rPr>
              <w:fldChar w:fldCharType="begin"/>
            </w:r>
            <w:r w:rsidR="00BF206B">
              <w:rPr>
                <w:webHidden/>
              </w:rPr>
              <w:instrText xml:space="preserve"> PAGEREF _Toc433172713 \h </w:instrText>
            </w:r>
            <w:r w:rsidR="00BF206B">
              <w:rPr>
                <w:webHidden/>
              </w:rPr>
            </w:r>
            <w:r w:rsidR="00BF206B">
              <w:rPr>
                <w:webHidden/>
              </w:rPr>
              <w:fldChar w:fldCharType="separate"/>
            </w:r>
            <w:r w:rsidR="00C647D4">
              <w:rPr>
                <w:webHidden/>
              </w:rPr>
              <w:t>2-6</w:t>
            </w:r>
            <w:r w:rsidR="00BF206B">
              <w:rPr>
                <w:webHidden/>
              </w:rPr>
              <w:fldChar w:fldCharType="end"/>
            </w:r>
          </w:hyperlink>
        </w:p>
        <w:p w:rsidR="00BF206B" w:rsidRDefault="003F7350">
          <w:pPr>
            <w:pStyle w:val="TOC2"/>
            <w:rPr>
              <w:rFonts w:asciiTheme="minorHAnsi" w:eastAsiaTheme="minorEastAsia" w:hAnsiTheme="minorHAnsi"/>
              <w:b w:val="0"/>
              <w:color w:val="auto"/>
              <w:sz w:val="22"/>
              <w:lang w:eastAsia="en-AU"/>
            </w:rPr>
          </w:pPr>
          <w:hyperlink w:anchor="_Toc433172714" w:history="1">
            <w:r w:rsidR="00BF206B" w:rsidRPr="00AC3A64">
              <w:rPr>
                <w:rStyle w:val="Hyperlink"/>
              </w:rPr>
              <w:t>2.2</w:t>
            </w:r>
            <w:r w:rsidR="00BF206B">
              <w:rPr>
                <w:rFonts w:asciiTheme="minorHAnsi" w:eastAsiaTheme="minorEastAsia" w:hAnsiTheme="minorHAnsi"/>
                <w:b w:val="0"/>
                <w:color w:val="auto"/>
                <w:sz w:val="22"/>
                <w:lang w:eastAsia="en-AU"/>
              </w:rPr>
              <w:tab/>
            </w:r>
            <w:r w:rsidR="00BF206B" w:rsidRPr="00AC3A64">
              <w:rPr>
                <w:rStyle w:val="Hyperlink"/>
              </w:rPr>
              <w:t>Powercor's proposal</w:t>
            </w:r>
            <w:r w:rsidR="00BF206B">
              <w:rPr>
                <w:webHidden/>
              </w:rPr>
              <w:tab/>
            </w:r>
            <w:r w:rsidR="00BF206B">
              <w:rPr>
                <w:webHidden/>
              </w:rPr>
              <w:fldChar w:fldCharType="begin"/>
            </w:r>
            <w:r w:rsidR="00BF206B">
              <w:rPr>
                <w:webHidden/>
              </w:rPr>
              <w:instrText xml:space="preserve"> PAGEREF _Toc433172714 \h </w:instrText>
            </w:r>
            <w:r w:rsidR="00BF206B">
              <w:rPr>
                <w:webHidden/>
              </w:rPr>
            </w:r>
            <w:r w:rsidR="00BF206B">
              <w:rPr>
                <w:webHidden/>
              </w:rPr>
              <w:fldChar w:fldCharType="separate"/>
            </w:r>
            <w:r w:rsidR="00C647D4">
              <w:rPr>
                <w:webHidden/>
              </w:rPr>
              <w:t>2-8</w:t>
            </w:r>
            <w:r w:rsidR="00BF206B">
              <w:rPr>
                <w:webHidden/>
              </w:rPr>
              <w:fldChar w:fldCharType="end"/>
            </w:r>
          </w:hyperlink>
        </w:p>
        <w:p w:rsidR="00BF206B" w:rsidRDefault="003F7350">
          <w:pPr>
            <w:pStyle w:val="TOC2"/>
            <w:rPr>
              <w:rFonts w:asciiTheme="minorHAnsi" w:eastAsiaTheme="minorEastAsia" w:hAnsiTheme="minorHAnsi"/>
              <w:b w:val="0"/>
              <w:color w:val="auto"/>
              <w:sz w:val="22"/>
              <w:lang w:eastAsia="en-AU"/>
            </w:rPr>
          </w:pPr>
          <w:hyperlink w:anchor="_Toc433172715" w:history="1">
            <w:r w:rsidR="00BF206B" w:rsidRPr="00AC3A64">
              <w:rPr>
                <w:rStyle w:val="Hyperlink"/>
              </w:rPr>
              <w:t>2.3</w:t>
            </w:r>
            <w:r w:rsidR="00BF206B">
              <w:rPr>
                <w:rFonts w:asciiTheme="minorHAnsi" w:eastAsiaTheme="minorEastAsia" w:hAnsiTheme="minorHAnsi"/>
                <w:b w:val="0"/>
                <w:color w:val="auto"/>
                <w:sz w:val="22"/>
                <w:lang w:eastAsia="en-AU"/>
              </w:rPr>
              <w:tab/>
            </w:r>
            <w:r w:rsidR="00BF206B" w:rsidRPr="00AC3A64">
              <w:rPr>
                <w:rStyle w:val="Hyperlink"/>
              </w:rPr>
              <w:t>AER’s assessment approach</w:t>
            </w:r>
            <w:r w:rsidR="00BF206B">
              <w:rPr>
                <w:webHidden/>
              </w:rPr>
              <w:tab/>
            </w:r>
            <w:r w:rsidR="00BF206B">
              <w:rPr>
                <w:webHidden/>
              </w:rPr>
              <w:fldChar w:fldCharType="begin"/>
            </w:r>
            <w:r w:rsidR="00BF206B">
              <w:rPr>
                <w:webHidden/>
              </w:rPr>
              <w:instrText xml:space="preserve"> PAGEREF _Toc433172715 \h </w:instrText>
            </w:r>
            <w:r w:rsidR="00BF206B">
              <w:rPr>
                <w:webHidden/>
              </w:rPr>
            </w:r>
            <w:r w:rsidR="00BF206B">
              <w:rPr>
                <w:webHidden/>
              </w:rPr>
              <w:fldChar w:fldCharType="separate"/>
            </w:r>
            <w:r w:rsidR="00C647D4">
              <w:rPr>
                <w:webHidden/>
              </w:rPr>
              <w:t>2-9</w:t>
            </w:r>
            <w:r w:rsidR="00BF206B">
              <w:rPr>
                <w:webHidden/>
              </w:rPr>
              <w:fldChar w:fldCharType="end"/>
            </w:r>
          </w:hyperlink>
        </w:p>
        <w:p w:rsidR="00BF206B" w:rsidRDefault="003F7350">
          <w:pPr>
            <w:pStyle w:val="TOC3"/>
            <w:rPr>
              <w:rFonts w:asciiTheme="minorHAnsi" w:eastAsiaTheme="minorEastAsia" w:hAnsiTheme="minorHAnsi"/>
              <w:lang w:eastAsia="en-AU"/>
            </w:rPr>
          </w:pPr>
          <w:hyperlink w:anchor="_Toc433172716" w:history="1">
            <w:r w:rsidR="00BF206B" w:rsidRPr="00AC3A64">
              <w:rPr>
                <w:rStyle w:val="Hyperlink"/>
              </w:rPr>
              <w:t>2.3.1</w:t>
            </w:r>
            <w:r w:rsidR="00BF206B">
              <w:rPr>
                <w:rFonts w:asciiTheme="minorHAnsi" w:eastAsiaTheme="minorEastAsia" w:hAnsiTheme="minorHAnsi"/>
                <w:lang w:eastAsia="en-AU"/>
              </w:rPr>
              <w:tab/>
            </w:r>
            <w:r w:rsidR="00BF206B" w:rsidRPr="00AC3A64">
              <w:rPr>
                <w:rStyle w:val="Hyperlink"/>
              </w:rPr>
              <w:t>Interrelationships</w:t>
            </w:r>
            <w:r w:rsidR="00BF206B">
              <w:rPr>
                <w:webHidden/>
              </w:rPr>
              <w:tab/>
            </w:r>
            <w:r w:rsidR="00BF206B">
              <w:rPr>
                <w:webHidden/>
              </w:rPr>
              <w:fldChar w:fldCharType="begin"/>
            </w:r>
            <w:r w:rsidR="00BF206B">
              <w:rPr>
                <w:webHidden/>
              </w:rPr>
              <w:instrText xml:space="preserve"> PAGEREF _Toc433172716 \h </w:instrText>
            </w:r>
            <w:r w:rsidR="00BF206B">
              <w:rPr>
                <w:webHidden/>
              </w:rPr>
            </w:r>
            <w:r w:rsidR="00BF206B">
              <w:rPr>
                <w:webHidden/>
              </w:rPr>
              <w:fldChar w:fldCharType="separate"/>
            </w:r>
            <w:r w:rsidR="00C647D4">
              <w:rPr>
                <w:webHidden/>
              </w:rPr>
              <w:t>2-11</w:t>
            </w:r>
            <w:r w:rsidR="00BF206B">
              <w:rPr>
                <w:webHidden/>
              </w:rPr>
              <w:fldChar w:fldCharType="end"/>
            </w:r>
          </w:hyperlink>
        </w:p>
        <w:p w:rsidR="00BF206B" w:rsidRDefault="003F7350">
          <w:pPr>
            <w:pStyle w:val="TOC2"/>
            <w:rPr>
              <w:rFonts w:asciiTheme="minorHAnsi" w:eastAsiaTheme="minorEastAsia" w:hAnsiTheme="minorHAnsi"/>
              <w:b w:val="0"/>
              <w:color w:val="auto"/>
              <w:sz w:val="22"/>
              <w:lang w:eastAsia="en-AU"/>
            </w:rPr>
          </w:pPr>
          <w:hyperlink w:anchor="_Toc433172717" w:history="1">
            <w:r w:rsidR="00BF206B" w:rsidRPr="00AC3A64">
              <w:rPr>
                <w:rStyle w:val="Hyperlink"/>
              </w:rPr>
              <w:t>2.4</w:t>
            </w:r>
            <w:r w:rsidR="00BF206B">
              <w:rPr>
                <w:rFonts w:asciiTheme="minorHAnsi" w:eastAsiaTheme="minorEastAsia" w:hAnsiTheme="minorHAnsi"/>
                <w:b w:val="0"/>
                <w:color w:val="auto"/>
                <w:sz w:val="22"/>
                <w:lang w:eastAsia="en-AU"/>
              </w:rPr>
              <w:tab/>
            </w:r>
            <w:r w:rsidR="00BF206B" w:rsidRPr="00AC3A64">
              <w:rPr>
                <w:rStyle w:val="Hyperlink"/>
              </w:rPr>
              <w:t>Reasons for preliminary decision</w:t>
            </w:r>
            <w:r w:rsidR="00BF206B">
              <w:rPr>
                <w:webHidden/>
              </w:rPr>
              <w:tab/>
            </w:r>
            <w:r w:rsidR="00BF206B">
              <w:rPr>
                <w:webHidden/>
              </w:rPr>
              <w:fldChar w:fldCharType="begin"/>
            </w:r>
            <w:r w:rsidR="00BF206B">
              <w:rPr>
                <w:webHidden/>
              </w:rPr>
              <w:instrText xml:space="preserve"> PAGEREF _Toc433172717 \h </w:instrText>
            </w:r>
            <w:r w:rsidR="00BF206B">
              <w:rPr>
                <w:webHidden/>
              </w:rPr>
            </w:r>
            <w:r w:rsidR="00BF206B">
              <w:rPr>
                <w:webHidden/>
              </w:rPr>
              <w:fldChar w:fldCharType="separate"/>
            </w:r>
            <w:r w:rsidR="00C647D4">
              <w:rPr>
                <w:webHidden/>
              </w:rPr>
              <w:t>2-13</w:t>
            </w:r>
            <w:r w:rsidR="00BF206B">
              <w:rPr>
                <w:webHidden/>
              </w:rPr>
              <w:fldChar w:fldCharType="end"/>
            </w:r>
          </w:hyperlink>
        </w:p>
        <w:p w:rsidR="00BF206B" w:rsidRDefault="003F7350">
          <w:pPr>
            <w:pStyle w:val="TOC3"/>
            <w:rPr>
              <w:rFonts w:asciiTheme="minorHAnsi" w:eastAsiaTheme="minorEastAsia" w:hAnsiTheme="minorHAnsi"/>
              <w:lang w:eastAsia="en-AU"/>
            </w:rPr>
          </w:pPr>
          <w:hyperlink w:anchor="_Toc433172718" w:history="1">
            <w:r w:rsidR="00BF206B" w:rsidRPr="00AC3A64">
              <w:rPr>
                <w:rStyle w:val="Hyperlink"/>
              </w:rPr>
              <w:t>2.4.1</w:t>
            </w:r>
            <w:r w:rsidR="00BF206B">
              <w:rPr>
                <w:rFonts w:asciiTheme="minorHAnsi" w:eastAsiaTheme="minorEastAsia" w:hAnsiTheme="minorHAnsi"/>
                <w:lang w:eastAsia="en-AU"/>
              </w:rPr>
              <w:tab/>
            </w:r>
            <w:r w:rsidR="00BF206B" w:rsidRPr="00AC3A64">
              <w:rPr>
                <w:rStyle w:val="Hyperlink"/>
              </w:rPr>
              <w:t>Opening RAB as at 1 January 2016</w:t>
            </w:r>
            <w:r w:rsidR="00BF206B">
              <w:rPr>
                <w:webHidden/>
              </w:rPr>
              <w:tab/>
            </w:r>
            <w:r w:rsidR="00BF206B">
              <w:rPr>
                <w:webHidden/>
              </w:rPr>
              <w:fldChar w:fldCharType="begin"/>
            </w:r>
            <w:r w:rsidR="00BF206B">
              <w:rPr>
                <w:webHidden/>
              </w:rPr>
              <w:instrText xml:space="preserve"> PAGEREF _Toc433172718 \h </w:instrText>
            </w:r>
            <w:r w:rsidR="00BF206B">
              <w:rPr>
                <w:webHidden/>
              </w:rPr>
            </w:r>
            <w:r w:rsidR="00BF206B">
              <w:rPr>
                <w:webHidden/>
              </w:rPr>
              <w:fldChar w:fldCharType="separate"/>
            </w:r>
            <w:r w:rsidR="00C647D4">
              <w:rPr>
                <w:webHidden/>
              </w:rPr>
              <w:t>2-13</w:t>
            </w:r>
            <w:r w:rsidR="00BF206B">
              <w:rPr>
                <w:webHidden/>
              </w:rPr>
              <w:fldChar w:fldCharType="end"/>
            </w:r>
          </w:hyperlink>
        </w:p>
        <w:p w:rsidR="00BF206B" w:rsidRDefault="003F7350">
          <w:pPr>
            <w:pStyle w:val="TOC3"/>
            <w:rPr>
              <w:rFonts w:asciiTheme="minorHAnsi" w:eastAsiaTheme="minorEastAsia" w:hAnsiTheme="minorHAnsi"/>
              <w:lang w:eastAsia="en-AU"/>
            </w:rPr>
          </w:pPr>
          <w:hyperlink w:anchor="_Toc433172719" w:history="1">
            <w:r w:rsidR="00BF206B" w:rsidRPr="00AC3A64">
              <w:rPr>
                <w:rStyle w:val="Hyperlink"/>
              </w:rPr>
              <w:t>2.4.2</w:t>
            </w:r>
            <w:r w:rsidR="00BF206B">
              <w:rPr>
                <w:rFonts w:asciiTheme="minorHAnsi" w:eastAsiaTheme="minorEastAsia" w:hAnsiTheme="minorHAnsi"/>
                <w:lang w:eastAsia="en-AU"/>
              </w:rPr>
              <w:tab/>
            </w:r>
            <w:r w:rsidR="00BF206B" w:rsidRPr="00AC3A64">
              <w:rPr>
                <w:rStyle w:val="Hyperlink"/>
              </w:rPr>
              <w:t>Forecast closing RAB as at 31 December 2020</w:t>
            </w:r>
            <w:r w:rsidR="00BF206B">
              <w:rPr>
                <w:webHidden/>
              </w:rPr>
              <w:tab/>
            </w:r>
            <w:r w:rsidR="00BF206B">
              <w:rPr>
                <w:webHidden/>
              </w:rPr>
              <w:fldChar w:fldCharType="begin"/>
            </w:r>
            <w:r w:rsidR="00BF206B">
              <w:rPr>
                <w:webHidden/>
              </w:rPr>
              <w:instrText xml:space="preserve"> PAGEREF _Toc433172719 \h </w:instrText>
            </w:r>
            <w:r w:rsidR="00BF206B">
              <w:rPr>
                <w:webHidden/>
              </w:rPr>
            </w:r>
            <w:r w:rsidR="00BF206B">
              <w:rPr>
                <w:webHidden/>
              </w:rPr>
              <w:fldChar w:fldCharType="separate"/>
            </w:r>
            <w:r w:rsidR="00C647D4">
              <w:rPr>
                <w:webHidden/>
              </w:rPr>
              <w:t>2-16</w:t>
            </w:r>
            <w:r w:rsidR="00BF206B">
              <w:rPr>
                <w:webHidden/>
              </w:rPr>
              <w:fldChar w:fldCharType="end"/>
            </w:r>
          </w:hyperlink>
        </w:p>
        <w:p w:rsidR="00BF206B" w:rsidRDefault="003F7350">
          <w:pPr>
            <w:pStyle w:val="TOC3"/>
            <w:rPr>
              <w:rFonts w:asciiTheme="minorHAnsi" w:eastAsiaTheme="minorEastAsia" w:hAnsiTheme="minorHAnsi"/>
              <w:lang w:eastAsia="en-AU"/>
            </w:rPr>
          </w:pPr>
          <w:hyperlink w:anchor="_Toc433172720" w:history="1">
            <w:r w:rsidR="00BF206B" w:rsidRPr="00AC3A64">
              <w:rPr>
                <w:rStyle w:val="Hyperlink"/>
              </w:rPr>
              <w:t>2.4.3</w:t>
            </w:r>
            <w:r w:rsidR="00BF206B">
              <w:rPr>
                <w:rFonts w:asciiTheme="minorHAnsi" w:eastAsiaTheme="minorEastAsia" w:hAnsiTheme="minorHAnsi"/>
                <w:lang w:eastAsia="en-AU"/>
              </w:rPr>
              <w:tab/>
            </w:r>
            <w:r w:rsidR="00BF206B" w:rsidRPr="00AC3A64">
              <w:rPr>
                <w:rStyle w:val="Hyperlink"/>
              </w:rPr>
              <w:t>Application of depreciation approach in RAB roll forward for next reset</w:t>
            </w:r>
            <w:r w:rsidR="00BF206B">
              <w:rPr>
                <w:webHidden/>
              </w:rPr>
              <w:tab/>
            </w:r>
            <w:r w:rsidR="00BF206B">
              <w:rPr>
                <w:webHidden/>
              </w:rPr>
              <w:fldChar w:fldCharType="begin"/>
            </w:r>
            <w:r w:rsidR="00BF206B">
              <w:rPr>
                <w:webHidden/>
              </w:rPr>
              <w:instrText xml:space="preserve"> PAGEREF _Toc433172720 \h </w:instrText>
            </w:r>
            <w:r w:rsidR="00BF206B">
              <w:rPr>
                <w:webHidden/>
              </w:rPr>
            </w:r>
            <w:r w:rsidR="00BF206B">
              <w:rPr>
                <w:webHidden/>
              </w:rPr>
              <w:fldChar w:fldCharType="separate"/>
            </w:r>
            <w:r w:rsidR="00C647D4">
              <w:rPr>
                <w:webHidden/>
              </w:rPr>
              <w:t>2-16</w:t>
            </w:r>
            <w:r w:rsidR="00BF206B">
              <w:rPr>
                <w:webHidden/>
              </w:rPr>
              <w:fldChar w:fldCharType="end"/>
            </w:r>
          </w:hyperlink>
        </w:p>
        <w:p w:rsidR="00DE563D" w:rsidRDefault="00BF206B" w:rsidP="00BF206B">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3172711"/>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173BF6" w:rsidTr="00173BF6">
        <w:trPr>
          <w:cnfStyle w:val="000000010000" w:firstRow="0" w:lastRow="0" w:firstColumn="0" w:lastColumn="0" w:oddVBand="0" w:evenVBand="0" w:oddHBand="0" w:evenHBand="1" w:firstRowFirstColumn="0" w:firstRowLastColumn="0" w:lastRowFirstColumn="0" w:lastRowLastColumn="0"/>
        </w:trPr>
        <w:tc>
          <w:tcPr>
            <w:tcW w:w="4349" w:type="dxa"/>
            <w:vAlign w:val="top"/>
          </w:tcPr>
          <w:p w:rsidR="00173BF6" w:rsidRPr="00173BF6" w:rsidRDefault="00173BF6" w:rsidP="00173BF6">
            <w:r w:rsidRPr="00173BF6">
              <w:t>AMI</w:t>
            </w:r>
          </w:p>
        </w:tc>
        <w:tc>
          <w:tcPr>
            <w:tcW w:w="4344" w:type="dxa"/>
            <w:vAlign w:val="top"/>
          </w:tcPr>
          <w:p w:rsidR="00173BF6" w:rsidRPr="00173BF6" w:rsidRDefault="00173BF6" w:rsidP="00173BF6">
            <w:r w:rsidRPr="00173BF6">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173BF6" w:rsidP="005C4C9C">
            <w:pPr>
              <w:numPr>
                <w:ilvl w:val="0"/>
                <w:numId w:val="24"/>
              </w:numPr>
            </w:pPr>
            <w:r>
              <w:t>expenditure forecast a</w:t>
            </w:r>
            <w:r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lastRenderedPageBreak/>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2B573C" w:rsidP="002B573C">
      <w:pPr>
        <w:pStyle w:val="Heading1"/>
      </w:pPr>
      <w:bookmarkStart w:id="10" w:name="_Toc433172712"/>
      <w:r>
        <w:lastRenderedPageBreak/>
        <w:t>Regulatory asset base</w:t>
      </w:r>
      <w:bookmarkEnd w:id="10"/>
    </w:p>
    <w:p w:rsidR="00BE1B76" w:rsidRDefault="00BE1B76" w:rsidP="00BE1B76">
      <w:pPr>
        <w:numPr>
          <w:ilvl w:val="0"/>
          <w:numId w:val="24"/>
        </w:numPr>
      </w:pPr>
      <w:r w:rsidRPr="00AD7289">
        <w:rPr>
          <w:rStyle w:val="AERbody"/>
        </w:rPr>
        <w:t xml:space="preserve">We are required to make a decision on </w:t>
      </w:r>
      <w:r>
        <w:rPr>
          <w:rStyle w:val="AERbody"/>
        </w:rPr>
        <w:t>Powercor</w:t>
      </w:r>
      <w:r w:rsidRPr="00AD7289">
        <w:rPr>
          <w:rStyle w:val="AERbody"/>
        </w:rPr>
        <w:t>'</w:t>
      </w:r>
      <w:r>
        <w:rPr>
          <w:rStyle w:val="AERbody"/>
        </w:rPr>
        <w:t>s</w:t>
      </w:r>
      <w:r w:rsidRPr="00AD7289">
        <w:rPr>
          <w:rStyle w:val="AERbody"/>
        </w:rPr>
        <w:t xml:space="preserve"> opening regulatory asset base (RAB) as at </w:t>
      </w:r>
      <w:r w:rsidR="00162474">
        <w:rPr>
          <w:rStyle w:val="AERbody"/>
        </w:rPr>
        <w:t>1 January 2016</w:t>
      </w:r>
      <w:r w:rsidRPr="00AD7289">
        <w:rPr>
          <w:rStyle w:val="AERbody"/>
        </w:rPr>
        <w:t>.</w:t>
      </w:r>
      <w:r w:rsidRPr="00AD7289">
        <w:rPr>
          <w:rStyle w:val="AERsuperscript"/>
        </w:rPr>
        <w:footnoteReference w:id="1"/>
      </w:r>
      <w:r w:rsidRPr="00AD7289">
        <w:rPr>
          <w:rStyle w:val="AERbody"/>
        </w:rPr>
        <w:t xml:space="preserve"> We use the RAB at the start of each regulatory year to determine the return of capital (regulatory depreciation) and return on capital building block allowances. This attachment presents our preliminary decision on the opening RAB value as at </w:t>
      </w:r>
      <w:r w:rsidR="00162474">
        <w:rPr>
          <w:rStyle w:val="AERbody"/>
        </w:rPr>
        <w:t>1 January 2016</w:t>
      </w:r>
      <w:r w:rsidRPr="00AD7289">
        <w:rPr>
          <w:rStyle w:val="AERbody"/>
        </w:rPr>
        <w:t xml:space="preserve"> for </w:t>
      </w:r>
      <w:r>
        <w:rPr>
          <w:rStyle w:val="AERbody"/>
        </w:rPr>
        <w:t>Powercor</w:t>
      </w:r>
      <w:r w:rsidRPr="00AD7289">
        <w:rPr>
          <w:rStyle w:val="AERbody"/>
        </w:rPr>
        <w:t xml:space="preserve"> and roll forward of the forecast RAB over the </w:t>
      </w:r>
      <w:r w:rsidR="00162474">
        <w:rPr>
          <w:rStyle w:val="AERbody"/>
        </w:rPr>
        <w:t>2016–20</w:t>
      </w:r>
      <w:r w:rsidRPr="00AD7289">
        <w:rPr>
          <w:rStyle w:val="AERbody"/>
        </w:rPr>
        <w:t xml:space="preserve"> regulatory control period.</w:t>
      </w:r>
    </w:p>
    <w:p w:rsidR="009A5113" w:rsidRDefault="005C0A7F" w:rsidP="009A5113">
      <w:pPr>
        <w:pStyle w:val="Heading2"/>
      </w:pPr>
      <w:bookmarkStart w:id="11" w:name="_Toc408404320"/>
      <w:bookmarkStart w:id="12" w:name="_Toc433172713"/>
      <w:r>
        <w:t>Preliminary</w:t>
      </w:r>
      <w:r w:rsidR="009A5113" w:rsidRPr="0074565D">
        <w:t xml:space="preserve"> decision</w:t>
      </w:r>
      <w:bookmarkEnd w:id="11"/>
      <w:bookmarkEnd w:id="12"/>
    </w:p>
    <w:p w:rsidR="005E0FA4" w:rsidRDefault="005E0FA4" w:rsidP="005E0FA4">
      <w:pPr>
        <w:numPr>
          <w:ilvl w:val="0"/>
          <w:numId w:val="24"/>
        </w:numPr>
        <w:rPr>
          <w:rStyle w:val="AERbody"/>
        </w:rPr>
      </w:pPr>
      <w:r w:rsidRPr="00A449A3">
        <w:t xml:space="preserve">We do not accept </w:t>
      </w:r>
      <w:r>
        <w:t>Powercor</w:t>
      </w:r>
      <w:r w:rsidRPr="00A449A3">
        <w:t>'s proposed opening RAB of $</w:t>
      </w:r>
      <w:r w:rsidR="004A6DFC">
        <w:t>3362.9</w:t>
      </w:r>
      <w:r w:rsidRPr="00A449A3">
        <w:t xml:space="preserve"> million ($ nominal) </w:t>
      </w:r>
      <w:r>
        <w:t xml:space="preserve">as </w:t>
      </w:r>
      <w:r w:rsidRPr="00A449A3">
        <w:t xml:space="preserve">at </w:t>
      </w:r>
      <w:r>
        <w:t>1 January 2016</w:t>
      </w:r>
      <w:r w:rsidRPr="00A449A3">
        <w:t>.</w:t>
      </w:r>
      <w:r w:rsidRPr="00A449A3">
        <w:rPr>
          <w:rStyle w:val="FootnoteReference"/>
        </w:rPr>
        <w:footnoteReference w:id="2"/>
      </w:r>
      <w:r w:rsidRPr="00A449A3">
        <w:t xml:space="preserve"> We instead determine an opening RAB value </w:t>
      </w:r>
      <w:r w:rsidRPr="00F76DB9">
        <w:t>of $</w:t>
      </w:r>
      <w:r w:rsidR="004A6DFC" w:rsidRPr="00F76DB9">
        <w:t>33</w:t>
      </w:r>
      <w:r w:rsidR="00F76DB9" w:rsidRPr="00F76DB9">
        <w:t>44.4</w:t>
      </w:r>
      <w:r w:rsidRPr="00F76DB9">
        <w:t xml:space="preserve"> million</w:t>
      </w:r>
      <w:r w:rsidRPr="00A449A3">
        <w:rPr>
          <w:rStyle w:val="AERbody"/>
        </w:rPr>
        <w:t xml:space="preserve"> ($ nominal) at </w:t>
      </w:r>
      <w:r>
        <w:rPr>
          <w:rStyle w:val="AERbody"/>
        </w:rPr>
        <w:t>1 January 2016</w:t>
      </w:r>
      <w:r w:rsidRPr="00A449A3">
        <w:rPr>
          <w:rStyle w:val="AERbody"/>
        </w:rPr>
        <w:t xml:space="preserve">. </w:t>
      </w:r>
      <w:r w:rsidRPr="008B20E4">
        <w:rPr>
          <w:rStyle w:val="AERbody"/>
        </w:rPr>
        <w:t xml:space="preserve">This is because we have amended </w:t>
      </w:r>
      <w:r w:rsidR="00B24903">
        <w:rPr>
          <w:rStyle w:val="AERbody"/>
        </w:rPr>
        <w:t>Powercor</w:t>
      </w:r>
      <w:r>
        <w:rPr>
          <w:rStyle w:val="AERbody"/>
        </w:rPr>
        <w:t>'s</w:t>
      </w:r>
      <w:r w:rsidRPr="008B20E4">
        <w:rPr>
          <w:rStyle w:val="AERbody"/>
        </w:rPr>
        <w:t xml:space="preserve"> proposed</w:t>
      </w:r>
      <w:r>
        <w:rPr>
          <w:rStyle w:val="AERbody"/>
        </w:rPr>
        <w:t xml:space="preserve"> roll forward model</w:t>
      </w:r>
      <w:r w:rsidRPr="008B20E4">
        <w:rPr>
          <w:rStyle w:val="AERbody"/>
        </w:rPr>
        <w:t xml:space="preserve"> </w:t>
      </w:r>
      <w:r>
        <w:rPr>
          <w:rStyle w:val="AERbody"/>
        </w:rPr>
        <w:t>(RFM)</w:t>
      </w:r>
      <w:r w:rsidRPr="008B20E4">
        <w:rPr>
          <w:rStyle w:val="AERbody"/>
        </w:rPr>
        <w:t xml:space="preserve"> to correct </w:t>
      </w:r>
      <w:r>
        <w:rPr>
          <w:rStyle w:val="AERbody"/>
        </w:rPr>
        <w:t>a number of input errors and other adjustments. These amendments include:</w:t>
      </w:r>
    </w:p>
    <w:p w:rsidR="005E0FA4" w:rsidRDefault="005E0FA4" w:rsidP="005E0FA4">
      <w:pPr>
        <w:pStyle w:val="AERbulletlistfirststyle"/>
        <w:rPr>
          <w:rStyle w:val="AERbody"/>
        </w:rPr>
      </w:pPr>
      <w:r w:rsidRPr="005E7332">
        <w:rPr>
          <w:rStyle w:val="AERbody"/>
        </w:rPr>
        <w:t>correcting the annual actual inflation rates for RAB indexation</w:t>
      </w:r>
    </w:p>
    <w:p w:rsidR="005E0FA4" w:rsidRDefault="005E0FA4" w:rsidP="005E0FA4">
      <w:pPr>
        <w:pStyle w:val="AERbulletlistfirststyle"/>
        <w:rPr>
          <w:rStyle w:val="AERbody"/>
        </w:rPr>
      </w:pPr>
      <w:r>
        <w:rPr>
          <w:rStyle w:val="AERbody"/>
        </w:rPr>
        <w:t xml:space="preserve">amending the proposed approach to the indexation adjustment required in the RAB </w:t>
      </w:r>
    </w:p>
    <w:p w:rsidR="005E0FA4" w:rsidRDefault="005E0FA4" w:rsidP="005E0FA4">
      <w:pPr>
        <w:pStyle w:val="AERbulletlistfirststyle"/>
        <w:rPr>
          <w:rStyle w:val="AERbody"/>
        </w:rPr>
      </w:pPr>
      <w:r>
        <w:rPr>
          <w:rStyle w:val="AERbody"/>
        </w:rPr>
        <w:t>adjusting allowed equity raising costs to the correct dollar terms</w:t>
      </w:r>
      <w:r w:rsidR="00E57C7A">
        <w:rPr>
          <w:rStyle w:val="AERbody"/>
        </w:rPr>
        <w:t>.</w:t>
      </w:r>
    </w:p>
    <w:p w:rsidR="005E0FA4" w:rsidRDefault="005E0FA4" w:rsidP="005E0FA4">
      <w:pPr>
        <w:numPr>
          <w:ilvl w:val="0"/>
          <w:numId w:val="24"/>
        </w:numPr>
        <w:rPr>
          <w:rStyle w:val="AERbody"/>
        </w:rPr>
      </w:pPr>
      <w:r>
        <w:rPr>
          <w:rStyle w:val="AERbody"/>
        </w:rPr>
        <w:t xml:space="preserve">These amendments reduced the opening RAB </w:t>
      </w:r>
      <w:r w:rsidRPr="00F76DB9">
        <w:t xml:space="preserve">as at 1 January 2016 by </w:t>
      </w:r>
      <w:r w:rsidR="00B24903" w:rsidRPr="00F76DB9">
        <w:t>$</w:t>
      </w:r>
      <w:r w:rsidR="004A6DFC" w:rsidRPr="00F76DB9">
        <w:t>1</w:t>
      </w:r>
      <w:r w:rsidR="00F76DB9" w:rsidRPr="00F76DB9">
        <w:t>8.4 </w:t>
      </w:r>
      <w:r w:rsidR="004A6DFC" w:rsidRPr="00F76DB9">
        <w:t>million (or 0</w:t>
      </w:r>
      <w:r w:rsidRPr="00F76DB9">
        <w:t>.</w:t>
      </w:r>
      <w:r w:rsidR="004A6DFC" w:rsidRPr="00F76DB9">
        <w:t>5</w:t>
      </w:r>
      <w:r w:rsidRPr="00F76DB9">
        <w:t> per cent) compared to that proposed.</w:t>
      </w:r>
    </w:p>
    <w:p w:rsidR="005E0FA4" w:rsidRPr="00A449A3" w:rsidRDefault="005E0FA4" w:rsidP="005E0FA4">
      <w:pPr>
        <w:numPr>
          <w:ilvl w:val="0"/>
          <w:numId w:val="24"/>
        </w:numPr>
      </w:pPr>
      <w:r w:rsidRPr="00A449A3">
        <w:t xml:space="preserve">To determine the opening RAB as at </w:t>
      </w:r>
      <w:r>
        <w:t>1 January 2016</w:t>
      </w:r>
      <w:r w:rsidRPr="00A449A3">
        <w:t xml:space="preserve">, we have rolled forward the RAB over the </w:t>
      </w:r>
      <w:r>
        <w:t>2011–15</w:t>
      </w:r>
      <w:r w:rsidRPr="00A449A3">
        <w:t xml:space="preserve"> regulatory control period to determine a closing RAB value at </w:t>
      </w:r>
      <w:r>
        <w:t>31 December 2015</w:t>
      </w:r>
      <w:r w:rsidRPr="00A449A3">
        <w:t xml:space="preserve">. This roll forward includes an adjustment at the end of the </w:t>
      </w:r>
      <w:r>
        <w:t>2011–15</w:t>
      </w:r>
      <w:r w:rsidRPr="00A449A3">
        <w:t xml:space="preserve"> regulatory control period to account for the difference between actual 2010 capex and the estimate approved at the </w:t>
      </w:r>
      <w:r w:rsidR="00923A87" w:rsidRPr="00AD7289">
        <w:t>201</w:t>
      </w:r>
      <w:r w:rsidR="00923A87">
        <w:t xml:space="preserve">1–15 </w:t>
      </w:r>
      <w:r w:rsidRPr="00A449A3">
        <w:t>determination.</w:t>
      </w:r>
      <w:r w:rsidRPr="00A449A3">
        <w:rPr>
          <w:rStyle w:val="FootnoteReference"/>
        </w:rPr>
        <w:footnoteReference w:id="3"/>
      </w:r>
      <w:r w:rsidRPr="00A449A3">
        <w:t xml:space="preserve"> </w:t>
      </w:r>
    </w:p>
    <w:p w:rsidR="005E0FA4" w:rsidRPr="00A449A3" w:rsidRDefault="005E0FA4" w:rsidP="005E0FA4">
      <w:r w:rsidRPr="00A449A3">
        <w:fldChar w:fldCharType="begin"/>
      </w:r>
      <w:r w:rsidRPr="00A449A3">
        <w:instrText xml:space="preserve"> REF _Ref416938074 \h </w:instrText>
      </w:r>
      <w:r w:rsidRPr="00A449A3">
        <w:fldChar w:fldCharType="separate"/>
      </w:r>
      <w:r w:rsidR="00C647D4" w:rsidRPr="00E00467">
        <w:t xml:space="preserve">Table </w:t>
      </w:r>
      <w:r w:rsidR="00C647D4">
        <w:rPr>
          <w:noProof/>
        </w:rPr>
        <w:t>2</w:t>
      </w:r>
      <w:r w:rsidR="00C647D4">
        <w:t>.</w:t>
      </w:r>
      <w:r w:rsidR="00C647D4">
        <w:rPr>
          <w:noProof/>
        </w:rPr>
        <w:t>1</w:t>
      </w:r>
      <w:r w:rsidRPr="00A449A3">
        <w:fldChar w:fldCharType="end"/>
      </w:r>
      <w:r w:rsidRPr="00A449A3">
        <w:t xml:space="preserve"> sets out our preliminary decision on the roll forward of the RAB values for the </w:t>
      </w:r>
      <w:r>
        <w:t>2011–15</w:t>
      </w:r>
      <w:r w:rsidRPr="00A449A3">
        <w:t xml:space="preserve"> regulatory control period.</w:t>
      </w:r>
    </w:p>
    <w:p w:rsidR="005E0FA4" w:rsidRDefault="005E0FA4" w:rsidP="005E0FA4">
      <w:pPr>
        <w:pStyle w:val="AERbulletlistfirststyle"/>
        <w:numPr>
          <w:ilvl w:val="0"/>
          <w:numId w:val="0"/>
        </w:numPr>
        <w:rPr>
          <w:rStyle w:val="AERbody"/>
        </w:rPr>
      </w:pPr>
    </w:p>
    <w:p w:rsidR="00E57C7A" w:rsidRDefault="00E57C7A" w:rsidP="005E0FA4">
      <w:pPr>
        <w:pStyle w:val="AERbulletlistfirststyle"/>
        <w:numPr>
          <w:ilvl w:val="0"/>
          <w:numId w:val="0"/>
        </w:numPr>
        <w:rPr>
          <w:rStyle w:val="AERbody"/>
        </w:rPr>
      </w:pPr>
    </w:p>
    <w:p w:rsidR="00E57C7A" w:rsidRDefault="00E57C7A" w:rsidP="005E0FA4">
      <w:pPr>
        <w:pStyle w:val="AERbulletlistfirststyle"/>
        <w:numPr>
          <w:ilvl w:val="0"/>
          <w:numId w:val="0"/>
        </w:numPr>
        <w:rPr>
          <w:rStyle w:val="AERbody"/>
        </w:rPr>
      </w:pPr>
    </w:p>
    <w:p w:rsidR="003D5EAC" w:rsidRDefault="00BE1B76" w:rsidP="003D5EAC">
      <w:pPr>
        <w:pStyle w:val="Caption"/>
      </w:pPr>
      <w:bookmarkStart w:id="13" w:name="_Ref406141567"/>
      <w:bookmarkStart w:id="14" w:name="_Ref416938074"/>
      <w:bookmarkStart w:id="15" w:name="_Ref406141561"/>
      <w:r w:rsidRPr="00E00467">
        <w:lastRenderedPageBreak/>
        <w:t xml:space="preserve">Table </w:t>
      </w:r>
      <w:fldSimple w:instr=" STYLEREF 1 \s ">
        <w:r w:rsidR="00C647D4">
          <w:rPr>
            <w:noProof/>
          </w:rPr>
          <w:t>2</w:t>
        </w:r>
      </w:fldSimple>
      <w:r>
        <w:t>.</w:t>
      </w:r>
      <w:fldSimple w:instr=" SEQ Table \* ARABIC \s 1 ">
        <w:r w:rsidR="00C647D4">
          <w:rPr>
            <w:noProof/>
          </w:rPr>
          <w:t>1</w:t>
        </w:r>
      </w:fldSimple>
      <w:bookmarkEnd w:id="13"/>
      <w:bookmarkEnd w:id="14"/>
      <w:r w:rsidRPr="00E00467">
        <w:tab/>
      </w:r>
      <w:r w:rsidRPr="00E00467">
        <w:rPr>
          <w:rStyle w:val="AERtexthighlight"/>
          <w:shd w:val="clear" w:color="auto" w:fill="auto"/>
        </w:rPr>
        <w:t xml:space="preserve">AER's preliminary decision on </w:t>
      </w:r>
      <w:r>
        <w:rPr>
          <w:rStyle w:val="AERtexthighlight"/>
          <w:shd w:val="clear" w:color="auto" w:fill="auto"/>
        </w:rPr>
        <w:t>Powercor</w:t>
      </w:r>
      <w:r w:rsidRPr="00E00467">
        <w:rPr>
          <w:rStyle w:val="AERtexthighlight"/>
          <w:shd w:val="clear" w:color="auto" w:fill="auto"/>
        </w:rPr>
        <w:t xml:space="preserve">'s RAB for the </w:t>
      </w:r>
      <w:r w:rsidR="006067D4">
        <w:rPr>
          <w:rStyle w:val="AERtexthighlight"/>
          <w:shd w:val="clear" w:color="auto" w:fill="auto"/>
        </w:rPr>
        <w:t>2011–15</w:t>
      </w:r>
      <w:r w:rsidRPr="00E00467">
        <w:rPr>
          <w:rStyle w:val="AERtexthighlight"/>
          <w:shd w:val="clear" w:color="auto" w:fill="auto"/>
        </w:rPr>
        <w:t xml:space="preserve"> regulatory control period ($ million, nominal)</w:t>
      </w:r>
      <w:bookmarkEnd w:id="15"/>
      <w:r w:rsidR="003D5EAC">
        <w:tab/>
      </w:r>
    </w:p>
    <w:tbl>
      <w:tblPr>
        <w:tblStyle w:val="AERtable-numbers"/>
        <w:tblW w:w="5036" w:type="pct"/>
        <w:tblLayout w:type="fixed"/>
        <w:tblLook w:val="04A0" w:firstRow="1" w:lastRow="0" w:firstColumn="1" w:lastColumn="0" w:noHBand="0" w:noVBand="1"/>
      </w:tblPr>
      <w:tblGrid>
        <w:gridCol w:w="3797"/>
        <w:gridCol w:w="991"/>
        <w:gridCol w:w="991"/>
        <w:gridCol w:w="993"/>
        <w:gridCol w:w="991"/>
        <w:gridCol w:w="993"/>
      </w:tblGrid>
      <w:tr w:rsidR="00784D65" w:rsidRPr="00237902" w:rsidTr="00784D65">
        <w:trPr>
          <w:cnfStyle w:val="100000000000" w:firstRow="1" w:lastRow="0" w:firstColumn="0" w:lastColumn="0" w:oddVBand="0" w:evenVBand="0" w:oddHBand="0" w:evenHBand="0" w:firstRowFirstColumn="0" w:firstRowLastColumn="0" w:lastRowFirstColumn="0" w:lastRowLastColumn="0"/>
          <w:trHeight w:val="303"/>
          <w:tblHeader/>
        </w:trPr>
        <w:tc>
          <w:tcPr>
            <w:cnfStyle w:val="001000000000" w:firstRow="0" w:lastRow="0" w:firstColumn="1" w:lastColumn="0" w:oddVBand="0" w:evenVBand="0" w:oddHBand="0" w:evenHBand="0" w:firstRowFirstColumn="0" w:firstRowLastColumn="0" w:lastRowFirstColumn="0" w:lastRowLastColumn="0"/>
            <w:tcW w:w="2168" w:type="pct"/>
            <w:noWrap/>
            <w:hideMark/>
          </w:tcPr>
          <w:p w:rsidR="00784D65" w:rsidRPr="003D40AC" w:rsidRDefault="00784D65" w:rsidP="00784D65">
            <w:r w:rsidRPr="00237902">
              <w:t> </w:t>
            </w:r>
          </w:p>
        </w:tc>
        <w:tc>
          <w:tcPr>
            <w:tcW w:w="566" w:type="pct"/>
            <w:noWrap/>
            <w:hideMark/>
          </w:tcPr>
          <w:p w:rsidR="00784D65" w:rsidRPr="003D40AC" w:rsidRDefault="00784D65" w:rsidP="00784D65">
            <w:pPr>
              <w:cnfStyle w:val="100000000000" w:firstRow="1" w:lastRow="0" w:firstColumn="0" w:lastColumn="0" w:oddVBand="0" w:evenVBand="0" w:oddHBand="0" w:evenHBand="0" w:firstRowFirstColumn="0" w:firstRowLastColumn="0" w:lastRowFirstColumn="0" w:lastRowLastColumn="0"/>
            </w:pPr>
            <w:r>
              <w:t>2011</w:t>
            </w:r>
          </w:p>
        </w:tc>
        <w:tc>
          <w:tcPr>
            <w:tcW w:w="566" w:type="pct"/>
            <w:noWrap/>
            <w:hideMark/>
          </w:tcPr>
          <w:p w:rsidR="00784D65" w:rsidRPr="003D40AC" w:rsidRDefault="00784D65" w:rsidP="00784D65">
            <w:pPr>
              <w:cnfStyle w:val="100000000000" w:firstRow="1" w:lastRow="0" w:firstColumn="0" w:lastColumn="0" w:oddVBand="0" w:evenVBand="0" w:oddHBand="0" w:evenHBand="0" w:firstRowFirstColumn="0" w:firstRowLastColumn="0" w:lastRowFirstColumn="0" w:lastRowLastColumn="0"/>
            </w:pPr>
            <w:r>
              <w:t>20</w:t>
            </w:r>
            <w:r w:rsidRPr="003D40AC">
              <w:t>12</w:t>
            </w:r>
          </w:p>
        </w:tc>
        <w:tc>
          <w:tcPr>
            <w:tcW w:w="567" w:type="pct"/>
            <w:noWrap/>
            <w:hideMark/>
          </w:tcPr>
          <w:p w:rsidR="00784D65" w:rsidRPr="003D40AC" w:rsidRDefault="00784D65" w:rsidP="00784D65">
            <w:pPr>
              <w:cnfStyle w:val="100000000000" w:firstRow="1" w:lastRow="0" w:firstColumn="0" w:lastColumn="0" w:oddVBand="0" w:evenVBand="0" w:oddHBand="0" w:evenHBand="0" w:firstRowFirstColumn="0" w:firstRowLastColumn="0" w:lastRowFirstColumn="0" w:lastRowLastColumn="0"/>
            </w:pPr>
            <w:r>
              <w:t>201</w:t>
            </w:r>
            <w:r w:rsidRPr="003D40AC">
              <w:t>3</w:t>
            </w:r>
          </w:p>
        </w:tc>
        <w:tc>
          <w:tcPr>
            <w:tcW w:w="566" w:type="pct"/>
            <w:noWrap/>
            <w:hideMark/>
          </w:tcPr>
          <w:p w:rsidR="00784D65" w:rsidRPr="003D40AC" w:rsidRDefault="00784D65" w:rsidP="00784D65">
            <w:pPr>
              <w:cnfStyle w:val="100000000000" w:firstRow="1" w:lastRow="0" w:firstColumn="0" w:lastColumn="0" w:oddVBand="0" w:evenVBand="0" w:oddHBand="0" w:evenHBand="0" w:firstRowFirstColumn="0" w:firstRowLastColumn="0" w:lastRowFirstColumn="0" w:lastRowLastColumn="0"/>
            </w:pPr>
            <w:r>
              <w:t>201</w:t>
            </w:r>
            <w:r w:rsidRPr="003D40AC">
              <w:t>4</w:t>
            </w:r>
          </w:p>
        </w:tc>
        <w:tc>
          <w:tcPr>
            <w:tcW w:w="567" w:type="pct"/>
            <w:noWrap/>
            <w:hideMark/>
          </w:tcPr>
          <w:p w:rsidR="00784D65" w:rsidRPr="003D40AC" w:rsidRDefault="00784D65" w:rsidP="00784D65">
            <w:pPr>
              <w:cnfStyle w:val="100000000000" w:firstRow="1" w:lastRow="0" w:firstColumn="0" w:lastColumn="0" w:oddVBand="0" w:evenVBand="0" w:oddHBand="0" w:evenHBand="0" w:firstRowFirstColumn="0" w:firstRowLastColumn="0" w:lastRowFirstColumn="0" w:lastRowLastColumn="0"/>
            </w:pPr>
            <w:r>
              <w:t>201</w:t>
            </w:r>
            <w:r w:rsidRPr="003D40AC">
              <w:t>5</w:t>
            </w:r>
            <w:r w:rsidRPr="003D40AC">
              <w:rPr>
                <w:rStyle w:val="AERsuperscript"/>
              </w:rPr>
              <w:t>a</w:t>
            </w:r>
          </w:p>
        </w:tc>
      </w:tr>
      <w:tr w:rsidR="00784D65" w:rsidRPr="000663D7" w:rsidTr="00784D65">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784D65" w:rsidRPr="003D40AC" w:rsidRDefault="00784D65" w:rsidP="00784D65">
            <w:r w:rsidRPr="000663D7">
              <w:t>Opening RAB</w:t>
            </w:r>
          </w:p>
        </w:tc>
        <w:tc>
          <w:tcPr>
            <w:tcW w:w="566" w:type="pct"/>
            <w:noWrap/>
            <w:vAlign w:val="bottom"/>
          </w:tcPr>
          <w:p w:rsidR="00784D65" w:rsidRPr="003D5EAC" w:rsidRDefault="00784D65" w:rsidP="00784D65">
            <w:pPr>
              <w:cnfStyle w:val="000000000000" w:firstRow="0" w:lastRow="0" w:firstColumn="0" w:lastColumn="0" w:oddVBand="0" w:evenVBand="0" w:oddHBand="0" w:evenHBand="0" w:firstRowFirstColumn="0" w:firstRowLastColumn="0" w:lastRowFirstColumn="0" w:lastRowLastColumn="0"/>
            </w:pPr>
            <w:r w:rsidRPr="003D5EAC">
              <w:t>2212.8</w:t>
            </w:r>
          </w:p>
        </w:tc>
        <w:tc>
          <w:tcPr>
            <w:tcW w:w="566" w:type="pct"/>
            <w:noWrap/>
            <w:vAlign w:val="bottom"/>
          </w:tcPr>
          <w:p w:rsidR="00784D65" w:rsidRPr="003D5EAC" w:rsidRDefault="00784D65" w:rsidP="00890966">
            <w:pPr>
              <w:cnfStyle w:val="000000000000" w:firstRow="0" w:lastRow="0" w:firstColumn="0" w:lastColumn="0" w:oddVBand="0" w:evenVBand="0" w:oddHBand="0" w:evenHBand="0" w:firstRowFirstColumn="0" w:firstRowLastColumn="0" w:lastRowFirstColumn="0" w:lastRowLastColumn="0"/>
            </w:pPr>
            <w:r w:rsidRPr="003D5EAC">
              <w:t>2415.</w:t>
            </w:r>
            <w:r w:rsidR="00890966">
              <w:t>0</w:t>
            </w:r>
          </w:p>
        </w:tc>
        <w:tc>
          <w:tcPr>
            <w:tcW w:w="567" w:type="pct"/>
            <w:noWrap/>
            <w:vAlign w:val="bottom"/>
          </w:tcPr>
          <w:p w:rsidR="00784D65" w:rsidRPr="003D5EAC" w:rsidRDefault="00784D65" w:rsidP="00941906">
            <w:pPr>
              <w:cnfStyle w:val="000000000000" w:firstRow="0" w:lastRow="0" w:firstColumn="0" w:lastColumn="0" w:oddVBand="0" w:evenVBand="0" w:oddHBand="0" w:evenHBand="0" w:firstRowFirstColumn="0" w:firstRowLastColumn="0" w:lastRowFirstColumn="0" w:lastRowLastColumn="0"/>
            </w:pPr>
            <w:r w:rsidRPr="003D5EAC">
              <w:t>2600.</w:t>
            </w:r>
            <w:r w:rsidR="00941906">
              <w:t>1</w:t>
            </w:r>
          </w:p>
        </w:tc>
        <w:tc>
          <w:tcPr>
            <w:tcW w:w="566" w:type="pct"/>
            <w:noWrap/>
            <w:vAlign w:val="bottom"/>
          </w:tcPr>
          <w:p w:rsidR="00784D65" w:rsidRPr="003D5EAC" w:rsidRDefault="00784D65" w:rsidP="00941906">
            <w:pPr>
              <w:cnfStyle w:val="000000000000" w:firstRow="0" w:lastRow="0" w:firstColumn="0" w:lastColumn="0" w:oddVBand="0" w:evenVBand="0" w:oddHBand="0" w:evenHBand="0" w:firstRowFirstColumn="0" w:firstRowLastColumn="0" w:lastRowFirstColumn="0" w:lastRowLastColumn="0"/>
            </w:pPr>
            <w:r w:rsidRPr="003D5EAC">
              <w:t>281</w:t>
            </w:r>
            <w:r w:rsidR="00941906">
              <w:t>5</w:t>
            </w:r>
            <w:r w:rsidRPr="003D5EAC">
              <w:t>.</w:t>
            </w:r>
            <w:r w:rsidR="00941906">
              <w:t>6</w:t>
            </w:r>
          </w:p>
        </w:tc>
        <w:tc>
          <w:tcPr>
            <w:tcW w:w="567" w:type="pct"/>
            <w:noWrap/>
            <w:vAlign w:val="bottom"/>
          </w:tcPr>
          <w:p w:rsidR="00784D65" w:rsidRPr="003D5EAC" w:rsidRDefault="00784D65" w:rsidP="00941906">
            <w:pPr>
              <w:cnfStyle w:val="000000000000" w:firstRow="0" w:lastRow="0" w:firstColumn="0" w:lastColumn="0" w:oddVBand="0" w:evenVBand="0" w:oddHBand="0" w:evenHBand="0" w:firstRowFirstColumn="0" w:firstRowLastColumn="0" w:lastRowFirstColumn="0" w:lastRowLastColumn="0"/>
            </w:pPr>
            <w:r w:rsidRPr="003D5EAC">
              <w:t>3073.</w:t>
            </w:r>
            <w:r w:rsidR="00941906">
              <w:t>1</w:t>
            </w:r>
          </w:p>
        </w:tc>
      </w:tr>
      <w:tr w:rsidR="00784D65" w:rsidRPr="00237902" w:rsidTr="00784D65">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784D65" w:rsidRPr="003D40AC" w:rsidRDefault="00784D65" w:rsidP="00784D65">
            <w:r w:rsidRPr="00237902">
              <w:t>Capital expenditure</w:t>
            </w:r>
            <w:r w:rsidRPr="003D40AC">
              <w:rPr>
                <w:rStyle w:val="AERsuperscript"/>
              </w:rPr>
              <w:t>b</w:t>
            </w:r>
          </w:p>
        </w:tc>
        <w:tc>
          <w:tcPr>
            <w:tcW w:w="566" w:type="pct"/>
            <w:noWrap/>
            <w:vAlign w:val="bottom"/>
          </w:tcPr>
          <w:p w:rsidR="00784D65" w:rsidRPr="003D5EAC" w:rsidRDefault="00784D65" w:rsidP="00941906">
            <w:pPr>
              <w:cnfStyle w:val="000000010000" w:firstRow="0" w:lastRow="0" w:firstColumn="0" w:lastColumn="0" w:oddVBand="0" w:evenVBand="0" w:oddHBand="0" w:evenHBand="1" w:firstRowFirstColumn="0" w:firstRowLastColumn="0" w:lastRowFirstColumn="0" w:lastRowLastColumn="0"/>
            </w:pPr>
            <w:r w:rsidRPr="003D5EAC">
              <w:t>24</w:t>
            </w:r>
            <w:r w:rsidR="00941906">
              <w:t>3</w:t>
            </w:r>
            <w:r w:rsidRPr="003D5EAC">
              <w:t>.</w:t>
            </w:r>
            <w:r w:rsidR="00941906">
              <w:t>6</w:t>
            </w:r>
          </w:p>
        </w:tc>
        <w:tc>
          <w:tcPr>
            <w:tcW w:w="566" w:type="pct"/>
            <w:noWrap/>
            <w:vAlign w:val="bottom"/>
          </w:tcPr>
          <w:p w:rsidR="00784D65" w:rsidRPr="003D5EAC" w:rsidRDefault="00784D65" w:rsidP="00784D65">
            <w:pPr>
              <w:cnfStyle w:val="000000010000" w:firstRow="0" w:lastRow="0" w:firstColumn="0" w:lastColumn="0" w:oddVBand="0" w:evenVBand="0" w:oddHBand="0" w:evenHBand="1" w:firstRowFirstColumn="0" w:firstRowLastColumn="0" w:lastRowFirstColumn="0" w:lastRowLastColumn="0"/>
            </w:pPr>
            <w:r w:rsidRPr="003D5EAC">
              <w:t>268.9</w:t>
            </w:r>
          </w:p>
        </w:tc>
        <w:tc>
          <w:tcPr>
            <w:tcW w:w="567" w:type="pct"/>
            <w:noWrap/>
            <w:vAlign w:val="bottom"/>
          </w:tcPr>
          <w:p w:rsidR="00784D65" w:rsidRPr="003D5EAC" w:rsidRDefault="00784D65" w:rsidP="00784D65">
            <w:pPr>
              <w:cnfStyle w:val="000000010000" w:firstRow="0" w:lastRow="0" w:firstColumn="0" w:lastColumn="0" w:oddVBand="0" w:evenVBand="0" w:oddHBand="0" w:evenHBand="1" w:firstRowFirstColumn="0" w:firstRowLastColumn="0" w:lastRowFirstColumn="0" w:lastRowLastColumn="0"/>
            </w:pPr>
            <w:r w:rsidRPr="003D5EAC">
              <w:t>302.3</w:t>
            </w:r>
          </w:p>
        </w:tc>
        <w:tc>
          <w:tcPr>
            <w:tcW w:w="566" w:type="pct"/>
            <w:noWrap/>
            <w:vAlign w:val="bottom"/>
          </w:tcPr>
          <w:p w:rsidR="00784D65" w:rsidRPr="003D5EAC" w:rsidRDefault="00784D65" w:rsidP="00784D65">
            <w:pPr>
              <w:cnfStyle w:val="000000010000" w:firstRow="0" w:lastRow="0" w:firstColumn="0" w:lastColumn="0" w:oddVBand="0" w:evenVBand="0" w:oddHBand="0" w:evenHBand="1" w:firstRowFirstColumn="0" w:firstRowLastColumn="0" w:lastRowFirstColumn="0" w:lastRowLastColumn="0"/>
            </w:pPr>
            <w:r w:rsidRPr="003D5EAC">
              <w:t>348.0</w:t>
            </w:r>
          </w:p>
        </w:tc>
        <w:tc>
          <w:tcPr>
            <w:tcW w:w="567" w:type="pct"/>
            <w:noWrap/>
            <w:vAlign w:val="bottom"/>
          </w:tcPr>
          <w:p w:rsidR="00784D65" w:rsidRPr="003D5EAC" w:rsidRDefault="00784D65" w:rsidP="00784D65">
            <w:pPr>
              <w:cnfStyle w:val="000000010000" w:firstRow="0" w:lastRow="0" w:firstColumn="0" w:lastColumn="0" w:oddVBand="0" w:evenVBand="0" w:oddHBand="0" w:evenHBand="1" w:firstRowFirstColumn="0" w:firstRowLastColumn="0" w:lastRowFirstColumn="0" w:lastRowLastColumn="0"/>
            </w:pPr>
            <w:r w:rsidRPr="003D5EAC">
              <w:t>375.7</w:t>
            </w:r>
          </w:p>
        </w:tc>
      </w:tr>
      <w:tr w:rsidR="00784D65" w:rsidRPr="00237902" w:rsidTr="00784D65">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784D65" w:rsidRPr="003D40AC" w:rsidRDefault="00784D65" w:rsidP="00784D65">
            <w:r w:rsidRPr="00237902">
              <w:t>Inflation indexation on opening RAB</w:t>
            </w:r>
          </w:p>
        </w:tc>
        <w:tc>
          <w:tcPr>
            <w:tcW w:w="566" w:type="pct"/>
            <w:noWrap/>
            <w:vAlign w:val="bottom"/>
          </w:tcPr>
          <w:p w:rsidR="00784D65" w:rsidRPr="003D5EAC" w:rsidRDefault="00784D65" w:rsidP="00784D65">
            <w:pPr>
              <w:cnfStyle w:val="000000000000" w:firstRow="0" w:lastRow="0" w:firstColumn="0" w:lastColumn="0" w:oddVBand="0" w:evenVBand="0" w:oddHBand="0" w:evenHBand="0" w:firstRowFirstColumn="0" w:firstRowLastColumn="0" w:lastRowFirstColumn="0" w:lastRowLastColumn="0"/>
            </w:pPr>
            <w:r w:rsidRPr="003D5EAC">
              <w:t>77.9</w:t>
            </w:r>
          </w:p>
        </w:tc>
        <w:tc>
          <w:tcPr>
            <w:tcW w:w="566" w:type="pct"/>
            <w:noWrap/>
            <w:vAlign w:val="bottom"/>
          </w:tcPr>
          <w:p w:rsidR="00784D65" w:rsidRPr="003D5EAC" w:rsidRDefault="00784D65" w:rsidP="00784D65">
            <w:pPr>
              <w:cnfStyle w:val="000000000000" w:firstRow="0" w:lastRow="0" w:firstColumn="0" w:lastColumn="0" w:oddVBand="0" w:evenVBand="0" w:oddHBand="0" w:evenHBand="0" w:firstRowFirstColumn="0" w:firstRowLastColumn="0" w:lastRowFirstColumn="0" w:lastRowLastColumn="0"/>
            </w:pPr>
            <w:r w:rsidRPr="003D5EAC">
              <w:t>48.4</w:t>
            </w:r>
          </w:p>
        </w:tc>
        <w:tc>
          <w:tcPr>
            <w:tcW w:w="567" w:type="pct"/>
            <w:noWrap/>
            <w:vAlign w:val="bottom"/>
          </w:tcPr>
          <w:p w:rsidR="00784D65" w:rsidRPr="003D5EAC" w:rsidRDefault="00784D65" w:rsidP="00784D65">
            <w:pPr>
              <w:cnfStyle w:val="000000000000" w:firstRow="0" w:lastRow="0" w:firstColumn="0" w:lastColumn="0" w:oddVBand="0" w:evenVBand="0" w:oddHBand="0" w:evenHBand="0" w:firstRowFirstColumn="0" w:firstRowLastColumn="0" w:lastRowFirstColumn="0" w:lastRowLastColumn="0"/>
            </w:pPr>
            <w:r w:rsidRPr="003D5EAC">
              <w:t>56.2</w:t>
            </w:r>
          </w:p>
        </w:tc>
        <w:tc>
          <w:tcPr>
            <w:tcW w:w="566" w:type="pct"/>
            <w:noWrap/>
            <w:vAlign w:val="bottom"/>
          </w:tcPr>
          <w:p w:rsidR="00784D65" w:rsidRPr="003D5EAC" w:rsidRDefault="00784D65" w:rsidP="00784D65">
            <w:pPr>
              <w:cnfStyle w:val="000000000000" w:firstRow="0" w:lastRow="0" w:firstColumn="0" w:lastColumn="0" w:oddVBand="0" w:evenVBand="0" w:oddHBand="0" w:evenHBand="0" w:firstRowFirstColumn="0" w:firstRowLastColumn="0" w:lastRowFirstColumn="0" w:lastRowLastColumn="0"/>
            </w:pPr>
            <w:r w:rsidRPr="003D5EAC">
              <w:t>65.0</w:t>
            </w:r>
          </w:p>
        </w:tc>
        <w:tc>
          <w:tcPr>
            <w:tcW w:w="567" w:type="pct"/>
            <w:noWrap/>
            <w:vAlign w:val="bottom"/>
          </w:tcPr>
          <w:p w:rsidR="00784D65" w:rsidRPr="003D5EAC" w:rsidRDefault="00784D65" w:rsidP="00784D65">
            <w:pPr>
              <w:cnfStyle w:val="000000000000" w:firstRow="0" w:lastRow="0" w:firstColumn="0" w:lastColumn="0" w:oddVBand="0" w:evenVBand="0" w:oddHBand="0" w:evenHBand="0" w:firstRowFirstColumn="0" w:firstRowLastColumn="0" w:lastRowFirstColumn="0" w:lastRowLastColumn="0"/>
            </w:pPr>
            <w:r w:rsidRPr="003D5EAC">
              <w:t>70.9</w:t>
            </w:r>
          </w:p>
        </w:tc>
      </w:tr>
      <w:tr w:rsidR="00784D65" w:rsidRPr="00237902" w:rsidTr="00784D65">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784D65" w:rsidRPr="003D40AC" w:rsidRDefault="00784D65" w:rsidP="00784D65">
            <w:r w:rsidRPr="00237902">
              <w:rPr>
                <w:rStyle w:val="AERtextitalic"/>
              </w:rPr>
              <w:t>Less</w:t>
            </w:r>
            <w:r w:rsidRPr="003D40AC">
              <w:t>: straight-line depreciation</w:t>
            </w:r>
          </w:p>
        </w:tc>
        <w:tc>
          <w:tcPr>
            <w:tcW w:w="566" w:type="pct"/>
            <w:noWrap/>
            <w:vAlign w:val="bottom"/>
          </w:tcPr>
          <w:p w:rsidR="00784D65" w:rsidRPr="003D5EAC" w:rsidRDefault="00784D65" w:rsidP="00784D65">
            <w:pPr>
              <w:cnfStyle w:val="000000010000" w:firstRow="0" w:lastRow="0" w:firstColumn="0" w:lastColumn="0" w:oddVBand="0" w:evenVBand="0" w:oddHBand="0" w:evenHBand="1" w:firstRowFirstColumn="0" w:firstRowLastColumn="0" w:lastRowFirstColumn="0" w:lastRowLastColumn="0"/>
            </w:pPr>
            <w:r w:rsidRPr="003D5EAC">
              <w:t>119.3</w:t>
            </w:r>
          </w:p>
        </w:tc>
        <w:tc>
          <w:tcPr>
            <w:tcW w:w="566" w:type="pct"/>
            <w:noWrap/>
            <w:vAlign w:val="bottom"/>
          </w:tcPr>
          <w:p w:rsidR="00784D65" w:rsidRPr="003D5EAC" w:rsidRDefault="00784D65" w:rsidP="00784D65">
            <w:pPr>
              <w:cnfStyle w:val="000000010000" w:firstRow="0" w:lastRow="0" w:firstColumn="0" w:lastColumn="0" w:oddVBand="0" w:evenVBand="0" w:oddHBand="0" w:evenHBand="1" w:firstRowFirstColumn="0" w:firstRowLastColumn="0" w:lastRowFirstColumn="0" w:lastRowLastColumn="0"/>
            </w:pPr>
            <w:r w:rsidRPr="003D5EAC">
              <w:t>132.2</w:t>
            </w:r>
          </w:p>
        </w:tc>
        <w:tc>
          <w:tcPr>
            <w:tcW w:w="567" w:type="pct"/>
            <w:noWrap/>
            <w:vAlign w:val="bottom"/>
          </w:tcPr>
          <w:p w:rsidR="00784D65" w:rsidRPr="003D5EAC" w:rsidRDefault="00784D65" w:rsidP="00941906">
            <w:pPr>
              <w:cnfStyle w:val="000000010000" w:firstRow="0" w:lastRow="0" w:firstColumn="0" w:lastColumn="0" w:oddVBand="0" w:evenVBand="0" w:oddHBand="0" w:evenHBand="1" w:firstRowFirstColumn="0" w:firstRowLastColumn="0" w:lastRowFirstColumn="0" w:lastRowLastColumn="0"/>
            </w:pPr>
            <w:r w:rsidRPr="003D5EAC">
              <w:t>143.</w:t>
            </w:r>
            <w:r w:rsidR="00941906">
              <w:t>0</w:t>
            </w:r>
          </w:p>
        </w:tc>
        <w:tc>
          <w:tcPr>
            <w:tcW w:w="566" w:type="pct"/>
            <w:noWrap/>
            <w:vAlign w:val="bottom"/>
          </w:tcPr>
          <w:p w:rsidR="00784D65" w:rsidRPr="003D5EAC" w:rsidRDefault="00784D65" w:rsidP="00784D65">
            <w:pPr>
              <w:cnfStyle w:val="000000010000" w:firstRow="0" w:lastRow="0" w:firstColumn="0" w:lastColumn="0" w:oddVBand="0" w:evenVBand="0" w:oddHBand="0" w:evenHBand="1" w:firstRowFirstColumn="0" w:firstRowLastColumn="0" w:lastRowFirstColumn="0" w:lastRowLastColumn="0"/>
            </w:pPr>
            <w:r w:rsidRPr="003D5EAC">
              <w:t>155.5</w:t>
            </w:r>
          </w:p>
        </w:tc>
        <w:tc>
          <w:tcPr>
            <w:tcW w:w="567" w:type="pct"/>
            <w:noWrap/>
            <w:vAlign w:val="bottom"/>
          </w:tcPr>
          <w:p w:rsidR="00784D65" w:rsidRPr="003D5EAC" w:rsidRDefault="00784D65" w:rsidP="00784D65">
            <w:pPr>
              <w:cnfStyle w:val="000000010000" w:firstRow="0" w:lastRow="0" w:firstColumn="0" w:lastColumn="0" w:oddVBand="0" w:evenVBand="0" w:oddHBand="0" w:evenHBand="1" w:firstRowFirstColumn="0" w:firstRowLastColumn="0" w:lastRowFirstColumn="0" w:lastRowLastColumn="0"/>
            </w:pPr>
            <w:r w:rsidRPr="003D5EAC">
              <w:t>171.6</w:t>
            </w:r>
          </w:p>
        </w:tc>
      </w:tr>
      <w:tr w:rsidR="00784D65" w:rsidRPr="00B8281D" w:rsidTr="00784D65">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784D65" w:rsidRPr="00B8281D" w:rsidRDefault="00784D65" w:rsidP="00B8281D">
            <w:r w:rsidRPr="00B8281D">
              <w:t>Closing RAB</w:t>
            </w:r>
          </w:p>
        </w:tc>
        <w:tc>
          <w:tcPr>
            <w:tcW w:w="566" w:type="pct"/>
            <w:noWrap/>
            <w:vAlign w:val="bottom"/>
          </w:tcPr>
          <w:p w:rsidR="00784D65" w:rsidRPr="00B8281D" w:rsidRDefault="00784D65" w:rsidP="00890966">
            <w:pPr>
              <w:cnfStyle w:val="000000000000" w:firstRow="0" w:lastRow="0" w:firstColumn="0" w:lastColumn="0" w:oddVBand="0" w:evenVBand="0" w:oddHBand="0" w:evenHBand="0" w:firstRowFirstColumn="0" w:firstRowLastColumn="0" w:lastRowFirstColumn="0" w:lastRowLastColumn="0"/>
            </w:pPr>
            <w:r w:rsidRPr="00B8281D">
              <w:t>2415.</w:t>
            </w:r>
            <w:r w:rsidR="00890966">
              <w:t>0</w:t>
            </w:r>
          </w:p>
        </w:tc>
        <w:tc>
          <w:tcPr>
            <w:tcW w:w="566" w:type="pct"/>
            <w:noWrap/>
            <w:vAlign w:val="bottom"/>
          </w:tcPr>
          <w:p w:rsidR="00784D65" w:rsidRPr="00B8281D" w:rsidRDefault="00784D65" w:rsidP="00B8281D">
            <w:pPr>
              <w:cnfStyle w:val="000000000000" w:firstRow="0" w:lastRow="0" w:firstColumn="0" w:lastColumn="0" w:oddVBand="0" w:evenVBand="0" w:oddHBand="0" w:evenHBand="0" w:firstRowFirstColumn="0" w:firstRowLastColumn="0" w:lastRowFirstColumn="0" w:lastRowLastColumn="0"/>
            </w:pPr>
            <w:r w:rsidRPr="00B8281D">
              <w:t>2600.</w:t>
            </w:r>
            <w:r w:rsidR="00941906">
              <w:t>1</w:t>
            </w:r>
            <w:r w:rsidRPr="00B8281D">
              <w:t>8</w:t>
            </w:r>
          </w:p>
        </w:tc>
        <w:tc>
          <w:tcPr>
            <w:tcW w:w="567" w:type="pct"/>
            <w:noWrap/>
            <w:vAlign w:val="bottom"/>
          </w:tcPr>
          <w:p w:rsidR="00784D65" w:rsidRPr="00B8281D" w:rsidRDefault="00784D65" w:rsidP="00941906">
            <w:pPr>
              <w:cnfStyle w:val="000000000000" w:firstRow="0" w:lastRow="0" w:firstColumn="0" w:lastColumn="0" w:oddVBand="0" w:evenVBand="0" w:oddHBand="0" w:evenHBand="0" w:firstRowFirstColumn="0" w:firstRowLastColumn="0" w:lastRowFirstColumn="0" w:lastRowLastColumn="0"/>
            </w:pPr>
            <w:r w:rsidRPr="00B8281D">
              <w:t>281</w:t>
            </w:r>
            <w:r w:rsidR="00941906">
              <w:t>5</w:t>
            </w:r>
            <w:r w:rsidRPr="00B8281D">
              <w:t>.</w:t>
            </w:r>
            <w:r w:rsidR="00941906">
              <w:t>6</w:t>
            </w:r>
          </w:p>
        </w:tc>
        <w:tc>
          <w:tcPr>
            <w:tcW w:w="566" w:type="pct"/>
            <w:noWrap/>
            <w:vAlign w:val="bottom"/>
          </w:tcPr>
          <w:p w:rsidR="00784D65" w:rsidRPr="00B8281D" w:rsidRDefault="00784D65" w:rsidP="00941906">
            <w:pPr>
              <w:cnfStyle w:val="000000000000" w:firstRow="0" w:lastRow="0" w:firstColumn="0" w:lastColumn="0" w:oddVBand="0" w:evenVBand="0" w:oddHBand="0" w:evenHBand="0" w:firstRowFirstColumn="0" w:firstRowLastColumn="0" w:lastRowFirstColumn="0" w:lastRowLastColumn="0"/>
            </w:pPr>
            <w:r w:rsidRPr="00B8281D">
              <w:t>3073.</w:t>
            </w:r>
            <w:r w:rsidR="00941906">
              <w:t>1</w:t>
            </w:r>
          </w:p>
        </w:tc>
        <w:tc>
          <w:tcPr>
            <w:tcW w:w="567" w:type="pct"/>
            <w:noWrap/>
            <w:vAlign w:val="bottom"/>
          </w:tcPr>
          <w:p w:rsidR="00784D65" w:rsidRPr="00B8281D" w:rsidRDefault="00784D65" w:rsidP="007F1C2D">
            <w:pPr>
              <w:cnfStyle w:val="000000000000" w:firstRow="0" w:lastRow="0" w:firstColumn="0" w:lastColumn="0" w:oddVBand="0" w:evenVBand="0" w:oddHBand="0" w:evenHBand="0" w:firstRowFirstColumn="0" w:firstRowLastColumn="0" w:lastRowFirstColumn="0" w:lastRowLastColumn="0"/>
            </w:pPr>
            <w:r w:rsidRPr="00B8281D">
              <w:t>3348.</w:t>
            </w:r>
            <w:r w:rsidR="007F1C2D">
              <w:t>1</w:t>
            </w:r>
          </w:p>
        </w:tc>
      </w:tr>
      <w:tr w:rsidR="00784D65" w:rsidRPr="00237902" w:rsidTr="00784D65">
        <w:trPr>
          <w:cnfStyle w:val="000000010000" w:firstRow="0" w:lastRow="0" w:firstColumn="0" w:lastColumn="0" w:oddVBand="0" w:evenVBand="0" w:oddHBand="0" w:evenHBand="1"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168" w:type="pct"/>
            <w:hideMark/>
          </w:tcPr>
          <w:p w:rsidR="00784D65" w:rsidRPr="003D40AC" w:rsidRDefault="00784D65" w:rsidP="00784D65">
            <w:r w:rsidRPr="00237902">
              <w:t xml:space="preserve">Difference between estimated and actual </w:t>
            </w:r>
            <w:r w:rsidRPr="003D40AC">
              <w:t>2010 capex (1 January 2010 to 31 December 2010)</w:t>
            </w:r>
          </w:p>
        </w:tc>
        <w:tc>
          <w:tcPr>
            <w:tcW w:w="566" w:type="pct"/>
            <w:noWrap/>
            <w:vAlign w:val="bottom"/>
            <w:hideMark/>
          </w:tcPr>
          <w:p w:rsidR="00784D65" w:rsidRPr="003D40AC" w:rsidRDefault="00784D65" w:rsidP="00784D65">
            <w:pPr>
              <w:cnfStyle w:val="000000010000" w:firstRow="0" w:lastRow="0" w:firstColumn="0" w:lastColumn="0" w:oddVBand="0" w:evenVBand="0" w:oddHBand="0" w:evenHBand="1" w:firstRowFirstColumn="0" w:firstRowLastColumn="0" w:lastRowFirstColumn="0" w:lastRowLastColumn="0"/>
            </w:pPr>
            <w:r w:rsidRPr="007820B8">
              <w:t> </w:t>
            </w:r>
          </w:p>
        </w:tc>
        <w:tc>
          <w:tcPr>
            <w:tcW w:w="566" w:type="pct"/>
            <w:noWrap/>
            <w:vAlign w:val="bottom"/>
            <w:hideMark/>
          </w:tcPr>
          <w:p w:rsidR="00784D65" w:rsidRPr="003D40AC" w:rsidRDefault="00784D65" w:rsidP="00784D65">
            <w:pPr>
              <w:cnfStyle w:val="000000010000" w:firstRow="0" w:lastRow="0" w:firstColumn="0" w:lastColumn="0" w:oddVBand="0" w:evenVBand="0" w:oddHBand="0" w:evenHBand="1" w:firstRowFirstColumn="0" w:firstRowLastColumn="0" w:lastRowFirstColumn="0" w:lastRowLastColumn="0"/>
            </w:pPr>
            <w:r w:rsidRPr="007820B8">
              <w:t> </w:t>
            </w:r>
          </w:p>
        </w:tc>
        <w:tc>
          <w:tcPr>
            <w:tcW w:w="567" w:type="pct"/>
            <w:noWrap/>
            <w:vAlign w:val="bottom"/>
            <w:hideMark/>
          </w:tcPr>
          <w:p w:rsidR="00784D65" w:rsidRPr="003D40AC" w:rsidRDefault="00784D65" w:rsidP="00784D65">
            <w:pPr>
              <w:cnfStyle w:val="000000010000" w:firstRow="0" w:lastRow="0" w:firstColumn="0" w:lastColumn="0" w:oddVBand="0" w:evenVBand="0" w:oddHBand="0" w:evenHBand="1" w:firstRowFirstColumn="0" w:firstRowLastColumn="0" w:lastRowFirstColumn="0" w:lastRowLastColumn="0"/>
            </w:pPr>
            <w:r w:rsidRPr="007820B8">
              <w:t> </w:t>
            </w:r>
          </w:p>
        </w:tc>
        <w:tc>
          <w:tcPr>
            <w:tcW w:w="566" w:type="pct"/>
            <w:noWrap/>
            <w:vAlign w:val="bottom"/>
            <w:hideMark/>
          </w:tcPr>
          <w:p w:rsidR="00784D65" w:rsidRPr="003D40AC" w:rsidRDefault="00784D65" w:rsidP="00784D65">
            <w:pPr>
              <w:cnfStyle w:val="000000010000" w:firstRow="0" w:lastRow="0" w:firstColumn="0" w:lastColumn="0" w:oddVBand="0" w:evenVBand="0" w:oddHBand="0" w:evenHBand="1" w:firstRowFirstColumn="0" w:firstRowLastColumn="0" w:lastRowFirstColumn="0" w:lastRowLastColumn="0"/>
            </w:pPr>
            <w:r w:rsidRPr="007820B8">
              <w:t> </w:t>
            </w:r>
          </w:p>
        </w:tc>
        <w:tc>
          <w:tcPr>
            <w:tcW w:w="567" w:type="pct"/>
            <w:noWrap/>
            <w:vAlign w:val="bottom"/>
          </w:tcPr>
          <w:p w:rsidR="00784D65" w:rsidRPr="003D5EAC" w:rsidRDefault="007F601A" w:rsidP="00784D65">
            <w:pPr>
              <w:cnfStyle w:val="000000010000" w:firstRow="0" w:lastRow="0" w:firstColumn="0" w:lastColumn="0" w:oddVBand="0" w:evenVBand="0" w:oddHBand="0" w:evenHBand="1" w:firstRowFirstColumn="0" w:firstRowLastColumn="0" w:lastRowFirstColumn="0" w:lastRowLastColumn="0"/>
            </w:pPr>
            <w:r>
              <w:t>–</w:t>
            </w:r>
            <w:r w:rsidR="00784D65" w:rsidRPr="003D5EAC">
              <w:t>18.7</w:t>
            </w:r>
          </w:p>
        </w:tc>
      </w:tr>
      <w:tr w:rsidR="00784D65" w:rsidRPr="00237902" w:rsidTr="00784D65">
        <w:trPr>
          <w:trHeight w:val="303"/>
        </w:trPr>
        <w:tc>
          <w:tcPr>
            <w:cnfStyle w:val="001000000000" w:firstRow="0" w:lastRow="0" w:firstColumn="1" w:lastColumn="0" w:oddVBand="0" w:evenVBand="0" w:oddHBand="0" w:evenHBand="0" w:firstRowFirstColumn="0" w:firstRowLastColumn="0" w:lastRowFirstColumn="0" w:lastRowLastColumn="0"/>
            <w:tcW w:w="2168" w:type="pct"/>
            <w:hideMark/>
          </w:tcPr>
          <w:p w:rsidR="00784D65" w:rsidRPr="003D40AC" w:rsidRDefault="00784D65" w:rsidP="00784D65">
            <w:r w:rsidRPr="00237902">
              <w:t>Return on difference for 2010</w:t>
            </w:r>
            <w:r w:rsidRPr="003D40AC">
              <w:t xml:space="preserve"> capex</w:t>
            </w:r>
          </w:p>
        </w:tc>
        <w:tc>
          <w:tcPr>
            <w:tcW w:w="566" w:type="pct"/>
            <w:noWrap/>
            <w:vAlign w:val="bottom"/>
            <w:hideMark/>
          </w:tcPr>
          <w:p w:rsidR="00784D65" w:rsidRPr="003D40AC" w:rsidRDefault="00784D65" w:rsidP="00784D65">
            <w:pPr>
              <w:cnfStyle w:val="000000000000" w:firstRow="0" w:lastRow="0" w:firstColumn="0" w:lastColumn="0" w:oddVBand="0" w:evenVBand="0" w:oddHBand="0" w:evenHBand="0" w:firstRowFirstColumn="0" w:firstRowLastColumn="0" w:lastRowFirstColumn="0" w:lastRowLastColumn="0"/>
            </w:pPr>
            <w:r w:rsidRPr="003D02A8">
              <w:t> </w:t>
            </w:r>
          </w:p>
        </w:tc>
        <w:tc>
          <w:tcPr>
            <w:tcW w:w="566" w:type="pct"/>
            <w:noWrap/>
            <w:vAlign w:val="bottom"/>
            <w:hideMark/>
          </w:tcPr>
          <w:p w:rsidR="00784D65" w:rsidRPr="003D40AC" w:rsidRDefault="00784D65" w:rsidP="00784D65">
            <w:pPr>
              <w:cnfStyle w:val="000000000000" w:firstRow="0" w:lastRow="0" w:firstColumn="0" w:lastColumn="0" w:oddVBand="0" w:evenVBand="0" w:oddHBand="0" w:evenHBand="0" w:firstRowFirstColumn="0" w:firstRowLastColumn="0" w:lastRowFirstColumn="0" w:lastRowLastColumn="0"/>
            </w:pPr>
            <w:r w:rsidRPr="003D02A8">
              <w:t> </w:t>
            </w:r>
          </w:p>
        </w:tc>
        <w:tc>
          <w:tcPr>
            <w:tcW w:w="567" w:type="pct"/>
            <w:noWrap/>
            <w:vAlign w:val="bottom"/>
            <w:hideMark/>
          </w:tcPr>
          <w:p w:rsidR="00784D65" w:rsidRPr="003D40AC" w:rsidRDefault="00784D65" w:rsidP="00784D65">
            <w:pPr>
              <w:cnfStyle w:val="000000000000" w:firstRow="0" w:lastRow="0" w:firstColumn="0" w:lastColumn="0" w:oddVBand="0" w:evenVBand="0" w:oddHBand="0" w:evenHBand="0" w:firstRowFirstColumn="0" w:firstRowLastColumn="0" w:lastRowFirstColumn="0" w:lastRowLastColumn="0"/>
            </w:pPr>
            <w:r w:rsidRPr="003D02A8">
              <w:t> </w:t>
            </w:r>
          </w:p>
        </w:tc>
        <w:tc>
          <w:tcPr>
            <w:tcW w:w="566" w:type="pct"/>
            <w:noWrap/>
            <w:vAlign w:val="bottom"/>
            <w:hideMark/>
          </w:tcPr>
          <w:p w:rsidR="00784D65" w:rsidRPr="003D40AC" w:rsidRDefault="00784D65" w:rsidP="00784D65">
            <w:pPr>
              <w:cnfStyle w:val="000000000000" w:firstRow="0" w:lastRow="0" w:firstColumn="0" w:lastColumn="0" w:oddVBand="0" w:evenVBand="0" w:oddHBand="0" w:evenHBand="0" w:firstRowFirstColumn="0" w:firstRowLastColumn="0" w:lastRowFirstColumn="0" w:lastRowLastColumn="0"/>
            </w:pPr>
            <w:r w:rsidRPr="003D02A8">
              <w:t> </w:t>
            </w:r>
          </w:p>
        </w:tc>
        <w:tc>
          <w:tcPr>
            <w:tcW w:w="567" w:type="pct"/>
            <w:noWrap/>
            <w:vAlign w:val="bottom"/>
          </w:tcPr>
          <w:p w:rsidR="00784D65" w:rsidRPr="003D5EAC" w:rsidRDefault="007F601A" w:rsidP="00784D65">
            <w:pPr>
              <w:cnfStyle w:val="000000000000" w:firstRow="0" w:lastRow="0" w:firstColumn="0" w:lastColumn="0" w:oddVBand="0" w:evenVBand="0" w:oddHBand="0" w:evenHBand="0" w:firstRowFirstColumn="0" w:firstRowLastColumn="0" w:lastRowFirstColumn="0" w:lastRowLastColumn="0"/>
            </w:pPr>
            <w:r>
              <w:t>–</w:t>
            </w:r>
            <w:r w:rsidR="00784D65" w:rsidRPr="003D5EAC">
              <w:t>10.5</w:t>
            </w:r>
          </w:p>
        </w:tc>
      </w:tr>
      <w:tr w:rsidR="00784D65" w:rsidRPr="003D02A8" w:rsidTr="00784D65">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tcPr>
          <w:p w:rsidR="00784D65" w:rsidRPr="003D40AC" w:rsidRDefault="00784D65" w:rsidP="00784D65">
            <w:r w:rsidRPr="003D02A8">
              <w:t>Six month</w:t>
            </w:r>
            <w:r w:rsidRPr="003D40AC">
              <w:t>s CPI adjustment</w:t>
            </w:r>
          </w:p>
        </w:tc>
        <w:tc>
          <w:tcPr>
            <w:tcW w:w="566" w:type="pct"/>
            <w:noWrap/>
            <w:vAlign w:val="bottom"/>
          </w:tcPr>
          <w:p w:rsidR="00784D65" w:rsidRPr="003D40AC" w:rsidRDefault="00784D65" w:rsidP="00784D65">
            <w:pPr>
              <w:cnfStyle w:val="000000010000" w:firstRow="0" w:lastRow="0" w:firstColumn="0" w:lastColumn="0" w:oddVBand="0" w:evenVBand="0" w:oddHBand="0" w:evenHBand="1" w:firstRowFirstColumn="0" w:firstRowLastColumn="0" w:lastRowFirstColumn="0" w:lastRowLastColumn="0"/>
            </w:pPr>
            <w:r w:rsidRPr="003D02A8">
              <w:t> </w:t>
            </w:r>
          </w:p>
        </w:tc>
        <w:tc>
          <w:tcPr>
            <w:tcW w:w="566" w:type="pct"/>
            <w:noWrap/>
            <w:vAlign w:val="bottom"/>
          </w:tcPr>
          <w:p w:rsidR="00784D65" w:rsidRPr="003D40AC" w:rsidRDefault="00784D65" w:rsidP="00784D65">
            <w:pPr>
              <w:cnfStyle w:val="000000010000" w:firstRow="0" w:lastRow="0" w:firstColumn="0" w:lastColumn="0" w:oddVBand="0" w:evenVBand="0" w:oddHBand="0" w:evenHBand="1" w:firstRowFirstColumn="0" w:firstRowLastColumn="0" w:lastRowFirstColumn="0" w:lastRowLastColumn="0"/>
            </w:pPr>
            <w:r w:rsidRPr="003D02A8">
              <w:t> </w:t>
            </w:r>
          </w:p>
        </w:tc>
        <w:tc>
          <w:tcPr>
            <w:tcW w:w="567" w:type="pct"/>
            <w:noWrap/>
            <w:vAlign w:val="bottom"/>
          </w:tcPr>
          <w:p w:rsidR="00784D65" w:rsidRPr="003D40AC" w:rsidRDefault="00784D65" w:rsidP="00784D65">
            <w:pPr>
              <w:cnfStyle w:val="000000010000" w:firstRow="0" w:lastRow="0" w:firstColumn="0" w:lastColumn="0" w:oddVBand="0" w:evenVBand="0" w:oddHBand="0" w:evenHBand="1" w:firstRowFirstColumn="0" w:firstRowLastColumn="0" w:lastRowFirstColumn="0" w:lastRowLastColumn="0"/>
            </w:pPr>
            <w:r w:rsidRPr="003D02A8">
              <w:t> </w:t>
            </w:r>
          </w:p>
        </w:tc>
        <w:tc>
          <w:tcPr>
            <w:tcW w:w="566" w:type="pct"/>
            <w:noWrap/>
            <w:vAlign w:val="bottom"/>
          </w:tcPr>
          <w:p w:rsidR="00784D65" w:rsidRPr="003D40AC" w:rsidRDefault="00784D65" w:rsidP="00784D65">
            <w:pPr>
              <w:cnfStyle w:val="000000010000" w:firstRow="0" w:lastRow="0" w:firstColumn="0" w:lastColumn="0" w:oddVBand="0" w:evenVBand="0" w:oddHBand="0" w:evenHBand="1" w:firstRowFirstColumn="0" w:firstRowLastColumn="0" w:lastRowFirstColumn="0" w:lastRowLastColumn="0"/>
            </w:pPr>
            <w:r w:rsidRPr="003D02A8">
              <w:t> </w:t>
            </w:r>
          </w:p>
        </w:tc>
        <w:tc>
          <w:tcPr>
            <w:tcW w:w="567" w:type="pct"/>
            <w:noWrap/>
            <w:vAlign w:val="bottom"/>
          </w:tcPr>
          <w:p w:rsidR="00784D65" w:rsidRPr="003D40AC" w:rsidRDefault="00784D65" w:rsidP="00784D65">
            <w:pPr>
              <w:cnfStyle w:val="000000010000" w:firstRow="0" w:lastRow="0" w:firstColumn="0" w:lastColumn="0" w:oddVBand="0" w:evenVBand="0" w:oddHBand="0" w:evenHBand="1" w:firstRowFirstColumn="0" w:firstRowLastColumn="0" w:lastRowFirstColumn="0" w:lastRowLastColumn="0"/>
            </w:pPr>
            <w:r>
              <w:t>25.5</w:t>
            </w:r>
          </w:p>
        </w:tc>
      </w:tr>
      <w:tr w:rsidR="00784D65" w:rsidRPr="003D02A8" w:rsidTr="00784D65">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784D65" w:rsidRPr="003D40AC" w:rsidRDefault="00784D65" w:rsidP="00784D65">
            <w:pPr>
              <w:rPr>
                <w:rStyle w:val="Strong"/>
              </w:rPr>
            </w:pPr>
            <w:r w:rsidRPr="003D02A8">
              <w:rPr>
                <w:rStyle w:val="Strong"/>
              </w:rPr>
              <w:t>Closing RAB as at 31 December 2015</w:t>
            </w:r>
          </w:p>
        </w:tc>
        <w:tc>
          <w:tcPr>
            <w:tcW w:w="566" w:type="pct"/>
            <w:noWrap/>
            <w:vAlign w:val="bottom"/>
            <w:hideMark/>
          </w:tcPr>
          <w:p w:rsidR="00784D65" w:rsidRPr="003D40AC" w:rsidRDefault="00784D65" w:rsidP="00784D65">
            <w:pPr>
              <w:cnfStyle w:val="000000000000" w:firstRow="0" w:lastRow="0" w:firstColumn="0" w:lastColumn="0" w:oddVBand="0" w:evenVBand="0" w:oddHBand="0" w:evenHBand="0" w:firstRowFirstColumn="0" w:firstRowLastColumn="0" w:lastRowFirstColumn="0" w:lastRowLastColumn="0"/>
              <w:rPr>
                <w:rStyle w:val="Strong"/>
              </w:rPr>
            </w:pPr>
            <w:r w:rsidRPr="003D02A8">
              <w:rPr>
                <w:rStyle w:val="Strong"/>
              </w:rPr>
              <w:t> </w:t>
            </w:r>
          </w:p>
        </w:tc>
        <w:tc>
          <w:tcPr>
            <w:tcW w:w="566" w:type="pct"/>
            <w:noWrap/>
            <w:vAlign w:val="bottom"/>
            <w:hideMark/>
          </w:tcPr>
          <w:p w:rsidR="00784D65" w:rsidRPr="003D40AC" w:rsidRDefault="00784D65" w:rsidP="00784D65">
            <w:pPr>
              <w:cnfStyle w:val="000000000000" w:firstRow="0" w:lastRow="0" w:firstColumn="0" w:lastColumn="0" w:oddVBand="0" w:evenVBand="0" w:oddHBand="0" w:evenHBand="0" w:firstRowFirstColumn="0" w:firstRowLastColumn="0" w:lastRowFirstColumn="0" w:lastRowLastColumn="0"/>
              <w:rPr>
                <w:rStyle w:val="Strong"/>
              </w:rPr>
            </w:pPr>
            <w:r w:rsidRPr="003D02A8">
              <w:rPr>
                <w:rStyle w:val="Strong"/>
              </w:rPr>
              <w:t> </w:t>
            </w:r>
          </w:p>
        </w:tc>
        <w:tc>
          <w:tcPr>
            <w:tcW w:w="567" w:type="pct"/>
            <w:noWrap/>
            <w:vAlign w:val="bottom"/>
            <w:hideMark/>
          </w:tcPr>
          <w:p w:rsidR="00784D65" w:rsidRPr="003D40AC" w:rsidRDefault="00784D65" w:rsidP="00784D65">
            <w:pPr>
              <w:cnfStyle w:val="000000000000" w:firstRow="0" w:lastRow="0" w:firstColumn="0" w:lastColumn="0" w:oddVBand="0" w:evenVBand="0" w:oddHBand="0" w:evenHBand="0" w:firstRowFirstColumn="0" w:firstRowLastColumn="0" w:lastRowFirstColumn="0" w:lastRowLastColumn="0"/>
              <w:rPr>
                <w:rStyle w:val="Strong"/>
              </w:rPr>
            </w:pPr>
            <w:r w:rsidRPr="003D02A8">
              <w:rPr>
                <w:rStyle w:val="Strong"/>
              </w:rPr>
              <w:t> </w:t>
            </w:r>
          </w:p>
        </w:tc>
        <w:tc>
          <w:tcPr>
            <w:tcW w:w="566" w:type="pct"/>
            <w:noWrap/>
            <w:vAlign w:val="bottom"/>
            <w:hideMark/>
          </w:tcPr>
          <w:p w:rsidR="00784D65" w:rsidRPr="003D40AC" w:rsidRDefault="00784D65" w:rsidP="00784D65">
            <w:pPr>
              <w:cnfStyle w:val="000000000000" w:firstRow="0" w:lastRow="0" w:firstColumn="0" w:lastColumn="0" w:oddVBand="0" w:evenVBand="0" w:oddHBand="0" w:evenHBand="0" w:firstRowFirstColumn="0" w:firstRowLastColumn="0" w:lastRowFirstColumn="0" w:lastRowLastColumn="0"/>
              <w:rPr>
                <w:rStyle w:val="Strong"/>
              </w:rPr>
            </w:pPr>
            <w:r w:rsidRPr="003D02A8">
              <w:rPr>
                <w:rStyle w:val="Strong"/>
              </w:rPr>
              <w:t> </w:t>
            </w:r>
          </w:p>
        </w:tc>
        <w:tc>
          <w:tcPr>
            <w:tcW w:w="567" w:type="pct"/>
            <w:noWrap/>
            <w:vAlign w:val="bottom"/>
          </w:tcPr>
          <w:p w:rsidR="00784D65" w:rsidRPr="003D40AC" w:rsidRDefault="00784D65" w:rsidP="00784D65">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3344.4</w:t>
            </w:r>
          </w:p>
        </w:tc>
      </w:tr>
    </w:tbl>
    <w:p w:rsidR="00BE1B76" w:rsidRPr="006001AB" w:rsidRDefault="00BE1B76" w:rsidP="00BE1B76">
      <w:pPr>
        <w:pStyle w:val="AERtablesource"/>
      </w:pPr>
      <w:r w:rsidRPr="006001AB">
        <w:t>Source:</w:t>
      </w:r>
      <w:r w:rsidRPr="006001AB">
        <w:tab/>
        <w:t>AER analysis.</w:t>
      </w:r>
    </w:p>
    <w:p w:rsidR="00BE1B76" w:rsidRPr="006001AB" w:rsidRDefault="00BE1B76" w:rsidP="00BE1B76">
      <w:pPr>
        <w:pStyle w:val="AERtablesource"/>
      </w:pPr>
      <w:r w:rsidRPr="006001AB">
        <w:t>(a):</w:t>
      </w:r>
      <w:r w:rsidRPr="006001AB">
        <w:tab/>
        <w:t xml:space="preserve">Based on estimated capex. We will update the RAB roll forward in the </w:t>
      </w:r>
      <w:r>
        <w:t>substitute</w:t>
      </w:r>
      <w:r w:rsidRPr="006001AB">
        <w:t xml:space="preserve"> decision.</w:t>
      </w:r>
    </w:p>
    <w:p w:rsidR="00BE1B76" w:rsidRDefault="00BE1B76" w:rsidP="00BE1B76">
      <w:pPr>
        <w:pStyle w:val="AERtablesource"/>
      </w:pPr>
      <w:r w:rsidRPr="006001AB">
        <w:t>(b):</w:t>
      </w:r>
      <w:r w:rsidRPr="006001AB">
        <w:tab/>
        <w:t>Net of disposals</w:t>
      </w:r>
      <w:r w:rsidR="00823F18">
        <w:t xml:space="preserve"> and capital contributions,</w:t>
      </w:r>
      <w:r w:rsidRPr="006001AB">
        <w:t xml:space="preserve"> and adjusted for CPI.</w:t>
      </w:r>
    </w:p>
    <w:p w:rsidR="00E57C7A" w:rsidRPr="00A449A3" w:rsidRDefault="00E57C7A" w:rsidP="00E57C7A">
      <w:pPr>
        <w:numPr>
          <w:ilvl w:val="0"/>
          <w:numId w:val="24"/>
        </w:numPr>
      </w:pPr>
      <w:r w:rsidRPr="00A449A3">
        <w:t xml:space="preserve">We determine a forecast closing RAB </w:t>
      </w:r>
      <w:r w:rsidRPr="00F76DB9">
        <w:t>value at 31 December 2020 of $</w:t>
      </w:r>
      <w:r>
        <w:t>4605.8</w:t>
      </w:r>
      <w:r w:rsidRPr="00F76DB9">
        <w:t> million ($ nominal). This is $480.</w:t>
      </w:r>
      <w:r>
        <w:t>5</w:t>
      </w:r>
      <w:r w:rsidRPr="00F76DB9">
        <w:t> million (or 9.</w:t>
      </w:r>
      <w:r>
        <w:t>4</w:t>
      </w:r>
      <w:r w:rsidRPr="00F76DB9">
        <w:t> per cent) lower than</w:t>
      </w:r>
      <w:r w:rsidRPr="00A449A3">
        <w:rPr>
          <w:rStyle w:val="AERbody"/>
        </w:rPr>
        <w:t xml:space="preserve"> the amount of $</w:t>
      </w:r>
      <w:r>
        <w:rPr>
          <w:rStyle w:val="AERbody"/>
        </w:rPr>
        <w:t xml:space="preserve">5086.3 </w:t>
      </w:r>
      <w:r w:rsidRPr="00A449A3">
        <w:rPr>
          <w:rStyle w:val="AERbody"/>
        </w:rPr>
        <w:t xml:space="preserve">million ($ nominal) proposed by </w:t>
      </w:r>
      <w:r>
        <w:rPr>
          <w:rStyle w:val="AERbody"/>
        </w:rPr>
        <w:t>Powercor</w:t>
      </w:r>
      <w:r w:rsidRPr="00A449A3">
        <w:rPr>
          <w:rStyle w:val="AERbody"/>
        </w:rPr>
        <w:t xml:space="preserve">. Our preliminary decision on the forecast closing RAB reflects the amended opening RAB as at </w:t>
      </w:r>
      <w:r>
        <w:rPr>
          <w:rStyle w:val="AERbody"/>
        </w:rPr>
        <w:t>1 January 2016</w:t>
      </w:r>
      <w:r w:rsidRPr="00A449A3">
        <w:rPr>
          <w:rStyle w:val="AERbody"/>
        </w:rPr>
        <w:t>, and our preliminary dec</w:t>
      </w:r>
      <w:r w:rsidRPr="00A449A3">
        <w:t>isions o</w:t>
      </w:r>
      <w:r>
        <w:t xml:space="preserve">n forecast capex (attachment 6), </w:t>
      </w:r>
      <w:r w:rsidRPr="00A449A3">
        <w:t>forecast regulatory depreciation (attachment 5)</w:t>
      </w:r>
      <w:r w:rsidR="00923A87">
        <w:t>,</w:t>
      </w:r>
      <w:r>
        <w:t xml:space="preserve"> and forecast inflation (attachment 3)</w:t>
      </w:r>
      <w:r w:rsidRPr="00A449A3">
        <w:t>.</w:t>
      </w:r>
    </w:p>
    <w:p w:rsidR="00CE6B72" w:rsidRPr="00CE6B72" w:rsidRDefault="00CE6B72" w:rsidP="00CE6B72">
      <w:r w:rsidRPr="00EA41D6">
        <w:fldChar w:fldCharType="begin"/>
      </w:r>
      <w:r w:rsidRPr="00EA41D6">
        <w:instrText xml:space="preserve"> REF _Ref406144543 \h  \* MERGEFORMAT </w:instrText>
      </w:r>
      <w:r w:rsidRPr="00EA41D6">
        <w:fldChar w:fldCharType="separate"/>
      </w:r>
      <w:r w:rsidR="00C647D4" w:rsidRPr="00C647D4">
        <w:t>Table 2.2</w:t>
      </w:r>
      <w:r w:rsidRPr="00EA41D6">
        <w:fldChar w:fldCharType="end"/>
      </w:r>
      <w:r>
        <w:t xml:space="preserve"> </w:t>
      </w:r>
      <w:r w:rsidRPr="006001AB">
        <w:t xml:space="preserve">sets out our preliminary decision on the forecast RAB values for </w:t>
      </w:r>
      <w:r>
        <w:t>Powercor</w:t>
      </w:r>
      <w:r w:rsidRPr="006001AB">
        <w:t xml:space="preserve"> over the </w:t>
      </w:r>
      <w:r>
        <w:t>2016–20</w:t>
      </w:r>
      <w:r w:rsidRPr="006001AB">
        <w:t xml:space="preserve"> regulatory control </w:t>
      </w:r>
      <w:proofErr w:type="gramStart"/>
      <w:r w:rsidRPr="006001AB">
        <w:t>period</w:t>
      </w:r>
      <w:proofErr w:type="gramEnd"/>
      <w:r w:rsidRPr="006001AB">
        <w:t>.</w:t>
      </w:r>
    </w:p>
    <w:p w:rsidR="00BE1B76" w:rsidRPr="00F37D9F" w:rsidRDefault="00BE1B76" w:rsidP="00BE1B76">
      <w:pPr>
        <w:pStyle w:val="Caption"/>
        <w:rPr>
          <w:rStyle w:val="AERbody"/>
          <w:color w:val="076A92" w:themeColor="text1"/>
          <w:sz w:val="24"/>
        </w:rPr>
      </w:pPr>
      <w:bookmarkStart w:id="16" w:name="_Ref406144543"/>
      <w:r w:rsidRPr="00F37D9F">
        <w:rPr>
          <w:rStyle w:val="AERbody"/>
          <w:color w:val="076A92" w:themeColor="text1"/>
          <w:sz w:val="24"/>
        </w:rPr>
        <w:t xml:space="preserve">Table </w:t>
      </w:r>
      <w:r>
        <w:rPr>
          <w:rStyle w:val="AERbody"/>
          <w:color w:val="076A92" w:themeColor="text1"/>
          <w:sz w:val="24"/>
        </w:rPr>
        <w:fldChar w:fldCharType="begin"/>
      </w:r>
      <w:r>
        <w:rPr>
          <w:rStyle w:val="AERbody"/>
          <w:color w:val="076A92" w:themeColor="text1"/>
          <w:sz w:val="24"/>
        </w:rPr>
        <w:instrText xml:space="preserve"> STYLEREF 1 \s </w:instrText>
      </w:r>
      <w:r>
        <w:rPr>
          <w:rStyle w:val="AERbody"/>
          <w:color w:val="076A92" w:themeColor="text1"/>
          <w:sz w:val="24"/>
        </w:rPr>
        <w:fldChar w:fldCharType="separate"/>
      </w:r>
      <w:r w:rsidR="00C647D4">
        <w:rPr>
          <w:rStyle w:val="AERbody"/>
          <w:noProof/>
          <w:color w:val="076A92" w:themeColor="text1"/>
          <w:sz w:val="24"/>
        </w:rPr>
        <w:t>2</w:t>
      </w:r>
      <w:r>
        <w:rPr>
          <w:rStyle w:val="AERbody"/>
          <w:color w:val="076A92" w:themeColor="text1"/>
          <w:sz w:val="24"/>
        </w:rPr>
        <w:fldChar w:fldCharType="end"/>
      </w:r>
      <w:r>
        <w:rPr>
          <w:rStyle w:val="AERbody"/>
          <w:color w:val="076A92" w:themeColor="text1"/>
          <w:sz w:val="24"/>
        </w:rPr>
        <w:t>.</w:t>
      </w:r>
      <w:r>
        <w:rPr>
          <w:rStyle w:val="AERbody"/>
          <w:color w:val="076A92" w:themeColor="text1"/>
          <w:sz w:val="24"/>
        </w:rPr>
        <w:fldChar w:fldCharType="begin"/>
      </w:r>
      <w:r>
        <w:rPr>
          <w:rStyle w:val="AERbody"/>
          <w:color w:val="076A92" w:themeColor="text1"/>
          <w:sz w:val="24"/>
        </w:rPr>
        <w:instrText xml:space="preserve"> SEQ Table \* ARABIC \s 1 </w:instrText>
      </w:r>
      <w:r>
        <w:rPr>
          <w:rStyle w:val="AERbody"/>
          <w:color w:val="076A92" w:themeColor="text1"/>
          <w:sz w:val="24"/>
        </w:rPr>
        <w:fldChar w:fldCharType="separate"/>
      </w:r>
      <w:r w:rsidR="00C647D4">
        <w:rPr>
          <w:rStyle w:val="AERbody"/>
          <w:noProof/>
          <w:color w:val="076A92" w:themeColor="text1"/>
          <w:sz w:val="24"/>
        </w:rPr>
        <w:t>2</w:t>
      </w:r>
      <w:r>
        <w:rPr>
          <w:rStyle w:val="AERbody"/>
          <w:color w:val="076A92" w:themeColor="text1"/>
          <w:sz w:val="24"/>
        </w:rPr>
        <w:fldChar w:fldCharType="end"/>
      </w:r>
      <w:bookmarkEnd w:id="16"/>
      <w:r w:rsidRPr="00F37D9F">
        <w:rPr>
          <w:rStyle w:val="AERbody"/>
          <w:color w:val="076A92" w:themeColor="text1"/>
          <w:sz w:val="24"/>
        </w:rPr>
        <w:tab/>
        <w:t xml:space="preserve">AER's preliminary decision on </w:t>
      </w:r>
      <w:r>
        <w:rPr>
          <w:rStyle w:val="AERbody"/>
          <w:color w:val="076A92" w:themeColor="text1"/>
          <w:sz w:val="24"/>
        </w:rPr>
        <w:t>Powercor</w:t>
      </w:r>
      <w:r w:rsidRPr="00F37D9F">
        <w:rPr>
          <w:rStyle w:val="AERbody"/>
          <w:color w:val="076A92" w:themeColor="text1"/>
          <w:sz w:val="24"/>
        </w:rPr>
        <w:t xml:space="preserve">'s RAB for the </w:t>
      </w:r>
      <w:r w:rsidR="00162474">
        <w:rPr>
          <w:rStyle w:val="AERbody"/>
          <w:color w:val="076A92" w:themeColor="text1"/>
          <w:sz w:val="24"/>
        </w:rPr>
        <w:t>2016–20</w:t>
      </w:r>
      <w:r w:rsidRPr="00F37D9F">
        <w:rPr>
          <w:rStyle w:val="AERbody"/>
          <w:color w:val="076A92" w:themeColor="text1"/>
          <w:sz w:val="24"/>
        </w:rPr>
        <w:t xml:space="preserve"> </w:t>
      </w:r>
      <w:r w:rsidRPr="00B11055">
        <w:rPr>
          <w:rStyle w:val="AERbody"/>
          <w:color w:val="076A92" w:themeColor="text1"/>
          <w:sz w:val="24"/>
        </w:rPr>
        <w:t>regulatory control</w:t>
      </w:r>
      <w:r>
        <w:rPr>
          <w:rStyle w:val="AERbody"/>
        </w:rPr>
        <w:t xml:space="preserve"> </w:t>
      </w:r>
      <w:r w:rsidRPr="00F37D9F">
        <w:rPr>
          <w:rStyle w:val="AERbody"/>
          <w:color w:val="076A92" w:themeColor="text1"/>
          <w:sz w:val="24"/>
        </w:rPr>
        <w:t>period ($ million, nominal)</w:t>
      </w:r>
    </w:p>
    <w:tbl>
      <w:tblPr>
        <w:tblStyle w:val="AERtable-numbers"/>
        <w:tblW w:w="5000" w:type="pct"/>
        <w:tblLook w:val="04A0" w:firstRow="1" w:lastRow="0" w:firstColumn="1" w:lastColumn="0" w:noHBand="0" w:noVBand="1"/>
      </w:tblPr>
      <w:tblGrid>
        <w:gridCol w:w="3458"/>
        <w:gridCol w:w="1047"/>
        <w:gridCol w:w="1047"/>
        <w:gridCol w:w="1047"/>
        <w:gridCol w:w="1047"/>
        <w:gridCol w:w="1047"/>
      </w:tblGrid>
      <w:tr w:rsidR="00BE1B76" w:rsidRPr="00237902" w:rsidTr="00BE1B7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BE1B76" w:rsidRPr="00237902" w:rsidRDefault="00BE1B76" w:rsidP="00BE1B76">
            <w:r w:rsidRPr="00237902">
              <w:t> </w:t>
            </w:r>
          </w:p>
        </w:tc>
        <w:tc>
          <w:tcPr>
            <w:tcW w:w="602" w:type="pct"/>
            <w:noWrap/>
            <w:hideMark/>
          </w:tcPr>
          <w:p w:rsidR="00BE1B76" w:rsidRPr="00237902" w:rsidRDefault="00BE1B76" w:rsidP="00110B00">
            <w:pPr>
              <w:cnfStyle w:val="100000000000" w:firstRow="1" w:lastRow="0" w:firstColumn="0" w:lastColumn="0" w:oddVBand="0" w:evenVBand="0" w:oddHBand="0" w:evenHBand="0" w:firstRowFirstColumn="0" w:firstRowLastColumn="0" w:lastRowFirstColumn="0" w:lastRowLastColumn="0"/>
            </w:pPr>
            <w:r w:rsidRPr="00237902">
              <w:t>2016</w:t>
            </w:r>
          </w:p>
        </w:tc>
        <w:tc>
          <w:tcPr>
            <w:tcW w:w="602" w:type="pct"/>
            <w:noWrap/>
            <w:hideMark/>
          </w:tcPr>
          <w:p w:rsidR="00BE1B76" w:rsidRPr="00237902" w:rsidRDefault="00BE1B76" w:rsidP="00110B00">
            <w:pPr>
              <w:cnfStyle w:val="100000000000" w:firstRow="1" w:lastRow="0" w:firstColumn="0" w:lastColumn="0" w:oddVBand="0" w:evenVBand="0" w:oddHBand="0" w:evenHBand="0" w:firstRowFirstColumn="0" w:firstRowLastColumn="0" w:lastRowFirstColumn="0" w:lastRowLastColumn="0"/>
            </w:pPr>
            <w:r w:rsidRPr="00237902">
              <w:t>2017</w:t>
            </w:r>
          </w:p>
        </w:tc>
        <w:tc>
          <w:tcPr>
            <w:tcW w:w="602" w:type="pct"/>
            <w:noWrap/>
            <w:hideMark/>
          </w:tcPr>
          <w:p w:rsidR="00BE1B76" w:rsidRPr="00237902" w:rsidRDefault="00BE1B76" w:rsidP="00110B00">
            <w:pPr>
              <w:cnfStyle w:val="100000000000" w:firstRow="1" w:lastRow="0" w:firstColumn="0" w:lastColumn="0" w:oddVBand="0" w:evenVBand="0" w:oddHBand="0" w:evenHBand="0" w:firstRowFirstColumn="0" w:firstRowLastColumn="0" w:lastRowFirstColumn="0" w:lastRowLastColumn="0"/>
            </w:pPr>
            <w:r w:rsidRPr="00237902">
              <w:t>2018</w:t>
            </w:r>
          </w:p>
        </w:tc>
        <w:tc>
          <w:tcPr>
            <w:tcW w:w="602" w:type="pct"/>
            <w:noWrap/>
            <w:hideMark/>
          </w:tcPr>
          <w:p w:rsidR="00BE1B76" w:rsidRPr="00237902" w:rsidRDefault="00BE1B76" w:rsidP="00110B00">
            <w:pPr>
              <w:cnfStyle w:val="100000000000" w:firstRow="1" w:lastRow="0" w:firstColumn="0" w:lastColumn="0" w:oddVBand="0" w:evenVBand="0" w:oddHBand="0" w:evenHBand="0" w:firstRowFirstColumn="0" w:firstRowLastColumn="0" w:lastRowFirstColumn="0" w:lastRowLastColumn="0"/>
            </w:pPr>
            <w:r w:rsidRPr="00237902">
              <w:t>2019</w:t>
            </w:r>
          </w:p>
        </w:tc>
        <w:tc>
          <w:tcPr>
            <w:tcW w:w="602" w:type="pct"/>
            <w:noWrap/>
            <w:hideMark/>
          </w:tcPr>
          <w:p w:rsidR="00BE1B76" w:rsidRPr="00237902" w:rsidRDefault="00BE1B76" w:rsidP="00110B00">
            <w:pPr>
              <w:cnfStyle w:val="100000000000" w:firstRow="1" w:lastRow="0" w:firstColumn="0" w:lastColumn="0" w:oddVBand="0" w:evenVBand="0" w:oddHBand="0" w:evenHBand="0" w:firstRowFirstColumn="0" w:firstRowLastColumn="0" w:lastRowFirstColumn="0" w:lastRowLastColumn="0"/>
            </w:pPr>
            <w:r w:rsidRPr="00237902">
              <w:t>2020</w:t>
            </w:r>
          </w:p>
        </w:tc>
      </w:tr>
      <w:tr w:rsidR="00DB6750" w:rsidRPr="00237902" w:rsidTr="00BE1B76">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DB6750" w:rsidRPr="00E9105B" w:rsidRDefault="00DB6750" w:rsidP="00BE1B76">
            <w:r w:rsidRPr="00E9105B">
              <w:t>Opening RAB</w:t>
            </w:r>
          </w:p>
        </w:tc>
        <w:tc>
          <w:tcPr>
            <w:tcW w:w="602" w:type="pct"/>
            <w:noWrap/>
            <w:vAlign w:val="bottom"/>
          </w:tcPr>
          <w:p w:rsidR="00DB6750" w:rsidRPr="00DB6750" w:rsidRDefault="00DB6750" w:rsidP="00DB6750">
            <w:pPr>
              <w:cnfStyle w:val="000000000000" w:firstRow="0" w:lastRow="0" w:firstColumn="0" w:lastColumn="0" w:oddVBand="0" w:evenVBand="0" w:oddHBand="0" w:evenHBand="0" w:firstRowFirstColumn="0" w:firstRowLastColumn="0" w:lastRowFirstColumn="0" w:lastRowLastColumn="0"/>
            </w:pPr>
            <w:r w:rsidRPr="00DB6750">
              <w:t>3344.4</w:t>
            </w:r>
          </w:p>
        </w:tc>
        <w:tc>
          <w:tcPr>
            <w:tcW w:w="602" w:type="pct"/>
            <w:noWrap/>
            <w:vAlign w:val="bottom"/>
          </w:tcPr>
          <w:p w:rsidR="00DB6750" w:rsidRPr="00DB6750" w:rsidRDefault="00DB6750" w:rsidP="00DB6750">
            <w:pPr>
              <w:cnfStyle w:val="000000000000" w:firstRow="0" w:lastRow="0" w:firstColumn="0" w:lastColumn="0" w:oddVBand="0" w:evenVBand="0" w:oddHBand="0" w:evenHBand="0" w:firstRowFirstColumn="0" w:firstRowLastColumn="0" w:lastRowFirstColumn="0" w:lastRowLastColumn="0"/>
            </w:pPr>
            <w:r w:rsidRPr="00DB6750">
              <w:t>3585.0</w:t>
            </w:r>
          </w:p>
        </w:tc>
        <w:tc>
          <w:tcPr>
            <w:tcW w:w="602" w:type="pct"/>
            <w:noWrap/>
            <w:vAlign w:val="bottom"/>
          </w:tcPr>
          <w:p w:rsidR="00DB6750" w:rsidRPr="00DB6750" w:rsidRDefault="00DB6750" w:rsidP="00DB6750">
            <w:pPr>
              <w:cnfStyle w:val="000000000000" w:firstRow="0" w:lastRow="0" w:firstColumn="0" w:lastColumn="0" w:oddVBand="0" w:evenVBand="0" w:oddHBand="0" w:evenHBand="0" w:firstRowFirstColumn="0" w:firstRowLastColumn="0" w:lastRowFirstColumn="0" w:lastRowLastColumn="0"/>
            </w:pPr>
            <w:r w:rsidRPr="00DB6750">
              <w:t>3836.4</w:t>
            </w:r>
          </w:p>
        </w:tc>
        <w:tc>
          <w:tcPr>
            <w:tcW w:w="602" w:type="pct"/>
            <w:noWrap/>
            <w:vAlign w:val="bottom"/>
          </w:tcPr>
          <w:p w:rsidR="00DB6750" w:rsidRPr="00DB6750" w:rsidRDefault="00DB6750" w:rsidP="00DB6750">
            <w:pPr>
              <w:cnfStyle w:val="000000000000" w:firstRow="0" w:lastRow="0" w:firstColumn="0" w:lastColumn="0" w:oddVBand="0" w:evenVBand="0" w:oddHBand="0" w:evenHBand="0" w:firstRowFirstColumn="0" w:firstRowLastColumn="0" w:lastRowFirstColumn="0" w:lastRowLastColumn="0"/>
            </w:pPr>
            <w:r w:rsidRPr="00DB6750">
              <w:t>4093.4</w:t>
            </w:r>
          </w:p>
        </w:tc>
        <w:tc>
          <w:tcPr>
            <w:tcW w:w="602" w:type="pct"/>
            <w:noWrap/>
            <w:vAlign w:val="bottom"/>
          </w:tcPr>
          <w:p w:rsidR="00DB6750" w:rsidRPr="00DB6750" w:rsidRDefault="00DB6750" w:rsidP="00DB6750">
            <w:pPr>
              <w:cnfStyle w:val="000000000000" w:firstRow="0" w:lastRow="0" w:firstColumn="0" w:lastColumn="0" w:oddVBand="0" w:evenVBand="0" w:oddHBand="0" w:evenHBand="0" w:firstRowFirstColumn="0" w:firstRowLastColumn="0" w:lastRowFirstColumn="0" w:lastRowLastColumn="0"/>
            </w:pPr>
            <w:r w:rsidRPr="00DB6750">
              <w:t>4340.6</w:t>
            </w:r>
          </w:p>
        </w:tc>
      </w:tr>
      <w:tr w:rsidR="00DB6750" w:rsidRPr="00237902" w:rsidTr="00BE1B7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DB6750" w:rsidRPr="00E9105B" w:rsidRDefault="00DB6750" w:rsidP="00BE1B76">
            <w:r w:rsidRPr="00E9105B">
              <w:t>Capital expenditure</w:t>
            </w:r>
            <w:r w:rsidRPr="00E9105B">
              <w:rPr>
                <w:rStyle w:val="AERsuperscript"/>
              </w:rPr>
              <w:t>a</w:t>
            </w:r>
          </w:p>
        </w:tc>
        <w:tc>
          <w:tcPr>
            <w:tcW w:w="602" w:type="pct"/>
            <w:noWrap/>
            <w:vAlign w:val="bottom"/>
          </w:tcPr>
          <w:p w:rsidR="00DB6750" w:rsidRPr="00DB6750" w:rsidRDefault="00DB6750" w:rsidP="00DB6750">
            <w:pPr>
              <w:cnfStyle w:val="000000010000" w:firstRow="0" w:lastRow="0" w:firstColumn="0" w:lastColumn="0" w:oddVBand="0" w:evenVBand="0" w:oddHBand="0" w:evenHBand="1" w:firstRowFirstColumn="0" w:firstRowLastColumn="0" w:lastRowFirstColumn="0" w:lastRowLastColumn="0"/>
            </w:pPr>
            <w:r w:rsidRPr="00DB6750">
              <w:t>342.8</w:t>
            </w:r>
          </w:p>
        </w:tc>
        <w:tc>
          <w:tcPr>
            <w:tcW w:w="602" w:type="pct"/>
            <w:noWrap/>
            <w:vAlign w:val="bottom"/>
          </w:tcPr>
          <w:p w:rsidR="00DB6750" w:rsidRPr="00DB6750" w:rsidRDefault="00DB6750" w:rsidP="00DB6750">
            <w:pPr>
              <w:cnfStyle w:val="000000010000" w:firstRow="0" w:lastRow="0" w:firstColumn="0" w:lastColumn="0" w:oddVBand="0" w:evenVBand="0" w:oddHBand="0" w:evenHBand="1" w:firstRowFirstColumn="0" w:firstRowLastColumn="0" w:lastRowFirstColumn="0" w:lastRowLastColumn="0"/>
            </w:pPr>
            <w:r w:rsidRPr="00DB6750">
              <w:t>341.0</w:t>
            </w:r>
          </w:p>
        </w:tc>
        <w:tc>
          <w:tcPr>
            <w:tcW w:w="602" w:type="pct"/>
            <w:noWrap/>
            <w:vAlign w:val="bottom"/>
          </w:tcPr>
          <w:p w:rsidR="00DB6750" w:rsidRPr="00DB6750" w:rsidRDefault="00DB6750" w:rsidP="00DB6750">
            <w:pPr>
              <w:cnfStyle w:val="000000010000" w:firstRow="0" w:lastRow="0" w:firstColumn="0" w:lastColumn="0" w:oddVBand="0" w:evenVBand="0" w:oddHBand="0" w:evenHBand="1" w:firstRowFirstColumn="0" w:firstRowLastColumn="0" w:lastRowFirstColumn="0" w:lastRowLastColumn="0"/>
            </w:pPr>
            <w:r w:rsidRPr="00DB6750">
              <w:t>353.5</w:t>
            </w:r>
          </w:p>
        </w:tc>
        <w:tc>
          <w:tcPr>
            <w:tcW w:w="602" w:type="pct"/>
            <w:noWrap/>
            <w:vAlign w:val="bottom"/>
          </w:tcPr>
          <w:p w:rsidR="00DB6750" w:rsidRPr="00DB6750" w:rsidRDefault="00DB6750" w:rsidP="00DB6750">
            <w:pPr>
              <w:cnfStyle w:val="000000010000" w:firstRow="0" w:lastRow="0" w:firstColumn="0" w:lastColumn="0" w:oddVBand="0" w:evenVBand="0" w:oddHBand="0" w:evenHBand="1" w:firstRowFirstColumn="0" w:firstRowLastColumn="0" w:lastRowFirstColumn="0" w:lastRowLastColumn="0"/>
            </w:pPr>
            <w:r w:rsidRPr="00DB6750">
              <w:t>353.0</w:t>
            </w:r>
          </w:p>
        </w:tc>
        <w:tc>
          <w:tcPr>
            <w:tcW w:w="602" w:type="pct"/>
            <w:noWrap/>
            <w:vAlign w:val="bottom"/>
          </w:tcPr>
          <w:p w:rsidR="00DB6750" w:rsidRPr="00DB6750" w:rsidRDefault="00DB6750" w:rsidP="00DB6750">
            <w:pPr>
              <w:cnfStyle w:val="000000010000" w:firstRow="0" w:lastRow="0" w:firstColumn="0" w:lastColumn="0" w:oddVBand="0" w:evenVBand="0" w:oddHBand="0" w:evenHBand="1" w:firstRowFirstColumn="0" w:firstRowLastColumn="0" w:lastRowFirstColumn="0" w:lastRowLastColumn="0"/>
            </w:pPr>
            <w:r w:rsidRPr="00DB6750">
              <w:t>374.1</w:t>
            </w:r>
          </w:p>
        </w:tc>
      </w:tr>
      <w:tr w:rsidR="00DB6750" w:rsidRPr="00237902" w:rsidTr="00BE1B76">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DB6750" w:rsidRPr="00E9105B" w:rsidRDefault="00DB6750" w:rsidP="00BE1B76">
            <w:r w:rsidRPr="00E9105B">
              <w:t>Inflation indexation on opening RAB</w:t>
            </w:r>
          </w:p>
        </w:tc>
        <w:tc>
          <w:tcPr>
            <w:tcW w:w="602" w:type="pct"/>
            <w:noWrap/>
            <w:vAlign w:val="bottom"/>
          </w:tcPr>
          <w:p w:rsidR="00DB6750" w:rsidRPr="00DB6750" w:rsidRDefault="00DB6750" w:rsidP="00DB6750">
            <w:pPr>
              <w:cnfStyle w:val="000000000000" w:firstRow="0" w:lastRow="0" w:firstColumn="0" w:lastColumn="0" w:oddVBand="0" w:evenVBand="0" w:oddHBand="0" w:evenHBand="0" w:firstRowFirstColumn="0" w:firstRowLastColumn="0" w:lastRowFirstColumn="0" w:lastRowLastColumn="0"/>
            </w:pPr>
            <w:r w:rsidRPr="00DB6750">
              <w:t>83.6</w:t>
            </w:r>
          </w:p>
        </w:tc>
        <w:tc>
          <w:tcPr>
            <w:tcW w:w="602" w:type="pct"/>
            <w:noWrap/>
            <w:vAlign w:val="bottom"/>
          </w:tcPr>
          <w:p w:rsidR="00DB6750" w:rsidRPr="00DB6750" w:rsidRDefault="00DB6750" w:rsidP="00DB6750">
            <w:pPr>
              <w:cnfStyle w:val="000000000000" w:firstRow="0" w:lastRow="0" w:firstColumn="0" w:lastColumn="0" w:oddVBand="0" w:evenVBand="0" w:oddHBand="0" w:evenHBand="0" w:firstRowFirstColumn="0" w:firstRowLastColumn="0" w:lastRowFirstColumn="0" w:lastRowLastColumn="0"/>
            </w:pPr>
            <w:r w:rsidRPr="00DB6750">
              <w:t>89.6</w:t>
            </w:r>
          </w:p>
        </w:tc>
        <w:tc>
          <w:tcPr>
            <w:tcW w:w="602" w:type="pct"/>
            <w:noWrap/>
            <w:vAlign w:val="bottom"/>
          </w:tcPr>
          <w:p w:rsidR="00DB6750" w:rsidRPr="00DB6750" w:rsidRDefault="00DB6750" w:rsidP="00DB6750">
            <w:pPr>
              <w:cnfStyle w:val="000000000000" w:firstRow="0" w:lastRow="0" w:firstColumn="0" w:lastColumn="0" w:oddVBand="0" w:evenVBand="0" w:oddHBand="0" w:evenHBand="0" w:firstRowFirstColumn="0" w:firstRowLastColumn="0" w:lastRowFirstColumn="0" w:lastRowLastColumn="0"/>
            </w:pPr>
            <w:r w:rsidRPr="00DB6750">
              <w:t>95.9</w:t>
            </w:r>
          </w:p>
        </w:tc>
        <w:tc>
          <w:tcPr>
            <w:tcW w:w="602" w:type="pct"/>
            <w:noWrap/>
            <w:vAlign w:val="bottom"/>
          </w:tcPr>
          <w:p w:rsidR="00DB6750" w:rsidRPr="00DB6750" w:rsidRDefault="00DB6750" w:rsidP="00DB6750">
            <w:pPr>
              <w:cnfStyle w:val="000000000000" w:firstRow="0" w:lastRow="0" w:firstColumn="0" w:lastColumn="0" w:oddVBand="0" w:evenVBand="0" w:oddHBand="0" w:evenHBand="0" w:firstRowFirstColumn="0" w:firstRowLastColumn="0" w:lastRowFirstColumn="0" w:lastRowLastColumn="0"/>
            </w:pPr>
            <w:r w:rsidRPr="00DB6750">
              <w:t>102.3</w:t>
            </w:r>
          </w:p>
        </w:tc>
        <w:tc>
          <w:tcPr>
            <w:tcW w:w="602" w:type="pct"/>
            <w:noWrap/>
            <w:vAlign w:val="bottom"/>
          </w:tcPr>
          <w:p w:rsidR="00DB6750" w:rsidRPr="00DB6750" w:rsidRDefault="00DB6750" w:rsidP="00DB6750">
            <w:pPr>
              <w:cnfStyle w:val="000000000000" w:firstRow="0" w:lastRow="0" w:firstColumn="0" w:lastColumn="0" w:oddVBand="0" w:evenVBand="0" w:oddHBand="0" w:evenHBand="0" w:firstRowFirstColumn="0" w:firstRowLastColumn="0" w:lastRowFirstColumn="0" w:lastRowLastColumn="0"/>
            </w:pPr>
            <w:r w:rsidRPr="00DB6750">
              <w:t>108.5</w:t>
            </w:r>
          </w:p>
        </w:tc>
      </w:tr>
      <w:tr w:rsidR="00DB6750" w:rsidRPr="00237902" w:rsidTr="00BE1B7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DB6750" w:rsidRPr="00E9105B" w:rsidRDefault="00DB6750" w:rsidP="00BE1B76">
            <w:r w:rsidRPr="00E9105B">
              <w:rPr>
                <w:rStyle w:val="AERtextitalic"/>
              </w:rPr>
              <w:t>Less</w:t>
            </w:r>
            <w:r w:rsidRPr="00E9105B">
              <w:t>: straight-line depreciation</w:t>
            </w:r>
          </w:p>
        </w:tc>
        <w:tc>
          <w:tcPr>
            <w:tcW w:w="602" w:type="pct"/>
            <w:noWrap/>
            <w:vAlign w:val="bottom"/>
          </w:tcPr>
          <w:p w:rsidR="00DB6750" w:rsidRPr="00DB6750" w:rsidRDefault="00DB6750" w:rsidP="00DB6750">
            <w:pPr>
              <w:cnfStyle w:val="000000010000" w:firstRow="0" w:lastRow="0" w:firstColumn="0" w:lastColumn="0" w:oddVBand="0" w:evenVBand="0" w:oddHBand="0" w:evenHBand="1" w:firstRowFirstColumn="0" w:firstRowLastColumn="0" w:lastRowFirstColumn="0" w:lastRowLastColumn="0"/>
            </w:pPr>
            <w:r w:rsidRPr="00DB6750">
              <w:t>185.9</w:t>
            </w:r>
          </w:p>
        </w:tc>
        <w:tc>
          <w:tcPr>
            <w:tcW w:w="602" w:type="pct"/>
            <w:noWrap/>
            <w:vAlign w:val="bottom"/>
          </w:tcPr>
          <w:p w:rsidR="00DB6750" w:rsidRPr="00DB6750" w:rsidRDefault="00DB6750" w:rsidP="00DB6750">
            <w:pPr>
              <w:cnfStyle w:val="000000010000" w:firstRow="0" w:lastRow="0" w:firstColumn="0" w:lastColumn="0" w:oddVBand="0" w:evenVBand="0" w:oddHBand="0" w:evenHBand="1" w:firstRowFirstColumn="0" w:firstRowLastColumn="0" w:lastRowFirstColumn="0" w:lastRowLastColumn="0"/>
            </w:pPr>
            <w:r w:rsidRPr="00DB6750">
              <w:t>179.2</w:t>
            </w:r>
          </w:p>
        </w:tc>
        <w:tc>
          <w:tcPr>
            <w:tcW w:w="602" w:type="pct"/>
            <w:noWrap/>
            <w:vAlign w:val="bottom"/>
          </w:tcPr>
          <w:p w:rsidR="00DB6750" w:rsidRPr="00DB6750" w:rsidRDefault="00DB6750" w:rsidP="00DB6750">
            <w:pPr>
              <w:cnfStyle w:val="000000010000" w:firstRow="0" w:lastRow="0" w:firstColumn="0" w:lastColumn="0" w:oddVBand="0" w:evenVBand="0" w:oddHBand="0" w:evenHBand="1" w:firstRowFirstColumn="0" w:firstRowLastColumn="0" w:lastRowFirstColumn="0" w:lastRowLastColumn="0"/>
            </w:pPr>
            <w:r w:rsidRPr="00DB6750">
              <w:t>192.5</w:t>
            </w:r>
          </w:p>
        </w:tc>
        <w:tc>
          <w:tcPr>
            <w:tcW w:w="602" w:type="pct"/>
            <w:noWrap/>
            <w:vAlign w:val="bottom"/>
          </w:tcPr>
          <w:p w:rsidR="00DB6750" w:rsidRPr="00DB6750" w:rsidRDefault="00DB6750" w:rsidP="00DB6750">
            <w:pPr>
              <w:cnfStyle w:val="000000010000" w:firstRow="0" w:lastRow="0" w:firstColumn="0" w:lastColumn="0" w:oddVBand="0" w:evenVBand="0" w:oddHBand="0" w:evenHBand="1" w:firstRowFirstColumn="0" w:firstRowLastColumn="0" w:lastRowFirstColumn="0" w:lastRowLastColumn="0"/>
            </w:pPr>
            <w:r w:rsidRPr="00DB6750">
              <w:t>208.1</w:t>
            </w:r>
          </w:p>
        </w:tc>
        <w:tc>
          <w:tcPr>
            <w:tcW w:w="602" w:type="pct"/>
            <w:noWrap/>
            <w:vAlign w:val="bottom"/>
          </w:tcPr>
          <w:p w:rsidR="00DB6750" w:rsidRPr="00DB6750" w:rsidRDefault="00DB6750" w:rsidP="00DB6750">
            <w:pPr>
              <w:cnfStyle w:val="000000010000" w:firstRow="0" w:lastRow="0" w:firstColumn="0" w:lastColumn="0" w:oddVBand="0" w:evenVBand="0" w:oddHBand="0" w:evenHBand="1" w:firstRowFirstColumn="0" w:firstRowLastColumn="0" w:lastRowFirstColumn="0" w:lastRowLastColumn="0"/>
            </w:pPr>
            <w:r w:rsidRPr="00DB6750">
              <w:t>217.4</w:t>
            </w:r>
          </w:p>
        </w:tc>
      </w:tr>
      <w:tr w:rsidR="00DB6750" w:rsidRPr="00B8281D" w:rsidTr="00BE1B76">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DB6750" w:rsidRPr="00B8281D" w:rsidRDefault="00DB6750" w:rsidP="00B8281D">
            <w:r w:rsidRPr="00B8281D">
              <w:t>Closing RAB</w:t>
            </w:r>
          </w:p>
        </w:tc>
        <w:tc>
          <w:tcPr>
            <w:tcW w:w="602" w:type="pct"/>
            <w:noWrap/>
            <w:vAlign w:val="bottom"/>
          </w:tcPr>
          <w:p w:rsidR="00DB6750" w:rsidRPr="00B8281D" w:rsidRDefault="00DB6750" w:rsidP="00B8281D">
            <w:pPr>
              <w:cnfStyle w:val="000000000000" w:firstRow="0" w:lastRow="0" w:firstColumn="0" w:lastColumn="0" w:oddVBand="0" w:evenVBand="0" w:oddHBand="0" w:evenHBand="0" w:firstRowFirstColumn="0" w:firstRowLastColumn="0" w:lastRowFirstColumn="0" w:lastRowLastColumn="0"/>
            </w:pPr>
            <w:r w:rsidRPr="00B8281D">
              <w:t>3585.0</w:t>
            </w:r>
          </w:p>
        </w:tc>
        <w:tc>
          <w:tcPr>
            <w:tcW w:w="602" w:type="pct"/>
            <w:noWrap/>
            <w:vAlign w:val="bottom"/>
          </w:tcPr>
          <w:p w:rsidR="00DB6750" w:rsidRPr="00B8281D" w:rsidRDefault="00DB6750" w:rsidP="00B8281D">
            <w:pPr>
              <w:cnfStyle w:val="000000000000" w:firstRow="0" w:lastRow="0" w:firstColumn="0" w:lastColumn="0" w:oddVBand="0" w:evenVBand="0" w:oddHBand="0" w:evenHBand="0" w:firstRowFirstColumn="0" w:firstRowLastColumn="0" w:lastRowFirstColumn="0" w:lastRowLastColumn="0"/>
            </w:pPr>
            <w:r w:rsidRPr="00B8281D">
              <w:t>3836.4</w:t>
            </w:r>
          </w:p>
        </w:tc>
        <w:tc>
          <w:tcPr>
            <w:tcW w:w="602" w:type="pct"/>
            <w:noWrap/>
            <w:vAlign w:val="bottom"/>
          </w:tcPr>
          <w:p w:rsidR="00DB6750" w:rsidRPr="00B8281D" w:rsidRDefault="00DB6750" w:rsidP="00B8281D">
            <w:pPr>
              <w:cnfStyle w:val="000000000000" w:firstRow="0" w:lastRow="0" w:firstColumn="0" w:lastColumn="0" w:oddVBand="0" w:evenVBand="0" w:oddHBand="0" w:evenHBand="0" w:firstRowFirstColumn="0" w:firstRowLastColumn="0" w:lastRowFirstColumn="0" w:lastRowLastColumn="0"/>
            </w:pPr>
            <w:r w:rsidRPr="00B8281D">
              <w:t>4093.4</w:t>
            </w:r>
          </w:p>
        </w:tc>
        <w:tc>
          <w:tcPr>
            <w:tcW w:w="602" w:type="pct"/>
            <w:noWrap/>
            <w:vAlign w:val="bottom"/>
          </w:tcPr>
          <w:p w:rsidR="00DB6750" w:rsidRPr="00B8281D" w:rsidRDefault="00DB6750" w:rsidP="00B8281D">
            <w:pPr>
              <w:cnfStyle w:val="000000000000" w:firstRow="0" w:lastRow="0" w:firstColumn="0" w:lastColumn="0" w:oddVBand="0" w:evenVBand="0" w:oddHBand="0" w:evenHBand="0" w:firstRowFirstColumn="0" w:firstRowLastColumn="0" w:lastRowFirstColumn="0" w:lastRowLastColumn="0"/>
            </w:pPr>
            <w:r w:rsidRPr="00B8281D">
              <w:t>4340.6</w:t>
            </w:r>
          </w:p>
        </w:tc>
        <w:tc>
          <w:tcPr>
            <w:tcW w:w="602" w:type="pct"/>
            <w:noWrap/>
            <w:vAlign w:val="bottom"/>
          </w:tcPr>
          <w:p w:rsidR="00DB6750" w:rsidRPr="00B8281D" w:rsidRDefault="00DB6750" w:rsidP="00B8281D">
            <w:pPr>
              <w:cnfStyle w:val="000000000000" w:firstRow="0" w:lastRow="0" w:firstColumn="0" w:lastColumn="0" w:oddVBand="0" w:evenVBand="0" w:oddHBand="0" w:evenHBand="0" w:firstRowFirstColumn="0" w:firstRowLastColumn="0" w:lastRowFirstColumn="0" w:lastRowLastColumn="0"/>
            </w:pPr>
            <w:r w:rsidRPr="00B8281D">
              <w:t>4605.8</w:t>
            </w:r>
          </w:p>
        </w:tc>
      </w:tr>
    </w:tbl>
    <w:p w:rsidR="00BE1B76" w:rsidRPr="006001AB" w:rsidRDefault="00BE1B76" w:rsidP="00BE1B76">
      <w:pPr>
        <w:pStyle w:val="AERtablesource"/>
      </w:pPr>
      <w:r w:rsidRPr="006001AB">
        <w:t>Source:</w:t>
      </w:r>
      <w:r w:rsidRPr="006001AB">
        <w:tab/>
        <w:t>AER analysis.</w:t>
      </w:r>
    </w:p>
    <w:p w:rsidR="00BE1B76" w:rsidRPr="006001AB" w:rsidRDefault="00BE1B76" w:rsidP="00BE1B76">
      <w:pPr>
        <w:pStyle w:val="AERtablesource"/>
      </w:pPr>
      <w:r w:rsidRPr="006001AB">
        <w:t>(a):</w:t>
      </w:r>
      <w:r w:rsidRPr="006001AB">
        <w:tab/>
        <w:t>Net of forecast disposals and capital contributions.</w:t>
      </w:r>
    </w:p>
    <w:p w:rsidR="00BE1B76" w:rsidRDefault="00BE1B76" w:rsidP="00BE1B76">
      <w:pPr>
        <w:numPr>
          <w:ilvl w:val="0"/>
          <w:numId w:val="24"/>
        </w:numPr>
      </w:pPr>
      <w:r w:rsidRPr="006001AB">
        <w:lastRenderedPageBreak/>
        <w:t xml:space="preserve">We </w:t>
      </w:r>
      <w:r>
        <w:t>accept Powercor's proposal</w:t>
      </w:r>
      <w:r w:rsidRPr="006001AB">
        <w:t xml:space="preserve"> that </w:t>
      </w:r>
      <w:r>
        <w:t>a</w:t>
      </w:r>
      <w:r w:rsidRPr="006001AB">
        <w:t xml:space="preserve"> forecast depreciation approach </w:t>
      </w:r>
      <w:r w:rsidR="006D6032">
        <w:t xml:space="preserve">is to </w:t>
      </w:r>
      <w:r w:rsidRPr="006001AB">
        <w:t>be used to establish the opening RAB at the commencement of the 202</w:t>
      </w:r>
      <w:r w:rsidR="006067D4">
        <w:t>1</w:t>
      </w:r>
      <w:r w:rsidRPr="006001AB">
        <w:t>–25 regulatory control period.</w:t>
      </w:r>
      <w:r w:rsidR="00A227DA">
        <w:rPr>
          <w:rStyle w:val="FootnoteReference"/>
        </w:rPr>
        <w:footnoteReference w:id="4"/>
      </w:r>
    </w:p>
    <w:p w:rsidR="009A5113" w:rsidRDefault="008A7262" w:rsidP="009A5113">
      <w:pPr>
        <w:pStyle w:val="Heading2"/>
      </w:pPr>
      <w:bookmarkStart w:id="17" w:name="_Toc433172714"/>
      <w:r>
        <w:t>Powercor</w:t>
      </w:r>
      <w:r w:rsidR="005C0A7F">
        <w:t>'s proposal</w:t>
      </w:r>
      <w:bookmarkEnd w:id="17"/>
    </w:p>
    <w:p w:rsidR="00A227DA" w:rsidRDefault="00BE1B76" w:rsidP="00BE1B76">
      <w:pPr>
        <w:numPr>
          <w:ilvl w:val="0"/>
          <w:numId w:val="24"/>
        </w:numPr>
      </w:pPr>
      <w:r>
        <w:t>Powercor</w:t>
      </w:r>
      <w:r w:rsidRPr="00924046">
        <w:t xml:space="preserve"> used our RFM to establish an opening RAB as at </w:t>
      </w:r>
      <w:r w:rsidR="00162474">
        <w:t>1 January 2016</w:t>
      </w:r>
      <w:r w:rsidRPr="00924046">
        <w:t xml:space="preserve"> and our PTRM to roll forward the RAB over the </w:t>
      </w:r>
      <w:r w:rsidR="00162474">
        <w:t>2016–20</w:t>
      </w:r>
      <w:r w:rsidRPr="00924046">
        <w:t xml:space="preserve"> regulatory control period.</w:t>
      </w:r>
    </w:p>
    <w:p w:rsidR="00BE1B76" w:rsidRPr="00924046" w:rsidRDefault="00BE1B76" w:rsidP="00BE1B76">
      <w:pPr>
        <w:numPr>
          <w:ilvl w:val="0"/>
          <w:numId w:val="24"/>
        </w:numPr>
      </w:pPr>
      <w:r>
        <w:t>Powercor</w:t>
      </w:r>
      <w:r w:rsidRPr="00924046">
        <w:t xml:space="preserve"> proposed an opening RAB value as at </w:t>
      </w:r>
      <w:r w:rsidR="006709EA">
        <w:t>1 January 2011</w:t>
      </w:r>
      <w:r w:rsidRPr="00924046">
        <w:t xml:space="preserve"> of $</w:t>
      </w:r>
      <w:r w:rsidR="00F66A03">
        <w:t>22</w:t>
      </w:r>
      <w:r w:rsidR="00A05AAF">
        <w:t>44</w:t>
      </w:r>
      <w:r w:rsidR="00F66A03">
        <w:t>.8</w:t>
      </w:r>
      <w:r w:rsidRPr="00924046">
        <w:t xml:space="preserve"> million ($ nominal).</w:t>
      </w:r>
      <w:r w:rsidR="00A227DA" w:rsidRPr="00A227DA">
        <w:rPr>
          <w:rStyle w:val="FootnoteReference"/>
        </w:rPr>
        <w:t xml:space="preserve"> </w:t>
      </w:r>
      <w:r w:rsidR="00A227DA" w:rsidRPr="00924046">
        <w:rPr>
          <w:rStyle w:val="FootnoteReference"/>
        </w:rPr>
        <w:footnoteReference w:id="5"/>
      </w:r>
      <w:r w:rsidRPr="00924046">
        <w:t xml:space="preserve"> Rolling forward this RAB and using depreciation based on actual capex, </w:t>
      </w:r>
      <w:r>
        <w:t>Powercor</w:t>
      </w:r>
      <w:r w:rsidRPr="00924046">
        <w:t xml:space="preserve"> proposed a closing RAB as at </w:t>
      </w:r>
      <w:r w:rsidR="006709EA">
        <w:t>31 December 2015</w:t>
      </w:r>
      <w:r w:rsidRPr="00924046">
        <w:t xml:space="preserve"> of $</w:t>
      </w:r>
      <w:r w:rsidR="00F66A03">
        <w:t>33</w:t>
      </w:r>
      <w:r w:rsidR="00A05AAF">
        <w:t>62</w:t>
      </w:r>
      <w:r w:rsidR="00F66A03">
        <w:t>.9</w:t>
      </w:r>
      <w:r w:rsidRPr="00924046">
        <w:t xml:space="preserve"> million ($ nominal). </w:t>
      </w:r>
      <w:r w:rsidRPr="00924046">
        <w:fldChar w:fldCharType="begin"/>
      </w:r>
      <w:r w:rsidRPr="00924046">
        <w:instrText xml:space="preserve"> REF _Ref393095893 \h </w:instrText>
      </w:r>
      <w:r w:rsidRPr="00924046">
        <w:fldChar w:fldCharType="separate"/>
      </w:r>
      <w:r w:rsidR="00C647D4" w:rsidRPr="00924046">
        <w:t xml:space="preserve">Table </w:t>
      </w:r>
      <w:r w:rsidR="00C647D4">
        <w:rPr>
          <w:noProof/>
        </w:rPr>
        <w:t>2</w:t>
      </w:r>
      <w:r w:rsidR="00C647D4">
        <w:t>.</w:t>
      </w:r>
      <w:r w:rsidR="00C647D4">
        <w:rPr>
          <w:noProof/>
        </w:rPr>
        <w:t>3</w:t>
      </w:r>
      <w:r w:rsidRPr="00924046">
        <w:fldChar w:fldCharType="end"/>
      </w:r>
      <w:r w:rsidRPr="00924046">
        <w:t xml:space="preserve"> presents </w:t>
      </w:r>
      <w:proofErr w:type="spellStart"/>
      <w:r>
        <w:t>Powercor's</w:t>
      </w:r>
      <w:proofErr w:type="spellEnd"/>
      <w:r w:rsidRPr="00924046">
        <w:t xml:space="preserve"> proposed roll forward of its RAB during the </w:t>
      </w:r>
      <w:r w:rsidR="006067D4">
        <w:t>2011–15</w:t>
      </w:r>
      <w:r w:rsidRPr="00924046">
        <w:t xml:space="preserve"> regulatory control period. </w:t>
      </w:r>
    </w:p>
    <w:p w:rsidR="00BE1B76" w:rsidRPr="00924046" w:rsidRDefault="00BE1B76" w:rsidP="00BE1B76">
      <w:pPr>
        <w:pStyle w:val="Caption"/>
      </w:pPr>
      <w:bookmarkStart w:id="18" w:name="_Ref393095893"/>
      <w:r w:rsidRPr="00924046">
        <w:t xml:space="preserve">Table </w:t>
      </w:r>
      <w:fldSimple w:instr=" STYLEREF 1 \s ">
        <w:r w:rsidR="00C647D4">
          <w:rPr>
            <w:noProof/>
          </w:rPr>
          <w:t>2</w:t>
        </w:r>
      </w:fldSimple>
      <w:r>
        <w:t>.</w:t>
      </w:r>
      <w:fldSimple w:instr=" SEQ Table \* ARABIC \s 1 ">
        <w:r w:rsidR="00C647D4">
          <w:rPr>
            <w:noProof/>
          </w:rPr>
          <w:t>3</w:t>
        </w:r>
      </w:fldSimple>
      <w:bookmarkEnd w:id="18"/>
      <w:r w:rsidRPr="00924046">
        <w:tab/>
      </w:r>
      <w:r>
        <w:t>Powercor's</w:t>
      </w:r>
      <w:r w:rsidRPr="00924046">
        <w:t xml:space="preserve"> proposed RAB for the </w:t>
      </w:r>
      <w:r w:rsidR="006067D4">
        <w:t>2011–15</w:t>
      </w:r>
      <w:r w:rsidRPr="00924046">
        <w:t xml:space="preserve"> regulatory control period ($million, nominal)</w:t>
      </w:r>
    </w:p>
    <w:tbl>
      <w:tblPr>
        <w:tblStyle w:val="AERtable-numbers"/>
        <w:tblW w:w="8755" w:type="dxa"/>
        <w:tblLayout w:type="fixed"/>
        <w:tblLook w:val="04A0" w:firstRow="1" w:lastRow="0" w:firstColumn="1" w:lastColumn="0" w:noHBand="0" w:noVBand="1"/>
      </w:tblPr>
      <w:tblGrid>
        <w:gridCol w:w="3586"/>
        <w:gridCol w:w="1033"/>
        <w:gridCol w:w="259"/>
        <w:gridCol w:w="775"/>
        <w:gridCol w:w="517"/>
        <w:gridCol w:w="517"/>
        <w:gridCol w:w="775"/>
        <w:gridCol w:w="259"/>
        <w:gridCol w:w="1034"/>
      </w:tblGrid>
      <w:tr w:rsidR="00BE1B76" w:rsidRPr="0011410F" w:rsidTr="00BE1B76">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BE1B76" w:rsidRPr="000F67F7" w:rsidRDefault="00BE1B76" w:rsidP="00BE1B76">
            <w:r w:rsidRPr="00924046">
              <w:t> </w:t>
            </w:r>
          </w:p>
        </w:tc>
        <w:tc>
          <w:tcPr>
            <w:tcW w:w="1033" w:type="dxa"/>
            <w:noWrap/>
            <w:hideMark/>
          </w:tcPr>
          <w:p w:rsidR="00BE1B76" w:rsidRPr="000F67F7" w:rsidRDefault="00BE1B76" w:rsidP="00110B00">
            <w:pPr>
              <w:cnfStyle w:val="100000000000" w:firstRow="1" w:lastRow="0" w:firstColumn="0" w:lastColumn="0" w:oddVBand="0" w:evenVBand="0" w:oddHBand="0" w:evenHBand="0" w:firstRowFirstColumn="0" w:firstRowLastColumn="0" w:lastRowFirstColumn="0" w:lastRowLastColumn="0"/>
            </w:pPr>
            <w:r w:rsidRPr="00924046">
              <w:t>2011</w:t>
            </w:r>
          </w:p>
        </w:tc>
        <w:tc>
          <w:tcPr>
            <w:tcW w:w="1034" w:type="dxa"/>
            <w:gridSpan w:val="2"/>
            <w:noWrap/>
            <w:hideMark/>
          </w:tcPr>
          <w:p w:rsidR="00BE1B76" w:rsidRPr="000F67F7" w:rsidRDefault="00BE1B76" w:rsidP="00110B00">
            <w:pPr>
              <w:cnfStyle w:val="100000000000" w:firstRow="1" w:lastRow="0" w:firstColumn="0" w:lastColumn="0" w:oddVBand="0" w:evenVBand="0" w:oddHBand="0" w:evenHBand="0" w:firstRowFirstColumn="0" w:firstRowLastColumn="0" w:lastRowFirstColumn="0" w:lastRowLastColumn="0"/>
            </w:pPr>
            <w:r w:rsidRPr="00924046">
              <w:t>2012</w:t>
            </w:r>
          </w:p>
        </w:tc>
        <w:tc>
          <w:tcPr>
            <w:tcW w:w="1034" w:type="dxa"/>
            <w:gridSpan w:val="2"/>
            <w:noWrap/>
            <w:hideMark/>
          </w:tcPr>
          <w:p w:rsidR="00BE1B76" w:rsidRPr="000F67F7" w:rsidRDefault="00BE1B76" w:rsidP="00110B00">
            <w:pPr>
              <w:cnfStyle w:val="100000000000" w:firstRow="1" w:lastRow="0" w:firstColumn="0" w:lastColumn="0" w:oddVBand="0" w:evenVBand="0" w:oddHBand="0" w:evenHBand="0" w:firstRowFirstColumn="0" w:firstRowLastColumn="0" w:lastRowFirstColumn="0" w:lastRowLastColumn="0"/>
            </w:pPr>
            <w:r w:rsidRPr="00924046">
              <w:t>2013</w:t>
            </w:r>
          </w:p>
        </w:tc>
        <w:tc>
          <w:tcPr>
            <w:tcW w:w="1034" w:type="dxa"/>
            <w:gridSpan w:val="2"/>
            <w:noWrap/>
            <w:hideMark/>
          </w:tcPr>
          <w:p w:rsidR="00BE1B76" w:rsidRPr="000F67F7" w:rsidRDefault="00BE1B76" w:rsidP="00110B00">
            <w:pPr>
              <w:cnfStyle w:val="100000000000" w:firstRow="1" w:lastRow="0" w:firstColumn="0" w:lastColumn="0" w:oddVBand="0" w:evenVBand="0" w:oddHBand="0" w:evenHBand="0" w:firstRowFirstColumn="0" w:firstRowLastColumn="0" w:lastRowFirstColumn="0" w:lastRowLastColumn="0"/>
            </w:pPr>
            <w:r w:rsidRPr="00924046">
              <w:t>2014</w:t>
            </w:r>
          </w:p>
        </w:tc>
        <w:tc>
          <w:tcPr>
            <w:tcW w:w="1034" w:type="dxa"/>
            <w:noWrap/>
            <w:hideMark/>
          </w:tcPr>
          <w:p w:rsidR="00BE1B76" w:rsidRPr="000F67F7" w:rsidRDefault="00BE1B76" w:rsidP="00110B00">
            <w:pPr>
              <w:cnfStyle w:val="100000000000" w:firstRow="1" w:lastRow="0" w:firstColumn="0" w:lastColumn="0" w:oddVBand="0" w:evenVBand="0" w:oddHBand="0" w:evenHBand="0" w:firstRowFirstColumn="0" w:firstRowLastColumn="0" w:lastRowFirstColumn="0" w:lastRowLastColumn="0"/>
            </w:pPr>
            <w:r w:rsidRPr="00924046">
              <w:t>2015</w:t>
            </w:r>
            <w:r w:rsidRPr="000F67F7">
              <w:rPr>
                <w:rStyle w:val="AERsuperscript"/>
              </w:rPr>
              <w:t>a</w:t>
            </w:r>
          </w:p>
        </w:tc>
      </w:tr>
      <w:tr w:rsidR="00BE1B76" w:rsidRPr="00F30662" w:rsidTr="00BE1B76">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BE1B76" w:rsidRPr="00237902" w:rsidRDefault="00BE1B76" w:rsidP="00BE1B76">
            <w:r w:rsidRPr="00237902">
              <w:t>Opening RAB</w:t>
            </w:r>
          </w:p>
        </w:tc>
        <w:tc>
          <w:tcPr>
            <w:tcW w:w="1033" w:type="dxa"/>
            <w:noWrap/>
            <w:vAlign w:val="bottom"/>
          </w:tcPr>
          <w:p w:rsidR="00BE1B76" w:rsidRPr="00237902" w:rsidRDefault="00BB6726" w:rsidP="00BE1B76">
            <w:pPr>
              <w:cnfStyle w:val="000000000000" w:firstRow="0" w:lastRow="0" w:firstColumn="0" w:lastColumn="0" w:oddVBand="0" w:evenVBand="0" w:oddHBand="0" w:evenHBand="0" w:firstRowFirstColumn="0" w:firstRowLastColumn="0" w:lastRowFirstColumn="0" w:lastRowLastColumn="0"/>
            </w:pPr>
            <w:r>
              <w:t>2244.8</w:t>
            </w:r>
          </w:p>
        </w:tc>
        <w:tc>
          <w:tcPr>
            <w:tcW w:w="1034" w:type="dxa"/>
            <w:gridSpan w:val="2"/>
            <w:noWrap/>
            <w:vAlign w:val="bottom"/>
          </w:tcPr>
          <w:p w:rsidR="00BE1B76" w:rsidRPr="00237902" w:rsidRDefault="00BB6726" w:rsidP="00BE1B76">
            <w:pPr>
              <w:cnfStyle w:val="000000000000" w:firstRow="0" w:lastRow="0" w:firstColumn="0" w:lastColumn="0" w:oddVBand="0" w:evenVBand="0" w:oddHBand="0" w:evenHBand="0" w:firstRowFirstColumn="0" w:firstRowLastColumn="0" w:lastRowFirstColumn="0" w:lastRowLastColumn="0"/>
            </w:pPr>
            <w:r>
              <w:t>2431.5</w:t>
            </w:r>
          </w:p>
        </w:tc>
        <w:tc>
          <w:tcPr>
            <w:tcW w:w="1034" w:type="dxa"/>
            <w:gridSpan w:val="2"/>
            <w:noWrap/>
            <w:vAlign w:val="bottom"/>
          </w:tcPr>
          <w:p w:rsidR="00BE1B76" w:rsidRPr="00237902" w:rsidRDefault="00BB6726" w:rsidP="00BE1B76">
            <w:pPr>
              <w:cnfStyle w:val="000000000000" w:firstRow="0" w:lastRow="0" w:firstColumn="0" w:lastColumn="0" w:oddVBand="0" w:evenVBand="0" w:oddHBand="0" w:evenHBand="0" w:firstRowFirstColumn="0" w:firstRowLastColumn="0" w:lastRowFirstColumn="0" w:lastRowLastColumn="0"/>
            </w:pPr>
            <w:r>
              <w:t>2656.9</w:t>
            </w:r>
          </w:p>
        </w:tc>
        <w:tc>
          <w:tcPr>
            <w:tcW w:w="1034" w:type="dxa"/>
            <w:gridSpan w:val="2"/>
            <w:noWrap/>
            <w:vAlign w:val="bottom"/>
          </w:tcPr>
          <w:p w:rsidR="00BE1B76" w:rsidRPr="00237902" w:rsidRDefault="00BB6726" w:rsidP="00BE1B76">
            <w:pPr>
              <w:cnfStyle w:val="000000000000" w:firstRow="0" w:lastRow="0" w:firstColumn="0" w:lastColumn="0" w:oddVBand="0" w:evenVBand="0" w:oddHBand="0" w:evenHBand="0" w:firstRowFirstColumn="0" w:firstRowLastColumn="0" w:lastRowFirstColumn="0" w:lastRowLastColumn="0"/>
            </w:pPr>
            <w:r>
              <w:t>2868.1</w:t>
            </w:r>
          </w:p>
        </w:tc>
        <w:tc>
          <w:tcPr>
            <w:tcW w:w="1034" w:type="dxa"/>
            <w:noWrap/>
            <w:vAlign w:val="bottom"/>
          </w:tcPr>
          <w:p w:rsidR="00BE1B76" w:rsidRPr="00237902" w:rsidRDefault="00BB6726" w:rsidP="00BE1B76">
            <w:pPr>
              <w:cnfStyle w:val="000000000000" w:firstRow="0" w:lastRow="0" w:firstColumn="0" w:lastColumn="0" w:oddVBand="0" w:evenVBand="0" w:oddHBand="0" w:evenHBand="0" w:firstRowFirstColumn="0" w:firstRowLastColumn="0" w:lastRowFirstColumn="0" w:lastRowLastColumn="0"/>
            </w:pPr>
            <w:r>
              <w:t>3121.5</w:t>
            </w:r>
          </w:p>
        </w:tc>
      </w:tr>
      <w:tr w:rsidR="00BE1B76" w:rsidRPr="00F30662" w:rsidTr="00BE1B76">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BE1B76" w:rsidRPr="00237902" w:rsidRDefault="00BE1B76" w:rsidP="00BE1B76">
            <w:r w:rsidRPr="00237902">
              <w:t>Capital expenditure</w:t>
            </w:r>
            <w:r w:rsidRPr="00237902">
              <w:rPr>
                <w:rStyle w:val="AERsuperscript"/>
              </w:rPr>
              <w:t>b</w:t>
            </w:r>
          </w:p>
        </w:tc>
        <w:tc>
          <w:tcPr>
            <w:tcW w:w="1033" w:type="dxa"/>
            <w:noWrap/>
            <w:vAlign w:val="bottom"/>
          </w:tcPr>
          <w:p w:rsidR="00BE1B76" w:rsidRPr="00237902" w:rsidRDefault="00BB6726" w:rsidP="00BE1B76">
            <w:pPr>
              <w:cnfStyle w:val="000000010000" w:firstRow="0" w:lastRow="0" w:firstColumn="0" w:lastColumn="0" w:oddVBand="0" w:evenVBand="0" w:oddHBand="0" w:evenHBand="1" w:firstRowFirstColumn="0" w:firstRowLastColumn="0" w:lastRowFirstColumn="0" w:lastRowLastColumn="0"/>
            </w:pPr>
            <w:r>
              <w:t>243.4</w:t>
            </w:r>
          </w:p>
        </w:tc>
        <w:tc>
          <w:tcPr>
            <w:tcW w:w="1034" w:type="dxa"/>
            <w:gridSpan w:val="2"/>
            <w:noWrap/>
            <w:vAlign w:val="bottom"/>
          </w:tcPr>
          <w:p w:rsidR="00BE1B76" w:rsidRPr="00237902" w:rsidRDefault="00BB6726" w:rsidP="00BE1B76">
            <w:pPr>
              <w:cnfStyle w:val="000000010000" w:firstRow="0" w:lastRow="0" w:firstColumn="0" w:lastColumn="0" w:oddVBand="0" w:evenVBand="0" w:oddHBand="0" w:evenHBand="1" w:firstRowFirstColumn="0" w:firstRowLastColumn="0" w:lastRowFirstColumn="0" w:lastRowLastColumn="0"/>
            </w:pPr>
            <w:r>
              <w:t>270.9</w:t>
            </w:r>
          </w:p>
        </w:tc>
        <w:tc>
          <w:tcPr>
            <w:tcW w:w="1034" w:type="dxa"/>
            <w:gridSpan w:val="2"/>
            <w:noWrap/>
            <w:vAlign w:val="bottom"/>
          </w:tcPr>
          <w:p w:rsidR="00BE1B76" w:rsidRPr="00237902" w:rsidRDefault="00BB6726" w:rsidP="00BE1B76">
            <w:pPr>
              <w:cnfStyle w:val="000000010000" w:firstRow="0" w:lastRow="0" w:firstColumn="0" w:lastColumn="0" w:oddVBand="0" w:evenVBand="0" w:oddHBand="0" w:evenHBand="1" w:firstRowFirstColumn="0" w:firstRowLastColumn="0" w:lastRowFirstColumn="0" w:lastRowLastColumn="0"/>
            </w:pPr>
            <w:r>
              <w:t>302.1</w:t>
            </w:r>
          </w:p>
        </w:tc>
        <w:tc>
          <w:tcPr>
            <w:tcW w:w="1034" w:type="dxa"/>
            <w:gridSpan w:val="2"/>
            <w:noWrap/>
            <w:vAlign w:val="bottom"/>
          </w:tcPr>
          <w:p w:rsidR="00BE1B76" w:rsidRPr="00237902" w:rsidRDefault="00BB6726" w:rsidP="00BE1B76">
            <w:pPr>
              <w:cnfStyle w:val="000000010000" w:firstRow="0" w:lastRow="0" w:firstColumn="0" w:lastColumn="0" w:oddVBand="0" w:evenVBand="0" w:oddHBand="0" w:evenHBand="1" w:firstRowFirstColumn="0" w:firstRowLastColumn="0" w:lastRowFirstColumn="0" w:lastRowLastColumn="0"/>
            </w:pPr>
            <w:r>
              <w:t>347.8</w:t>
            </w:r>
          </w:p>
        </w:tc>
        <w:tc>
          <w:tcPr>
            <w:tcW w:w="1034" w:type="dxa"/>
            <w:noWrap/>
            <w:vAlign w:val="bottom"/>
          </w:tcPr>
          <w:p w:rsidR="00BE1B76" w:rsidRPr="00237902" w:rsidRDefault="00BB6726" w:rsidP="00BE1B76">
            <w:pPr>
              <w:cnfStyle w:val="000000010000" w:firstRow="0" w:lastRow="0" w:firstColumn="0" w:lastColumn="0" w:oddVBand="0" w:evenVBand="0" w:oddHBand="0" w:evenHBand="1" w:firstRowFirstColumn="0" w:firstRowLastColumn="0" w:lastRowFirstColumn="0" w:lastRowLastColumn="0"/>
            </w:pPr>
            <w:r>
              <w:t>375.7</w:t>
            </w:r>
          </w:p>
        </w:tc>
      </w:tr>
      <w:tr w:rsidR="00BE1B76" w:rsidRPr="00F30662" w:rsidTr="00BE1B76">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BE1B76" w:rsidRPr="00237902" w:rsidRDefault="00BE1B76" w:rsidP="00BE1B76">
            <w:r w:rsidRPr="00237902">
              <w:t>Inflation indexation on opening RAB</w:t>
            </w:r>
          </w:p>
        </w:tc>
        <w:tc>
          <w:tcPr>
            <w:tcW w:w="1033" w:type="dxa"/>
            <w:noWrap/>
            <w:vAlign w:val="bottom"/>
          </w:tcPr>
          <w:p w:rsidR="00BE1B76" w:rsidRPr="00237902" w:rsidRDefault="00BB6726" w:rsidP="00BE1B76">
            <w:pPr>
              <w:cnfStyle w:val="000000000000" w:firstRow="0" w:lastRow="0" w:firstColumn="0" w:lastColumn="0" w:oddVBand="0" w:evenVBand="0" w:oddHBand="0" w:evenHBand="0" w:firstRowFirstColumn="0" w:firstRowLastColumn="0" w:lastRowFirstColumn="0" w:lastRowLastColumn="0"/>
            </w:pPr>
            <w:r>
              <w:t>62.6</w:t>
            </w:r>
          </w:p>
        </w:tc>
        <w:tc>
          <w:tcPr>
            <w:tcW w:w="1034" w:type="dxa"/>
            <w:gridSpan w:val="2"/>
            <w:noWrap/>
            <w:vAlign w:val="bottom"/>
          </w:tcPr>
          <w:p w:rsidR="00BE1B76" w:rsidRPr="00237902" w:rsidRDefault="00BB6726" w:rsidP="00BE1B76">
            <w:pPr>
              <w:cnfStyle w:val="000000000000" w:firstRow="0" w:lastRow="0" w:firstColumn="0" w:lastColumn="0" w:oddVBand="0" w:evenVBand="0" w:oddHBand="0" w:evenHBand="0" w:firstRowFirstColumn="0" w:firstRowLastColumn="0" w:lastRowFirstColumn="0" w:lastRowLastColumn="0"/>
            </w:pPr>
            <w:r>
              <w:t>85.6</w:t>
            </w:r>
          </w:p>
        </w:tc>
        <w:tc>
          <w:tcPr>
            <w:tcW w:w="1034" w:type="dxa"/>
            <w:gridSpan w:val="2"/>
            <w:noWrap/>
            <w:vAlign w:val="bottom"/>
          </w:tcPr>
          <w:p w:rsidR="00BE1B76" w:rsidRPr="00237902" w:rsidRDefault="00BB6726" w:rsidP="00BE1B76">
            <w:pPr>
              <w:cnfStyle w:val="000000000000" w:firstRow="0" w:lastRow="0" w:firstColumn="0" w:lastColumn="0" w:oddVBand="0" w:evenVBand="0" w:oddHBand="0" w:evenHBand="0" w:firstRowFirstColumn="0" w:firstRowLastColumn="0" w:lastRowFirstColumn="0" w:lastRowLastColumn="0"/>
            </w:pPr>
            <w:r>
              <w:t>53.2</w:t>
            </w:r>
          </w:p>
        </w:tc>
        <w:tc>
          <w:tcPr>
            <w:tcW w:w="1034" w:type="dxa"/>
            <w:gridSpan w:val="2"/>
            <w:noWrap/>
            <w:vAlign w:val="bottom"/>
          </w:tcPr>
          <w:p w:rsidR="00BE1B76" w:rsidRPr="00237902" w:rsidRDefault="00BB6726" w:rsidP="00BE1B76">
            <w:pPr>
              <w:cnfStyle w:val="000000000000" w:firstRow="0" w:lastRow="0" w:firstColumn="0" w:lastColumn="0" w:oddVBand="0" w:evenVBand="0" w:oddHBand="0" w:evenHBand="0" w:firstRowFirstColumn="0" w:firstRowLastColumn="0" w:lastRowFirstColumn="0" w:lastRowLastColumn="0"/>
            </w:pPr>
            <w:r>
              <w:t>62.0</w:t>
            </w:r>
          </w:p>
        </w:tc>
        <w:tc>
          <w:tcPr>
            <w:tcW w:w="1034" w:type="dxa"/>
            <w:noWrap/>
            <w:vAlign w:val="bottom"/>
          </w:tcPr>
          <w:p w:rsidR="00BE1B76" w:rsidRPr="00237902" w:rsidRDefault="00BB6726" w:rsidP="00BE1B76">
            <w:pPr>
              <w:cnfStyle w:val="000000000000" w:firstRow="0" w:lastRow="0" w:firstColumn="0" w:lastColumn="0" w:oddVBand="0" w:evenVBand="0" w:oddHBand="0" w:evenHBand="0" w:firstRowFirstColumn="0" w:firstRowLastColumn="0" w:lastRowFirstColumn="0" w:lastRowLastColumn="0"/>
            </w:pPr>
            <w:r>
              <w:t>72.0</w:t>
            </w:r>
          </w:p>
        </w:tc>
      </w:tr>
      <w:tr w:rsidR="00BE1B76" w:rsidRPr="00F30662" w:rsidTr="00BE1B76">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BE1B76" w:rsidRPr="00237902" w:rsidRDefault="00BE1B76" w:rsidP="00BE1B76">
            <w:r w:rsidRPr="00237902">
              <w:rPr>
                <w:rStyle w:val="AERtextitalic"/>
              </w:rPr>
              <w:t>Less</w:t>
            </w:r>
            <w:r w:rsidRPr="00237902">
              <w:t>: straight-line depreciation</w:t>
            </w:r>
          </w:p>
        </w:tc>
        <w:tc>
          <w:tcPr>
            <w:tcW w:w="1033" w:type="dxa"/>
            <w:noWrap/>
            <w:vAlign w:val="bottom"/>
          </w:tcPr>
          <w:p w:rsidR="00BE1B76" w:rsidRPr="00237902" w:rsidRDefault="00BB6726" w:rsidP="00BE1B76">
            <w:pPr>
              <w:cnfStyle w:val="000000010000" w:firstRow="0" w:lastRow="0" w:firstColumn="0" w:lastColumn="0" w:oddVBand="0" w:evenVBand="0" w:oddHBand="0" w:evenHBand="1" w:firstRowFirstColumn="0" w:firstRowLastColumn="0" w:lastRowFirstColumn="0" w:lastRowLastColumn="0"/>
            </w:pPr>
            <w:r>
              <w:t>119.2</w:t>
            </w:r>
          </w:p>
        </w:tc>
        <w:tc>
          <w:tcPr>
            <w:tcW w:w="1034" w:type="dxa"/>
            <w:gridSpan w:val="2"/>
            <w:noWrap/>
            <w:vAlign w:val="bottom"/>
          </w:tcPr>
          <w:p w:rsidR="00BE1B76" w:rsidRPr="00237902" w:rsidRDefault="00BB6726" w:rsidP="00BE1B76">
            <w:pPr>
              <w:cnfStyle w:val="000000010000" w:firstRow="0" w:lastRow="0" w:firstColumn="0" w:lastColumn="0" w:oddVBand="0" w:evenVBand="0" w:oddHBand="0" w:evenHBand="1" w:firstRowFirstColumn="0" w:firstRowLastColumn="0" w:lastRowFirstColumn="0" w:lastRowLastColumn="0"/>
            </w:pPr>
            <w:r>
              <w:t>131.2</w:t>
            </w:r>
          </w:p>
        </w:tc>
        <w:tc>
          <w:tcPr>
            <w:tcW w:w="1034" w:type="dxa"/>
            <w:gridSpan w:val="2"/>
            <w:noWrap/>
            <w:vAlign w:val="bottom"/>
          </w:tcPr>
          <w:p w:rsidR="00BE1B76" w:rsidRPr="00237902" w:rsidRDefault="00BB6726" w:rsidP="00BE1B76">
            <w:pPr>
              <w:cnfStyle w:val="000000010000" w:firstRow="0" w:lastRow="0" w:firstColumn="0" w:lastColumn="0" w:oddVBand="0" w:evenVBand="0" w:oddHBand="0" w:evenHBand="1" w:firstRowFirstColumn="0" w:firstRowLastColumn="0" w:lastRowFirstColumn="0" w:lastRowLastColumn="0"/>
            </w:pPr>
            <w:r>
              <w:t>144.2</w:t>
            </w:r>
          </w:p>
        </w:tc>
        <w:tc>
          <w:tcPr>
            <w:tcW w:w="1034" w:type="dxa"/>
            <w:gridSpan w:val="2"/>
            <w:noWrap/>
            <w:vAlign w:val="bottom"/>
          </w:tcPr>
          <w:p w:rsidR="00BE1B76" w:rsidRPr="00237902" w:rsidRDefault="00BB6726" w:rsidP="00BE1B76">
            <w:pPr>
              <w:cnfStyle w:val="000000010000" w:firstRow="0" w:lastRow="0" w:firstColumn="0" w:lastColumn="0" w:oddVBand="0" w:evenVBand="0" w:oddHBand="0" w:evenHBand="1" w:firstRowFirstColumn="0" w:firstRowLastColumn="0" w:lastRowFirstColumn="0" w:lastRowLastColumn="0"/>
            </w:pPr>
            <w:r>
              <w:t>156.4</w:t>
            </w:r>
          </w:p>
        </w:tc>
        <w:tc>
          <w:tcPr>
            <w:tcW w:w="1034" w:type="dxa"/>
            <w:noWrap/>
            <w:vAlign w:val="bottom"/>
          </w:tcPr>
          <w:p w:rsidR="00BE1B76" w:rsidRPr="00237902" w:rsidRDefault="00BB6726" w:rsidP="00BE1B76">
            <w:pPr>
              <w:cnfStyle w:val="000000010000" w:firstRow="0" w:lastRow="0" w:firstColumn="0" w:lastColumn="0" w:oddVBand="0" w:evenVBand="0" w:oddHBand="0" w:evenHBand="1" w:firstRowFirstColumn="0" w:firstRowLastColumn="0" w:lastRowFirstColumn="0" w:lastRowLastColumn="0"/>
            </w:pPr>
            <w:r>
              <w:t>172.3</w:t>
            </w:r>
          </w:p>
        </w:tc>
      </w:tr>
      <w:tr w:rsidR="00BB6726" w:rsidRPr="00B8281D" w:rsidTr="00BE1B76">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BB6726" w:rsidRPr="00B8281D" w:rsidRDefault="00BB6726" w:rsidP="00B8281D">
            <w:r w:rsidRPr="00B8281D">
              <w:t>Closing RAB</w:t>
            </w:r>
          </w:p>
        </w:tc>
        <w:tc>
          <w:tcPr>
            <w:tcW w:w="1033" w:type="dxa"/>
            <w:noWrap/>
            <w:vAlign w:val="bottom"/>
          </w:tcPr>
          <w:p w:rsidR="00BB6726" w:rsidRPr="00B8281D" w:rsidRDefault="00BB6726" w:rsidP="00B8281D">
            <w:pPr>
              <w:cnfStyle w:val="000000000000" w:firstRow="0" w:lastRow="0" w:firstColumn="0" w:lastColumn="0" w:oddVBand="0" w:evenVBand="0" w:oddHBand="0" w:evenHBand="0" w:firstRowFirstColumn="0" w:firstRowLastColumn="0" w:lastRowFirstColumn="0" w:lastRowLastColumn="0"/>
            </w:pPr>
            <w:r w:rsidRPr="00B8281D">
              <w:t>2431.5</w:t>
            </w:r>
          </w:p>
        </w:tc>
        <w:tc>
          <w:tcPr>
            <w:tcW w:w="1034" w:type="dxa"/>
            <w:gridSpan w:val="2"/>
            <w:noWrap/>
            <w:vAlign w:val="bottom"/>
          </w:tcPr>
          <w:p w:rsidR="00BB6726" w:rsidRPr="00B8281D" w:rsidRDefault="00BB6726" w:rsidP="00B8281D">
            <w:pPr>
              <w:cnfStyle w:val="000000000000" w:firstRow="0" w:lastRow="0" w:firstColumn="0" w:lastColumn="0" w:oddVBand="0" w:evenVBand="0" w:oddHBand="0" w:evenHBand="0" w:firstRowFirstColumn="0" w:firstRowLastColumn="0" w:lastRowFirstColumn="0" w:lastRowLastColumn="0"/>
            </w:pPr>
            <w:r w:rsidRPr="00B8281D">
              <w:t>2656.9</w:t>
            </w:r>
          </w:p>
        </w:tc>
        <w:tc>
          <w:tcPr>
            <w:tcW w:w="1034" w:type="dxa"/>
            <w:gridSpan w:val="2"/>
            <w:noWrap/>
            <w:vAlign w:val="bottom"/>
          </w:tcPr>
          <w:p w:rsidR="00BB6726" w:rsidRPr="00B8281D" w:rsidRDefault="00BB6726" w:rsidP="00B8281D">
            <w:pPr>
              <w:cnfStyle w:val="000000000000" w:firstRow="0" w:lastRow="0" w:firstColumn="0" w:lastColumn="0" w:oddVBand="0" w:evenVBand="0" w:oddHBand="0" w:evenHBand="0" w:firstRowFirstColumn="0" w:firstRowLastColumn="0" w:lastRowFirstColumn="0" w:lastRowLastColumn="0"/>
            </w:pPr>
            <w:r w:rsidRPr="00B8281D">
              <w:t>2868.1</w:t>
            </w:r>
          </w:p>
        </w:tc>
        <w:tc>
          <w:tcPr>
            <w:tcW w:w="1034" w:type="dxa"/>
            <w:gridSpan w:val="2"/>
            <w:noWrap/>
            <w:vAlign w:val="bottom"/>
          </w:tcPr>
          <w:p w:rsidR="00BB6726" w:rsidRPr="00B8281D" w:rsidRDefault="00BB6726" w:rsidP="00B8281D">
            <w:pPr>
              <w:cnfStyle w:val="000000000000" w:firstRow="0" w:lastRow="0" w:firstColumn="0" w:lastColumn="0" w:oddVBand="0" w:evenVBand="0" w:oddHBand="0" w:evenHBand="0" w:firstRowFirstColumn="0" w:firstRowLastColumn="0" w:lastRowFirstColumn="0" w:lastRowLastColumn="0"/>
            </w:pPr>
            <w:r w:rsidRPr="00B8281D">
              <w:t>3121.5</w:t>
            </w:r>
          </w:p>
        </w:tc>
        <w:tc>
          <w:tcPr>
            <w:tcW w:w="1034" w:type="dxa"/>
            <w:noWrap/>
            <w:vAlign w:val="bottom"/>
          </w:tcPr>
          <w:p w:rsidR="00BB6726" w:rsidRPr="00B8281D" w:rsidRDefault="00BB6726" w:rsidP="00B8281D">
            <w:pPr>
              <w:cnfStyle w:val="000000000000" w:firstRow="0" w:lastRow="0" w:firstColumn="0" w:lastColumn="0" w:oddVBand="0" w:evenVBand="0" w:oddHBand="0" w:evenHBand="0" w:firstRowFirstColumn="0" w:firstRowLastColumn="0" w:lastRowFirstColumn="0" w:lastRowLastColumn="0"/>
            </w:pPr>
            <w:r w:rsidRPr="00B8281D">
              <w:t>3396.9</w:t>
            </w:r>
          </w:p>
        </w:tc>
      </w:tr>
      <w:tr w:rsidR="00BB6726" w:rsidRPr="00F30662" w:rsidTr="00BE1B76">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BB6726" w:rsidRPr="00237902" w:rsidRDefault="00BB6726" w:rsidP="00166B30">
            <w:r>
              <w:t>Difference between estimated and actual 2010 capex (1 January 2010 to 31 December 2010)</w:t>
            </w:r>
          </w:p>
        </w:tc>
        <w:tc>
          <w:tcPr>
            <w:tcW w:w="2584" w:type="dxa"/>
            <w:gridSpan w:val="4"/>
            <w:vAlign w:val="bottom"/>
          </w:tcPr>
          <w:p w:rsidR="00BB6726" w:rsidRPr="00237902" w:rsidRDefault="00BB6726" w:rsidP="00BE1B76">
            <w:pPr>
              <w:cnfStyle w:val="000000010000" w:firstRow="0" w:lastRow="0" w:firstColumn="0" w:lastColumn="0" w:oddVBand="0" w:evenVBand="0" w:oddHBand="0" w:evenHBand="1" w:firstRowFirstColumn="0" w:firstRowLastColumn="0" w:lastRowFirstColumn="0" w:lastRowLastColumn="0"/>
            </w:pPr>
          </w:p>
        </w:tc>
        <w:tc>
          <w:tcPr>
            <w:tcW w:w="2585" w:type="dxa"/>
            <w:gridSpan w:val="4"/>
            <w:noWrap/>
            <w:vAlign w:val="bottom"/>
          </w:tcPr>
          <w:p w:rsidR="00BB6726" w:rsidRPr="00237902" w:rsidRDefault="00BB6726" w:rsidP="00BE1B76">
            <w:pPr>
              <w:cnfStyle w:val="000000010000" w:firstRow="0" w:lastRow="0" w:firstColumn="0" w:lastColumn="0" w:oddVBand="0" w:evenVBand="0" w:oddHBand="0" w:evenHBand="1" w:firstRowFirstColumn="0" w:firstRowLastColumn="0" w:lastRowFirstColumn="0" w:lastRowLastColumn="0"/>
            </w:pPr>
            <w:r>
              <w:t>–21.6</w:t>
            </w:r>
          </w:p>
        </w:tc>
      </w:tr>
      <w:tr w:rsidR="00BB6726" w:rsidRPr="00F30662" w:rsidTr="00BE1B76">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BB6726" w:rsidRPr="00237902" w:rsidRDefault="00BB6726" w:rsidP="00166B30">
            <w:r w:rsidRPr="00237902">
              <w:t xml:space="preserve">Return on difference for </w:t>
            </w:r>
            <w:r>
              <w:t>2010</w:t>
            </w:r>
            <w:r w:rsidRPr="00237902">
              <w:t xml:space="preserve"> capex</w:t>
            </w:r>
          </w:p>
        </w:tc>
        <w:tc>
          <w:tcPr>
            <w:tcW w:w="1292" w:type="dxa"/>
            <w:gridSpan w:val="2"/>
            <w:vAlign w:val="bottom"/>
          </w:tcPr>
          <w:p w:rsidR="00BB6726" w:rsidRPr="00237902" w:rsidRDefault="00BB6726" w:rsidP="00BE1B76">
            <w:pPr>
              <w:cnfStyle w:val="000000000000" w:firstRow="0" w:lastRow="0" w:firstColumn="0" w:lastColumn="0" w:oddVBand="0" w:evenVBand="0" w:oddHBand="0" w:evenHBand="0" w:firstRowFirstColumn="0" w:firstRowLastColumn="0" w:lastRowFirstColumn="0" w:lastRowLastColumn="0"/>
            </w:pPr>
          </w:p>
        </w:tc>
        <w:tc>
          <w:tcPr>
            <w:tcW w:w="1292" w:type="dxa"/>
            <w:gridSpan w:val="2"/>
            <w:noWrap/>
            <w:vAlign w:val="bottom"/>
          </w:tcPr>
          <w:p w:rsidR="00BB6726" w:rsidRPr="00237902" w:rsidRDefault="00BB6726" w:rsidP="00BE1B76">
            <w:pPr>
              <w:cnfStyle w:val="000000000000" w:firstRow="0" w:lastRow="0" w:firstColumn="0" w:lastColumn="0" w:oddVBand="0" w:evenVBand="0" w:oddHBand="0" w:evenHBand="0" w:firstRowFirstColumn="0" w:firstRowLastColumn="0" w:lastRowFirstColumn="0" w:lastRowLastColumn="0"/>
            </w:pPr>
          </w:p>
        </w:tc>
        <w:tc>
          <w:tcPr>
            <w:tcW w:w="1292" w:type="dxa"/>
            <w:gridSpan w:val="2"/>
            <w:noWrap/>
            <w:vAlign w:val="bottom"/>
          </w:tcPr>
          <w:p w:rsidR="00BB6726" w:rsidRPr="00237902" w:rsidRDefault="00BB6726" w:rsidP="00BE1B76">
            <w:pPr>
              <w:cnfStyle w:val="000000000000" w:firstRow="0" w:lastRow="0" w:firstColumn="0" w:lastColumn="0" w:oddVBand="0" w:evenVBand="0" w:oddHBand="0" w:evenHBand="0" w:firstRowFirstColumn="0" w:firstRowLastColumn="0" w:lastRowFirstColumn="0" w:lastRowLastColumn="0"/>
            </w:pPr>
          </w:p>
        </w:tc>
        <w:tc>
          <w:tcPr>
            <w:tcW w:w="1293" w:type="dxa"/>
            <w:gridSpan w:val="2"/>
            <w:noWrap/>
            <w:vAlign w:val="bottom"/>
          </w:tcPr>
          <w:p w:rsidR="00BB6726" w:rsidRPr="00237902" w:rsidRDefault="00BB6726" w:rsidP="00BE1B76">
            <w:pPr>
              <w:cnfStyle w:val="000000000000" w:firstRow="0" w:lastRow="0" w:firstColumn="0" w:lastColumn="0" w:oddVBand="0" w:evenVBand="0" w:oddHBand="0" w:evenHBand="0" w:firstRowFirstColumn="0" w:firstRowLastColumn="0" w:lastRowFirstColumn="0" w:lastRowLastColumn="0"/>
            </w:pPr>
            <w:r>
              <w:t>–12.4</w:t>
            </w:r>
          </w:p>
        </w:tc>
      </w:tr>
      <w:tr w:rsidR="00BB6726" w:rsidRPr="00F30662" w:rsidTr="00BE1B76">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tcPr>
          <w:p w:rsidR="00BB6726" w:rsidRPr="00237902" w:rsidRDefault="00BB6726" w:rsidP="00BE1B76">
            <w:pPr>
              <w:rPr>
                <w:rStyle w:val="Strong"/>
              </w:rPr>
            </w:pPr>
            <w:r w:rsidRPr="00237902">
              <w:rPr>
                <w:rStyle w:val="Strong"/>
              </w:rPr>
              <w:t xml:space="preserve">Opening RAB as at </w:t>
            </w:r>
            <w:r>
              <w:rPr>
                <w:rStyle w:val="Strong"/>
              </w:rPr>
              <w:t>1 January 2016</w:t>
            </w:r>
          </w:p>
        </w:tc>
        <w:tc>
          <w:tcPr>
            <w:tcW w:w="1033" w:type="dxa"/>
            <w:vAlign w:val="bottom"/>
          </w:tcPr>
          <w:p w:rsidR="00BB6726" w:rsidRPr="00237902" w:rsidRDefault="00BB6726" w:rsidP="00BE1B76">
            <w:pPr>
              <w:cnfStyle w:val="000000010000" w:firstRow="0" w:lastRow="0" w:firstColumn="0" w:lastColumn="0" w:oddVBand="0" w:evenVBand="0" w:oddHBand="0" w:evenHBand="1" w:firstRowFirstColumn="0" w:firstRowLastColumn="0" w:lastRowFirstColumn="0" w:lastRowLastColumn="0"/>
              <w:rPr>
                <w:rStyle w:val="Strong"/>
              </w:rPr>
            </w:pPr>
          </w:p>
        </w:tc>
        <w:tc>
          <w:tcPr>
            <w:tcW w:w="1034" w:type="dxa"/>
            <w:gridSpan w:val="2"/>
            <w:noWrap/>
            <w:vAlign w:val="bottom"/>
          </w:tcPr>
          <w:p w:rsidR="00BB6726" w:rsidRPr="00237902" w:rsidRDefault="00BB6726" w:rsidP="00BE1B76">
            <w:pPr>
              <w:cnfStyle w:val="000000010000" w:firstRow="0" w:lastRow="0" w:firstColumn="0" w:lastColumn="0" w:oddVBand="0" w:evenVBand="0" w:oddHBand="0" w:evenHBand="1" w:firstRowFirstColumn="0" w:firstRowLastColumn="0" w:lastRowFirstColumn="0" w:lastRowLastColumn="0"/>
              <w:rPr>
                <w:rStyle w:val="Strong"/>
              </w:rPr>
            </w:pPr>
          </w:p>
        </w:tc>
        <w:tc>
          <w:tcPr>
            <w:tcW w:w="1034" w:type="dxa"/>
            <w:gridSpan w:val="2"/>
            <w:noWrap/>
            <w:vAlign w:val="bottom"/>
          </w:tcPr>
          <w:p w:rsidR="00BB6726" w:rsidRPr="00237902" w:rsidRDefault="00BB6726" w:rsidP="00BE1B76">
            <w:pPr>
              <w:cnfStyle w:val="000000010000" w:firstRow="0" w:lastRow="0" w:firstColumn="0" w:lastColumn="0" w:oddVBand="0" w:evenVBand="0" w:oddHBand="0" w:evenHBand="1" w:firstRowFirstColumn="0" w:firstRowLastColumn="0" w:lastRowFirstColumn="0" w:lastRowLastColumn="0"/>
              <w:rPr>
                <w:rStyle w:val="Strong"/>
              </w:rPr>
            </w:pPr>
          </w:p>
        </w:tc>
        <w:tc>
          <w:tcPr>
            <w:tcW w:w="1034" w:type="dxa"/>
            <w:gridSpan w:val="2"/>
            <w:noWrap/>
            <w:vAlign w:val="bottom"/>
          </w:tcPr>
          <w:p w:rsidR="00BB6726" w:rsidRPr="00237902" w:rsidRDefault="00BB6726" w:rsidP="00BE1B76">
            <w:pPr>
              <w:cnfStyle w:val="000000010000" w:firstRow="0" w:lastRow="0" w:firstColumn="0" w:lastColumn="0" w:oddVBand="0" w:evenVBand="0" w:oddHBand="0" w:evenHBand="1" w:firstRowFirstColumn="0" w:firstRowLastColumn="0" w:lastRowFirstColumn="0" w:lastRowLastColumn="0"/>
              <w:rPr>
                <w:rStyle w:val="Strong"/>
              </w:rPr>
            </w:pPr>
          </w:p>
        </w:tc>
        <w:tc>
          <w:tcPr>
            <w:tcW w:w="1034" w:type="dxa"/>
            <w:noWrap/>
            <w:vAlign w:val="bottom"/>
          </w:tcPr>
          <w:p w:rsidR="00BB6726" w:rsidRPr="00237902" w:rsidRDefault="00BB6726" w:rsidP="00BE1B76">
            <w:pPr>
              <w:cnfStyle w:val="000000010000" w:firstRow="0" w:lastRow="0" w:firstColumn="0" w:lastColumn="0" w:oddVBand="0" w:evenVBand="0" w:oddHBand="0" w:evenHBand="1" w:firstRowFirstColumn="0" w:firstRowLastColumn="0" w:lastRowFirstColumn="0" w:lastRowLastColumn="0"/>
              <w:rPr>
                <w:rStyle w:val="Strong"/>
              </w:rPr>
            </w:pPr>
            <w:r>
              <w:rPr>
                <w:rStyle w:val="Strong"/>
              </w:rPr>
              <w:t>3362.9</w:t>
            </w:r>
          </w:p>
        </w:tc>
      </w:tr>
    </w:tbl>
    <w:p w:rsidR="00BE1B76" w:rsidRPr="00924046" w:rsidRDefault="00BE1B76" w:rsidP="007F601A">
      <w:pPr>
        <w:pStyle w:val="AERtablesource"/>
      </w:pPr>
      <w:r w:rsidRPr="00924046">
        <w:t>Source:</w:t>
      </w:r>
      <w:r w:rsidRPr="00924046">
        <w:tab/>
      </w:r>
      <w:r>
        <w:t>Powercor</w:t>
      </w:r>
      <w:r w:rsidRPr="00924046">
        <w:t xml:space="preserve">, </w:t>
      </w:r>
      <w:r w:rsidRPr="00924046">
        <w:rPr>
          <w:rStyle w:val="AERtextitalic"/>
        </w:rPr>
        <w:t>Regulatory proposal</w:t>
      </w:r>
      <w:r w:rsidRPr="00924046">
        <w:t xml:space="preserve">, </w:t>
      </w:r>
      <w:r w:rsidR="00166B30">
        <w:t>April 2015</w:t>
      </w:r>
      <w:r w:rsidRPr="00924046">
        <w:t>,</w:t>
      </w:r>
      <w:r w:rsidR="00742280">
        <w:t xml:space="preserve"> Attachment </w:t>
      </w:r>
      <w:r w:rsidR="00742280" w:rsidRPr="00742280">
        <w:rPr>
          <w:rStyle w:val="AERtextitalic"/>
        </w:rPr>
        <w:t>PAL 2016-20 RFM</w:t>
      </w:r>
      <w:r w:rsidRPr="00924046">
        <w:t>.</w:t>
      </w:r>
    </w:p>
    <w:p w:rsidR="00BE1B76" w:rsidRPr="00924046" w:rsidRDefault="00BE1B76" w:rsidP="00BE1B76">
      <w:pPr>
        <w:pStyle w:val="AERtablesource"/>
      </w:pPr>
      <w:r>
        <w:t>(a)</w:t>
      </w:r>
      <w:r w:rsidRPr="00924046">
        <w:tab/>
        <w:t>Based on estimated capex.</w:t>
      </w:r>
    </w:p>
    <w:p w:rsidR="00BE1B76" w:rsidRPr="00924046" w:rsidRDefault="00BE1B76" w:rsidP="00BE1B76">
      <w:pPr>
        <w:pStyle w:val="AERtablesource"/>
      </w:pPr>
      <w:r>
        <w:t>(b)</w:t>
      </w:r>
      <w:r w:rsidRPr="00924046">
        <w:tab/>
        <w:t>Net of disposals</w:t>
      </w:r>
      <w:r w:rsidR="00742280">
        <w:t xml:space="preserve"> and capital contributions,</w:t>
      </w:r>
      <w:r w:rsidRPr="00924046">
        <w:t xml:space="preserve"> and adjusted for CPI.</w:t>
      </w:r>
    </w:p>
    <w:p w:rsidR="00BE1B76" w:rsidRDefault="00BE1B76" w:rsidP="00BE1B76">
      <w:pPr>
        <w:numPr>
          <w:ilvl w:val="0"/>
          <w:numId w:val="24"/>
        </w:numPr>
      </w:pPr>
      <w:r>
        <w:t>Powercor</w:t>
      </w:r>
      <w:r w:rsidRPr="00924046">
        <w:t xml:space="preserve"> proposed a closing forecast RAB as at </w:t>
      </w:r>
      <w:r w:rsidR="006067D4">
        <w:t>31 December 2020</w:t>
      </w:r>
      <w:r w:rsidRPr="00924046">
        <w:t xml:space="preserve"> of $</w:t>
      </w:r>
      <w:r w:rsidR="004411AF">
        <w:t>5086.3</w:t>
      </w:r>
      <w:r w:rsidRPr="00924046">
        <w:t xml:space="preserve"> million ($ nominal). This value reflects its proposed opening RAB, forecast capex, forecast inflation</w:t>
      </w:r>
      <w:r w:rsidR="009A44F7">
        <w:t>,</w:t>
      </w:r>
      <w:r w:rsidRPr="00924046">
        <w:t xml:space="preserve"> and depreciation (based on forecast capex) over the </w:t>
      </w:r>
      <w:r w:rsidR="00162474">
        <w:t>2016–20</w:t>
      </w:r>
      <w:r w:rsidRPr="00924046">
        <w:t xml:space="preserve"> regulatory control period. Its projected RAB over the </w:t>
      </w:r>
      <w:r w:rsidR="00162474">
        <w:t>2016–20</w:t>
      </w:r>
      <w:r w:rsidRPr="00924046">
        <w:t xml:space="preserve"> regulatory control </w:t>
      </w:r>
      <w:proofErr w:type="gramStart"/>
      <w:r w:rsidRPr="00924046">
        <w:t>period</w:t>
      </w:r>
      <w:proofErr w:type="gramEnd"/>
      <w:r w:rsidRPr="00924046">
        <w:t xml:space="preserve"> is shown in </w:t>
      </w:r>
      <w:r w:rsidRPr="00924046">
        <w:fldChar w:fldCharType="begin"/>
      </w:r>
      <w:r w:rsidRPr="00924046">
        <w:instrText xml:space="preserve"> REF _Ref393095900 \h </w:instrText>
      </w:r>
      <w:r w:rsidRPr="00924046">
        <w:fldChar w:fldCharType="separate"/>
      </w:r>
      <w:r w:rsidR="00C647D4" w:rsidRPr="00924046">
        <w:t xml:space="preserve">Table </w:t>
      </w:r>
      <w:r w:rsidR="00C647D4">
        <w:rPr>
          <w:noProof/>
        </w:rPr>
        <w:t>2</w:t>
      </w:r>
      <w:r w:rsidR="00C647D4">
        <w:t>.</w:t>
      </w:r>
      <w:r w:rsidR="00C647D4">
        <w:rPr>
          <w:noProof/>
        </w:rPr>
        <w:t>4</w:t>
      </w:r>
      <w:r w:rsidRPr="00924046">
        <w:fldChar w:fldCharType="end"/>
      </w:r>
      <w:r w:rsidRPr="00924046">
        <w:t>.</w:t>
      </w:r>
    </w:p>
    <w:p w:rsidR="00A227DA" w:rsidRPr="00924046" w:rsidRDefault="00A227DA" w:rsidP="00BE1B76">
      <w:pPr>
        <w:numPr>
          <w:ilvl w:val="0"/>
          <w:numId w:val="24"/>
        </w:numPr>
      </w:pPr>
    </w:p>
    <w:p w:rsidR="00BE1B76" w:rsidRPr="00924046" w:rsidRDefault="00BE1B76" w:rsidP="00BE1B76">
      <w:pPr>
        <w:pStyle w:val="Caption"/>
      </w:pPr>
      <w:bookmarkStart w:id="19" w:name="_Ref393095900"/>
      <w:r w:rsidRPr="00924046">
        <w:t xml:space="preserve">Table </w:t>
      </w:r>
      <w:fldSimple w:instr=" STYLEREF 1 \s ">
        <w:r w:rsidR="00C647D4">
          <w:rPr>
            <w:noProof/>
          </w:rPr>
          <w:t>2</w:t>
        </w:r>
      </w:fldSimple>
      <w:r>
        <w:t>.</w:t>
      </w:r>
      <w:fldSimple w:instr=" SEQ Table \* ARABIC \s 1 ">
        <w:r w:rsidR="00C647D4">
          <w:rPr>
            <w:noProof/>
          </w:rPr>
          <w:t>4</w:t>
        </w:r>
      </w:fldSimple>
      <w:bookmarkEnd w:id="19"/>
      <w:r w:rsidRPr="00924046">
        <w:tab/>
      </w:r>
      <w:r>
        <w:t>Powercor's</w:t>
      </w:r>
      <w:r w:rsidRPr="00924046">
        <w:t xml:space="preserve"> proposed RAB for the </w:t>
      </w:r>
      <w:r w:rsidR="00162474">
        <w:t>2016–20</w:t>
      </w:r>
      <w:r>
        <w:t xml:space="preserve"> regulatory control</w:t>
      </w:r>
      <w:r w:rsidRPr="00924046">
        <w:t xml:space="preserve"> period ($million, nominal)</w:t>
      </w:r>
    </w:p>
    <w:tbl>
      <w:tblPr>
        <w:tblStyle w:val="AERtable-numbers"/>
        <w:tblW w:w="8755" w:type="dxa"/>
        <w:tblLayout w:type="fixed"/>
        <w:tblLook w:val="04A0" w:firstRow="1" w:lastRow="0" w:firstColumn="1" w:lastColumn="0" w:noHBand="0" w:noVBand="1"/>
      </w:tblPr>
      <w:tblGrid>
        <w:gridCol w:w="3416"/>
        <w:gridCol w:w="1067"/>
        <w:gridCol w:w="1068"/>
        <w:gridCol w:w="1068"/>
        <w:gridCol w:w="1068"/>
        <w:gridCol w:w="1068"/>
      </w:tblGrid>
      <w:tr w:rsidR="00BE1B76" w:rsidRPr="00237902" w:rsidTr="00BE1B76">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3416" w:type="dxa"/>
            <w:noWrap/>
            <w:hideMark/>
          </w:tcPr>
          <w:p w:rsidR="00BE1B76" w:rsidRPr="00237902" w:rsidRDefault="00BE1B76" w:rsidP="00BE1B76">
            <w:r w:rsidRPr="00237902">
              <w:t> </w:t>
            </w:r>
          </w:p>
        </w:tc>
        <w:tc>
          <w:tcPr>
            <w:tcW w:w="1067" w:type="dxa"/>
            <w:noWrap/>
            <w:hideMark/>
          </w:tcPr>
          <w:p w:rsidR="00BE1B76" w:rsidRPr="00237902" w:rsidRDefault="00BE1B76" w:rsidP="00166B30">
            <w:pPr>
              <w:cnfStyle w:val="100000000000" w:firstRow="1" w:lastRow="0" w:firstColumn="0" w:lastColumn="0" w:oddVBand="0" w:evenVBand="0" w:oddHBand="0" w:evenHBand="0" w:firstRowFirstColumn="0" w:firstRowLastColumn="0" w:lastRowFirstColumn="0" w:lastRowLastColumn="0"/>
            </w:pPr>
            <w:r w:rsidRPr="00237902">
              <w:t>2016</w:t>
            </w:r>
          </w:p>
        </w:tc>
        <w:tc>
          <w:tcPr>
            <w:tcW w:w="1068" w:type="dxa"/>
            <w:noWrap/>
            <w:hideMark/>
          </w:tcPr>
          <w:p w:rsidR="00BE1B76" w:rsidRPr="00237902" w:rsidRDefault="00BE1B76" w:rsidP="00166B30">
            <w:pPr>
              <w:cnfStyle w:val="100000000000" w:firstRow="1" w:lastRow="0" w:firstColumn="0" w:lastColumn="0" w:oddVBand="0" w:evenVBand="0" w:oddHBand="0" w:evenHBand="0" w:firstRowFirstColumn="0" w:firstRowLastColumn="0" w:lastRowFirstColumn="0" w:lastRowLastColumn="0"/>
            </w:pPr>
            <w:r w:rsidRPr="00237902">
              <w:t>2017</w:t>
            </w:r>
          </w:p>
        </w:tc>
        <w:tc>
          <w:tcPr>
            <w:tcW w:w="1068" w:type="dxa"/>
            <w:noWrap/>
            <w:hideMark/>
          </w:tcPr>
          <w:p w:rsidR="00BE1B76" w:rsidRPr="00237902" w:rsidRDefault="00BE1B76" w:rsidP="00166B30">
            <w:pPr>
              <w:cnfStyle w:val="100000000000" w:firstRow="1" w:lastRow="0" w:firstColumn="0" w:lastColumn="0" w:oddVBand="0" w:evenVBand="0" w:oddHBand="0" w:evenHBand="0" w:firstRowFirstColumn="0" w:firstRowLastColumn="0" w:lastRowFirstColumn="0" w:lastRowLastColumn="0"/>
            </w:pPr>
            <w:r w:rsidRPr="00237902">
              <w:t>2018</w:t>
            </w:r>
          </w:p>
        </w:tc>
        <w:tc>
          <w:tcPr>
            <w:tcW w:w="1068" w:type="dxa"/>
            <w:noWrap/>
            <w:hideMark/>
          </w:tcPr>
          <w:p w:rsidR="00BE1B76" w:rsidRPr="00237902" w:rsidRDefault="00BE1B76" w:rsidP="00166B30">
            <w:pPr>
              <w:cnfStyle w:val="100000000000" w:firstRow="1" w:lastRow="0" w:firstColumn="0" w:lastColumn="0" w:oddVBand="0" w:evenVBand="0" w:oddHBand="0" w:evenHBand="0" w:firstRowFirstColumn="0" w:firstRowLastColumn="0" w:lastRowFirstColumn="0" w:lastRowLastColumn="0"/>
            </w:pPr>
            <w:r w:rsidRPr="00237902">
              <w:t>2019</w:t>
            </w:r>
          </w:p>
        </w:tc>
        <w:tc>
          <w:tcPr>
            <w:tcW w:w="1068" w:type="dxa"/>
            <w:noWrap/>
            <w:hideMark/>
          </w:tcPr>
          <w:p w:rsidR="00BE1B76" w:rsidRPr="00237902" w:rsidRDefault="00BE1B76" w:rsidP="00166B30">
            <w:pPr>
              <w:cnfStyle w:val="100000000000" w:firstRow="1" w:lastRow="0" w:firstColumn="0" w:lastColumn="0" w:oddVBand="0" w:evenVBand="0" w:oddHBand="0" w:evenHBand="0" w:firstRowFirstColumn="0" w:firstRowLastColumn="0" w:lastRowFirstColumn="0" w:lastRowLastColumn="0"/>
            </w:pPr>
            <w:r w:rsidRPr="00237902">
              <w:t>2020</w:t>
            </w:r>
          </w:p>
        </w:tc>
      </w:tr>
      <w:tr w:rsidR="00EA4AB3" w:rsidRPr="00237902" w:rsidTr="00BE1B76">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EA4AB3" w:rsidRPr="00237902" w:rsidRDefault="00EA4AB3" w:rsidP="00BE1B76">
            <w:r w:rsidRPr="00237902">
              <w:t>Opening RAB</w:t>
            </w:r>
          </w:p>
        </w:tc>
        <w:tc>
          <w:tcPr>
            <w:tcW w:w="1067" w:type="dxa"/>
            <w:noWrap/>
            <w:vAlign w:val="bottom"/>
          </w:tcPr>
          <w:p w:rsidR="00EA4AB3" w:rsidRPr="00E9105B" w:rsidRDefault="00EA4AB3" w:rsidP="00921D36">
            <w:pPr>
              <w:cnfStyle w:val="000000000000" w:firstRow="0" w:lastRow="0" w:firstColumn="0" w:lastColumn="0" w:oddVBand="0" w:evenVBand="0" w:oddHBand="0" w:evenHBand="0" w:firstRowFirstColumn="0" w:firstRowLastColumn="0" w:lastRowFirstColumn="0" w:lastRowLastColumn="0"/>
            </w:pPr>
            <w:r>
              <w:t>3362.9</w:t>
            </w:r>
          </w:p>
        </w:tc>
        <w:tc>
          <w:tcPr>
            <w:tcW w:w="1068" w:type="dxa"/>
            <w:noWrap/>
            <w:vAlign w:val="bottom"/>
          </w:tcPr>
          <w:p w:rsidR="00EA4AB3" w:rsidRPr="00E9105B" w:rsidRDefault="00EA4AB3" w:rsidP="00921D36">
            <w:pPr>
              <w:cnfStyle w:val="000000000000" w:firstRow="0" w:lastRow="0" w:firstColumn="0" w:lastColumn="0" w:oddVBand="0" w:evenVBand="0" w:oddHBand="0" w:evenHBand="0" w:firstRowFirstColumn="0" w:firstRowLastColumn="0" w:lastRowFirstColumn="0" w:lastRowLastColumn="0"/>
            </w:pPr>
            <w:r>
              <w:t>3696.2</w:t>
            </w:r>
          </w:p>
        </w:tc>
        <w:tc>
          <w:tcPr>
            <w:tcW w:w="1068" w:type="dxa"/>
            <w:noWrap/>
            <w:vAlign w:val="bottom"/>
          </w:tcPr>
          <w:p w:rsidR="00EA4AB3" w:rsidRPr="00E9105B" w:rsidRDefault="00EA4AB3" w:rsidP="00921D36">
            <w:pPr>
              <w:cnfStyle w:val="000000000000" w:firstRow="0" w:lastRow="0" w:firstColumn="0" w:lastColumn="0" w:oddVBand="0" w:evenVBand="0" w:oddHBand="0" w:evenHBand="0" w:firstRowFirstColumn="0" w:firstRowLastColumn="0" w:lastRowFirstColumn="0" w:lastRowLastColumn="0"/>
            </w:pPr>
            <w:r>
              <w:t>4041.8</w:t>
            </w:r>
          </w:p>
        </w:tc>
        <w:tc>
          <w:tcPr>
            <w:tcW w:w="1068" w:type="dxa"/>
            <w:noWrap/>
            <w:vAlign w:val="bottom"/>
          </w:tcPr>
          <w:p w:rsidR="00EA4AB3" w:rsidRPr="00E9105B" w:rsidRDefault="00EA4AB3" w:rsidP="00921D36">
            <w:pPr>
              <w:cnfStyle w:val="000000000000" w:firstRow="0" w:lastRow="0" w:firstColumn="0" w:lastColumn="0" w:oddVBand="0" w:evenVBand="0" w:oddHBand="0" w:evenHBand="0" w:firstRowFirstColumn="0" w:firstRowLastColumn="0" w:lastRowFirstColumn="0" w:lastRowLastColumn="0"/>
            </w:pPr>
            <w:r>
              <w:t>4393.4</w:t>
            </w:r>
          </w:p>
        </w:tc>
        <w:tc>
          <w:tcPr>
            <w:tcW w:w="1068" w:type="dxa"/>
            <w:noWrap/>
            <w:vAlign w:val="bottom"/>
          </w:tcPr>
          <w:p w:rsidR="00EA4AB3" w:rsidRPr="00E9105B" w:rsidRDefault="00EA4AB3" w:rsidP="00921D36">
            <w:pPr>
              <w:cnfStyle w:val="000000000000" w:firstRow="0" w:lastRow="0" w:firstColumn="0" w:lastColumn="0" w:oddVBand="0" w:evenVBand="0" w:oddHBand="0" w:evenHBand="0" w:firstRowFirstColumn="0" w:firstRowLastColumn="0" w:lastRowFirstColumn="0" w:lastRowLastColumn="0"/>
            </w:pPr>
            <w:r>
              <w:t>4733.4</w:t>
            </w:r>
          </w:p>
        </w:tc>
      </w:tr>
      <w:tr w:rsidR="00EA4AB3" w:rsidRPr="00237902" w:rsidTr="00BE1B7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EA4AB3" w:rsidRPr="00237902" w:rsidRDefault="00EA4AB3" w:rsidP="00BE1B76">
            <w:r w:rsidRPr="00237902">
              <w:t>Capital expenditure</w:t>
            </w:r>
            <w:r w:rsidRPr="00237902">
              <w:rPr>
                <w:rStyle w:val="AERsuperscript"/>
              </w:rPr>
              <w:t>a</w:t>
            </w:r>
          </w:p>
        </w:tc>
        <w:tc>
          <w:tcPr>
            <w:tcW w:w="1067" w:type="dxa"/>
            <w:noWrap/>
            <w:vAlign w:val="bottom"/>
          </w:tcPr>
          <w:p w:rsidR="00EA4AB3" w:rsidRPr="00E9105B" w:rsidRDefault="00EA4AB3" w:rsidP="00921D36">
            <w:pPr>
              <w:cnfStyle w:val="000000010000" w:firstRow="0" w:lastRow="0" w:firstColumn="0" w:lastColumn="0" w:oddVBand="0" w:evenVBand="0" w:oddHBand="0" w:evenHBand="1" w:firstRowFirstColumn="0" w:firstRowLastColumn="0" w:lastRowFirstColumn="0" w:lastRowLastColumn="0"/>
            </w:pPr>
            <w:r>
              <w:t>421.1</w:t>
            </w:r>
          </w:p>
        </w:tc>
        <w:tc>
          <w:tcPr>
            <w:tcW w:w="1068" w:type="dxa"/>
            <w:noWrap/>
            <w:vAlign w:val="bottom"/>
          </w:tcPr>
          <w:p w:rsidR="00EA4AB3" w:rsidRPr="00E9105B" w:rsidRDefault="00EA4AB3" w:rsidP="00921D36">
            <w:pPr>
              <w:cnfStyle w:val="000000010000" w:firstRow="0" w:lastRow="0" w:firstColumn="0" w:lastColumn="0" w:oddVBand="0" w:evenVBand="0" w:oddHBand="0" w:evenHBand="1" w:firstRowFirstColumn="0" w:firstRowLastColumn="0" w:lastRowFirstColumn="0" w:lastRowLastColumn="0"/>
            </w:pPr>
            <w:r>
              <w:t>429.6</w:t>
            </w:r>
          </w:p>
        </w:tc>
        <w:tc>
          <w:tcPr>
            <w:tcW w:w="1068" w:type="dxa"/>
            <w:noWrap/>
            <w:vAlign w:val="bottom"/>
          </w:tcPr>
          <w:p w:rsidR="00EA4AB3" w:rsidRPr="00237902" w:rsidRDefault="00EA4AB3" w:rsidP="00BE1B76">
            <w:pPr>
              <w:cnfStyle w:val="000000010000" w:firstRow="0" w:lastRow="0" w:firstColumn="0" w:lastColumn="0" w:oddVBand="0" w:evenVBand="0" w:oddHBand="0" w:evenHBand="1" w:firstRowFirstColumn="0" w:firstRowLastColumn="0" w:lastRowFirstColumn="0" w:lastRowLastColumn="0"/>
            </w:pPr>
            <w:r>
              <w:t>448.6</w:t>
            </w:r>
          </w:p>
        </w:tc>
        <w:tc>
          <w:tcPr>
            <w:tcW w:w="1068" w:type="dxa"/>
            <w:noWrap/>
            <w:vAlign w:val="bottom"/>
          </w:tcPr>
          <w:p w:rsidR="00EA4AB3" w:rsidRPr="00237902" w:rsidRDefault="00EA4AB3" w:rsidP="00BE1B76">
            <w:pPr>
              <w:cnfStyle w:val="000000010000" w:firstRow="0" w:lastRow="0" w:firstColumn="0" w:lastColumn="0" w:oddVBand="0" w:evenVBand="0" w:oddHBand="0" w:evenHBand="1" w:firstRowFirstColumn="0" w:firstRowLastColumn="0" w:lastRowFirstColumn="0" w:lastRowLastColumn="0"/>
            </w:pPr>
            <w:r>
              <w:t>450.5</w:t>
            </w:r>
          </w:p>
        </w:tc>
        <w:tc>
          <w:tcPr>
            <w:tcW w:w="1068" w:type="dxa"/>
            <w:noWrap/>
            <w:vAlign w:val="bottom"/>
          </w:tcPr>
          <w:p w:rsidR="00EA4AB3" w:rsidRPr="00237902" w:rsidRDefault="00EA4AB3" w:rsidP="00BE1B76">
            <w:pPr>
              <w:cnfStyle w:val="000000010000" w:firstRow="0" w:lastRow="0" w:firstColumn="0" w:lastColumn="0" w:oddVBand="0" w:evenVBand="0" w:oddHBand="0" w:evenHBand="1" w:firstRowFirstColumn="0" w:firstRowLastColumn="0" w:lastRowFirstColumn="0" w:lastRowLastColumn="0"/>
            </w:pPr>
            <w:r>
              <w:t>477.1</w:t>
            </w:r>
          </w:p>
        </w:tc>
      </w:tr>
      <w:tr w:rsidR="00EA4AB3" w:rsidRPr="00237902" w:rsidTr="00BE1B76">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EA4AB3" w:rsidRPr="00237902" w:rsidRDefault="00EA4AB3" w:rsidP="00BE1B76">
            <w:r w:rsidRPr="00237902">
              <w:t>Inflation indexation on opening RAB</w:t>
            </w:r>
          </w:p>
        </w:tc>
        <w:tc>
          <w:tcPr>
            <w:tcW w:w="1067" w:type="dxa"/>
            <w:noWrap/>
            <w:vAlign w:val="bottom"/>
          </w:tcPr>
          <w:p w:rsidR="00EA4AB3" w:rsidRPr="00237902" w:rsidRDefault="00EA4AB3" w:rsidP="00BE1B76">
            <w:pPr>
              <w:cnfStyle w:val="000000000000" w:firstRow="0" w:lastRow="0" w:firstColumn="0" w:lastColumn="0" w:oddVBand="0" w:evenVBand="0" w:oddHBand="0" w:evenHBand="0" w:firstRowFirstColumn="0" w:firstRowLastColumn="0" w:lastRowFirstColumn="0" w:lastRowLastColumn="0"/>
            </w:pPr>
            <w:r>
              <w:t>87.4</w:t>
            </w:r>
          </w:p>
        </w:tc>
        <w:tc>
          <w:tcPr>
            <w:tcW w:w="1068" w:type="dxa"/>
            <w:noWrap/>
            <w:vAlign w:val="bottom"/>
          </w:tcPr>
          <w:p w:rsidR="00EA4AB3" w:rsidRPr="00237902" w:rsidRDefault="00EA4AB3" w:rsidP="00BE1B76">
            <w:pPr>
              <w:cnfStyle w:val="000000000000" w:firstRow="0" w:lastRow="0" w:firstColumn="0" w:lastColumn="0" w:oddVBand="0" w:evenVBand="0" w:oddHBand="0" w:evenHBand="0" w:firstRowFirstColumn="0" w:firstRowLastColumn="0" w:lastRowFirstColumn="0" w:lastRowLastColumn="0"/>
            </w:pPr>
            <w:r>
              <w:t>96.1</w:t>
            </w:r>
          </w:p>
        </w:tc>
        <w:tc>
          <w:tcPr>
            <w:tcW w:w="1068" w:type="dxa"/>
            <w:noWrap/>
            <w:vAlign w:val="bottom"/>
          </w:tcPr>
          <w:p w:rsidR="00EA4AB3" w:rsidRPr="00237902" w:rsidRDefault="00EA4AB3" w:rsidP="00BE1B76">
            <w:pPr>
              <w:cnfStyle w:val="000000000000" w:firstRow="0" w:lastRow="0" w:firstColumn="0" w:lastColumn="0" w:oddVBand="0" w:evenVBand="0" w:oddHBand="0" w:evenHBand="0" w:firstRowFirstColumn="0" w:firstRowLastColumn="0" w:lastRowFirstColumn="0" w:lastRowLastColumn="0"/>
            </w:pPr>
            <w:r>
              <w:t>105.1</w:t>
            </w:r>
          </w:p>
        </w:tc>
        <w:tc>
          <w:tcPr>
            <w:tcW w:w="1068" w:type="dxa"/>
            <w:noWrap/>
            <w:vAlign w:val="bottom"/>
          </w:tcPr>
          <w:p w:rsidR="00EA4AB3" w:rsidRPr="00237902" w:rsidRDefault="00EA4AB3" w:rsidP="00BE1B76">
            <w:pPr>
              <w:cnfStyle w:val="000000000000" w:firstRow="0" w:lastRow="0" w:firstColumn="0" w:lastColumn="0" w:oddVBand="0" w:evenVBand="0" w:oddHBand="0" w:evenHBand="0" w:firstRowFirstColumn="0" w:firstRowLastColumn="0" w:lastRowFirstColumn="0" w:lastRowLastColumn="0"/>
            </w:pPr>
            <w:r>
              <w:t>114.2</w:t>
            </w:r>
          </w:p>
        </w:tc>
        <w:tc>
          <w:tcPr>
            <w:tcW w:w="1068" w:type="dxa"/>
            <w:noWrap/>
            <w:vAlign w:val="bottom"/>
          </w:tcPr>
          <w:p w:rsidR="00EA4AB3" w:rsidRPr="00237902" w:rsidRDefault="00EA4AB3" w:rsidP="00BE1B76">
            <w:pPr>
              <w:cnfStyle w:val="000000000000" w:firstRow="0" w:lastRow="0" w:firstColumn="0" w:lastColumn="0" w:oddVBand="0" w:evenVBand="0" w:oddHBand="0" w:evenHBand="0" w:firstRowFirstColumn="0" w:firstRowLastColumn="0" w:lastRowFirstColumn="0" w:lastRowLastColumn="0"/>
            </w:pPr>
            <w:r>
              <w:t>123.1</w:t>
            </w:r>
          </w:p>
        </w:tc>
      </w:tr>
      <w:tr w:rsidR="00EA4AB3" w:rsidRPr="00237902" w:rsidTr="00BE1B7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EA4AB3" w:rsidRPr="00237902" w:rsidRDefault="00EA4AB3" w:rsidP="00BE1B76">
            <w:r w:rsidRPr="00237902">
              <w:rPr>
                <w:rStyle w:val="AERtextitalic"/>
              </w:rPr>
              <w:t>Less</w:t>
            </w:r>
            <w:r w:rsidRPr="00237902">
              <w:t>: straight-line depreciation</w:t>
            </w:r>
          </w:p>
        </w:tc>
        <w:tc>
          <w:tcPr>
            <w:tcW w:w="1067" w:type="dxa"/>
            <w:noWrap/>
            <w:vAlign w:val="bottom"/>
          </w:tcPr>
          <w:p w:rsidR="00EA4AB3" w:rsidRPr="00237902" w:rsidRDefault="00EA4AB3" w:rsidP="00BE1B76">
            <w:pPr>
              <w:cnfStyle w:val="000000010000" w:firstRow="0" w:lastRow="0" w:firstColumn="0" w:lastColumn="0" w:oddVBand="0" w:evenVBand="0" w:oddHBand="0" w:evenHBand="1" w:firstRowFirstColumn="0" w:firstRowLastColumn="0" w:lastRowFirstColumn="0" w:lastRowLastColumn="0"/>
            </w:pPr>
            <w:r>
              <w:t>175.1</w:t>
            </w:r>
          </w:p>
        </w:tc>
        <w:tc>
          <w:tcPr>
            <w:tcW w:w="1068" w:type="dxa"/>
            <w:noWrap/>
            <w:vAlign w:val="bottom"/>
          </w:tcPr>
          <w:p w:rsidR="00EA4AB3" w:rsidRPr="00237902" w:rsidRDefault="00EA4AB3" w:rsidP="00BE1B76">
            <w:pPr>
              <w:cnfStyle w:val="000000010000" w:firstRow="0" w:lastRow="0" w:firstColumn="0" w:lastColumn="0" w:oddVBand="0" w:evenVBand="0" w:oddHBand="0" w:evenHBand="1" w:firstRowFirstColumn="0" w:firstRowLastColumn="0" w:lastRowFirstColumn="0" w:lastRowLastColumn="0"/>
            </w:pPr>
            <w:r>
              <w:t>180.1</w:t>
            </w:r>
          </w:p>
        </w:tc>
        <w:tc>
          <w:tcPr>
            <w:tcW w:w="1068" w:type="dxa"/>
            <w:noWrap/>
            <w:vAlign w:val="bottom"/>
          </w:tcPr>
          <w:p w:rsidR="00EA4AB3" w:rsidRPr="00237902" w:rsidRDefault="00EA4AB3" w:rsidP="00BE1B76">
            <w:pPr>
              <w:cnfStyle w:val="000000010000" w:firstRow="0" w:lastRow="0" w:firstColumn="0" w:lastColumn="0" w:oddVBand="0" w:evenVBand="0" w:oddHBand="0" w:evenHBand="1" w:firstRowFirstColumn="0" w:firstRowLastColumn="0" w:lastRowFirstColumn="0" w:lastRowLastColumn="0"/>
            </w:pPr>
            <w:r>
              <w:t>202.2</w:t>
            </w:r>
          </w:p>
        </w:tc>
        <w:tc>
          <w:tcPr>
            <w:tcW w:w="1068" w:type="dxa"/>
            <w:noWrap/>
            <w:vAlign w:val="bottom"/>
          </w:tcPr>
          <w:p w:rsidR="00EA4AB3" w:rsidRPr="00237902" w:rsidRDefault="00EA4AB3" w:rsidP="00BE1B76">
            <w:pPr>
              <w:cnfStyle w:val="000000010000" w:firstRow="0" w:lastRow="0" w:firstColumn="0" w:lastColumn="0" w:oddVBand="0" w:evenVBand="0" w:oddHBand="0" w:evenHBand="1" w:firstRowFirstColumn="0" w:firstRowLastColumn="0" w:lastRowFirstColumn="0" w:lastRowLastColumn="0"/>
            </w:pPr>
            <w:r>
              <w:t>224.7</w:t>
            </w:r>
          </w:p>
        </w:tc>
        <w:tc>
          <w:tcPr>
            <w:tcW w:w="1068" w:type="dxa"/>
            <w:noWrap/>
            <w:vAlign w:val="bottom"/>
          </w:tcPr>
          <w:p w:rsidR="00EA4AB3" w:rsidRPr="00237902" w:rsidRDefault="00EA4AB3" w:rsidP="00BE1B76">
            <w:pPr>
              <w:cnfStyle w:val="000000010000" w:firstRow="0" w:lastRow="0" w:firstColumn="0" w:lastColumn="0" w:oddVBand="0" w:evenVBand="0" w:oddHBand="0" w:evenHBand="1" w:firstRowFirstColumn="0" w:firstRowLastColumn="0" w:lastRowFirstColumn="0" w:lastRowLastColumn="0"/>
            </w:pPr>
            <w:r>
              <w:t>247.3</w:t>
            </w:r>
          </w:p>
        </w:tc>
      </w:tr>
      <w:tr w:rsidR="00EA4AB3" w:rsidRPr="00B8281D" w:rsidTr="00BE1B76">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EA4AB3" w:rsidRPr="00B8281D" w:rsidRDefault="00EA4AB3" w:rsidP="00B8281D">
            <w:r w:rsidRPr="00B8281D">
              <w:t>Closing RAB</w:t>
            </w:r>
          </w:p>
        </w:tc>
        <w:tc>
          <w:tcPr>
            <w:tcW w:w="1067" w:type="dxa"/>
            <w:noWrap/>
            <w:vAlign w:val="bottom"/>
          </w:tcPr>
          <w:p w:rsidR="00EA4AB3" w:rsidRPr="00B8281D" w:rsidRDefault="00EA4AB3" w:rsidP="00B8281D">
            <w:pPr>
              <w:cnfStyle w:val="000000000000" w:firstRow="0" w:lastRow="0" w:firstColumn="0" w:lastColumn="0" w:oddVBand="0" w:evenVBand="0" w:oddHBand="0" w:evenHBand="0" w:firstRowFirstColumn="0" w:firstRowLastColumn="0" w:lastRowFirstColumn="0" w:lastRowLastColumn="0"/>
            </w:pPr>
            <w:r w:rsidRPr="00B8281D">
              <w:t>3696.2</w:t>
            </w:r>
          </w:p>
        </w:tc>
        <w:tc>
          <w:tcPr>
            <w:tcW w:w="1068" w:type="dxa"/>
            <w:noWrap/>
            <w:vAlign w:val="bottom"/>
          </w:tcPr>
          <w:p w:rsidR="00EA4AB3" w:rsidRPr="00B8281D" w:rsidRDefault="00EA4AB3" w:rsidP="00B8281D">
            <w:pPr>
              <w:cnfStyle w:val="000000000000" w:firstRow="0" w:lastRow="0" w:firstColumn="0" w:lastColumn="0" w:oddVBand="0" w:evenVBand="0" w:oddHBand="0" w:evenHBand="0" w:firstRowFirstColumn="0" w:firstRowLastColumn="0" w:lastRowFirstColumn="0" w:lastRowLastColumn="0"/>
            </w:pPr>
            <w:r w:rsidRPr="00B8281D">
              <w:t>4041.8</w:t>
            </w:r>
          </w:p>
        </w:tc>
        <w:tc>
          <w:tcPr>
            <w:tcW w:w="1068" w:type="dxa"/>
            <w:noWrap/>
            <w:vAlign w:val="bottom"/>
          </w:tcPr>
          <w:p w:rsidR="00EA4AB3" w:rsidRPr="00B8281D" w:rsidRDefault="00EA4AB3" w:rsidP="00B8281D">
            <w:pPr>
              <w:cnfStyle w:val="000000000000" w:firstRow="0" w:lastRow="0" w:firstColumn="0" w:lastColumn="0" w:oddVBand="0" w:evenVBand="0" w:oddHBand="0" w:evenHBand="0" w:firstRowFirstColumn="0" w:firstRowLastColumn="0" w:lastRowFirstColumn="0" w:lastRowLastColumn="0"/>
            </w:pPr>
            <w:r w:rsidRPr="00B8281D">
              <w:t>4393.4</w:t>
            </w:r>
          </w:p>
        </w:tc>
        <w:tc>
          <w:tcPr>
            <w:tcW w:w="1068" w:type="dxa"/>
            <w:noWrap/>
            <w:vAlign w:val="bottom"/>
          </w:tcPr>
          <w:p w:rsidR="00EA4AB3" w:rsidRPr="00B8281D" w:rsidRDefault="00EA4AB3" w:rsidP="00B8281D">
            <w:pPr>
              <w:cnfStyle w:val="000000000000" w:firstRow="0" w:lastRow="0" w:firstColumn="0" w:lastColumn="0" w:oddVBand="0" w:evenVBand="0" w:oddHBand="0" w:evenHBand="0" w:firstRowFirstColumn="0" w:firstRowLastColumn="0" w:lastRowFirstColumn="0" w:lastRowLastColumn="0"/>
            </w:pPr>
            <w:r w:rsidRPr="00B8281D">
              <w:t>4733.4</w:t>
            </w:r>
          </w:p>
        </w:tc>
        <w:tc>
          <w:tcPr>
            <w:tcW w:w="1068" w:type="dxa"/>
            <w:noWrap/>
            <w:vAlign w:val="bottom"/>
          </w:tcPr>
          <w:p w:rsidR="00EA4AB3" w:rsidRPr="00B8281D" w:rsidRDefault="00EA4AB3" w:rsidP="00B8281D">
            <w:pPr>
              <w:cnfStyle w:val="000000000000" w:firstRow="0" w:lastRow="0" w:firstColumn="0" w:lastColumn="0" w:oddVBand="0" w:evenVBand="0" w:oddHBand="0" w:evenHBand="0" w:firstRowFirstColumn="0" w:firstRowLastColumn="0" w:lastRowFirstColumn="0" w:lastRowLastColumn="0"/>
            </w:pPr>
            <w:r w:rsidRPr="00B8281D">
              <w:t>5086.3</w:t>
            </w:r>
          </w:p>
        </w:tc>
      </w:tr>
    </w:tbl>
    <w:p w:rsidR="00BE1B76" w:rsidRPr="00924046" w:rsidRDefault="00BE1B76" w:rsidP="00BE1B76">
      <w:pPr>
        <w:pStyle w:val="AERtablesource"/>
      </w:pPr>
      <w:r w:rsidRPr="00924046">
        <w:t>Source:</w:t>
      </w:r>
      <w:r w:rsidRPr="00924046">
        <w:tab/>
      </w:r>
      <w:r>
        <w:t xml:space="preserve">Powercor, </w:t>
      </w:r>
      <w:r w:rsidR="007F601A">
        <w:rPr>
          <w:rStyle w:val="AERtextitalic"/>
        </w:rPr>
        <w:t>Regulatory Proposal</w:t>
      </w:r>
      <w:r>
        <w:t xml:space="preserve">, </w:t>
      </w:r>
      <w:r w:rsidR="00166B30">
        <w:t>April 2015</w:t>
      </w:r>
      <w:r w:rsidR="007F601A">
        <w:t>, p. 255, Table 13.2</w:t>
      </w:r>
      <w:r w:rsidRPr="00924046">
        <w:t>.</w:t>
      </w:r>
    </w:p>
    <w:p w:rsidR="00BE1B76" w:rsidRPr="00924046" w:rsidRDefault="00BE1B76" w:rsidP="00BE1B76">
      <w:pPr>
        <w:pStyle w:val="AERtablesource"/>
      </w:pPr>
      <w:r>
        <w:t>(a)</w:t>
      </w:r>
      <w:r w:rsidRPr="00924046">
        <w:tab/>
        <w:t>Net of disposals and capital contributions.</w:t>
      </w:r>
    </w:p>
    <w:p w:rsidR="00BE1B76" w:rsidRDefault="00BE1B76" w:rsidP="00BE1B76">
      <w:pPr>
        <w:numPr>
          <w:ilvl w:val="0"/>
          <w:numId w:val="24"/>
        </w:numPr>
      </w:pPr>
      <w:r>
        <w:t>Powercor</w:t>
      </w:r>
      <w:r w:rsidRPr="00924046">
        <w:t xml:space="preserve"> proposed to apply a forecast depreciation approach to establish the RAB at the commencement of 202</w:t>
      </w:r>
      <w:r w:rsidR="006709EA">
        <w:t>1</w:t>
      </w:r>
      <w:r w:rsidRPr="00924046">
        <w:t>–25 regulatory control period, consistent with the approach set out in our final framework and approach paper.</w:t>
      </w:r>
      <w:r w:rsidRPr="00924046">
        <w:rPr>
          <w:rStyle w:val="FootnoteReference"/>
        </w:rPr>
        <w:footnoteReference w:id="6"/>
      </w:r>
      <w:r w:rsidR="009544A1">
        <w:t xml:space="preserve"> </w:t>
      </w:r>
    </w:p>
    <w:p w:rsidR="009A5113" w:rsidRDefault="009A5113" w:rsidP="009A5113">
      <w:pPr>
        <w:pStyle w:val="Heading2"/>
      </w:pPr>
      <w:bookmarkStart w:id="20" w:name="_Toc408404322"/>
      <w:bookmarkStart w:id="21" w:name="_Toc433172715"/>
      <w:r w:rsidRPr="0074565D">
        <w:t>AER’s assessment approach</w:t>
      </w:r>
      <w:bookmarkEnd w:id="20"/>
      <w:bookmarkEnd w:id="21"/>
    </w:p>
    <w:p w:rsidR="00BE1B76" w:rsidRPr="00924046" w:rsidRDefault="00BE1B76" w:rsidP="00BE1B76">
      <w:pPr>
        <w:numPr>
          <w:ilvl w:val="0"/>
          <w:numId w:val="24"/>
        </w:numPr>
      </w:pPr>
      <w:r w:rsidRPr="00924046">
        <w:t xml:space="preserve">We are required to roll forward the service provider's RAB during the </w:t>
      </w:r>
      <w:r w:rsidR="006067D4">
        <w:t>2011–15</w:t>
      </w:r>
      <w:r w:rsidRPr="00924046">
        <w:t xml:space="preserve"> regulatory control period to establish the opening RAB at </w:t>
      </w:r>
      <w:r w:rsidR="00162474">
        <w:t>1 January 2016</w:t>
      </w:r>
      <w:r w:rsidRPr="00924046">
        <w:t>. This value can be adjusted for any differences in the forecast and actual capex, disposals and capital contributions. It may also be adjusted to reflect any changes in the use of the assets, with only assets used in the provision of standard control services to be included in the RAB.</w:t>
      </w:r>
      <w:r w:rsidRPr="00924046">
        <w:rPr>
          <w:rStyle w:val="FootnoteReference"/>
        </w:rPr>
        <w:footnoteReference w:id="7"/>
      </w:r>
    </w:p>
    <w:p w:rsidR="00BE1B76" w:rsidRPr="00924046" w:rsidRDefault="00BE1B76" w:rsidP="00BE1B76">
      <w:pPr>
        <w:numPr>
          <w:ilvl w:val="0"/>
          <w:numId w:val="24"/>
        </w:numPr>
      </w:pPr>
      <w:r w:rsidRPr="00924046">
        <w:t>To determine the opening RAB, we developed an asset base RFM in accordance with the requirements of the NER</w:t>
      </w:r>
      <w:r w:rsidRPr="00924046">
        <w:rPr>
          <w:rStyle w:val="FootnoteReference"/>
        </w:rPr>
        <w:footnoteReference w:id="8"/>
      </w:r>
      <w:r w:rsidRPr="00924046">
        <w:t xml:space="preserve"> </w:t>
      </w:r>
      <w:r w:rsidR="009A44F7">
        <w:t>a</w:t>
      </w:r>
      <w:r w:rsidRPr="00924046">
        <w:t xml:space="preserve"> service provider must use the RFM in preparing its regulatory proposal.</w:t>
      </w:r>
      <w:r>
        <w:rPr>
          <w:rStyle w:val="FootnoteReference"/>
        </w:rPr>
        <w:footnoteReference w:id="9"/>
      </w:r>
      <w:r w:rsidRPr="00924046">
        <w:t xml:space="preserve"> The RFM rolls forward the RAB from the beginning of the final year of the 200</w:t>
      </w:r>
      <w:r w:rsidR="006709EA">
        <w:t>6</w:t>
      </w:r>
      <w:r w:rsidRPr="00924046">
        <w:t xml:space="preserve">–10 regulatory control </w:t>
      </w:r>
      <w:proofErr w:type="gramStart"/>
      <w:r w:rsidRPr="00924046">
        <w:t>period</w:t>
      </w:r>
      <w:proofErr w:type="gramEnd"/>
      <w:r w:rsidRPr="00924046">
        <w:t xml:space="preserve">, through the </w:t>
      </w:r>
      <w:r w:rsidR="006067D4">
        <w:t>2011–15</w:t>
      </w:r>
      <w:r w:rsidRPr="00924046">
        <w:t xml:space="preserve"> regulatory control period, to the beginning of the next period.</w:t>
      </w:r>
      <w:r w:rsidR="00B140D3">
        <w:rPr>
          <w:rStyle w:val="FootnoteReference"/>
        </w:rPr>
        <w:footnoteReference w:id="10"/>
      </w:r>
      <w:r w:rsidRPr="00924046">
        <w:t xml:space="preserve"> The roll forward occurs for each year by:</w:t>
      </w:r>
    </w:p>
    <w:p w:rsidR="00BE1B76" w:rsidRPr="000F67F7" w:rsidRDefault="00BE1B76" w:rsidP="00BE1B76">
      <w:pPr>
        <w:pStyle w:val="AERbulletlistfirststyle"/>
      </w:pPr>
      <w:r w:rsidRPr="00924046">
        <w:t>Adding an inflation (indexation) adjustment to the opening RAB for the relevant year. This adjustment must be consistent with the inflation factor used in the control mechanism.</w:t>
      </w:r>
      <w:r w:rsidRPr="000F67F7">
        <w:rPr>
          <w:rStyle w:val="FootnoteReference"/>
        </w:rPr>
        <w:footnoteReference w:id="11"/>
      </w:r>
    </w:p>
    <w:p w:rsidR="00BE1B76" w:rsidRPr="000F67F7" w:rsidRDefault="00BE1B76" w:rsidP="00BE1B76">
      <w:pPr>
        <w:pStyle w:val="AERbulletlistfirststyle"/>
      </w:pPr>
      <w:r w:rsidRPr="00924046">
        <w:lastRenderedPageBreak/>
        <w:t>Adding capex to the RAB for the relevant year.</w:t>
      </w:r>
      <w:r w:rsidRPr="000F67F7">
        <w:rPr>
          <w:rStyle w:val="FootnoteReference"/>
        </w:rPr>
        <w:footnoteReference w:id="12"/>
      </w:r>
      <w:r w:rsidRPr="000F67F7">
        <w:t xml:space="preserve"> In future determinations, the NER allows us to review a service provider's past capex and exclude inefficient past capex from being rolled into the RAB</w:t>
      </w:r>
      <w:r w:rsidRPr="008237CC">
        <w:t xml:space="preserve"> where total capex exceeds the regulatory allowance</w:t>
      </w:r>
      <w:r w:rsidRPr="000F67F7">
        <w:t>.</w:t>
      </w:r>
      <w:r w:rsidRPr="000F67F7">
        <w:rPr>
          <w:rStyle w:val="FootnoteReference"/>
        </w:rPr>
        <w:footnoteReference w:id="13"/>
      </w:r>
      <w:r w:rsidRPr="000F67F7">
        <w:t xml:space="preserve"> </w:t>
      </w:r>
      <w:r>
        <w:t xml:space="preserve">The </w:t>
      </w:r>
      <w:r w:rsidRPr="00BD0C68">
        <w:t xml:space="preserve">details of our assessment approach </w:t>
      </w:r>
      <w:r>
        <w:t xml:space="preserve">for inefficient capex are set out in </w:t>
      </w:r>
      <w:r w:rsidRPr="00166EE4">
        <w:t xml:space="preserve">the </w:t>
      </w:r>
      <w:r w:rsidRPr="00BA4A28">
        <w:rPr>
          <w:rStyle w:val="AERtextitalic"/>
        </w:rPr>
        <w:t>Capital expenditure incentive guideline</w:t>
      </w:r>
      <w:r w:rsidRPr="00166EE4">
        <w:t>.</w:t>
      </w:r>
      <w:r>
        <w:rPr>
          <w:rStyle w:val="FootnoteReference"/>
        </w:rPr>
        <w:footnoteReference w:id="14"/>
      </w:r>
      <w:r>
        <w:t xml:space="preserve"> </w:t>
      </w:r>
      <w:r w:rsidRPr="000F67F7">
        <w:t xml:space="preserve">We note that under the transitional rules, the review of past capex does not apply to </w:t>
      </w:r>
      <w:r>
        <w:t>Powercor</w:t>
      </w:r>
      <w:r w:rsidRPr="000F67F7">
        <w:t xml:space="preserve"> prior to </w:t>
      </w:r>
      <w:r w:rsidR="00162474">
        <w:t>1 January 2016</w:t>
      </w:r>
      <w:r w:rsidRPr="000F67F7">
        <w:t>.</w:t>
      </w:r>
      <w:r w:rsidRPr="000F67F7">
        <w:rPr>
          <w:rStyle w:val="FootnoteReference"/>
        </w:rPr>
        <w:footnoteReference w:id="15"/>
      </w:r>
      <w:r w:rsidRPr="000F67F7">
        <w:t xml:space="preserve"> Therefore, for the purposes of this preliminary decision, we will add </w:t>
      </w:r>
      <w:r>
        <w:t>Powercor</w:t>
      </w:r>
      <w:r w:rsidRPr="000F67F7">
        <w:t xml:space="preserve">'s actual or estimated capex in the </w:t>
      </w:r>
      <w:r w:rsidR="006067D4">
        <w:t>2011–15</w:t>
      </w:r>
      <w:r w:rsidRPr="000F67F7">
        <w:t xml:space="preserve"> regulatory control period to the RAB. We check actual capex amounts against audited annual reporting RIN data and generally accept the capex reported in those RINs in rolling forward the RAB. However, there may be instances where adjustments are required to the annual reporting RIN data</w:t>
      </w:r>
      <w:r>
        <w:t>.</w:t>
      </w:r>
      <w:r w:rsidRPr="000F67F7">
        <w:t xml:space="preserve"> </w:t>
      </w:r>
      <w:r>
        <w:t xml:space="preserve">This would include where it </w:t>
      </w:r>
      <w:r w:rsidRPr="000F67F7">
        <w:t xml:space="preserve">is not fit for purpose. </w:t>
      </w:r>
    </w:p>
    <w:p w:rsidR="00BE1B76" w:rsidRPr="000F67F7" w:rsidRDefault="00BE1B76" w:rsidP="00BE1B76">
      <w:pPr>
        <w:pStyle w:val="AERbulletlistfirststyle"/>
      </w:pPr>
      <w:r w:rsidRPr="00924046">
        <w:t>Subtracting depreciation from the RAB for the relevant year, calculated in accordance with the relevant distribution determination for that year.</w:t>
      </w:r>
      <w:r w:rsidRPr="000F67F7">
        <w:rPr>
          <w:rStyle w:val="FootnoteReference"/>
        </w:rPr>
        <w:footnoteReference w:id="16"/>
      </w:r>
      <w:r w:rsidRPr="000F67F7">
        <w:t xml:space="preserve"> Depreciation based on forecast or actual capex can be used to roll forward the RAB.</w:t>
      </w:r>
      <w:r w:rsidRPr="000F67F7">
        <w:rPr>
          <w:rStyle w:val="FootnoteReference"/>
        </w:rPr>
        <w:footnoteReference w:id="17"/>
      </w:r>
      <w:r w:rsidRPr="000F67F7">
        <w:t xml:space="preserve"> By default the RFM applies the depreciation approach based on actual capex, although this can be modified to apply a depreciation approach based on forecast capex </w:t>
      </w:r>
      <w:r>
        <w:t>when</w:t>
      </w:r>
      <w:r w:rsidRPr="000F67F7">
        <w:t xml:space="preserve"> necessary. For this preliminary decision, we use depreciation based on actual capex for rolling forward </w:t>
      </w:r>
      <w:r>
        <w:t>Powercor</w:t>
      </w:r>
      <w:r w:rsidRPr="000F67F7">
        <w:t xml:space="preserve">'s RAB values over the </w:t>
      </w:r>
      <w:r w:rsidR="006067D4">
        <w:t>2011–15</w:t>
      </w:r>
      <w:r w:rsidRPr="000F67F7">
        <w:t xml:space="preserve"> regulatory control period.</w:t>
      </w:r>
      <w:r w:rsidRPr="000F67F7">
        <w:rPr>
          <w:rStyle w:val="FootnoteReference"/>
        </w:rPr>
        <w:footnoteReference w:id="18"/>
      </w:r>
      <w:r w:rsidRPr="00FF6253">
        <w:t xml:space="preserve"> However, depreciation based on forecast capex will be used for the </w:t>
      </w:r>
      <w:r w:rsidR="00162474">
        <w:t>2016–20</w:t>
      </w:r>
      <w:r w:rsidRPr="00FF6253">
        <w:t xml:space="preserve"> regulatory control period</w:t>
      </w:r>
      <w:r>
        <w:t xml:space="preserve"> at the next reset</w:t>
      </w:r>
      <w:r w:rsidRPr="00FF6253">
        <w:t>.</w:t>
      </w:r>
      <w:r>
        <w:rPr>
          <w:rStyle w:val="FootnoteReference"/>
        </w:rPr>
        <w:footnoteReference w:id="19"/>
      </w:r>
    </w:p>
    <w:p w:rsidR="00BE1B76" w:rsidRPr="000F67F7" w:rsidRDefault="00BE1B76" w:rsidP="00BE1B76">
      <w:pPr>
        <w:pStyle w:val="AERbulletlistfirststyle"/>
      </w:pPr>
      <w:r w:rsidRPr="00924046">
        <w:t>Subtracting any disposals from the RAB for the relevant year.</w:t>
      </w:r>
      <w:r w:rsidRPr="000F67F7">
        <w:rPr>
          <w:rStyle w:val="FootnoteReference"/>
        </w:rPr>
        <w:footnoteReference w:id="20"/>
      </w:r>
      <w:r w:rsidRPr="000F67F7">
        <w:t xml:space="preserve"> We check these amounts against audited annual reporting RIN data.</w:t>
      </w:r>
    </w:p>
    <w:p w:rsidR="00BE1B76" w:rsidRPr="000F67F7" w:rsidRDefault="00BE1B76" w:rsidP="00BE1B76">
      <w:pPr>
        <w:rPr>
          <w:rStyle w:val="AERbody"/>
        </w:rPr>
      </w:pPr>
      <w:r w:rsidRPr="00924046">
        <w:rPr>
          <w:rStyle w:val="AERbody"/>
        </w:rPr>
        <w:t xml:space="preserve">These annual adjustments give the closing RAB for any particular year, which then becomes the opening RAB for the following year. Through this process the RFM rolls forward the RAB to the end of the </w:t>
      </w:r>
      <w:r w:rsidR="006067D4">
        <w:rPr>
          <w:rStyle w:val="AERbody"/>
        </w:rPr>
        <w:t>2011–15</w:t>
      </w:r>
      <w:r w:rsidRPr="00924046">
        <w:rPr>
          <w:rStyle w:val="AERbody"/>
        </w:rPr>
        <w:t xml:space="preserve"> regulatory control period. The PTRM used to calculate the annual revenue requirement for the </w:t>
      </w:r>
      <w:r w:rsidR="00162474">
        <w:rPr>
          <w:rStyle w:val="AERbody"/>
        </w:rPr>
        <w:t>2016–20</w:t>
      </w:r>
      <w:r w:rsidRPr="00924046">
        <w:rPr>
          <w:rStyle w:val="AERbody"/>
        </w:rPr>
        <w:t xml:space="preserve"> </w:t>
      </w:r>
      <w:r>
        <w:rPr>
          <w:rStyle w:val="AERbody"/>
        </w:rPr>
        <w:t xml:space="preserve">regulatory control </w:t>
      </w:r>
      <w:r w:rsidRPr="00924046">
        <w:rPr>
          <w:rStyle w:val="AERbody"/>
        </w:rPr>
        <w:t>period generally adopts the same RAB roll forward approach as the RFM, although the annual adjustments to the RAB are based on forecasts, rather than actual amounts.</w:t>
      </w:r>
    </w:p>
    <w:p w:rsidR="00BE1B76" w:rsidRPr="000F67F7" w:rsidRDefault="00BE1B76" w:rsidP="00BE1B76">
      <w:pPr>
        <w:numPr>
          <w:ilvl w:val="0"/>
          <w:numId w:val="24"/>
        </w:numPr>
        <w:rPr>
          <w:rStyle w:val="AERbody"/>
        </w:rPr>
      </w:pPr>
      <w:r w:rsidRPr="00924046">
        <w:rPr>
          <w:rStyle w:val="AERbody"/>
        </w:rPr>
        <w:lastRenderedPageBreak/>
        <w:t>We are required to decide whether depreciation for establishing the service provider's RAB as at the commencement of the 202</w:t>
      </w:r>
      <w:r w:rsidR="006709EA">
        <w:rPr>
          <w:rStyle w:val="AERbody"/>
        </w:rPr>
        <w:t>1</w:t>
      </w:r>
      <w:r w:rsidRPr="00924046">
        <w:rPr>
          <w:rStyle w:val="AERbody"/>
        </w:rPr>
        <w:t>–25 regulatory control period is to be based on actual or forecast capex.</w:t>
      </w:r>
      <w:r w:rsidRPr="00924046">
        <w:rPr>
          <w:rStyle w:val="FootnoteReference"/>
        </w:rPr>
        <w:footnoteReference w:id="21"/>
      </w:r>
    </w:p>
    <w:p w:rsidR="00BE1B76" w:rsidRPr="000F67F7" w:rsidRDefault="00BE1B76" w:rsidP="00BE1B76">
      <w:pPr>
        <w:numPr>
          <w:ilvl w:val="0"/>
          <w:numId w:val="24"/>
        </w:numPr>
        <w:rPr>
          <w:rStyle w:val="AERbody"/>
        </w:rPr>
      </w:pPr>
      <w:r w:rsidRPr="00924046">
        <w:rPr>
          <w:rStyle w:val="AERbody"/>
        </w:rPr>
        <w:t>The opening RAB for the 202</w:t>
      </w:r>
      <w:r w:rsidR="006709EA">
        <w:rPr>
          <w:rStyle w:val="AERbody"/>
        </w:rPr>
        <w:t>1</w:t>
      </w:r>
      <w:r w:rsidRPr="00924046">
        <w:rPr>
          <w:rStyle w:val="AERbody"/>
        </w:rPr>
        <w:t xml:space="preserve">–25 regulatory control period can be determined using depreciation based either on forecast or actual capex incurred during the </w:t>
      </w:r>
      <w:r w:rsidR="00162474">
        <w:rPr>
          <w:rStyle w:val="AERbody"/>
        </w:rPr>
        <w:t>2016–20</w:t>
      </w:r>
      <w:r w:rsidRPr="00924046">
        <w:rPr>
          <w:rStyle w:val="AERbody"/>
        </w:rPr>
        <w:t xml:space="preserve"> period. To roll forward the RAB using depreciation based on forecast capex, we would use the forecast depreciation contained in the PTRM for the </w:t>
      </w:r>
      <w:r w:rsidR="00162474">
        <w:rPr>
          <w:rStyle w:val="AERbody"/>
        </w:rPr>
        <w:t>2016–20</w:t>
      </w:r>
      <w:r w:rsidRPr="00924046">
        <w:rPr>
          <w:rStyle w:val="AERbody"/>
        </w:rPr>
        <w:t xml:space="preserve"> regulatory control period, adjusted for actual inflation. If the approach to roll forward the RAB using depreciation based on actual capex was adopted, we would recalculate the depreciation based on actual capex incurred during the </w:t>
      </w:r>
      <w:r w:rsidR="00162474">
        <w:rPr>
          <w:rStyle w:val="AERbody"/>
        </w:rPr>
        <w:t>2016–20</w:t>
      </w:r>
      <w:r w:rsidRPr="00924046">
        <w:rPr>
          <w:rStyle w:val="AERbody"/>
        </w:rPr>
        <w:t xml:space="preserve"> regulatory control period. </w:t>
      </w:r>
    </w:p>
    <w:p w:rsidR="00BE1B76" w:rsidRPr="000F67F7" w:rsidRDefault="00BE1B76" w:rsidP="00BE1B76">
      <w:pPr>
        <w:numPr>
          <w:ilvl w:val="0"/>
          <w:numId w:val="24"/>
        </w:numPr>
        <w:rPr>
          <w:rStyle w:val="AERbody"/>
        </w:rPr>
      </w:pPr>
      <w:r w:rsidRPr="00924046">
        <w:rPr>
          <w:rStyle w:val="AERbody"/>
        </w:rPr>
        <w:t>Our decision on whether to use actual or forecast depreciation must be consistent with the capex incentive objective. We must have regard to:</w:t>
      </w:r>
      <w:r w:rsidRPr="00924046">
        <w:rPr>
          <w:rStyle w:val="FootnoteReference"/>
        </w:rPr>
        <w:footnoteReference w:id="22"/>
      </w:r>
    </w:p>
    <w:p w:rsidR="00BE1B76" w:rsidRPr="000F67F7" w:rsidRDefault="00BE1B76" w:rsidP="00BE1B76">
      <w:pPr>
        <w:pStyle w:val="AERbulletlistfirststyle"/>
        <w:rPr>
          <w:rStyle w:val="AERbody"/>
        </w:rPr>
      </w:pPr>
      <w:r>
        <w:rPr>
          <w:rStyle w:val="AERbody"/>
        </w:rPr>
        <w:t xml:space="preserve">the </w:t>
      </w:r>
      <w:r w:rsidRPr="00924046">
        <w:rPr>
          <w:rStyle w:val="AERbody"/>
        </w:rPr>
        <w:t>incentives the service provider has to undertake efficient capex</w:t>
      </w:r>
    </w:p>
    <w:p w:rsidR="00BE1B76" w:rsidRPr="000F67F7" w:rsidRDefault="00BE1B76" w:rsidP="00BE1B76">
      <w:pPr>
        <w:pStyle w:val="AERbulletlistfirststyle"/>
        <w:rPr>
          <w:rStyle w:val="AERbody"/>
        </w:rPr>
      </w:pPr>
      <w:r w:rsidRPr="00924046">
        <w:rPr>
          <w:rStyle w:val="AERbody"/>
        </w:rPr>
        <w:t>substitution possibilities between assets with different lives</w:t>
      </w:r>
      <w:r>
        <w:rPr>
          <w:rStyle w:val="AERbody"/>
        </w:rPr>
        <w:t xml:space="preserve"> and the relative benefits of each</w:t>
      </w:r>
    </w:p>
    <w:p w:rsidR="00BE1B76" w:rsidRPr="000F67F7" w:rsidRDefault="00BE1B76" w:rsidP="00BE1B76">
      <w:pPr>
        <w:pStyle w:val="AERbulletlistfirststyle"/>
        <w:rPr>
          <w:rStyle w:val="AERbody"/>
        </w:rPr>
      </w:pPr>
      <w:r w:rsidRPr="00924046">
        <w:rPr>
          <w:rStyle w:val="AERbody"/>
        </w:rPr>
        <w:t>the extent of overspending and inefficient overspending relative to the allowed forecast</w:t>
      </w:r>
    </w:p>
    <w:p w:rsidR="00BE1B76" w:rsidRPr="000F67F7" w:rsidRDefault="00BE1B76" w:rsidP="00BE1B76">
      <w:pPr>
        <w:pStyle w:val="AERbulletlistfirststyle"/>
        <w:rPr>
          <w:rStyle w:val="AERbody"/>
        </w:rPr>
      </w:pPr>
      <w:r w:rsidRPr="00924046">
        <w:rPr>
          <w:rStyle w:val="AERbody"/>
        </w:rPr>
        <w:t>the capex incentive guideline</w:t>
      </w:r>
    </w:p>
    <w:p w:rsidR="00BE1B76" w:rsidRDefault="00BE1B76" w:rsidP="00BE1B76">
      <w:pPr>
        <w:pStyle w:val="AERbulletlistfirststyle"/>
        <w:rPr>
          <w:rStyle w:val="AERbody"/>
        </w:rPr>
      </w:pPr>
      <w:r w:rsidRPr="00924046">
        <w:rPr>
          <w:rStyle w:val="AERbody"/>
        </w:rPr>
        <w:t>the capital expenditure factors.</w:t>
      </w:r>
    </w:p>
    <w:p w:rsidR="005C0A7F" w:rsidRDefault="005C0A7F" w:rsidP="005C0A7F">
      <w:pPr>
        <w:pStyle w:val="Heading3"/>
      </w:pPr>
      <w:bookmarkStart w:id="22" w:name="_Toc433172716"/>
      <w:r>
        <w:t>Interrelationships</w:t>
      </w:r>
      <w:bookmarkEnd w:id="22"/>
    </w:p>
    <w:p w:rsidR="00BE1B76" w:rsidRPr="00924046" w:rsidRDefault="00BE1B76" w:rsidP="00BE1B76">
      <w:pPr>
        <w:numPr>
          <w:ilvl w:val="0"/>
          <w:numId w:val="24"/>
        </w:numPr>
      </w:pPr>
      <w:r w:rsidRPr="00924046">
        <w:t>The RAB is an input into the determination of the return on capital and depreciation (return of capital) building block allowances.</w:t>
      </w:r>
      <w:r w:rsidRPr="00924046">
        <w:rPr>
          <w:rStyle w:val="FootnoteReference"/>
        </w:rPr>
        <w:footnoteReference w:id="23"/>
      </w:r>
      <w:r w:rsidRPr="00924046">
        <w:t xml:space="preserve"> Factors that influence the RAB will therefore flow through to these building block components and the annual revenue requirement. Other things being equal, a higher RAB increases both the return on capital and depreciation allowances.</w:t>
      </w:r>
    </w:p>
    <w:p w:rsidR="00BE1B76" w:rsidRPr="00924046" w:rsidRDefault="00BE1B76" w:rsidP="00BE1B76">
      <w:pPr>
        <w:numPr>
          <w:ilvl w:val="0"/>
          <w:numId w:val="24"/>
        </w:numPr>
      </w:pPr>
      <w:r w:rsidRPr="00924046">
        <w:t>The RAB is determined by various factors, including:</w:t>
      </w:r>
    </w:p>
    <w:p w:rsidR="00BE1B76" w:rsidRPr="000F67F7" w:rsidRDefault="00BE1B76" w:rsidP="00BE1B76">
      <w:pPr>
        <w:pStyle w:val="AERbulletlistfirststyle"/>
      </w:pPr>
      <w:r w:rsidRPr="00924046">
        <w:t>the opening RAB (meaning the value of existing assets at the beginning of the regulatory control period)</w:t>
      </w:r>
    </w:p>
    <w:p w:rsidR="00BE1B76" w:rsidRPr="000F67F7" w:rsidRDefault="00BE1B76" w:rsidP="00BE1B76">
      <w:pPr>
        <w:pStyle w:val="AERbulletlistfirststyle"/>
      </w:pPr>
      <w:r w:rsidRPr="00924046">
        <w:t>net capex</w:t>
      </w:r>
      <w:r w:rsidRPr="000F67F7">
        <w:rPr>
          <w:rStyle w:val="FootnoteReference"/>
        </w:rPr>
        <w:footnoteReference w:id="24"/>
      </w:r>
    </w:p>
    <w:p w:rsidR="00BE1B76" w:rsidRPr="000F67F7" w:rsidRDefault="00BE1B76" w:rsidP="00BE1B76">
      <w:pPr>
        <w:pStyle w:val="AERbulletlistfirststyle"/>
      </w:pPr>
      <w:r w:rsidRPr="00924046">
        <w:lastRenderedPageBreak/>
        <w:t>depreciation</w:t>
      </w:r>
    </w:p>
    <w:p w:rsidR="00BE1B76" w:rsidRPr="000F67F7" w:rsidRDefault="00BE1B76" w:rsidP="00BE1B76">
      <w:pPr>
        <w:pStyle w:val="AERbulletlistfirststyle"/>
      </w:pPr>
      <w:r w:rsidRPr="00924046">
        <w:t>indexation adjustment – so the RAB is presented in nominal terms, consistent with the rate of return.</w:t>
      </w:r>
    </w:p>
    <w:p w:rsidR="00BE1B76" w:rsidRPr="000F67F7" w:rsidRDefault="00BE1B76" w:rsidP="00BE1B76">
      <w:r w:rsidRPr="00924046">
        <w:t xml:space="preserve">The opening RAB depends on the value of existing assets and will depend on actual net capex, actual inflation outcomes and depreciation in the past. </w:t>
      </w:r>
    </w:p>
    <w:p w:rsidR="00BE1B76" w:rsidRPr="000F67F7" w:rsidRDefault="00BE1B76" w:rsidP="00BE1B76">
      <w:r w:rsidRPr="00924046">
        <w:t xml:space="preserve">The RAB when projected to the end of the regulatory control period increases due to both forecast new capex and the indexation adjustment. The size of the indexation adjustment depends on expected inflation (which also affects the nominal rate of return) and the size of the RAB at the start of each year. </w:t>
      </w:r>
    </w:p>
    <w:p w:rsidR="00BE1B76" w:rsidRPr="000F67F7" w:rsidRDefault="00BE1B76" w:rsidP="00BE1B76">
      <w:r w:rsidRPr="00924046">
        <w:t>Depreciation reduces the RAB. The depreciation allowance depends on the size of the opening RAB and the forecast net capex. By convention, the indexation adjustment is also offset against depreciation to prevent double counting of inflation in the RAB and rate of return, which are both presented in nominal terms. This reduces the apparent depreciation building block that feeds into the annual revenue requirement.</w:t>
      </w:r>
    </w:p>
    <w:p w:rsidR="00BE1B76" w:rsidRDefault="00BE1B76" w:rsidP="00BE1B76">
      <w:r>
        <w:fldChar w:fldCharType="begin"/>
      </w:r>
      <w:r>
        <w:instrText xml:space="preserve"> REF _Ref417385822 \h </w:instrText>
      </w:r>
      <w:r>
        <w:fldChar w:fldCharType="separate"/>
      </w:r>
      <w:r w:rsidR="00C647D4">
        <w:t xml:space="preserve">Figure </w:t>
      </w:r>
      <w:r w:rsidR="00C647D4">
        <w:rPr>
          <w:noProof/>
        </w:rPr>
        <w:t>2</w:t>
      </w:r>
      <w:r w:rsidR="00C647D4">
        <w:t>.</w:t>
      </w:r>
      <w:r w:rsidR="00C647D4">
        <w:rPr>
          <w:noProof/>
        </w:rPr>
        <w:t>1</w:t>
      </w:r>
      <w:r>
        <w:fldChar w:fldCharType="end"/>
      </w:r>
      <w:r w:rsidRPr="00924046">
        <w:t xml:space="preserve"> shows the key drivers of the change in the RAB over the </w:t>
      </w:r>
      <w:r w:rsidR="00162474">
        <w:t>2016–20</w:t>
      </w:r>
      <w:r w:rsidRPr="00924046">
        <w:t xml:space="preserve"> regulatory control </w:t>
      </w:r>
      <w:proofErr w:type="gramStart"/>
      <w:r w:rsidRPr="00924046">
        <w:t>period</w:t>
      </w:r>
      <w:proofErr w:type="gramEnd"/>
      <w:r w:rsidRPr="00924046">
        <w:t xml:space="preserve"> as proposed by </w:t>
      </w:r>
      <w:r>
        <w:t>Powercor</w:t>
      </w:r>
      <w:r w:rsidRPr="00924046">
        <w:t xml:space="preserve">. Overall, the closing RAB at the end of the </w:t>
      </w:r>
      <w:r w:rsidR="00162474">
        <w:t>2016–20</w:t>
      </w:r>
      <w:r w:rsidRPr="00924046">
        <w:t xml:space="preserve"> regulatory control period would be </w:t>
      </w:r>
      <w:r w:rsidR="00987E17">
        <w:t>50</w:t>
      </w:r>
      <w:r w:rsidRPr="00924046">
        <w:t xml:space="preserve"> per cent higher than the opening RAB at the start of that period based on the proposal, in nominal terms. The proposed forecast net capex increases the RAB by about </w:t>
      </w:r>
      <w:r w:rsidR="00987E17">
        <w:t>65</w:t>
      </w:r>
      <w:r>
        <w:t xml:space="preserve"> </w:t>
      </w:r>
      <w:r w:rsidRPr="00924046">
        <w:t xml:space="preserve">per cent, while inflation increases it by about </w:t>
      </w:r>
      <w:r w:rsidR="00987E17">
        <w:t>15</w:t>
      </w:r>
      <w:r>
        <w:t xml:space="preserve"> </w:t>
      </w:r>
      <w:r w:rsidRPr="00924046">
        <w:t xml:space="preserve">per cent. Forecast depreciation, on the other hand, reduces the RAB by about </w:t>
      </w:r>
      <w:r w:rsidR="00987E17">
        <w:t>30</w:t>
      </w:r>
      <w:r>
        <w:t xml:space="preserve"> </w:t>
      </w:r>
      <w:r w:rsidRPr="00924046">
        <w:t>per cent.</w:t>
      </w:r>
    </w:p>
    <w:p w:rsidR="00BE1B76" w:rsidRPr="00026E85" w:rsidRDefault="00BE1B76" w:rsidP="00BE1B76">
      <w:pPr>
        <w:pStyle w:val="Caption"/>
      </w:pPr>
      <w:bookmarkStart w:id="23" w:name="_Ref417385822"/>
      <w:r>
        <w:t xml:space="preserve">Figure </w:t>
      </w:r>
      <w:fldSimple w:instr=" STYLEREF 1 \s ">
        <w:r w:rsidR="00C647D4">
          <w:rPr>
            <w:noProof/>
          </w:rPr>
          <w:t>2</w:t>
        </w:r>
      </w:fldSimple>
      <w:r>
        <w:t>.</w:t>
      </w:r>
      <w:fldSimple w:instr=" SEQ Figure \* ARABIC \s 1 ">
        <w:r w:rsidR="00C647D4">
          <w:rPr>
            <w:noProof/>
          </w:rPr>
          <w:t>1</w:t>
        </w:r>
      </w:fldSimple>
      <w:bookmarkEnd w:id="23"/>
      <w:r>
        <w:tab/>
      </w:r>
      <w:r w:rsidRPr="00026E85">
        <w:t>Key drivers of changes in the RAB ($ million, nominal)</w:t>
      </w:r>
    </w:p>
    <w:p w:rsidR="00247B18" w:rsidRDefault="00987E17" w:rsidP="00BE1B76">
      <w:pPr>
        <w:pStyle w:val="AERtablesource"/>
      </w:pPr>
      <w:r w:rsidRPr="00987E17">
        <w:rPr>
          <w:noProof/>
          <w:lang w:eastAsia="en-AU"/>
        </w:rPr>
        <w:drawing>
          <wp:inline distT="0" distB="0" distL="0" distR="0" wp14:anchorId="66948BB4" wp14:editId="6BC0573F">
            <wp:extent cx="5382895" cy="322783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82895" cy="3227838"/>
                    </a:xfrm>
                    <a:prstGeom prst="rect">
                      <a:avLst/>
                    </a:prstGeom>
                    <a:noFill/>
                    <a:ln>
                      <a:noFill/>
                    </a:ln>
                  </pic:spPr>
                </pic:pic>
              </a:graphicData>
            </a:graphic>
          </wp:inline>
        </w:drawing>
      </w:r>
    </w:p>
    <w:p w:rsidR="00BE1B76" w:rsidRDefault="00BE1B76" w:rsidP="00BE1B76">
      <w:pPr>
        <w:pStyle w:val="AERtablesource"/>
      </w:pPr>
      <w:r w:rsidRPr="00247B18">
        <w:t>Source:</w:t>
      </w:r>
      <w:r w:rsidRPr="00247B18">
        <w:tab/>
      </w:r>
      <w:r w:rsidR="00A227DA">
        <w:t>Powercor</w:t>
      </w:r>
      <w:r w:rsidR="00A227DA" w:rsidRPr="00DC4EE3">
        <w:t xml:space="preserve">, </w:t>
      </w:r>
      <w:r w:rsidR="00A227DA" w:rsidRPr="00DC4EE3">
        <w:rPr>
          <w:rStyle w:val="AERtextitalic"/>
        </w:rPr>
        <w:t>Regulatory proposal</w:t>
      </w:r>
      <w:r w:rsidR="00A227DA">
        <w:t>, April 2015</w:t>
      </w:r>
      <w:r w:rsidR="00A227DA" w:rsidRPr="00DC4EE3">
        <w:t xml:space="preserve">, </w:t>
      </w:r>
      <w:r w:rsidR="00742280">
        <w:t xml:space="preserve">Attachment </w:t>
      </w:r>
      <w:r w:rsidR="00742280" w:rsidRPr="00742280">
        <w:rPr>
          <w:rStyle w:val="AERtextitalic"/>
        </w:rPr>
        <w:t>PAL 2016-20 PTRM</w:t>
      </w:r>
      <w:r w:rsidR="00742280">
        <w:t>.</w:t>
      </w:r>
    </w:p>
    <w:p w:rsidR="00CE6B72" w:rsidRDefault="00CE6B72" w:rsidP="00CE6B72">
      <w:r>
        <w:lastRenderedPageBreak/>
        <w:t>Maintaining the RAB in real terms by adding inflation is required by the NER</w:t>
      </w:r>
      <w:r>
        <w:rPr>
          <w:rStyle w:val="FootnoteReference"/>
        </w:rPr>
        <w:footnoteReference w:id="25"/>
      </w:r>
      <w:r>
        <w:t xml:space="preserve"> and generally helps to promote smoother prices over the life of an asset. If the RAB was unindexed for inflation, the offsetting indexation adjustment applied to depreciation would also have to be removed. On balance, this </w:t>
      </w:r>
      <w:r w:rsidRPr="00C01174">
        <w:t>means more depreciation would be returned to the business</w:t>
      </w:r>
      <w:r>
        <w:t xml:space="preserve"> resulting in higher prices early in an asset life and lower prices later in its life.</w:t>
      </w:r>
      <w:r>
        <w:rPr>
          <w:rStyle w:val="FootnoteReference"/>
        </w:rPr>
        <w:footnoteReference w:id="26"/>
      </w:r>
      <w:r>
        <w:t xml:space="preserve"> </w:t>
      </w:r>
    </w:p>
    <w:p w:rsidR="00CE6B72" w:rsidRDefault="00CE6B72" w:rsidP="00CE6B72">
      <w:pPr>
        <w:rPr>
          <w:rStyle w:val="AERbody"/>
        </w:rPr>
      </w:pPr>
      <w:r w:rsidRPr="00113707">
        <w:t xml:space="preserve">The RAB would rise in real terms over the </w:t>
      </w:r>
      <w:r>
        <w:t>2016–20</w:t>
      </w:r>
      <w:r w:rsidRPr="00113707">
        <w:t xml:space="preserve"> regulatory control period based on </w:t>
      </w:r>
      <w:r>
        <w:t>Powercor's</w:t>
      </w:r>
      <w:r w:rsidRPr="00113707">
        <w:t xml:space="preserve"> </w:t>
      </w:r>
      <w:r w:rsidRPr="006311E4">
        <w:rPr>
          <w:rStyle w:val="AERbody"/>
        </w:rPr>
        <w:t>proposal. We consider the depreciation amount to be generally reasonable and satisfy the requirements of the NER in terms of the assigned asset lives.</w:t>
      </w:r>
      <w:r>
        <w:rPr>
          <w:rStyle w:val="FootnoteReference"/>
        </w:rPr>
        <w:footnoteReference w:id="27"/>
      </w:r>
      <w:r w:rsidRPr="006311E4">
        <w:rPr>
          <w:rStyle w:val="AERbody"/>
        </w:rPr>
        <w:t xml:space="preserve"> The depreciation amount also largely depends on the opening RAB (which in turn depends on capex in the past). However, we do have concerns with the size of the forecast net capex.</w:t>
      </w:r>
      <w:r>
        <w:rPr>
          <w:rStyle w:val="AERbody"/>
        </w:rPr>
        <w:t xml:space="preserve"> </w:t>
      </w:r>
      <w:r>
        <w:rPr>
          <w:rStyle w:val="AERbody"/>
        </w:rPr>
        <w:fldChar w:fldCharType="begin"/>
      </w:r>
      <w:r>
        <w:rPr>
          <w:rStyle w:val="AERbody"/>
        </w:rPr>
        <w:instrText xml:space="preserve"> REF _Ref417385822 \h </w:instrText>
      </w:r>
      <w:r>
        <w:rPr>
          <w:rStyle w:val="AERbody"/>
        </w:rPr>
      </w:r>
      <w:r>
        <w:rPr>
          <w:rStyle w:val="AERbody"/>
        </w:rPr>
        <w:fldChar w:fldCharType="separate"/>
      </w:r>
      <w:r w:rsidR="00C647D4">
        <w:t xml:space="preserve">Figure </w:t>
      </w:r>
      <w:r w:rsidR="00C647D4">
        <w:rPr>
          <w:noProof/>
        </w:rPr>
        <w:t>2</w:t>
      </w:r>
      <w:r w:rsidR="00C647D4">
        <w:t>.</w:t>
      </w:r>
      <w:r w:rsidR="00C647D4">
        <w:rPr>
          <w:noProof/>
        </w:rPr>
        <w:t>1</w:t>
      </w:r>
      <w:r>
        <w:rPr>
          <w:rStyle w:val="AERbody"/>
        </w:rPr>
        <w:fldChar w:fldCharType="end"/>
      </w:r>
      <w:r w:rsidRPr="006311E4">
        <w:rPr>
          <w:rStyle w:val="AERbody"/>
        </w:rPr>
        <w:t xml:space="preserve"> shows forecast net capex is the largest driver of the increase in the RAB and we have considered whether it is appropriate that the forecast net capex exceeds depreciation as </w:t>
      </w:r>
      <w:r>
        <w:rPr>
          <w:rStyle w:val="AERbody"/>
        </w:rPr>
        <w:t>Powercor</w:t>
      </w:r>
      <w:r w:rsidRPr="006311E4">
        <w:rPr>
          <w:rStyle w:val="AERbody"/>
        </w:rPr>
        <w:t xml:space="preserve"> has proposed. Refer to attachment 6 for the discussion on forecast capex.</w:t>
      </w:r>
    </w:p>
    <w:p w:rsidR="00BE1B76" w:rsidRPr="00BE1B76" w:rsidRDefault="00BE1B76" w:rsidP="00BE1B76">
      <w:pPr>
        <w:numPr>
          <w:ilvl w:val="0"/>
          <w:numId w:val="24"/>
        </w:numPr>
      </w:pPr>
      <w:r w:rsidRPr="00A227DA">
        <w:t>A ten per cent increase in the opening RAB causes revenues to increase by about</w:t>
      </w:r>
      <w:r w:rsidR="00A05AAF" w:rsidRPr="00A227DA">
        <w:t xml:space="preserve"> </w:t>
      </w:r>
      <w:r w:rsidR="00A227DA" w:rsidRPr="00A227DA">
        <w:t>5.2</w:t>
      </w:r>
      <w:r w:rsidR="00247B18" w:rsidRPr="00A227DA">
        <w:t> </w:t>
      </w:r>
      <w:r w:rsidRPr="00A227DA">
        <w:t>per cent. However</w:t>
      </w:r>
      <w:r w:rsidRPr="00155389">
        <w:rPr>
          <w:rStyle w:val="AERbody"/>
        </w:rPr>
        <w:t>, the impact on revenues of the annual change in RAB depends on</w:t>
      </w:r>
      <w:r w:rsidRPr="00113707">
        <w:t xml:space="preserve"> the source of the RAB change, as some drivers affect more than one building block cost.</w:t>
      </w:r>
      <w:r w:rsidRPr="00113707">
        <w:rPr>
          <w:rStyle w:val="FootnoteReference"/>
        </w:rPr>
        <w:footnoteReference w:id="28"/>
      </w:r>
    </w:p>
    <w:p w:rsidR="008A102C" w:rsidRDefault="009A5113" w:rsidP="009A5113">
      <w:pPr>
        <w:pStyle w:val="Heading2"/>
      </w:pPr>
      <w:bookmarkStart w:id="24" w:name="_Toc408404324"/>
      <w:bookmarkStart w:id="25" w:name="_Toc433172717"/>
      <w:r w:rsidRPr="0074565D">
        <w:t xml:space="preserve">Reasons for </w:t>
      </w:r>
      <w:r w:rsidR="00701BFA">
        <w:t>preliminary</w:t>
      </w:r>
      <w:r w:rsidR="00651CB2" w:rsidRPr="0074565D">
        <w:t xml:space="preserve"> </w:t>
      </w:r>
      <w:r w:rsidRPr="0074565D">
        <w:t>decision</w:t>
      </w:r>
      <w:bookmarkEnd w:id="24"/>
      <w:bookmarkEnd w:id="25"/>
      <w:r w:rsidRPr="0074565D">
        <w:t xml:space="preserve"> </w:t>
      </w:r>
    </w:p>
    <w:p w:rsidR="00CE6B72" w:rsidRPr="00782D76" w:rsidRDefault="00CE6B72" w:rsidP="00CE6B72">
      <w:pPr>
        <w:rPr>
          <w:rStyle w:val="AERbody"/>
        </w:rPr>
      </w:pPr>
      <w:r w:rsidRPr="00782D76">
        <w:rPr>
          <w:rStyle w:val="AERbody"/>
        </w:rPr>
        <w:t xml:space="preserve">We determine an opening RAB value for </w:t>
      </w:r>
      <w:r>
        <w:rPr>
          <w:rStyle w:val="AERbody"/>
        </w:rPr>
        <w:t>Powercor</w:t>
      </w:r>
      <w:r w:rsidRPr="00782D76">
        <w:rPr>
          <w:rStyle w:val="AERbody"/>
        </w:rPr>
        <w:t xml:space="preserve"> of </w:t>
      </w:r>
      <w:r w:rsidRPr="00EC760B">
        <w:t xml:space="preserve">$3344.4 million ($ nominal) </w:t>
      </w:r>
      <w:r w:rsidR="0056139A">
        <w:t xml:space="preserve">as </w:t>
      </w:r>
      <w:r w:rsidRPr="00EC760B">
        <w:t>at</w:t>
      </w:r>
      <w:r w:rsidRPr="00782D76">
        <w:rPr>
          <w:rStyle w:val="AERbody"/>
        </w:rPr>
        <w:t xml:space="preserve"> 1 January 2016, a decrease </w:t>
      </w:r>
      <w:r w:rsidRPr="00EC760B">
        <w:t>of $1</w:t>
      </w:r>
      <w:r w:rsidR="00EC760B" w:rsidRPr="00EC760B">
        <w:t>8.4</w:t>
      </w:r>
      <w:r w:rsidRPr="00EC760B">
        <w:t> million ($ nominal) or 0.5 per cent from the proposed value. We forecast a closing RAB value of $</w:t>
      </w:r>
      <w:r w:rsidR="00EC760B" w:rsidRPr="00EC760B">
        <w:t>4605.</w:t>
      </w:r>
      <w:r w:rsidR="00DB6750">
        <w:t>8</w:t>
      </w:r>
      <w:r w:rsidR="00EC760B" w:rsidRPr="00EC760B">
        <w:t> </w:t>
      </w:r>
      <w:r w:rsidRPr="00EC760B">
        <w:t>million by 31 December 2020. This represents a reduction of $</w:t>
      </w:r>
      <w:r w:rsidR="00EC760B" w:rsidRPr="00EC760B">
        <w:t>480.</w:t>
      </w:r>
      <w:r w:rsidR="00DB6750">
        <w:t>5</w:t>
      </w:r>
      <w:r w:rsidRPr="00EC760B">
        <w:t xml:space="preserve"> million, or </w:t>
      </w:r>
      <w:r w:rsidR="00EC760B" w:rsidRPr="00EC760B">
        <w:t>9.</w:t>
      </w:r>
      <w:r w:rsidR="00DB6750">
        <w:t>4</w:t>
      </w:r>
      <w:r w:rsidR="00EC760B" w:rsidRPr="00EC760B">
        <w:t> </w:t>
      </w:r>
      <w:r w:rsidRPr="00EC760B">
        <w:t>per cent</w:t>
      </w:r>
      <w:r w:rsidRPr="00782D76">
        <w:rPr>
          <w:rStyle w:val="AERbody"/>
        </w:rPr>
        <w:t xml:space="preserve"> compared to the proposal. The reasons for our decision are discussed below.</w:t>
      </w:r>
    </w:p>
    <w:p w:rsidR="002D0B19" w:rsidRDefault="002D0B19" w:rsidP="002D0B19">
      <w:pPr>
        <w:pStyle w:val="Heading3"/>
      </w:pPr>
      <w:bookmarkStart w:id="26" w:name="_Ref432403829"/>
      <w:bookmarkStart w:id="27" w:name="_Toc433172718"/>
      <w:r w:rsidRPr="008349B7">
        <w:t>Opening RAB as at 1 January 2016</w:t>
      </w:r>
      <w:bookmarkEnd w:id="26"/>
      <w:bookmarkEnd w:id="27"/>
    </w:p>
    <w:p w:rsidR="00CE6B72" w:rsidRPr="00782D76" w:rsidRDefault="00CE6B72" w:rsidP="00CE6B72">
      <w:r>
        <w:t xml:space="preserve">To determine the opening RAB </w:t>
      </w:r>
      <w:r w:rsidRPr="00782D76">
        <w:t xml:space="preserve">at 1 January 2016 we have rolled forward the RAB over the 2011–15 regulatory control period to determine a closing RAB value </w:t>
      </w:r>
      <w:r w:rsidR="0056139A">
        <w:t xml:space="preserve">as </w:t>
      </w:r>
      <w:r w:rsidRPr="00782D76">
        <w:t>at 31 December 2015. In doing so we reviewed the key inputs of</w:t>
      </w:r>
      <w:r>
        <w:t xml:space="preserve"> Powercor</w:t>
      </w:r>
      <w:r w:rsidRPr="00782D76">
        <w:t xml:space="preserve">'s proposed RFM, such as asset lives, </w:t>
      </w:r>
      <w:r>
        <w:t xml:space="preserve">actual gross capex, </w:t>
      </w:r>
      <w:r w:rsidRPr="00782D76">
        <w:t xml:space="preserve">capital contributions and rate of return. We found </w:t>
      </w:r>
      <w:r>
        <w:t xml:space="preserve">these </w:t>
      </w:r>
      <w:r w:rsidRPr="00782D76">
        <w:t>were correct and they reconcile with relevant data sources such</w:t>
      </w:r>
      <w:r>
        <w:t xml:space="preserve"> as</w:t>
      </w:r>
      <w:r w:rsidRPr="00782D76">
        <w:t xml:space="preserve"> </w:t>
      </w:r>
      <w:r w:rsidRPr="00782D76">
        <w:lastRenderedPageBreak/>
        <w:t>annual reporting RIN data and the 2011–15 decision models.</w:t>
      </w:r>
      <w:r w:rsidRPr="00782D76">
        <w:rPr>
          <w:rStyle w:val="FootnoteReference"/>
        </w:rPr>
        <w:footnoteReference w:id="29"/>
      </w:r>
      <w:r w:rsidRPr="00782D76">
        <w:t xml:space="preserve"> However, we consider there should be adjustments made to </w:t>
      </w:r>
      <w:r>
        <w:t xml:space="preserve">Powercor's </w:t>
      </w:r>
      <w:r w:rsidRPr="00782D76">
        <w:t>proposed RFM inputs for actual inflation</w:t>
      </w:r>
      <w:r>
        <w:t xml:space="preserve"> and equity raising costs. We also do not consider Powercor's proposed approach to indexing the RAB for an additional half year to be appropriate. </w:t>
      </w:r>
      <w:r w:rsidRPr="00782D76">
        <w:t>These adjustments are discussed below.</w:t>
      </w:r>
    </w:p>
    <w:p w:rsidR="002D0B19" w:rsidRPr="0009460A" w:rsidRDefault="002D0B19" w:rsidP="002D0B19">
      <w:pPr>
        <w:pStyle w:val="HeadingBoldBlue"/>
      </w:pPr>
      <w:bookmarkStart w:id="28" w:name="_Toc427155096"/>
      <w:bookmarkStart w:id="29" w:name="_Toc432665089"/>
      <w:bookmarkStart w:id="30" w:name="_Toc433101192"/>
      <w:r>
        <w:t>Actual i</w:t>
      </w:r>
      <w:r w:rsidRPr="0009460A">
        <w:t>nflation</w:t>
      </w:r>
      <w:r>
        <w:t xml:space="preserve"> inputs</w:t>
      </w:r>
      <w:bookmarkEnd w:id="28"/>
      <w:bookmarkEnd w:id="29"/>
      <w:bookmarkEnd w:id="30"/>
    </w:p>
    <w:p w:rsidR="002D0B19" w:rsidRDefault="002D0B19" w:rsidP="002D0B19">
      <w:r>
        <w:t xml:space="preserve">Powercor did not apply the established approach for recording actual CPI inflation rates in its proposed RFM. Our approach to RAB indexation in the template RFM is to apply a one year lagged inflation rate to net capex and straight-line depreciation </w:t>
      </w:r>
      <w:r w:rsidRPr="009B6F3A">
        <w:t xml:space="preserve">consistent with the </w:t>
      </w:r>
      <w:r>
        <w:t>method of indexation used in the</w:t>
      </w:r>
      <w:r w:rsidRPr="009B6F3A">
        <w:t xml:space="preserve"> control</w:t>
      </w:r>
      <w:r>
        <w:t xml:space="preserve"> mechanism</w:t>
      </w:r>
      <w:r w:rsidRPr="009B6F3A">
        <w:t>.</w:t>
      </w:r>
      <w:r>
        <w:rPr>
          <w:rStyle w:val="FootnoteReference"/>
        </w:rPr>
        <w:footnoteReference w:id="30"/>
      </w:r>
      <w:r w:rsidRPr="009B6F3A">
        <w:t xml:space="preserve"> </w:t>
      </w:r>
      <w:r>
        <w:t>The actual CPI rate for each year is used to index the opening RAB in the RFM. In order to do this, t</w:t>
      </w:r>
      <w:r w:rsidRPr="009B6F3A">
        <w:t xml:space="preserve">he RFM requires </w:t>
      </w:r>
      <w:r>
        <w:t xml:space="preserve">each </w:t>
      </w:r>
      <w:r w:rsidRPr="009B6F3A">
        <w:t xml:space="preserve">actual CPI </w:t>
      </w:r>
      <w:r>
        <w:t>rate measured for a year to be recorded in that specific year (un-lagged).</w:t>
      </w:r>
      <w:r>
        <w:rPr>
          <w:rStyle w:val="FootnoteReference"/>
        </w:rPr>
        <w:footnoteReference w:id="31"/>
      </w:r>
      <w:r>
        <w:t xml:space="preserve"> </w:t>
      </w:r>
      <w:r w:rsidRPr="009B6F3A">
        <w:t xml:space="preserve">These actual observations are converted </w:t>
      </w:r>
      <w:r>
        <w:t xml:space="preserve">as part of coding within the RFM </w:t>
      </w:r>
      <w:r w:rsidRPr="009B6F3A">
        <w:t>into a</w:t>
      </w:r>
      <w:r>
        <w:t xml:space="preserve"> one year</w:t>
      </w:r>
      <w:r w:rsidRPr="009B6F3A">
        <w:t xml:space="preserve"> lag</w:t>
      </w:r>
      <w:r>
        <w:t>ged index for use in the RAB roll forward process</w:t>
      </w:r>
      <w:r w:rsidRPr="009B6F3A">
        <w:t xml:space="preserve">. </w:t>
      </w:r>
      <w:r>
        <w:t xml:space="preserve">This approach is consistent with the current RFM template developed </w:t>
      </w:r>
      <w:r w:rsidRPr="00645405">
        <w:t>in accordance with the NER</w:t>
      </w:r>
      <w:r>
        <w:t xml:space="preserve"> and applied for other service providers.</w:t>
      </w:r>
      <w:r>
        <w:rPr>
          <w:rStyle w:val="FootnoteReference"/>
        </w:rPr>
        <w:footnoteReference w:id="32"/>
      </w:r>
    </w:p>
    <w:p w:rsidR="002D0B19" w:rsidRDefault="002D0B19" w:rsidP="002D0B19">
      <w:r>
        <w:t>Powercor’s proposed RFM contained actual inflation inputs that were already one year lagged observations. This results in the RAB being adjusted by a two year lagged inflation index.</w:t>
      </w:r>
      <w:r>
        <w:rPr>
          <w:rStyle w:val="FootnoteReference"/>
        </w:rPr>
        <w:footnoteReference w:id="33"/>
      </w:r>
      <w:r w:rsidRPr="00C61791">
        <w:t xml:space="preserve"> </w:t>
      </w:r>
      <w:r>
        <w:t>This is not consistent with the NER.</w:t>
      </w:r>
      <w:r w:rsidR="00B140D3" w:rsidRPr="000F67F7">
        <w:rPr>
          <w:rStyle w:val="FootnoteReference"/>
        </w:rPr>
        <w:footnoteReference w:id="34"/>
      </w:r>
      <w:r>
        <w:t xml:space="preserve"> </w:t>
      </w:r>
      <w:r w:rsidRPr="009B6F3A">
        <w:t xml:space="preserve">Our preliminary decision is to </w:t>
      </w:r>
      <w:r>
        <w:t>apply our standard approach to RAB indexation, consistent with the template RFM and the NER.</w:t>
      </w:r>
      <w:r w:rsidR="00B140D3" w:rsidRPr="000F67F7">
        <w:rPr>
          <w:rStyle w:val="FootnoteReference"/>
        </w:rPr>
        <w:footnoteReference w:id="35"/>
      </w:r>
      <w:r>
        <w:t xml:space="preserve"> As such, we have replaced Powercor’s one year lagged CPI observations so that they are recorded in the year related to their measure. We have adopted Powercor’s use of an estimate of CPI for 2015, as the actual inflation is not yet known. Our final decision will update this estimate for actual 2015 inflation.</w:t>
      </w:r>
    </w:p>
    <w:p w:rsidR="00CE6538" w:rsidRDefault="00CE6538" w:rsidP="00CE6538">
      <w:pPr>
        <w:pStyle w:val="HeadingBoldBlue"/>
      </w:pPr>
      <w:bookmarkStart w:id="31" w:name="_Toc432665091"/>
      <w:bookmarkStart w:id="32" w:name="_Toc433101087"/>
      <w:bookmarkStart w:id="33" w:name="_Toc433101193"/>
      <w:r>
        <w:t>Equity r</w:t>
      </w:r>
      <w:r w:rsidR="007F601A">
        <w:t>a</w:t>
      </w:r>
      <w:r>
        <w:t>ising cost</w:t>
      </w:r>
      <w:bookmarkEnd w:id="31"/>
      <w:r w:rsidR="00D10039">
        <w:t>s</w:t>
      </w:r>
      <w:bookmarkEnd w:id="32"/>
      <w:bookmarkEnd w:id="33"/>
      <w:r>
        <w:t xml:space="preserve"> </w:t>
      </w:r>
    </w:p>
    <w:p w:rsidR="00CE6538" w:rsidRDefault="00CE6538" w:rsidP="00CE6538">
      <w:r w:rsidRPr="00CA03B7">
        <w:t xml:space="preserve">We do not accept </w:t>
      </w:r>
      <w:r>
        <w:t>Powercor's</w:t>
      </w:r>
      <w:r w:rsidRPr="00CA03B7">
        <w:t xml:space="preserve"> proposed value of equity raising cost</w:t>
      </w:r>
      <w:r w:rsidR="00D10039">
        <w:t>s</w:t>
      </w:r>
      <w:r w:rsidRPr="00CA03B7">
        <w:t xml:space="preserve"> included in 2011 capex of $</w:t>
      </w:r>
      <w:r w:rsidR="00A109B0">
        <w:t>5.9</w:t>
      </w:r>
      <w:r w:rsidRPr="00CA03B7">
        <w:t> million ($ nominal). The 201</w:t>
      </w:r>
      <w:r w:rsidR="00A109B0">
        <w:t>1–15</w:t>
      </w:r>
      <w:r w:rsidRPr="00CA03B7">
        <w:t xml:space="preserve"> </w:t>
      </w:r>
      <w:r w:rsidR="00A109B0">
        <w:t>determination</w:t>
      </w:r>
      <w:r w:rsidRPr="00CA03B7">
        <w:t xml:space="preserve"> PTRM recognised equity raising cost capex at end of year value in real 2010 dollar terms. The RFM requires the input of capex in nominal mid-year dollar terms. </w:t>
      </w:r>
      <w:r>
        <w:t>Powercor</w:t>
      </w:r>
      <w:r w:rsidRPr="00CA03B7">
        <w:t>'s proposed value of equity raising cost</w:t>
      </w:r>
      <w:r w:rsidR="00D10039">
        <w:t>s</w:t>
      </w:r>
      <w:r w:rsidRPr="00CA03B7">
        <w:t xml:space="preserve"> includes </w:t>
      </w:r>
      <w:r>
        <w:t xml:space="preserve">an incorrect adjustment </w:t>
      </w:r>
      <w:r w:rsidRPr="00CA03B7">
        <w:t xml:space="preserve">of inflation </w:t>
      </w:r>
      <w:r>
        <w:t xml:space="preserve">which </w:t>
      </w:r>
      <w:r w:rsidRPr="00CA03B7">
        <w:t>convert</w:t>
      </w:r>
      <w:r>
        <w:t>s</w:t>
      </w:r>
      <w:r w:rsidRPr="00CA03B7">
        <w:t xml:space="preserve"> </w:t>
      </w:r>
      <w:r>
        <w:t xml:space="preserve">the value from </w:t>
      </w:r>
      <w:r w:rsidRPr="00CA03B7">
        <w:lastRenderedPageBreak/>
        <w:t>real 2010 dollar terms to nominal dollar</w:t>
      </w:r>
      <w:r w:rsidR="00A109B0">
        <w:t>s</w:t>
      </w:r>
      <w:r w:rsidRPr="00CA03B7">
        <w:t xml:space="preserve"> in 20</w:t>
      </w:r>
      <w:r w:rsidR="00A109B0">
        <w:t>11</w:t>
      </w:r>
      <w:r>
        <w:t xml:space="preserve"> </w:t>
      </w:r>
      <w:r w:rsidRPr="00CA03B7">
        <w:t>terms.</w:t>
      </w:r>
      <w:r>
        <w:rPr>
          <w:rStyle w:val="FootnoteReference"/>
        </w:rPr>
        <w:footnoteReference w:id="36"/>
      </w:r>
      <w:r w:rsidRPr="00CA03B7">
        <w:t xml:space="preserve"> We consider that only six months of inflation is required to convert the equity raising cost</w:t>
      </w:r>
      <w:r w:rsidR="00D10039">
        <w:t>s</w:t>
      </w:r>
      <w:r w:rsidRPr="00CA03B7">
        <w:t xml:space="preserve"> to a nominal mid-year value (as required by the RFM). We are satisfied the revised equity raising cost</w:t>
      </w:r>
      <w:r w:rsidR="00D10039">
        <w:t>s</w:t>
      </w:r>
      <w:r w:rsidRPr="00CA03B7">
        <w:t xml:space="preserve"> of $</w:t>
      </w:r>
      <w:r>
        <w:t>5.2</w:t>
      </w:r>
      <w:r w:rsidR="00A109B0">
        <w:t> </w:t>
      </w:r>
      <w:r w:rsidRPr="00CA03B7">
        <w:t>million ($</w:t>
      </w:r>
      <w:r w:rsidR="00DB6750">
        <w:t> </w:t>
      </w:r>
      <w:r w:rsidRPr="00CA03B7">
        <w:t>nominal) correctly reflect</w:t>
      </w:r>
      <w:r w:rsidR="00A109B0">
        <w:t>s the value approved in the 2011–15</w:t>
      </w:r>
      <w:r w:rsidRPr="00CA03B7">
        <w:t xml:space="preserve"> determination.</w:t>
      </w:r>
    </w:p>
    <w:p w:rsidR="00CE6538" w:rsidRDefault="00CE6538" w:rsidP="00CE6538">
      <w:pPr>
        <w:pStyle w:val="HeadingBoldBlue"/>
      </w:pPr>
      <w:bookmarkStart w:id="34" w:name="_Toc432665092"/>
      <w:bookmarkStart w:id="35" w:name="_Toc433101088"/>
      <w:bookmarkStart w:id="36" w:name="_Toc433101194"/>
      <w:r w:rsidRPr="00CA03B7">
        <w:t>Indexation of the opening RAB</w:t>
      </w:r>
      <w:bookmarkEnd w:id="34"/>
      <w:bookmarkEnd w:id="35"/>
      <w:bookmarkEnd w:id="36"/>
    </w:p>
    <w:p w:rsidR="00CE6538" w:rsidRPr="002973F3" w:rsidRDefault="00CE6538" w:rsidP="00CE6538">
      <w:r w:rsidRPr="002973F3">
        <w:t>The opening RAB value as at 1 January 2011 approved in the 201</w:t>
      </w:r>
      <w:r w:rsidR="00A109B0">
        <w:t>1–15</w:t>
      </w:r>
      <w:r w:rsidRPr="002973F3">
        <w:t xml:space="preserve"> determination was obtained by escalating the opening RAB value as at 1 January 2006 (expressed in July 2004 dollars) using inflation data for six years. This resulted in the opening RAB value as at 1 January 2011 effectively being expressed in July 2010 dollars instead of January 2011 dollars. Jemena Electricity Networks and AusNet Services </w:t>
      </w:r>
      <w:r w:rsidR="00A109B0">
        <w:t>appealed this aspect of our 2011–15</w:t>
      </w:r>
      <w:r w:rsidRPr="002973F3">
        <w:t xml:space="preserve"> determinations before the Australian Competition Tribunal (Tribunal). The Tribunal concluded that there was an error in the valuation of the indexation of the 2011 RAB.</w:t>
      </w:r>
      <w:r w:rsidRPr="002973F3">
        <w:rPr>
          <w:rStyle w:val="FootnoteReference"/>
        </w:rPr>
        <w:footnoteReference w:id="37"/>
      </w:r>
      <w:r w:rsidRPr="002973F3">
        <w:t xml:space="preserve"> Although </w:t>
      </w:r>
      <w:proofErr w:type="spellStart"/>
      <w:r>
        <w:t>Pow</w:t>
      </w:r>
      <w:r w:rsidRPr="002973F3">
        <w:t>er</w:t>
      </w:r>
      <w:r>
        <w:t>cor</w:t>
      </w:r>
      <w:proofErr w:type="spellEnd"/>
      <w:r w:rsidRPr="002973F3">
        <w:t xml:space="preserve"> was not party to the appeal on this issue, we consider that the underlying reasoning is applicable to all Victorian distributors. We accept that there remains a discrepancy of 6 months indexation with the RAB valuation of the Victorian distributors who were not party to the appeal on this issue.</w:t>
      </w:r>
      <w:r w:rsidRPr="002973F3">
        <w:rPr>
          <w:rStyle w:val="FootnoteReference"/>
        </w:rPr>
        <w:footnoteReference w:id="38"/>
      </w:r>
      <w:r w:rsidRPr="002973F3">
        <w:t xml:space="preserve"> We therefore consider that an adjustment to the RAB should be made to account for this discrepancy. However, we do not agree with Power</w:t>
      </w:r>
      <w:r>
        <w:t>cor</w:t>
      </w:r>
      <w:r w:rsidRPr="002973F3">
        <w:t>’s proposed approach for making this adjustment.</w:t>
      </w:r>
    </w:p>
    <w:p w:rsidR="00A431A4" w:rsidRDefault="00CE6538" w:rsidP="00CE6538">
      <w:r>
        <w:t>Powercor</w:t>
      </w:r>
      <w:r w:rsidRPr="002973F3">
        <w:t xml:space="preserve"> proposed to apply an adjustment factor representing half a year of CPI indexation to the 2010 opening RAB.</w:t>
      </w:r>
      <w:r w:rsidRPr="002973F3">
        <w:rPr>
          <w:rStyle w:val="FootnoteReference"/>
        </w:rPr>
        <w:footnoteReference w:id="39"/>
      </w:r>
      <w:r w:rsidRPr="002973F3">
        <w:t xml:space="preserve"> We do not consider that this approach is consistent with the adjustment that was applied by the Tribunal in its decision for Jemena Electricity Networks and AusNet Services.</w:t>
      </w:r>
      <w:r w:rsidRPr="002973F3">
        <w:rPr>
          <w:rStyle w:val="FootnoteReference"/>
        </w:rPr>
        <w:footnoteReference w:id="40"/>
      </w:r>
      <w:r w:rsidRPr="002973F3">
        <w:t xml:space="preserve"> We consider that the appropriate approach to adjust the RAB is to calculate the opening RAB as at 1 January 2011 that would have resulted had Power</w:t>
      </w:r>
      <w:r>
        <w:t>cor</w:t>
      </w:r>
      <w:r w:rsidRPr="002973F3">
        <w:t>’s RAB been adjusted at the previous determination process. The adjustment to the RAB value is the difference between the calculated RAB value and that approved at the previous determination. The value of this adjustment (adjusted for inflation) is $</w:t>
      </w:r>
      <w:r>
        <w:t>25.5</w:t>
      </w:r>
      <w:r w:rsidRPr="002973F3">
        <w:t xml:space="preserve"> million ($ 2015) and is added to the closing RAB as at 31 December 2015. </w:t>
      </w:r>
    </w:p>
    <w:p w:rsidR="00A431A4" w:rsidRDefault="00A431A4">
      <w:pPr>
        <w:spacing w:line="240" w:lineRule="auto"/>
      </w:pPr>
      <w:r>
        <w:br w:type="page"/>
      </w:r>
    </w:p>
    <w:p w:rsidR="00CE6B72" w:rsidRDefault="00CE6B72" w:rsidP="00746DCC">
      <w:pPr>
        <w:pStyle w:val="Heading3"/>
      </w:pPr>
      <w:bookmarkStart w:id="37" w:name="_Toc433172719"/>
      <w:bookmarkStart w:id="38" w:name="_Toc427241676"/>
      <w:r>
        <w:lastRenderedPageBreak/>
        <w:t>Forecast closing RAB as at 31 December 2020</w:t>
      </w:r>
      <w:bookmarkEnd w:id="37"/>
    </w:p>
    <w:p w:rsidR="00CE6B72" w:rsidRPr="0024782E" w:rsidRDefault="00CE6B72" w:rsidP="00CE6B72">
      <w:r w:rsidRPr="0024782E">
        <w:t xml:space="preserve">We forecast a closing RAB value </w:t>
      </w:r>
      <w:r w:rsidRPr="00341181">
        <w:t>of $</w:t>
      </w:r>
      <w:r w:rsidR="00341181" w:rsidRPr="00341181">
        <w:t>4605.</w:t>
      </w:r>
      <w:r w:rsidR="00DB6750">
        <w:t>8</w:t>
      </w:r>
      <w:r w:rsidR="00341181" w:rsidRPr="00341181">
        <w:t> </w:t>
      </w:r>
      <w:r w:rsidRPr="00341181">
        <w:t xml:space="preserve">million ($ nominal) by 31 December 2020 for Powercor. This represents a reduction of </w:t>
      </w:r>
      <w:r w:rsidR="00341181" w:rsidRPr="00341181">
        <w:t>$480.</w:t>
      </w:r>
      <w:r w:rsidR="00DB6750">
        <w:t>5</w:t>
      </w:r>
      <w:r w:rsidR="00341181" w:rsidRPr="00341181">
        <w:t> </w:t>
      </w:r>
      <w:r w:rsidRPr="00341181">
        <w:t xml:space="preserve">million, or </w:t>
      </w:r>
      <w:r w:rsidR="00341181" w:rsidRPr="00341181">
        <w:t>9.</w:t>
      </w:r>
      <w:r w:rsidR="00DB6750">
        <w:t>4</w:t>
      </w:r>
      <w:r w:rsidR="00341181" w:rsidRPr="00341181">
        <w:t> </w:t>
      </w:r>
      <w:r w:rsidRPr="00341181">
        <w:t>per cent to</w:t>
      </w:r>
      <w:r w:rsidRPr="0024782E">
        <w:t xml:space="preserve"> </w:t>
      </w:r>
      <w:r>
        <w:t>Powercor'</w:t>
      </w:r>
      <w:r w:rsidRPr="0024782E">
        <w:t>s proposal. This reduction reflects our preliminary decision on the required inputs for determining the forecast RAB in the PTRM. To determine the forecast RAB value, we amended the following PTRM inputs:</w:t>
      </w:r>
    </w:p>
    <w:p w:rsidR="00CE6B72" w:rsidRPr="0024782E" w:rsidRDefault="00CE6B72" w:rsidP="00CE6B72">
      <w:pPr>
        <w:pStyle w:val="AERbulletlistfirststyle"/>
      </w:pPr>
      <w:r w:rsidRPr="0024782E">
        <w:t>We adjusted the opening RAB at 1 January 2016, as discussed in section</w:t>
      </w:r>
      <w:r w:rsidR="00341181">
        <w:t xml:space="preserve"> </w:t>
      </w:r>
      <w:r w:rsidR="00341181">
        <w:fldChar w:fldCharType="begin"/>
      </w:r>
      <w:r w:rsidR="00341181">
        <w:instrText xml:space="preserve"> REF _Ref432403829 \r \h </w:instrText>
      </w:r>
      <w:r w:rsidR="00341181">
        <w:fldChar w:fldCharType="separate"/>
      </w:r>
      <w:r w:rsidR="00C647D4">
        <w:t>2.4.1</w:t>
      </w:r>
      <w:r w:rsidR="00341181">
        <w:fldChar w:fldCharType="end"/>
      </w:r>
      <w:r w:rsidRPr="0024782E">
        <w:t>.</w:t>
      </w:r>
    </w:p>
    <w:p w:rsidR="00CE6B72" w:rsidRPr="0024782E" w:rsidRDefault="00CE6B72" w:rsidP="00CE6B72">
      <w:pPr>
        <w:pStyle w:val="AERbulletlistfirststyle"/>
      </w:pPr>
      <w:r w:rsidRPr="0024782E">
        <w:t xml:space="preserve">We reduced the proposed forecast inflation rate of </w:t>
      </w:r>
      <w:r w:rsidR="00CD0E64">
        <w:t>2.60</w:t>
      </w:r>
      <w:r w:rsidRPr="0024782E">
        <w:t xml:space="preserve"> per cent per annum to </w:t>
      </w:r>
      <w:r w:rsidR="00CD0E64">
        <w:t>2.50</w:t>
      </w:r>
      <w:r w:rsidR="00341181">
        <w:t> </w:t>
      </w:r>
      <w:r w:rsidRPr="0024782E">
        <w:t>per cent per annum (attachment 3).</w:t>
      </w:r>
    </w:p>
    <w:p w:rsidR="00CE6B72" w:rsidRPr="0024782E" w:rsidRDefault="00CE6B72" w:rsidP="00CE6B72">
      <w:pPr>
        <w:pStyle w:val="AERbulletlistfirststyle"/>
      </w:pPr>
      <w:r w:rsidRPr="0024782E">
        <w:t xml:space="preserve">We reduced the proposed forecast capex for the 2016–20 regulatory control period </w:t>
      </w:r>
      <w:r w:rsidRPr="00341181">
        <w:t>by $</w:t>
      </w:r>
      <w:r w:rsidR="00341181" w:rsidRPr="00341181">
        <w:t>46</w:t>
      </w:r>
      <w:r w:rsidR="00DB6750">
        <w:t>2.4</w:t>
      </w:r>
      <w:r w:rsidR="00341181" w:rsidRPr="00341181">
        <w:t> </w:t>
      </w:r>
      <w:r w:rsidRPr="00341181">
        <w:t xml:space="preserve">million or </w:t>
      </w:r>
      <w:r w:rsidR="00341181" w:rsidRPr="00341181">
        <w:t>20.8 </w:t>
      </w:r>
      <w:r w:rsidRPr="00341181">
        <w:t>per cent (attachment</w:t>
      </w:r>
      <w:r w:rsidRPr="0024782E">
        <w:t xml:space="preserve"> 6).</w:t>
      </w:r>
    </w:p>
    <w:p w:rsidR="00CE6B72" w:rsidRDefault="00CE6B72" w:rsidP="00CE6B72">
      <w:pPr>
        <w:pStyle w:val="AERbulletlistfirststyle"/>
      </w:pPr>
      <w:r w:rsidRPr="0024782E">
        <w:t xml:space="preserve">We reduced the proposed forecast regulatory depreciation for the 2016–20 regulatory control </w:t>
      </w:r>
      <w:r w:rsidRPr="00341181">
        <w:t>period by $</w:t>
      </w:r>
      <w:r w:rsidR="00DB6750">
        <w:t>0.3</w:t>
      </w:r>
      <w:r w:rsidR="00341181" w:rsidRPr="00341181">
        <w:t> </w:t>
      </w:r>
      <w:r w:rsidRPr="00341181">
        <w:t xml:space="preserve">million or </w:t>
      </w:r>
      <w:r w:rsidR="00341181" w:rsidRPr="00341181">
        <w:t>0.1 </w:t>
      </w:r>
      <w:r w:rsidRPr="00341181">
        <w:t>per cent (attachment</w:t>
      </w:r>
      <w:r w:rsidRPr="0024782E">
        <w:t xml:space="preserve"> 5).</w:t>
      </w:r>
    </w:p>
    <w:p w:rsidR="00CE6B72" w:rsidRPr="0024782E" w:rsidRDefault="00CE6B72" w:rsidP="00CE6B72">
      <w:pPr>
        <w:pStyle w:val="AERbulletlistfirststyle"/>
        <w:numPr>
          <w:ilvl w:val="0"/>
          <w:numId w:val="0"/>
        </w:numPr>
      </w:pPr>
      <w:r>
        <w:t xml:space="preserve">A submission from the </w:t>
      </w:r>
      <w:r w:rsidRPr="00F27FE5">
        <w:t xml:space="preserve">Victorian Energy Consumer and User Alliance </w:t>
      </w:r>
      <w:r>
        <w:t>raised concern about the substantial growth in the value of the RAB for the Victorian DNSPs in recent years.</w:t>
      </w:r>
      <w:r>
        <w:rPr>
          <w:rStyle w:val="FootnoteReference"/>
        </w:rPr>
        <w:footnoteReference w:id="41"/>
      </w:r>
      <w:r>
        <w:t xml:space="preserve"> </w:t>
      </w:r>
      <w:r w:rsidR="002A063D" w:rsidRPr="002A063D">
        <w:t xml:space="preserve"> We have carefully reviewed the cost drivers of </w:t>
      </w:r>
      <w:r w:rsidR="002A063D">
        <w:t>Powercor</w:t>
      </w:r>
      <w:r w:rsidR="002A063D" w:rsidRPr="002A063D">
        <w:t>'s forecast capex in terms of prudency and efficiency</w:t>
      </w:r>
      <w:r w:rsidR="00372954">
        <w:t xml:space="preserve">. </w:t>
      </w:r>
      <w:r w:rsidR="002A063D" w:rsidRPr="002A063D">
        <w:rPr>
          <w:rStyle w:val="AERbody"/>
        </w:rPr>
        <w:t xml:space="preserve">We are </w:t>
      </w:r>
      <w:r w:rsidR="002A063D" w:rsidRPr="002A063D">
        <w:t xml:space="preserve">not satisfied that </w:t>
      </w:r>
      <w:r w:rsidR="002A063D">
        <w:t>Powercor's</w:t>
      </w:r>
      <w:r w:rsidR="002A063D" w:rsidRPr="002A063D">
        <w:t xml:space="preserve"> proposed augmentation capex reflects a realistic expectation of demand over the 2016–20 regulatory control period</w:t>
      </w:r>
      <w:r w:rsidR="002A063D" w:rsidRPr="002A063D">
        <w:rPr>
          <w:rStyle w:val="AERbody"/>
        </w:rPr>
        <w:t xml:space="preserve">. </w:t>
      </w:r>
      <w:r w:rsidR="002A063D" w:rsidRPr="002A063D">
        <w:t xml:space="preserve">Although a greater proportion of </w:t>
      </w:r>
      <w:r w:rsidR="002A063D">
        <w:t>Powercor</w:t>
      </w:r>
      <w:r w:rsidR="002A063D" w:rsidRPr="002A063D">
        <w:t>'s network assets are nearing the end of their life—</w:t>
      </w:r>
      <w:r w:rsidR="002A063D" w:rsidRPr="002A063D">
        <w:rPr>
          <w:rStyle w:val="AERbodytextChar"/>
          <w:rFonts w:eastAsiaTheme="minorHAnsi"/>
        </w:rPr>
        <w:t>requiring an increased replacement capex to manage the deterioration in asset condition—</w:t>
      </w:r>
      <w:r w:rsidR="00372954">
        <w:t>o</w:t>
      </w:r>
      <w:r w:rsidR="00372954" w:rsidRPr="00372954">
        <w:t>ur modelling estimates a lower amount of re</w:t>
      </w:r>
      <w:r w:rsidR="00372954">
        <w:t xml:space="preserve">placement </w:t>
      </w:r>
      <w:r w:rsidR="00372954" w:rsidRPr="00372954">
        <w:t>ex</w:t>
      </w:r>
      <w:r w:rsidR="00372954">
        <w:t>penditure</w:t>
      </w:r>
      <w:r w:rsidR="00372954" w:rsidRPr="00372954">
        <w:t xml:space="preserve"> </w:t>
      </w:r>
      <w:r w:rsidR="00372954">
        <w:t xml:space="preserve">than proposed </w:t>
      </w:r>
      <w:r w:rsidR="00372954" w:rsidRPr="00372954">
        <w:t>is necessary</w:t>
      </w:r>
      <w:r w:rsidR="00372954">
        <w:t xml:space="preserve"> to meet the capex objectives</w:t>
      </w:r>
      <w:r w:rsidR="002A063D" w:rsidRPr="002A063D">
        <w:rPr>
          <w:rStyle w:val="AERbodytextChar"/>
          <w:rFonts w:eastAsiaTheme="minorHAnsi"/>
        </w:rPr>
        <w:t xml:space="preserve">. </w:t>
      </w:r>
      <w:r w:rsidRPr="00F27FE5">
        <w:t>Our preliminary decision is to reduce the proposed capex</w:t>
      </w:r>
      <w:r>
        <w:t>, a main driver of the increase in the value of Powercor's RAB,</w:t>
      </w:r>
      <w:r w:rsidRPr="00F27FE5">
        <w:t xml:space="preserve"> by </w:t>
      </w:r>
      <w:r w:rsidR="00341181">
        <w:t>$</w:t>
      </w:r>
      <w:r w:rsidR="00DB6750">
        <w:t>462.4</w:t>
      </w:r>
      <w:r w:rsidR="00341181" w:rsidRPr="00742280">
        <w:t> </w:t>
      </w:r>
      <w:r w:rsidRPr="00742280">
        <w:t>million</w:t>
      </w:r>
      <w:r w:rsidRPr="00F27FE5">
        <w:t>.</w:t>
      </w:r>
      <w:r>
        <w:t xml:space="preserve"> The details of our assessment of Powercor's capex are set out in attachment 6. </w:t>
      </w:r>
    </w:p>
    <w:p w:rsidR="00746DCC" w:rsidRPr="0024782E" w:rsidRDefault="00746DCC" w:rsidP="00746DCC">
      <w:pPr>
        <w:pStyle w:val="Heading3"/>
      </w:pPr>
      <w:bookmarkStart w:id="39" w:name="_Toc433172720"/>
      <w:r w:rsidRPr="0024782E">
        <w:t>Application of depreciation approach in RAB roll forward for next reset</w:t>
      </w:r>
      <w:bookmarkEnd w:id="38"/>
      <w:bookmarkEnd w:id="39"/>
    </w:p>
    <w:p w:rsidR="00746DCC" w:rsidRPr="0024782E" w:rsidRDefault="00746DCC" w:rsidP="00746DCC">
      <w:r>
        <w:t>Powercor</w:t>
      </w:r>
      <w:r w:rsidRPr="0024782E">
        <w:t xml:space="preserve"> propose</w:t>
      </w:r>
      <w:r>
        <w:t>d</w:t>
      </w:r>
      <w:r w:rsidRPr="0024782E">
        <w:t xml:space="preserve"> </w:t>
      </w:r>
      <w:r>
        <w:t>to use forecast</w:t>
      </w:r>
      <w:r w:rsidRPr="0024782E">
        <w:t xml:space="preserve"> depreciation approach to roll forward the RAB for the commencement of its 2021–25 regulatory control period.</w:t>
      </w:r>
    </w:p>
    <w:p w:rsidR="00746DCC" w:rsidRPr="008349B7" w:rsidRDefault="00746DCC" w:rsidP="00746DCC">
      <w:r w:rsidRPr="0024782E">
        <w:t xml:space="preserve">We </w:t>
      </w:r>
      <w:r>
        <w:t xml:space="preserve">accept Powercor's forecast depreciation approach to </w:t>
      </w:r>
      <w:r w:rsidRPr="006D2E79">
        <w:t>roll forward the RAB for the commencement of its 2021–25 regulatory control period</w:t>
      </w:r>
      <w:r>
        <w:t xml:space="preserve">. </w:t>
      </w:r>
      <w:r w:rsidRPr="0024782E">
        <w:t>This approach was signalled in the AER's framework and approach.</w:t>
      </w:r>
      <w:r w:rsidRPr="0024782E">
        <w:rPr>
          <w:rStyle w:val="FootnoteReference"/>
        </w:rPr>
        <w:footnoteReference w:id="42"/>
      </w:r>
      <w:r w:rsidRPr="0024782E">
        <w:t xml:space="preserve"> As discussed in attachment 10, </w:t>
      </w:r>
      <w:r>
        <w:t>Powerco</w:t>
      </w:r>
      <w:r w:rsidR="00CE6538">
        <w:t>r</w:t>
      </w:r>
      <w:r w:rsidRPr="0024782E">
        <w:t xml:space="preserve"> is not currently subject to a capital expenditure sharing scheme (CESS) but we will apply the CESS to </w:t>
      </w:r>
      <w:r>
        <w:t>Powercor</w:t>
      </w:r>
      <w:r w:rsidRPr="0024782E">
        <w:t xml:space="preserve"> over the 2016–20 regulatory control period. We consider this scheme will provide sufficient incentives for </w:t>
      </w:r>
      <w:r>
        <w:t>Powercor</w:t>
      </w:r>
      <w:r w:rsidRPr="0024782E">
        <w:t xml:space="preserve"> to achieve capex efficiency gains </w:t>
      </w:r>
      <w:r w:rsidRPr="0024782E">
        <w:lastRenderedPageBreak/>
        <w:t>over that period. We are satisfied that the use of a forecast depreciation approach in combination with the application of the CESS and our other ex post capex measures are sufficient to achieve the capex incentive objective.</w:t>
      </w:r>
      <w:r w:rsidRPr="0024782E">
        <w:rPr>
          <w:rStyle w:val="FootnoteReference"/>
        </w:rPr>
        <w:footnoteReference w:id="43"/>
      </w:r>
    </w:p>
    <w:p w:rsidR="00474EC7" w:rsidRPr="002D0B19" w:rsidRDefault="00474EC7" w:rsidP="002D0B19">
      <w:pPr>
        <w:spacing w:line="240" w:lineRule="auto"/>
        <w:rPr>
          <w:rFonts w:eastAsiaTheme="majorEastAsia" w:cstheme="majorBidi"/>
          <w:b/>
          <w:bCs/>
          <w:color w:val="70635A" w:themeColor="text2"/>
          <w:sz w:val="32"/>
          <w:szCs w:val="26"/>
        </w:rPr>
      </w:pPr>
    </w:p>
    <w:sectPr w:rsidR="00474EC7" w:rsidRPr="002D0B19"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966" w:rsidRPr="00290C63" w:rsidRDefault="00890966" w:rsidP="00290C63">
      <w:r>
        <w:separator/>
      </w:r>
    </w:p>
    <w:p w:rsidR="00890966" w:rsidRDefault="00890966"/>
  </w:endnote>
  <w:endnote w:type="continuationSeparator" w:id="0">
    <w:p w:rsidR="00890966" w:rsidRPr="00290C63" w:rsidRDefault="00890966" w:rsidP="00290C63">
      <w:r>
        <w:continuationSeparator/>
      </w:r>
    </w:p>
    <w:p w:rsidR="00890966" w:rsidRDefault="00890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966" w:rsidRDefault="0089096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890966" w:rsidRDefault="00890966">
    <w:pPr>
      <w:pStyle w:val="Footer"/>
    </w:pPr>
  </w:p>
  <w:p w:rsidR="00890966" w:rsidRDefault="00890966">
    <w:pPr>
      <w:pStyle w:val="Footer"/>
    </w:pPr>
    <w:r>
      <w:fldChar w:fldCharType="begin"/>
    </w:r>
    <w:r>
      <w:instrText xml:space="preserve"> DOCPROPERTY DocumentID \* MERGEFORMAT </w:instrTex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890966" w:rsidRPr="00CA52A2" w:rsidRDefault="00890966" w:rsidP="00CA52A2">
        <w:pPr>
          <w:pStyle w:val="Footer"/>
        </w:pPr>
        <w:r w:rsidRPr="00CA52A2">
          <w:fldChar w:fldCharType="begin"/>
        </w:r>
        <w:r>
          <w:instrText xml:space="preserve"> PAGE   \* MERGEFORMAT </w:instrText>
        </w:r>
        <w:r w:rsidRPr="00CA52A2">
          <w:fldChar w:fldCharType="separate"/>
        </w:r>
        <w:r w:rsidR="003F7350">
          <w:rPr>
            <w:noProof/>
          </w:rPr>
          <w:t>2-9</w:t>
        </w:r>
        <w:r w:rsidRPr="00CA52A2">
          <w:fldChar w:fldCharType="end"/>
        </w:r>
        <w:r w:rsidRPr="00CA52A2">
          <w:t xml:space="preserve">          </w:t>
        </w:r>
        <w:r>
          <w:tab/>
          <w:t xml:space="preserve">                       </w:t>
        </w:r>
        <w:r w:rsidRPr="00CA52A2">
          <w:t xml:space="preserve">Attachment </w:t>
        </w:r>
        <w:r>
          <w:t xml:space="preserve">2 </w:t>
        </w:r>
        <w:r w:rsidRPr="00CA52A2">
          <w:t xml:space="preserve">– </w:t>
        </w:r>
        <w:r>
          <w:t xml:space="preserve">Regulatory asset base </w:t>
        </w:r>
        <w:r w:rsidRPr="00CA52A2">
          <w:t xml:space="preserve">| </w:t>
        </w:r>
        <w:r>
          <w:t>Powercor</w:t>
        </w:r>
        <w:r w:rsidRPr="00CA52A2">
          <w:t xml:space="preserve"> </w:t>
        </w:r>
        <w:r>
          <w:t>Preliminary decision 2016</w:t>
        </w:r>
        <w:r w:rsidRPr="00CA52A2">
          <w:t>–</w:t>
        </w:r>
        <w:r>
          <w:t>20</w:t>
        </w:r>
      </w:p>
    </w:sdtContent>
  </w:sdt>
  <w:p w:rsidR="00890966" w:rsidRDefault="00890966">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966" w:rsidRPr="00290C63" w:rsidRDefault="00890966" w:rsidP="00290C63">
      <w:r>
        <w:separator/>
      </w:r>
    </w:p>
    <w:p w:rsidR="00890966" w:rsidRDefault="00890966"/>
  </w:footnote>
  <w:footnote w:type="continuationSeparator" w:id="0">
    <w:p w:rsidR="00890966" w:rsidRPr="00290C63" w:rsidRDefault="00890966" w:rsidP="00290C63">
      <w:r>
        <w:continuationSeparator/>
      </w:r>
    </w:p>
    <w:p w:rsidR="00890966" w:rsidRDefault="00890966"/>
  </w:footnote>
  <w:footnote w:id="1">
    <w:p w:rsidR="00890966" w:rsidRDefault="00890966" w:rsidP="00BE1B76">
      <w:pPr>
        <w:pStyle w:val="FootnoteText"/>
      </w:pPr>
      <w:r>
        <w:rPr>
          <w:rStyle w:val="FootnoteReference"/>
        </w:rPr>
        <w:footnoteRef/>
      </w:r>
      <w:r>
        <w:t xml:space="preserve"> </w:t>
      </w:r>
      <w:r>
        <w:tab/>
      </w:r>
      <w:r w:rsidRPr="003540A6">
        <w:t xml:space="preserve">NER, </w:t>
      </w:r>
      <w:r>
        <w:t>cl.</w:t>
      </w:r>
      <w:r w:rsidRPr="003540A6">
        <w:t xml:space="preserve"> 6.12.1(6).</w:t>
      </w:r>
    </w:p>
  </w:footnote>
  <w:footnote w:id="2">
    <w:p w:rsidR="00890966" w:rsidRDefault="00890966" w:rsidP="005E0FA4">
      <w:pPr>
        <w:pStyle w:val="FootnoteText"/>
      </w:pPr>
      <w:r>
        <w:rPr>
          <w:rStyle w:val="FootnoteReference"/>
        </w:rPr>
        <w:footnoteRef/>
      </w:r>
      <w:r>
        <w:t xml:space="preserve"> </w:t>
      </w:r>
      <w:r>
        <w:tab/>
        <w:t xml:space="preserve">Powercor, </w:t>
      </w:r>
      <w:r>
        <w:rPr>
          <w:rStyle w:val="AERtextitalic"/>
        </w:rPr>
        <w:t>Regulatory proposal</w:t>
      </w:r>
      <w:r>
        <w:t xml:space="preserve">, April 2015, p. 154, Table 13.1. </w:t>
      </w:r>
    </w:p>
  </w:footnote>
  <w:footnote w:id="3">
    <w:p w:rsidR="00890966" w:rsidRDefault="00890966" w:rsidP="005E0FA4">
      <w:pPr>
        <w:pStyle w:val="FootnoteText"/>
      </w:pPr>
      <w:r>
        <w:rPr>
          <w:rStyle w:val="FootnoteReference"/>
        </w:rPr>
        <w:footnoteRef/>
      </w:r>
      <w:r>
        <w:t xml:space="preserve"> </w:t>
      </w:r>
      <w:r>
        <w:tab/>
        <w:t>The end of period adjustment will be positive (negative) if actual capex is higher (lower) than the estimate approved at the 2011–15 determination.</w:t>
      </w:r>
    </w:p>
  </w:footnote>
  <w:footnote w:id="4">
    <w:p w:rsidR="00890966" w:rsidRDefault="00890966">
      <w:pPr>
        <w:pStyle w:val="FootnoteText"/>
      </w:pPr>
      <w:r>
        <w:rPr>
          <w:rStyle w:val="FootnoteReference"/>
        </w:rPr>
        <w:footnoteRef/>
      </w:r>
      <w:r>
        <w:t xml:space="preserve"> </w:t>
      </w:r>
      <w:r>
        <w:tab/>
        <w:t>NER, cl. 6.12.1(18).</w:t>
      </w:r>
    </w:p>
  </w:footnote>
  <w:footnote w:id="5">
    <w:p w:rsidR="00890966" w:rsidRDefault="00890966" w:rsidP="00A227DA">
      <w:pPr>
        <w:pStyle w:val="FootnoteText"/>
      </w:pPr>
      <w:r>
        <w:rPr>
          <w:rStyle w:val="FootnoteReference"/>
        </w:rPr>
        <w:footnoteRef/>
      </w:r>
      <w:r>
        <w:t xml:space="preserve"> </w:t>
      </w:r>
      <w:r>
        <w:tab/>
        <w:t>Powercor</w:t>
      </w:r>
      <w:r w:rsidRPr="00DC4EE3">
        <w:t xml:space="preserve">, </w:t>
      </w:r>
      <w:r w:rsidRPr="00DC4EE3">
        <w:rPr>
          <w:rStyle w:val="AERtextitalic"/>
        </w:rPr>
        <w:t>Regulatory proposal</w:t>
      </w:r>
      <w:r>
        <w:t>, April 2015</w:t>
      </w:r>
      <w:r w:rsidRPr="00DC4EE3">
        <w:t xml:space="preserve">, </w:t>
      </w:r>
      <w:r>
        <w:t>Attachment ‘PAL 2016-20 RFM’.</w:t>
      </w:r>
      <w:r w:rsidRPr="00784D65">
        <w:t xml:space="preserve"> </w:t>
      </w:r>
      <w:r>
        <w:t xml:space="preserve">This includes adjustments to correct for the discrepancy of 6 months indexation on RAB valuation in the </w:t>
      </w:r>
      <w:r w:rsidRPr="00CA03B7">
        <w:t>2010</w:t>
      </w:r>
      <w:r>
        <w:t xml:space="preserve">–15 </w:t>
      </w:r>
      <w:r w:rsidRPr="00CA03B7">
        <w:t>determination</w:t>
      </w:r>
      <w:r>
        <w:t xml:space="preserve">. This issue is discussed in more detail in section 2.4.1.  </w:t>
      </w:r>
    </w:p>
  </w:footnote>
  <w:footnote w:id="6">
    <w:p w:rsidR="00890966" w:rsidRDefault="00890966" w:rsidP="00BE1B76">
      <w:pPr>
        <w:pStyle w:val="FootnoteText"/>
      </w:pPr>
      <w:r>
        <w:rPr>
          <w:rStyle w:val="FootnoteReference"/>
        </w:rPr>
        <w:footnoteRef/>
      </w:r>
      <w:r>
        <w:t xml:space="preserve"> </w:t>
      </w:r>
      <w:r>
        <w:tab/>
        <w:t>Powercor</w:t>
      </w:r>
      <w:r w:rsidRPr="009E311A">
        <w:t xml:space="preserve">, </w:t>
      </w:r>
      <w:r w:rsidRPr="00DE351E">
        <w:rPr>
          <w:rStyle w:val="AERtextitalic"/>
        </w:rPr>
        <w:t>Regulatory proposal</w:t>
      </w:r>
      <w:r>
        <w:t xml:space="preserve">, April 2015, p. 193. </w:t>
      </w:r>
    </w:p>
  </w:footnote>
  <w:footnote w:id="7">
    <w:p w:rsidR="00890966" w:rsidRDefault="00890966" w:rsidP="00BE1B76">
      <w:pPr>
        <w:pStyle w:val="FootnoteText"/>
      </w:pPr>
      <w:r>
        <w:rPr>
          <w:rStyle w:val="FootnoteReference"/>
        </w:rPr>
        <w:footnoteRef/>
      </w:r>
      <w:r>
        <w:t xml:space="preserve"> </w:t>
      </w:r>
      <w:r>
        <w:tab/>
        <w:t>NER, cl.</w:t>
      </w:r>
      <w:r w:rsidRPr="0075167F">
        <w:t xml:space="preserve"> S6.2.1.</w:t>
      </w:r>
    </w:p>
  </w:footnote>
  <w:footnote w:id="8">
    <w:p w:rsidR="00890966" w:rsidRDefault="00890966" w:rsidP="00BE1B76">
      <w:pPr>
        <w:pStyle w:val="FootnoteText"/>
      </w:pPr>
      <w:r>
        <w:rPr>
          <w:rStyle w:val="FootnoteReference"/>
        </w:rPr>
        <w:footnoteRef/>
      </w:r>
      <w:r>
        <w:t xml:space="preserve"> </w:t>
      </w:r>
      <w:r>
        <w:tab/>
      </w:r>
      <w:r w:rsidRPr="0075167F">
        <w:t>NER, cl</w:t>
      </w:r>
      <w:r>
        <w:t>.</w:t>
      </w:r>
      <w:r w:rsidRPr="0075167F">
        <w:t xml:space="preserve"> 6.5.1.</w:t>
      </w:r>
    </w:p>
  </w:footnote>
  <w:footnote w:id="9">
    <w:p w:rsidR="00890966" w:rsidRDefault="00890966" w:rsidP="00BE1B76">
      <w:pPr>
        <w:pStyle w:val="FootnoteText"/>
      </w:pPr>
      <w:r>
        <w:rPr>
          <w:rStyle w:val="FootnoteReference"/>
        </w:rPr>
        <w:footnoteRef/>
      </w:r>
      <w:r>
        <w:t xml:space="preserve"> </w:t>
      </w:r>
      <w:r>
        <w:tab/>
        <w:t xml:space="preserve">NER, cl. </w:t>
      </w:r>
      <w:proofErr w:type="gramStart"/>
      <w:r>
        <w:t>S6.1.3(</w:t>
      </w:r>
      <w:proofErr w:type="gramEnd"/>
      <w:r>
        <w:t>7).</w:t>
      </w:r>
    </w:p>
  </w:footnote>
  <w:footnote w:id="10">
    <w:p w:rsidR="00890966" w:rsidRDefault="00890966" w:rsidP="00B140D3">
      <w:pPr>
        <w:pStyle w:val="FootnoteText"/>
      </w:pPr>
      <w:r>
        <w:rPr>
          <w:rStyle w:val="FootnoteReference"/>
        </w:rPr>
        <w:footnoteRef/>
      </w:r>
      <w:r>
        <w:t xml:space="preserve"> </w:t>
      </w:r>
      <w:r>
        <w:tab/>
        <w:t xml:space="preserve">NEL, s. </w:t>
      </w:r>
      <w:proofErr w:type="gramStart"/>
      <w:r>
        <w:t>7A(</w:t>
      </w:r>
      <w:proofErr w:type="gramEnd"/>
      <w:r>
        <w:t>4).</w:t>
      </w:r>
    </w:p>
  </w:footnote>
  <w:footnote w:id="11">
    <w:p w:rsidR="00890966" w:rsidRDefault="00890966" w:rsidP="00BE1B76">
      <w:pPr>
        <w:pStyle w:val="FootnoteText"/>
      </w:pPr>
      <w:r>
        <w:rPr>
          <w:rStyle w:val="FootnoteReference"/>
        </w:rPr>
        <w:footnoteRef/>
      </w:r>
      <w:r>
        <w:t xml:space="preserve"> </w:t>
      </w:r>
      <w:r>
        <w:tab/>
      </w:r>
      <w:r w:rsidRPr="0075167F">
        <w:t>NER, cl</w:t>
      </w:r>
      <w:r>
        <w:t>.</w:t>
      </w:r>
      <w:r w:rsidRPr="0075167F">
        <w:t xml:space="preserve"> 6.5.1(e)(3).</w:t>
      </w:r>
    </w:p>
  </w:footnote>
  <w:footnote w:id="12">
    <w:p w:rsidR="00890966" w:rsidRDefault="00890966" w:rsidP="00BE1B76">
      <w:pPr>
        <w:pStyle w:val="FootnoteText"/>
      </w:pPr>
      <w:r>
        <w:rPr>
          <w:rStyle w:val="FootnoteReference"/>
        </w:rPr>
        <w:footnoteRef/>
      </w:r>
      <w:r>
        <w:t xml:space="preserve"> </w:t>
      </w:r>
      <w:r>
        <w:tab/>
      </w:r>
      <w:r w:rsidRPr="0075167F">
        <w:t>NER, cl</w:t>
      </w:r>
      <w:r>
        <w:t>.</w:t>
      </w:r>
      <w:r w:rsidRPr="0075167F">
        <w:t xml:space="preserve"> S6.2.1(e)(4).</w:t>
      </w:r>
    </w:p>
  </w:footnote>
  <w:footnote w:id="13">
    <w:p w:rsidR="00890966" w:rsidRDefault="00890966" w:rsidP="00BE1B76">
      <w:pPr>
        <w:pStyle w:val="FootnoteText"/>
      </w:pPr>
      <w:r>
        <w:rPr>
          <w:rStyle w:val="FootnoteReference"/>
        </w:rPr>
        <w:footnoteRef/>
      </w:r>
      <w:r>
        <w:t xml:space="preserve"> </w:t>
      </w:r>
      <w:r>
        <w:tab/>
        <w:t>NER, cl. S6.2.2A.</w:t>
      </w:r>
    </w:p>
  </w:footnote>
  <w:footnote w:id="14">
    <w:p w:rsidR="00890966" w:rsidRDefault="00890966" w:rsidP="00BE1B76">
      <w:pPr>
        <w:pStyle w:val="FootnoteText"/>
      </w:pPr>
      <w:r>
        <w:rPr>
          <w:rStyle w:val="FootnoteReference"/>
        </w:rPr>
        <w:footnoteRef/>
      </w:r>
      <w:r>
        <w:t xml:space="preserve"> </w:t>
      </w:r>
      <w:r>
        <w:tab/>
        <w:t xml:space="preserve">AER, </w:t>
      </w:r>
      <w:r w:rsidRPr="000B006F">
        <w:rPr>
          <w:rStyle w:val="AERtextitalic"/>
        </w:rPr>
        <w:t xml:space="preserve">Capital </w:t>
      </w:r>
      <w:r>
        <w:rPr>
          <w:rStyle w:val="AERtextitalic"/>
        </w:rPr>
        <w:t>e</w:t>
      </w:r>
      <w:r w:rsidRPr="000B006F">
        <w:rPr>
          <w:rStyle w:val="AERtextitalic"/>
        </w:rPr>
        <w:t xml:space="preserve">xpenditure </w:t>
      </w:r>
      <w:r>
        <w:rPr>
          <w:rStyle w:val="AERtextitalic"/>
        </w:rPr>
        <w:t>i</w:t>
      </w:r>
      <w:r w:rsidRPr="000B006F">
        <w:rPr>
          <w:rStyle w:val="AERtextitalic"/>
        </w:rPr>
        <w:t xml:space="preserve">ncentive </w:t>
      </w:r>
      <w:r>
        <w:rPr>
          <w:rStyle w:val="AERtextitalic"/>
        </w:rPr>
        <w:t>g</w:t>
      </w:r>
      <w:r w:rsidRPr="000B006F">
        <w:rPr>
          <w:rStyle w:val="AERtextitalic"/>
        </w:rPr>
        <w:t>uideline</w:t>
      </w:r>
      <w:r>
        <w:t>, November 2013, pp. 12–20.</w:t>
      </w:r>
      <w:r w:rsidRPr="00953101">
        <w:t xml:space="preserve"> </w:t>
      </w:r>
    </w:p>
    <w:p w:rsidR="00890966" w:rsidRDefault="00890966" w:rsidP="00BE1B76">
      <w:pPr>
        <w:pStyle w:val="FootnoteText"/>
      </w:pPr>
      <w:r>
        <w:tab/>
        <w:t xml:space="preserve">Under the NER, cl S6.2.2A(b), the exclusion of </w:t>
      </w:r>
      <w:r w:rsidRPr="00166EE4">
        <w:t>inefficient</w:t>
      </w:r>
      <w:r>
        <w:t xml:space="preserve"> capex could only come from three areas including overspend in capex , margin paid to third party and capitalisation of opex as defined in cll. S6.2.2A (c), (d) and (e) of the NER.</w:t>
      </w:r>
    </w:p>
  </w:footnote>
  <w:footnote w:id="15">
    <w:p w:rsidR="00890966" w:rsidRDefault="00890966" w:rsidP="00BE1B76">
      <w:pPr>
        <w:pStyle w:val="FootnoteText"/>
      </w:pPr>
      <w:r>
        <w:rPr>
          <w:rStyle w:val="FootnoteReference"/>
        </w:rPr>
        <w:footnoteRef/>
      </w:r>
      <w:r>
        <w:t xml:space="preserve"> </w:t>
      </w:r>
      <w:r>
        <w:tab/>
      </w:r>
      <w:proofErr w:type="gramStart"/>
      <w:r>
        <w:t xml:space="preserve">NER, </w:t>
      </w:r>
      <w:proofErr w:type="spellStart"/>
      <w:r>
        <w:t>cls</w:t>
      </w:r>
      <w:proofErr w:type="spellEnd"/>
      <w:r>
        <w:t>.</w:t>
      </w:r>
      <w:proofErr w:type="gramEnd"/>
      <w:r>
        <w:t xml:space="preserve"> 11.60.5 and 11.62.</w:t>
      </w:r>
    </w:p>
  </w:footnote>
  <w:footnote w:id="16">
    <w:p w:rsidR="00890966" w:rsidRDefault="00890966" w:rsidP="00BE1B76">
      <w:pPr>
        <w:pStyle w:val="FootnoteText"/>
      </w:pPr>
      <w:r>
        <w:rPr>
          <w:rStyle w:val="FootnoteReference"/>
        </w:rPr>
        <w:footnoteRef/>
      </w:r>
      <w:r>
        <w:t xml:space="preserve"> </w:t>
      </w:r>
      <w:r>
        <w:tab/>
      </w:r>
      <w:r w:rsidRPr="00850BFE">
        <w:t>NER, cl</w:t>
      </w:r>
      <w:r>
        <w:t>.</w:t>
      </w:r>
      <w:r w:rsidRPr="00850BFE">
        <w:t xml:space="preserve"> S6.2.1(e)(5).</w:t>
      </w:r>
    </w:p>
  </w:footnote>
  <w:footnote w:id="17">
    <w:p w:rsidR="00890966" w:rsidRDefault="00890966" w:rsidP="00BE1B76">
      <w:pPr>
        <w:pStyle w:val="FootnoteText"/>
      </w:pPr>
      <w:r>
        <w:rPr>
          <w:rStyle w:val="FootnoteReference"/>
        </w:rPr>
        <w:footnoteRef/>
      </w:r>
      <w:r>
        <w:t xml:space="preserve"> </w:t>
      </w:r>
      <w:r>
        <w:tab/>
        <w:t>NER, cl. 6.12.1(18).</w:t>
      </w:r>
    </w:p>
  </w:footnote>
  <w:footnote w:id="18">
    <w:p w:rsidR="00890966" w:rsidRDefault="00890966" w:rsidP="00BE1B76">
      <w:pPr>
        <w:pStyle w:val="FootnoteText"/>
      </w:pPr>
      <w:r>
        <w:rPr>
          <w:rStyle w:val="FootnoteReference"/>
        </w:rPr>
        <w:footnoteRef/>
      </w:r>
      <w:r>
        <w:t xml:space="preserve"> </w:t>
      </w:r>
      <w:r>
        <w:tab/>
      </w:r>
      <w:r w:rsidRPr="006B735D">
        <w:t>The use of actual depreciation is consistent with the depreciation approach established in the 20</w:t>
      </w:r>
      <w:r>
        <w:t>10</w:t>
      </w:r>
      <w:r w:rsidRPr="006B735D">
        <w:t xml:space="preserve"> </w:t>
      </w:r>
      <w:r>
        <w:t xml:space="preserve">distribution </w:t>
      </w:r>
      <w:r w:rsidRPr="006B735D">
        <w:t xml:space="preserve">determination for </w:t>
      </w:r>
      <w:r>
        <w:t>Powercor</w:t>
      </w:r>
      <w:r w:rsidRPr="006B735D">
        <w:t>.</w:t>
      </w:r>
    </w:p>
  </w:footnote>
  <w:footnote w:id="19">
    <w:p w:rsidR="00890966" w:rsidRDefault="00890966" w:rsidP="00BE1B76">
      <w:pPr>
        <w:pStyle w:val="FootnoteText"/>
      </w:pPr>
      <w:r>
        <w:rPr>
          <w:rStyle w:val="FootnoteReference"/>
        </w:rPr>
        <w:footnoteRef/>
      </w:r>
      <w:r>
        <w:t xml:space="preserve"> </w:t>
      </w:r>
      <w:r>
        <w:tab/>
        <w:t xml:space="preserve">Refer to section 2.4.3 for the reasons. </w:t>
      </w:r>
    </w:p>
  </w:footnote>
  <w:footnote w:id="20">
    <w:p w:rsidR="00890966" w:rsidRDefault="00890966" w:rsidP="00BE1B76">
      <w:pPr>
        <w:pStyle w:val="FootnoteText"/>
      </w:pPr>
      <w:r>
        <w:rPr>
          <w:rStyle w:val="FootnoteReference"/>
        </w:rPr>
        <w:footnoteRef/>
      </w:r>
      <w:r>
        <w:t xml:space="preserve"> </w:t>
      </w:r>
      <w:r>
        <w:tab/>
        <w:t>NER, cl.</w:t>
      </w:r>
      <w:r w:rsidRPr="00850BFE">
        <w:t xml:space="preserve"> S6.2.1(e)(6).</w:t>
      </w:r>
    </w:p>
  </w:footnote>
  <w:footnote w:id="21">
    <w:p w:rsidR="00890966" w:rsidRDefault="00890966" w:rsidP="00BE1B76">
      <w:pPr>
        <w:pStyle w:val="FootnoteText"/>
      </w:pPr>
      <w:r>
        <w:rPr>
          <w:rStyle w:val="FootnoteReference"/>
        </w:rPr>
        <w:footnoteRef/>
      </w:r>
      <w:r>
        <w:t xml:space="preserve"> </w:t>
      </w:r>
      <w:r>
        <w:tab/>
        <w:t>NER, cl. S6.2.2B.</w:t>
      </w:r>
    </w:p>
  </w:footnote>
  <w:footnote w:id="22">
    <w:p w:rsidR="00890966" w:rsidRDefault="00890966" w:rsidP="00BE1B76">
      <w:pPr>
        <w:pStyle w:val="FootnoteText"/>
      </w:pPr>
      <w:r>
        <w:rPr>
          <w:rStyle w:val="FootnoteReference"/>
        </w:rPr>
        <w:footnoteRef/>
      </w:r>
      <w:r>
        <w:t xml:space="preserve"> </w:t>
      </w:r>
      <w:r>
        <w:tab/>
        <w:t>NER, cl. S6.2.2B(c).</w:t>
      </w:r>
    </w:p>
  </w:footnote>
  <w:footnote w:id="23">
    <w:p w:rsidR="00890966" w:rsidRDefault="00890966" w:rsidP="00BE1B76">
      <w:pPr>
        <w:pStyle w:val="FootnoteText"/>
      </w:pPr>
      <w:r>
        <w:rPr>
          <w:rStyle w:val="FootnoteReference"/>
        </w:rPr>
        <w:footnoteRef/>
      </w:r>
      <w:r>
        <w:t xml:space="preserve"> </w:t>
      </w:r>
      <w:r>
        <w:tab/>
        <w:t>The size of the RAB also impacts the benchmark debt raising cost allowance. However, this amount is usually relatively small and therefore not a significant determinant of revenues overall.</w:t>
      </w:r>
    </w:p>
  </w:footnote>
  <w:footnote w:id="24">
    <w:p w:rsidR="00890966" w:rsidRDefault="00890966" w:rsidP="00BE1B76">
      <w:pPr>
        <w:pStyle w:val="FootnoteText"/>
      </w:pPr>
      <w:r>
        <w:rPr>
          <w:rStyle w:val="FootnoteReference"/>
        </w:rPr>
        <w:footnoteRef/>
      </w:r>
      <w:r>
        <w:t xml:space="preserve"> </w:t>
      </w:r>
      <w:r>
        <w:tab/>
        <w:t xml:space="preserve">Net capex is gross capex less disposals and capital contributions. The rate of return or WACC also influences the size of the capex. This is because the capex is not depreciated in the year it is first incurred, but added to the RAB at the end of the year. Instead, the capex amount is escalated by half a WACC to arrive at an end of year value. It then begins depreciating the following year. </w:t>
      </w:r>
    </w:p>
  </w:footnote>
  <w:footnote w:id="25">
    <w:p w:rsidR="00890966" w:rsidRDefault="00890966" w:rsidP="00CE6B72">
      <w:pPr>
        <w:pStyle w:val="FootnoteText"/>
      </w:pPr>
      <w:r>
        <w:rPr>
          <w:rStyle w:val="FootnoteReference"/>
        </w:rPr>
        <w:footnoteRef/>
      </w:r>
      <w:r>
        <w:t xml:space="preserve"> </w:t>
      </w:r>
      <w:r>
        <w:tab/>
        <w:t>NER, cl. 6.5.1(e)(3).</w:t>
      </w:r>
    </w:p>
  </w:footnote>
  <w:footnote w:id="26">
    <w:p w:rsidR="00890966" w:rsidRDefault="00890966" w:rsidP="00CE6B72">
      <w:pPr>
        <w:pStyle w:val="FootnoteText"/>
      </w:pPr>
      <w:r>
        <w:rPr>
          <w:rStyle w:val="FootnoteReference"/>
        </w:rPr>
        <w:footnoteRef/>
      </w:r>
      <w:r>
        <w:t xml:space="preserve"> </w:t>
      </w:r>
      <w:r>
        <w:tab/>
        <w:t>Such an impact would also be reflected if we were to switch methods midway through an asset's life.</w:t>
      </w:r>
    </w:p>
  </w:footnote>
  <w:footnote w:id="27">
    <w:p w:rsidR="00890966" w:rsidRDefault="00890966" w:rsidP="00CE6B72">
      <w:pPr>
        <w:pStyle w:val="FootnoteText"/>
      </w:pPr>
      <w:r>
        <w:rPr>
          <w:rStyle w:val="FootnoteReference"/>
        </w:rPr>
        <w:footnoteRef/>
      </w:r>
      <w:r>
        <w:t xml:space="preserve"> </w:t>
      </w:r>
      <w:r>
        <w:tab/>
        <w:t>Refer to attachment 5 for the discussion on regulatory depreciation.</w:t>
      </w:r>
    </w:p>
  </w:footnote>
  <w:footnote w:id="28">
    <w:p w:rsidR="00890966" w:rsidRDefault="00890966" w:rsidP="00BE1B76">
      <w:pPr>
        <w:pStyle w:val="FootnoteText"/>
      </w:pPr>
      <w:r>
        <w:rPr>
          <w:rStyle w:val="FootnoteReference"/>
        </w:rPr>
        <w:footnoteRef/>
      </w:r>
      <w:r>
        <w:t xml:space="preserve"> </w:t>
      </w:r>
      <w:r>
        <w:tab/>
      </w:r>
      <w:r w:rsidRPr="002C733C">
        <w:t xml:space="preserve">If capex causes the RAB increase, return on capital, depreciation, and debt raising costs all increase too. If a reduction in depreciation causes the RAB increase, revenue could increase or decrease. In this case, the higher return on capital is offset (perhaps more than offset) by the reduction in depreciation allowance. Inflation naturally increases the RAB in nominal terms. </w:t>
      </w:r>
    </w:p>
  </w:footnote>
  <w:footnote w:id="29">
    <w:p w:rsidR="00890966" w:rsidRDefault="00890966" w:rsidP="00CE6B72">
      <w:pPr>
        <w:pStyle w:val="FootnoteText"/>
      </w:pPr>
      <w:r>
        <w:rPr>
          <w:rStyle w:val="FootnoteReference"/>
        </w:rPr>
        <w:footnoteRef/>
      </w:r>
      <w:r>
        <w:t xml:space="preserve"> </w:t>
      </w:r>
      <w:r>
        <w:tab/>
      </w:r>
      <w:r w:rsidRPr="008914BF">
        <w:t xml:space="preserve">At the time of this </w:t>
      </w:r>
      <w:r>
        <w:t>preliminary</w:t>
      </w:r>
      <w:r w:rsidRPr="008914BF">
        <w:t xml:space="preserve"> decision</w:t>
      </w:r>
      <w:r>
        <w:t>,</w:t>
      </w:r>
      <w:r w:rsidRPr="008914BF">
        <w:t xml:space="preserve"> the roll forward of </w:t>
      </w:r>
      <w:r>
        <w:t>Powercor's RAB</w:t>
      </w:r>
      <w:r w:rsidRPr="008914BF">
        <w:t xml:space="preserve"> includes </w:t>
      </w:r>
      <w:r>
        <w:t>estimated</w:t>
      </w:r>
      <w:r w:rsidRPr="008914BF">
        <w:t xml:space="preserve"> capex</w:t>
      </w:r>
      <w:r>
        <w:t xml:space="preserve"> values</w:t>
      </w:r>
      <w:r w:rsidRPr="008914BF">
        <w:t xml:space="preserve"> for </w:t>
      </w:r>
      <w:r>
        <w:t xml:space="preserve">2015. </w:t>
      </w:r>
      <w:r w:rsidRPr="00516A5D">
        <w:t>We will update the 201</w:t>
      </w:r>
      <w:r>
        <w:t>5</w:t>
      </w:r>
      <w:r w:rsidRPr="00516A5D">
        <w:t xml:space="preserve"> estimated capex value</w:t>
      </w:r>
      <w:r>
        <w:t xml:space="preserve">s </w:t>
      </w:r>
      <w:r w:rsidRPr="00516A5D">
        <w:t xml:space="preserve">for the </w:t>
      </w:r>
      <w:r>
        <w:t>final</w:t>
      </w:r>
      <w:r w:rsidRPr="00516A5D">
        <w:t xml:space="preserve"> decision</w:t>
      </w:r>
      <w:r>
        <w:t>.</w:t>
      </w:r>
    </w:p>
  </w:footnote>
  <w:footnote w:id="30">
    <w:p w:rsidR="00890966" w:rsidRDefault="00890966" w:rsidP="002D0B19">
      <w:pPr>
        <w:pStyle w:val="FootnoteText"/>
      </w:pPr>
      <w:r>
        <w:rPr>
          <w:rStyle w:val="FootnoteReference"/>
        </w:rPr>
        <w:footnoteRef/>
      </w:r>
      <w:r>
        <w:t xml:space="preserve"> </w:t>
      </w:r>
      <w:r>
        <w:tab/>
        <w:t>NER, cl. 6.5.1(e)(3).</w:t>
      </w:r>
    </w:p>
  </w:footnote>
  <w:footnote w:id="31">
    <w:p w:rsidR="00890966" w:rsidRDefault="00890966" w:rsidP="002D0B19">
      <w:pPr>
        <w:pStyle w:val="FootnoteText"/>
      </w:pPr>
      <w:r>
        <w:rPr>
          <w:rStyle w:val="FootnoteReference"/>
        </w:rPr>
        <w:footnoteRef/>
      </w:r>
      <w:r>
        <w:t xml:space="preserve"> </w:t>
      </w:r>
      <w:r>
        <w:tab/>
        <w:t xml:space="preserve">AER, </w:t>
      </w:r>
      <w:r w:rsidRPr="00242CF5">
        <w:rPr>
          <w:rStyle w:val="AERtextitalic"/>
        </w:rPr>
        <w:t>Victorian distribution determination final decision 2011-2015</w:t>
      </w:r>
      <w:r>
        <w:t xml:space="preserve">, </w:t>
      </w:r>
      <w:r w:rsidRPr="00C61791">
        <w:t>29 October 2010</w:t>
      </w:r>
      <w:r>
        <w:t>, p. 57. For Powercor, t</w:t>
      </w:r>
      <w:r w:rsidRPr="00EE107D">
        <w:t xml:space="preserve">he </w:t>
      </w:r>
      <w:r>
        <w:t>September</w:t>
      </w:r>
      <w:r w:rsidRPr="00EE107D">
        <w:t xml:space="preserve"> quarter CPI is used as a proxy for the </w:t>
      </w:r>
      <w:r>
        <w:t>calendar</w:t>
      </w:r>
      <w:r w:rsidRPr="00EE107D">
        <w:t xml:space="preserve"> year in the 20</w:t>
      </w:r>
      <w:r>
        <w:t>11</w:t>
      </w:r>
      <w:r w:rsidRPr="00EE107D">
        <w:t>–15 regulatory control peri</w:t>
      </w:r>
      <w:r>
        <w:t>od. As discussed in attachment 14</w:t>
      </w:r>
      <w:r w:rsidRPr="00EE107D">
        <w:t xml:space="preserve">, the </w:t>
      </w:r>
      <w:r>
        <w:t>June</w:t>
      </w:r>
      <w:r w:rsidRPr="00EE107D">
        <w:t xml:space="preserve"> quarter CPI will be used as a proxy for the </w:t>
      </w:r>
      <w:r>
        <w:t>calendar</w:t>
      </w:r>
      <w:r w:rsidRPr="00EE107D">
        <w:t xml:space="preserve"> year for the 201</w:t>
      </w:r>
      <w:r>
        <w:t>6</w:t>
      </w:r>
      <w:r w:rsidRPr="00EE107D">
        <w:t>–20 regulatory control period.</w:t>
      </w:r>
    </w:p>
  </w:footnote>
  <w:footnote w:id="32">
    <w:p w:rsidR="00890966" w:rsidRDefault="00890966" w:rsidP="002D0B19">
      <w:pPr>
        <w:pStyle w:val="FootnoteText"/>
      </w:pPr>
      <w:r>
        <w:rPr>
          <w:rStyle w:val="FootnoteReference"/>
        </w:rPr>
        <w:footnoteRef/>
      </w:r>
      <w:r>
        <w:t xml:space="preserve"> </w:t>
      </w:r>
      <w:r>
        <w:tab/>
      </w:r>
      <w:proofErr w:type="gramStart"/>
      <w:r>
        <w:t xml:space="preserve">NER, </w:t>
      </w:r>
      <w:proofErr w:type="spellStart"/>
      <w:r>
        <w:t>cls</w:t>
      </w:r>
      <w:proofErr w:type="spellEnd"/>
      <w:r>
        <w:t>.</w:t>
      </w:r>
      <w:proofErr w:type="gramEnd"/>
      <w:r>
        <w:t xml:space="preserve"> 6.5.1(b)–(d). Model published at: </w:t>
      </w:r>
      <w:r w:rsidRPr="00645405">
        <w:t>http://www.aer.gov.au/node/6908</w:t>
      </w:r>
      <w:r>
        <w:t>.</w:t>
      </w:r>
    </w:p>
  </w:footnote>
  <w:footnote w:id="33">
    <w:p w:rsidR="00890966" w:rsidRDefault="00890966" w:rsidP="002D0B19">
      <w:pPr>
        <w:pStyle w:val="FootnoteText"/>
      </w:pPr>
      <w:r>
        <w:rPr>
          <w:rStyle w:val="FootnoteReference"/>
        </w:rPr>
        <w:footnoteRef/>
      </w:r>
      <w:r>
        <w:t xml:space="preserve"> </w:t>
      </w:r>
      <w:r>
        <w:tab/>
        <w:t>Actual inflation from September 2008 to September 2009 is used to index the RAB from 2010 to 2011.</w:t>
      </w:r>
    </w:p>
  </w:footnote>
  <w:footnote w:id="34">
    <w:p w:rsidR="00890966" w:rsidRDefault="00890966" w:rsidP="00B140D3">
      <w:pPr>
        <w:pStyle w:val="FootnoteText"/>
      </w:pPr>
      <w:r>
        <w:rPr>
          <w:rStyle w:val="FootnoteReference"/>
        </w:rPr>
        <w:footnoteRef/>
      </w:r>
      <w:r>
        <w:t xml:space="preserve"> </w:t>
      </w:r>
      <w:r>
        <w:tab/>
      </w:r>
      <w:r w:rsidRPr="0075167F">
        <w:t>NER, cl</w:t>
      </w:r>
      <w:r>
        <w:t>. 6.5.1(e</w:t>
      </w:r>
      <w:r w:rsidRPr="0075167F">
        <w:t>)</w:t>
      </w:r>
      <w:r>
        <w:t>(3)</w:t>
      </w:r>
      <w:r w:rsidRPr="0075167F">
        <w:t>.</w:t>
      </w:r>
    </w:p>
  </w:footnote>
  <w:footnote w:id="35">
    <w:p w:rsidR="00890966" w:rsidRDefault="00890966" w:rsidP="00B140D3">
      <w:pPr>
        <w:pStyle w:val="FootnoteText"/>
      </w:pPr>
      <w:r>
        <w:rPr>
          <w:rStyle w:val="FootnoteReference"/>
        </w:rPr>
        <w:footnoteRef/>
      </w:r>
      <w:r>
        <w:t xml:space="preserve"> </w:t>
      </w:r>
      <w:r>
        <w:tab/>
      </w:r>
      <w:r w:rsidRPr="0075167F">
        <w:t>NER, cl</w:t>
      </w:r>
      <w:r>
        <w:t>. 6.5.1(e</w:t>
      </w:r>
      <w:r w:rsidRPr="0075167F">
        <w:t>).</w:t>
      </w:r>
    </w:p>
  </w:footnote>
  <w:footnote w:id="36">
    <w:p w:rsidR="00890966" w:rsidRDefault="00890966">
      <w:pPr>
        <w:pStyle w:val="FootnoteText"/>
      </w:pPr>
      <w:r>
        <w:rPr>
          <w:rStyle w:val="FootnoteReference"/>
        </w:rPr>
        <w:footnoteRef/>
      </w:r>
      <w:r>
        <w:t xml:space="preserve"> </w:t>
      </w:r>
      <w:r>
        <w:tab/>
        <w:t>Powercor</w:t>
      </w:r>
      <w:r w:rsidRPr="009E311A">
        <w:t xml:space="preserve">, </w:t>
      </w:r>
      <w:r w:rsidRPr="00DE351E">
        <w:rPr>
          <w:rStyle w:val="AERtextitalic"/>
        </w:rPr>
        <w:t>Regulatory proposal</w:t>
      </w:r>
      <w:r>
        <w:t>, attachment,</w:t>
      </w:r>
      <w:r w:rsidRPr="00CE6538">
        <w:t xml:space="preserve"> PAL PUBLIC MOD 1.9 - PAL 2011-15 RFM</w:t>
      </w:r>
      <w:r>
        <w:t>, April 2015.</w:t>
      </w:r>
    </w:p>
  </w:footnote>
  <w:footnote w:id="37">
    <w:p w:rsidR="00890966" w:rsidRDefault="00890966" w:rsidP="00CE6538">
      <w:pPr>
        <w:pStyle w:val="FootnoteText"/>
      </w:pPr>
      <w:r>
        <w:rPr>
          <w:rStyle w:val="FootnoteReference"/>
        </w:rPr>
        <w:footnoteRef/>
      </w:r>
      <w:r>
        <w:t xml:space="preserve"> </w:t>
      </w:r>
      <w:r>
        <w:tab/>
        <w:t xml:space="preserve">Australian Competition Tribunal, </w:t>
      </w:r>
      <w:r w:rsidRPr="00730441">
        <w:rPr>
          <w:rStyle w:val="AERtextitalic"/>
        </w:rPr>
        <w:t>Application by United Energ</w:t>
      </w:r>
      <w:r>
        <w:rPr>
          <w:rStyle w:val="AERtextitalic"/>
        </w:rPr>
        <w:t>y Distribution Pty Limited (No 1) [2012] ACompT 1</w:t>
      </w:r>
      <w:r w:rsidRPr="00730441">
        <w:rPr>
          <w:rStyle w:val="AERtextitalic"/>
        </w:rPr>
        <w:t xml:space="preserve">, </w:t>
      </w:r>
      <w:r>
        <w:rPr>
          <w:rStyle w:val="AERtextitalic"/>
        </w:rPr>
        <w:t>6 January</w:t>
      </w:r>
      <w:r w:rsidRPr="00861EFB">
        <w:t xml:space="preserve"> 2012</w:t>
      </w:r>
      <w:r>
        <w:t>, para. 338–386.</w:t>
      </w:r>
    </w:p>
  </w:footnote>
  <w:footnote w:id="38">
    <w:p w:rsidR="00890966" w:rsidRDefault="00890966" w:rsidP="00CE6538">
      <w:pPr>
        <w:pStyle w:val="FootnoteText"/>
      </w:pPr>
      <w:r>
        <w:rPr>
          <w:rStyle w:val="FootnoteReference"/>
        </w:rPr>
        <w:footnoteRef/>
      </w:r>
      <w:r>
        <w:t xml:space="preserve"> </w:t>
      </w:r>
      <w:r>
        <w:tab/>
        <w:t>Administratively, as only Jemena and AusNet were party to the 2011 appeal on this issue, we were only able to amend this error for those distributors at the time of the Tribunal decision process. However, as the RAB value is reviewed at each determination, the indexation of the RAB remains an issue at this determination.</w:t>
      </w:r>
    </w:p>
  </w:footnote>
  <w:footnote w:id="39">
    <w:p w:rsidR="00890966" w:rsidRDefault="00890966" w:rsidP="00CE6538">
      <w:pPr>
        <w:pStyle w:val="FootnoteText"/>
      </w:pPr>
      <w:r>
        <w:rPr>
          <w:rStyle w:val="FootnoteReference"/>
        </w:rPr>
        <w:footnoteRef/>
      </w:r>
      <w:r>
        <w:t xml:space="preserve"> </w:t>
      </w:r>
      <w:r>
        <w:tab/>
        <w:t>Powercor</w:t>
      </w:r>
      <w:r w:rsidRPr="009E311A">
        <w:t xml:space="preserve">, </w:t>
      </w:r>
      <w:r w:rsidRPr="00DE351E">
        <w:rPr>
          <w:rStyle w:val="AERtextitalic"/>
        </w:rPr>
        <w:t>Regulatory proposal</w:t>
      </w:r>
      <w:r>
        <w:t xml:space="preserve">, April 2015, pp. 253–254. </w:t>
      </w:r>
    </w:p>
  </w:footnote>
  <w:footnote w:id="40">
    <w:p w:rsidR="00890966" w:rsidRDefault="00890966" w:rsidP="00CE6538">
      <w:pPr>
        <w:pStyle w:val="FootnoteText"/>
      </w:pPr>
      <w:r>
        <w:rPr>
          <w:rStyle w:val="FootnoteReference"/>
        </w:rPr>
        <w:footnoteRef/>
      </w:r>
      <w:r>
        <w:t xml:space="preserve"> </w:t>
      </w:r>
      <w:r>
        <w:tab/>
        <w:t xml:space="preserve">Australian Competition Tribunal, </w:t>
      </w:r>
      <w:r w:rsidRPr="00730441">
        <w:rPr>
          <w:rStyle w:val="AERtextitalic"/>
        </w:rPr>
        <w:t>Application by United Energ</w:t>
      </w:r>
      <w:r>
        <w:rPr>
          <w:rStyle w:val="AERtextitalic"/>
        </w:rPr>
        <w:t>y Distribution Pty Limited (No 1) [2012] ACompT 1</w:t>
      </w:r>
      <w:r w:rsidRPr="00730441">
        <w:rPr>
          <w:rStyle w:val="AERtextitalic"/>
        </w:rPr>
        <w:t xml:space="preserve">, </w:t>
      </w:r>
      <w:r>
        <w:rPr>
          <w:rStyle w:val="AERtextitalic"/>
        </w:rPr>
        <w:t>6 January</w:t>
      </w:r>
      <w:r w:rsidRPr="00861EFB">
        <w:t xml:space="preserve"> 2012</w:t>
      </w:r>
      <w:r>
        <w:t>, para. 379–383.</w:t>
      </w:r>
    </w:p>
  </w:footnote>
  <w:footnote w:id="41">
    <w:p w:rsidR="00890966" w:rsidRDefault="00890966" w:rsidP="00CE6B72">
      <w:pPr>
        <w:pStyle w:val="FootnoteText"/>
      </w:pPr>
      <w:r>
        <w:rPr>
          <w:rStyle w:val="FootnoteReference"/>
        </w:rPr>
        <w:footnoteRef/>
      </w:r>
      <w:r>
        <w:t xml:space="preserve"> </w:t>
      </w:r>
      <w:r>
        <w:tab/>
      </w:r>
      <w:r w:rsidRPr="00F27FE5">
        <w:t>Victorian Energy Consumer and User Alliance</w:t>
      </w:r>
      <w:r>
        <w:t xml:space="preserve">, </w:t>
      </w:r>
      <w:r w:rsidRPr="00F13B8D">
        <w:rPr>
          <w:rStyle w:val="AERtextitalic"/>
        </w:rPr>
        <w:t xml:space="preserve">Submission to the AER Victorian </w:t>
      </w:r>
      <w:r>
        <w:rPr>
          <w:rStyle w:val="AERtextitalic"/>
        </w:rPr>
        <w:t>d</w:t>
      </w:r>
      <w:r w:rsidRPr="00F13B8D">
        <w:rPr>
          <w:rStyle w:val="AERtextitalic"/>
        </w:rPr>
        <w:t xml:space="preserve">istribution </w:t>
      </w:r>
      <w:r>
        <w:rPr>
          <w:rStyle w:val="AERtextitalic"/>
        </w:rPr>
        <w:t>n</w:t>
      </w:r>
      <w:r w:rsidRPr="00F13B8D">
        <w:rPr>
          <w:rStyle w:val="AERtextitalic"/>
        </w:rPr>
        <w:t xml:space="preserve">etworks’ 2016-20 </w:t>
      </w:r>
      <w:r>
        <w:rPr>
          <w:rStyle w:val="AERtextitalic"/>
        </w:rPr>
        <w:t>r</w:t>
      </w:r>
      <w:r w:rsidRPr="00F13B8D">
        <w:rPr>
          <w:rStyle w:val="AERtextitalic"/>
        </w:rPr>
        <w:t xml:space="preserve">evenue </w:t>
      </w:r>
      <w:r>
        <w:rPr>
          <w:rStyle w:val="AERtextitalic"/>
        </w:rPr>
        <w:t>p</w:t>
      </w:r>
      <w:r w:rsidRPr="00F13B8D">
        <w:rPr>
          <w:rStyle w:val="AERtextitalic"/>
        </w:rPr>
        <w:t>roposals</w:t>
      </w:r>
      <w:r w:rsidRPr="00F27FE5">
        <w:t>, 13 July 2015</w:t>
      </w:r>
      <w:r>
        <w:t>, pp.22–24.</w:t>
      </w:r>
    </w:p>
  </w:footnote>
  <w:footnote w:id="42">
    <w:p w:rsidR="00890966" w:rsidRDefault="00890966" w:rsidP="00746DCC">
      <w:pPr>
        <w:pStyle w:val="FootnoteText"/>
      </w:pPr>
      <w:r>
        <w:rPr>
          <w:rStyle w:val="FootnoteReference"/>
        </w:rPr>
        <w:footnoteRef/>
      </w:r>
      <w:r>
        <w:t xml:space="preserve"> </w:t>
      </w:r>
      <w:r>
        <w:tab/>
        <w:t xml:space="preserve">AER, </w:t>
      </w:r>
      <w:r w:rsidRPr="00BC2C2F">
        <w:rPr>
          <w:rStyle w:val="AERtextitalic"/>
        </w:rPr>
        <w:t>Final Framework and Approach for the Victorian Electricity Distributors</w:t>
      </w:r>
      <w:r>
        <w:t>,</w:t>
      </w:r>
      <w:r w:rsidRPr="00BC2C2F">
        <w:t xml:space="preserve"> October 2014</w:t>
      </w:r>
      <w:r>
        <w:t>, pp. 121–126.</w:t>
      </w:r>
    </w:p>
  </w:footnote>
  <w:footnote w:id="43">
    <w:p w:rsidR="00890966" w:rsidRDefault="00890966" w:rsidP="00746DCC">
      <w:pPr>
        <w:pStyle w:val="FootnoteText"/>
      </w:pPr>
      <w:r>
        <w:rPr>
          <w:rStyle w:val="FootnoteReference"/>
        </w:rPr>
        <w:footnoteRef/>
      </w:r>
      <w:r>
        <w:t xml:space="preserve"> </w:t>
      </w:r>
      <w:r>
        <w:tab/>
      </w:r>
      <w:r w:rsidRPr="00BC2C2F">
        <w:t>Our ex post capex measures are set out in the capex incentives guideline, AER,</w:t>
      </w:r>
      <w:r w:rsidRPr="00DF55FA">
        <w:rPr>
          <w:rStyle w:val="AERtextitalic"/>
        </w:rPr>
        <w:t xml:space="preserve"> Capital expenditure incentive guideline for electricity network service providers</w:t>
      </w:r>
      <w:r w:rsidRPr="00BC2C2F">
        <w:t xml:space="preserve">, November 2013, pp. 13–19, 20–21. The guideline also sets out how all our capex incentive measures are consistent with the capex incentive objective.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966" w:rsidRDefault="003F7350">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890966">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966" w:rsidRDefault="003F7350">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C6961CB0"/>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WlC3bJ+kYCiM+Dubxf9FEf89YRGZPQHv+TfeAXpt3w=" w:saltValue="v3og+uKRGvlDsj/MqKg0R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Vic EDPR - 2016-20\Prelim decisions\Powercor\Powercor PD - Public\Powercor Overview and attachments\JS - AER - Preliminary decision Powercor distribution determination - Attachment 2 - Regulatory asset base - October 2015.docx"/>
  </w:docVars>
  <w:rsids>
    <w:rsidRoot w:val="00961A4A"/>
    <w:rsid w:val="00010286"/>
    <w:rsid w:val="00021202"/>
    <w:rsid w:val="00021C2B"/>
    <w:rsid w:val="0002517F"/>
    <w:rsid w:val="00026495"/>
    <w:rsid w:val="00032AD8"/>
    <w:rsid w:val="0003578C"/>
    <w:rsid w:val="000401AF"/>
    <w:rsid w:val="00063247"/>
    <w:rsid w:val="00070F9F"/>
    <w:rsid w:val="0007137B"/>
    <w:rsid w:val="00085663"/>
    <w:rsid w:val="00085EBF"/>
    <w:rsid w:val="00091B15"/>
    <w:rsid w:val="000A3020"/>
    <w:rsid w:val="000A6C7B"/>
    <w:rsid w:val="000C2B40"/>
    <w:rsid w:val="000D06C1"/>
    <w:rsid w:val="000D122C"/>
    <w:rsid w:val="000D3016"/>
    <w:rsid w:val="000E1819"/>
    <w:rsid w:val="000E4821"/>
    <w:rsid w:val="000E6C72"/>
    <w:rsid w:val="000F0B2B"/>
    <w:rsid w:val="000F3E72"/>
    <w:rsid w:val="000F48B1"/>
    <w:rsid w:val="00110B00"/>
    <w:rsid w:val="00116EB2"/>
    <w:rsid w:val="00124609"/>
    <w:rsid w:val="00126A4C"/>
    <w:rsid w:val="00142AB6"/>
    <w:rsid w:val="0014573B"/>
    <w:rsid w:val="001573E4"/>
    <w:rsid w:val="00160756"/>
    <w:rsid w:val="00162474"/>
    <w:rsid w:val="00166B30"/>
    <w:rsid w:val="0017232E"/>
    <w:rsid w:val="00173BF6"/>
    <w:rsid w:val="00174102"/>
    <w:rsid w:val="001754EE"/>
    <w:rsid w:val="00180157"/>
    <w:rsid w:val="00185CB9"/>
    <w:rsid w:val="00186F77"/>
    <w:rsid w:val="001926A4"/>
    <w:rsid w:val="00192AD5"/>
    <w:rsid w:val="001B45A0"/>
    <w:rsid w:val="001B7D00"/>
    <w:rsid w:val="001C240F"/>
    <w:rsid w:val="001D055E"/>
    <w:rsid w:val="001F05A4"/>
    <w:rsid w:val="001F0A2A"/>
    <w:rsid w:val="001F492E"/>
    <w:rsid w:val="001F6DA3"/>
    <w:rsid w:val="002010BC"/>
    <w:rsid w:val="002016E7"/>
    <w:rsid w:val="00201F98"/>
    <w:rsid w:val="00202E03"/>
    <w:rsid w:val="0020478D"/>
    <w:rsid w:val="0020492C"/>
    <w:rsid w:val="00224DB9"/>
    <w:rsid w:val="00227DCE"/>
    <w:rsid w:val="0023276C"/>
    <w:rsid w:val="00233775"/>
    <w:rsid w:val="00247B18"/>
    <w:rsid w:val="00251745"/>
    <w:rsid w:val="00263AC0"/>
    <w:rsid w:val="00264264"/>
    <w:rsid w:val="0026772D"/>
    <w:rsid w:val="00272CA0"/>
    <w:rsid w:val="00274B61"/>
    <w:rsid w:val="00286874"/>
    <w:rsid w:val="00290C63"/>
    <w:rsid w:val="002928B3"/>
    <w:rsid w:val="00296B65"/>
    <w:rsid w:val="002A063D"/>
    <w:rsid w:val="002A7DEF"/>
    <w:rsid w:val="002B1003"/>
    <w:rsid w:val="002B573C"/>
    <w:rsid w:val="002C233C"/>
    <w:rsid w:val="002C2628"/>
    <w:rsid w:val="002D0B19"/>
    <w:rsid w:val="002D72E8"/>
    <w:rsid w:val="002E7B22"/>
    <w:rsid w:val="002F7986"/>
    <w:rsid w:val="00301B40"/>
    <w:rsid w:val="003029EE"/>
    <w:rsid w:val="0030370B"/>
    <w:rsid w:val="00305CC8"/>
    <w:rsid w:val="00307F6D"/>
    <w:rsid w:val="003177A2"/>
    <w:rsid w:val="003271B5"/>
    <w:rsid w:val="00327A1E"/>
    <w:rsid w:val="00331264"/>
    <w:rsid w:val="00334C8D"/>
    <w:rsid w:val="00341181"/>
    <w:rsid w:val="00343A18"/>
    <w:rsid w:val="00344473"/>
    <w:rsid w:val="003518B3"/>
    <w:rsid w:val="00372954"/>
    <w:rsid w:val="003846F1"/>
    <w:rsid w:val="003931A7"/>
    <w:rsid w:val="00395473"/>
    <w:rsid w:val="003B484F"/>
    <w:rsid w:val="003B7FBA"/>
    <w:rsid w:val="003D5EAC"/>
    <w:rsid w:val="003F174D"/>
    <w:rsid w:val="003F7350"/>
    <w:rsid w:val="003F7442"/>
    <w:rsid w:val="00415F31"/>
    <w:rsid w:val="00423A77"/>
    <w:rsid w:val="004411AF"/>
    <w:rsid w:val="00457393"/>
    <w:rsid w:val="0045777E"/>
    <w:rsid w:val="00474EC7"/>
    <w:rsid w:val="00480B4B"/>
    <w:rsid w:val="00485DC4"/>
    <w:rsid w:val="004A43D1"/>
    <w:rsid w:val="004A6DFC"/>
    <w:rsid w:val="004B4412"/>
    <w:rsid w:val="004B7416"/>
    <w:rsid w:val="004C348C"/>
    <w:rsid w:val="004D55BA"/>
    <w:rsid w:val="004E22EC"/>
    <w:rsid w:val="004F6A0E"/>
    <w:rsid w:val="00530128"/>
    <w:rsid w:val="00532467"/>
    <w:rsid w:val="00537FD6"/>
    <w:rsid w:val="00544F53"/>
    <w:rsid w:val="00546DA3"/>
    <w:rsid w:val="0056139A"/>
    <w:rsid w:val="00564A4D"/>
    <w:rsid w:val="0056588A"/>
    <w:rsid w:val="00567BA5"/>
    <w:rsid w:val="00571B35"/>
    <w:rsid w:val="00571D57"/>
    <w:rsid w:val="00577A09"/>
    <w:rsid w:val="005829C2"/>
    <w:rsid w:val="00584D8F"/>
    <w:rsid w:val="00586819"/>
    <w:rsid w:val="0059704C"/>
    <w:rsid w:val="005A0A5A"/>
    <w:rsid w:val="005A404D"/>
    <w:rsid w:val="005A7D62"/>
    <w:rsid w:val="005B1E3C"/>
    <w:rsid w:val="005B3FB7"/>
    <w:rsid w:val="005B704A"/>
    <w:rsid w:val="005C0A7F"/>
    <w:rsid w:val="005C26CC"/>
    <w:rsid w:val="005C4C9C"/>
    <w:rsid w:val="005D7BA2"/>
    <w:rsid w:val="005E0FA4"/>
    <w:rsid w:val="005E36C2"/>
    <w:rsid w:val="006007DE"/>
    <w:rsid w:val="00601638"/>
    <w:rsid w:val="006067D4"/>
    <w:rsid w:val="00610EF9"/>
    <w:rsid w:val="00612F4F"/>
    <w:rsid w:val="00615C6B"/>
    <w:rsid w:val="00621DCE"/>
    <w:rsid w:val="00632D6D"/>
    <w:rsid w:val="00642C3E"/>
    <w:rsid w:val="00651C3A"/>
    <w:rsid w:val="00651CB2"/>
    <w:rsid w:val="006560CA"/>
    <w:rsid w:val="0066104A"/>
    <w:rsid w:val="00663DAD"/>
    <w:rsid w:val="00665649"/>
    <w:rsid w:val="006672AA"/>
    <w:rsid w:val="006709EA"/>
    <w:rsid w:val="00675E20"/>
    <w:rsid w:val="00676679"/>
    <w:rsid w:val="00683C89"/>
    <w:rsid w:val="00691D9A"/>
    <w:rsid w:val="00696166"/>
    <w:rsid w:val="006B2395"/>
    <w:rsid w:val="006B45A4"/>
    <w:rsid w:val="006B4CF9"/>
    <w:rsid w:val="006B785B"/>
    <w:rsid w:val="006B7AC8"/>
    <w:rsid w:val="006C1736"/>
    <w:rsid w:val="006C4798"/>
    <w:rsid w:val="006D550F"/>
    <w:rsid w:val="006D6032"/>
    <w:rsid w:val="006F3AD1"/>
    <w:rsid w:val="006F3FC8"/>
    <w:rsid w:val="0070011E"/>
    <w:rsid w:val="00701BFA"/>
    <w:rsid w:val="00701CAB"/>
    <w:rsid w:val="00707563"/>
    <w:rsid w:val="0072348C"/>
    <w:rsid w:val="00724A37"/>
    <w:rsid w:val="007303C3"/>
    <w:rsid w:val="00741C46"/>
    <w:rsid w:val="00741E23"/>
    <w:rsid w:val="00742280"/>
    <w:rsid w:val="007429BE"/>
    <w:rsid w:val="00743223"/>
    <w:rsid w:val="00746DCC"/>
    <w:rsid w:val="00746E01"/>
    <w:rsid w:val="00747EEA"/>
    <w:rsid w:val="00753981"/>
    <w:rsid w:val="00757364"/>
    <w:rsid w:val="00757BDF"/>
    <w:rsid w:val="007609D0"/>
    <w:rsid w:val="00763E5D"/>
    <w:rsid w:val="00767740"/>
    <w:rsid w:val="00777EE6"/>
    <w:rsid w:val="00782EEA"/>
    <w:rsid w:val="00784D65"/>
    <w:rsid w:val="007B186E"/>
    <w:rsid w:val="007B2C72"/>
    <w:rsid w:val="007C1C53"/>
    <w:rsid w:val="007C74BB"/>
    <w:rsid w:val="007D456E"/>
    <w:rsid w:val="007E4904"/>
    <w:rsid w:val="007E4CB5"/>
    <w:rsid w:val="007F066B"/>
    <w:rsid w:val="007F1C2D"/>
    <w:rsid w:val="007F213A"/>
    <w:rsid w:val="007F601A"/>
    <w:rsid w:val="007F75C4"/>
    <w:rsid w:val="008033C4"/>
    <w:rsid w:val="00806C88"/>
    <w:rsid w:val="0081034E"/>
    <w:rsid w:val="008221F2"/>
    <w:rsid w:val="00823F18"/>
    <w:rsid w:val="00825985"/>
    <w:rsid w:val="008344F6"/>
    <w:rsid w:val="0083510F"/>
    <w:rsid w:val="008408C5"/>
    <w:rsid w:val="00851209"/>
    <w:rsid w:val="0085722A"/>
    <w:rsid w:val="00864B35"/>
    <w:rsid w:val="00875184"/>
    <w:rsid w:val="00882481"/>
    <w:rsid w:val="008837AC"/>
    <w:rsid w:val="00890966"/>
    <w:rsid w:val="008A102C"/>
    <w:rsid w:val="008A1AA4"/>
    <w:rsid w:val="008A587D"/>
    <w:rsid w:val="008A7262"/>
    <w:rsid w:val="008B35CD"/>
    <w:rsid w:val="008B5FCC"/>
    <w:rsid w:val="008B7544"/>
    <w:rsid w:val="008C3374"/>
    <w:rsid w:val="008C5486"/>
    <w:rsid w:val="008C708B"/>
    <w:rsid w:val="008D1661"/>
    <w:rsid w:val="008D6800"/>
    <w:rsid w:val="008E7031"/>
    <w:rsid w:val="008E77DE"/>
    <w:rsid w:val="008F07A3"/>
    <w:rsid w:val="008F34DD"/>
    <w:rsid w:val="009001B6"/>
    <w:rsid w:val="00900E1B"/>
    <w:rsid w:val="00901C3C"/>
    <w:rsid w:val="00921D36"/>
    <w:rsid w:val="009233EE"/>
    <w:rsid w:val="00923A87"/>
    <w:rsid w:val="009272AD"/>
    <w:rsid w:val="009277DC"/>
    <w:rsid w:val="00941906"/>
    <w:rsid w:val="009460AA"/>
    <w:rsid w:val="00951978"/>
    <w:rsid w:val="009544A1"/>
    <w:rsid w:val="00961A4A"/>
    <w:rsid w:val="009661DE"/>
    <w:rsid w:val="00983C25"/>
    <w:rsid w:val="009856B7"/>
    <w:rsid w:val="00985C86"/>
    <w:rsid w:val="00987E17"/>
    <w:rsid w:val="009A44F7"/>
    <w:rsid w:val="009A5113"/>
    <w:rsid w:val="009A5FC3"/>
    <w:rsid w:val="009B6F84"/>
    <w:rsid w:val="009B74B0"/>
    <w:rsid w:val="009C5BAE"/>
    <w:rsid w:val="009D3906"/>
    <w:rsid w:val="009D6B46"/>
    <w:rsid w:val="009F4940"/>
    <w:rsid w:val="009F5BA1"/>
    <w:rsid w:val="00A02A88"/>
    <w:rsid w:val="00A0562E"/>
    <w:rsid w:val="00A05AAF"/>
    <w:rsid w:val="00A0726D"/>
    <w:rsid w:val="00A109B0"/>
    <w:rsid w:val="00A227DA"/>
    <w:rsid w:val="00A32FBB"/>
    <w:rsid w:val="00A428EE"/>
    <w:rsid w:val="00A431A4"/>
    <w:rsid w:val="00A4478A"/>
    <w:rsid w:val="00A44852"/>
    <w:rsid w:val="00A4650A"/>
    <w:rsid w:val="00A46723"/>
    <w:rsid w:val="00A50502"/>
    <w:rsid w:val="00A57D04"/>
    <w:rsid w:val="00A60A26"/>
    <w:rsid w:val="00A61598"/>
    <w:rsid w:val="00A83B9C"/>
    <w:rsid w:val="00A84A99"/>
    <w:rsid w:val="00A84F46"/>
    <w:rsid w:val="00A871F4"/>
    <w:rsid w:val="00AC1B2C"/>
    <w:rsid w:val="00AC3264"/>
    <w:rsid w:val="00AE1BF1"/>
    <w:rsid w:val="00AF0DD2"/>
    <w:rsid w:val="00B0209D"/>
    <w:rsid w:val="00B07CEA"/>
    <w:rsid w:val="00B13048"/>
    <w:rsid w:val="00B140D3"/>
    <w:rsid w:val="00B1716D"/>
    <w:rsid w:val="00B17A1D"/>
    <w:rsid w:val="00B207A0"/>
    <w:rsid w:val="00B24903"/>
    <w:rsid w:val="00B514DD"/>
    <w:rsid w:val="00B52AF0"/>
    <w:rsid w:val="00B561BD"/>
    <w:rsid w:val="00B56E03"/>
    <w:rsid w:val="00B757A6"/>
    <w:rsid w:val="00B8080B"/>
    <w:rsid w:val="00B82223"/>
    <w:rsid w:val="00B8281D"/>
    <w:rsid w:val="00B87BA5"/>
    <w:rsid w:val="00B87C39"/>
    <w:rsid w:val="00B9562D"/>
    <w:rsid w:val="00BA4665"/>
    <w:rsid w:val="00BB2FB2"/>
    <w:rsid w:val="00BB3304"/>
    <w:rsid w:val="00BB6726"/>
    <w:rsid w:val="00BB7528"/>
    <w:rsid w:val="00BD310B"/>
    <w:rsid w:val="00BD3446"/>
    <w:rsid w:val="00BE1B76"/>
    <w:rsid w:val="00BE1F1B"/>
    <w:rsid w:val="00BE47B5"/>
    <w:rsid w:val="00BF206B"/>
    <w:rsid w:val="00C04223"/>
    <w:rsid w:val="00C25FA6"/>
    <w:rsid w:val="00C41080"/>
    <w:rsid w:val="00C42ACA"/>
    <w:rsid w:val="00C538A9"/>
    <w:rsid w:val="00C53B5A"/>
    <w:rsid w:val="00C54F5A"/>
    <w:rsid w:val="00C569B4"/>
    <w:rsid w:val="00C56A3E"/>
    <w:rsid w:val="00C647D4"/>
    <w:rsid w:val="00C67A92"/>
    <w:rsid w:val="00C7497E"/>
    <w:rsid w:val="00C84560"/>
    <w:rsid w:val="00C84F52"/>
    <w:rsid w:val="00C86679"/>
    <w:rsid w:val="00CA485A"/>
    <w:rsid w:val="00CA489E"/>
    <w:rsid w:val="00CA52A2"/>
    <w:rsid w:val="00CB0279"/>
    <w:rsid w:val="00CB666B"/>
    <w:rsid w:val="00CC7F1D"/>
    <w:rsid w:val="00CD0E64"/>
    <w:rsid w:val="00CE484B"/>
    <w:rsid w:val="00CE6538"/>
    <w:rsid w:val="00CE6B72"/>
    <w:rsid w:val="00CF0A0B"/>
    <w:rsid w:val="00CF0DEE"/>
    <w:rsid w:val="00CF6EDE"/>
    <w:rsid w:val="00D006AE"/>
    <w:rsid w:val="00D01CF0"/>
    <w:rsid w:val="00D01EFD"/>
    <w:rsid w:val="00D0442A"/>
    <w:rsid w:val="00D10039"/>
    <w:rsid w:val="00D17683"/>
    <w:rsid w:val="00D45694"/>
    <w:rsid w:val="00D61388"/>
    <w:rsid w:val="00D61A54"/>
    <w:rsid w:val="00D64DEA"/>
    <w:rsid w:val="00D67371"/>
    <w:rsid w:val="00D7168E"/>
    <w:rsid w:val="00D71E57"/>
    <w:rsid w:val="00D75AA2"/>
    <w:rsid w:val="00D80893"/>
    <w:rsid w:val="00D84854"/>
    <w:rsid w:val="00D848B4"/>
    <w:rsid w:val="00D92CF1"/>
    <w:rsid w:val="00D92D38"/>
    <w:rsid w:val="00D950F5"/>
    <w:rsid w:val="00DA4752"/>
    <w:rsid w:val="00DA61F3"/>
    <w:rsid w:val="00DA6B93"/>
    <w:rsid w:val="00DB0F93"/>
    <w:rsid w:val="00DB1A67"/>
    <w:rsid w:val="00DB5074"/>
    <w:rsid w:val="00DB5B21"/>
    <w:rsid w:val="00DB6750"/>
    <w:rsid w:val="00DC7981"/>
    <w:rsid w:val="00DE1093"/>
    <w:rsid w:val="00DE4EFA"/>
    <w:rsid w:val="00DE5520"/>
    <w:rsid w:val="00DE563D"/>
    <w:rsid w:val="00DE5E2E"/>
    <w:rsid w:val="00DE772C"/>
    <w:rsid w:val="00DF312A"/>
    <w:rsid w:val="00E04818"/>
    <w:rsid w:val="00E06442"/>
    <w:rsid w:val="00E06BCF"/>
    <w:rsid w:val="00E1001C"/>
    <w:rsid w:val="00E21925"/>
    <w:rsid w:val="00E23993"/>
    <w:rsid w:val="00E257D6"/>
    <w:rsid w:val="00E25B8C"/>
    <w:rsid w:val="00E51D65"/>
    <w:rsid w:val="00E51DED"/>
    <w:rsid w:val="00E57C7A"/>
    <w:rsid w:val="00E6200B"/>
    <w:rsid w:val="00E65C85"/>
    <w:rsid w:val="00E66199"/>
    <w:rsid w:val="00E711C7"/>
    <w:rsid w:val="00E755EC"/>
    <w:rsid w:val="00E7624D"/>
    <w:rsid w:val="00EA3D42"/>
    <w:rsid w:val="00EA4AB3"/>
    <w:rsid w:val="00EA6B1B"/>
    <w:rsid w:val="00EB5BC8"/>
    <w:rsid w:val="00EB606C"/>
    <w:rsid w:val="00EC04F1"/>
    <w:rsid w:val="00EC760B"/>
    <w:rsid w:val="00ED0EC2"/>
    <w:rsid w:val="00ED7323"/>
    <w:rsid w:val="00EE28F3"/>
    <w:rsid w:val="00EE50D1"/>
    <w:rsid w:val="00EF5110"/>
    <w:rsid w:val="00F0334E"/>
    <w:rsid w:val="00F10411"/>
    <w:rsid w:val="00F15882"/>
    <w:rsid w:val="00F171E0"/>
    <w:rsid w:val="00F20BD3"/>
    <w:rsid w:val="00F2526A"/>
    <w:rsid w:val="00F373A5"/>
    <w:rsid w:val="00F47559"/>
    <w:rsid w:val="00F61176"/>
    <w:rsid w:val="00F64C7B"/>
    <w:rsid w:val="00F65B25"/>
    <w:rsid w:val="00F66A03"/>
    <w:rsid w:val="00F676DD"/>
    <w:rsid w:val="00F71667"/>
    <w:rsid w:val="00F731D0"/>
    <w:rsid w:val="00F75A26"/>
    <w:rsid w:val="00F76706"/>
    <w:rsid w:val="00F768C8"/>
    <w:rsid w:val="00F76DB9"/>
    <w:rsid w:val="00F81B8D"/>
    <w:rsid w:val="00F83FAD"/>
    <w:rsid w:val="00F8653A"/>
    <w:rsid w:val="00F92349"/>
    <w:rsid w:val="00F952A0"/>
    <w:rsid w:val="00FA3C7F"/>
    <w:rsid w:val="00FB4402"/>
    <w:rsid w:val="00FB60FE"/>
    <w:rsid w:val="00FB74E2"/>
    <w:rsid w:val="00FC71DC"/>
    <w:rsid w:val="00FD2ED2"/>
    <w:rsid w:val="00FD5614"/>
    <w:rsid w:val="00FD5E78"/>
    <w:rsid w:val="00FE0BE1"/>
    <w:rsid w:val="00FE1DE9"/>
    <w:rsid w:val="00FE36AF"/>
    <w:rsid w:val="00FE39C2"/>
    <w:rsid w:val="00FE3C32"/>
    <w:rsid w:val="00FE64AE"/>
    <w:rsid w:val="00FF0B04"/>
    <w:rsid w:val="00FF77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23018">
      <w:bodyDiv w:val="1"/>
      <w:marLeft w:val="0"/>
      <w:marRight w:val="0"/>
      <w:marTop w:val="0"/>
      <w:marBottom w:val="0"/>
      <w:divBdr>
        <w:top w:val="none" w:sz="0" w:space="0" w:color="auto"/>
        <w:left w:val="none" w:sz="0" w:space="0" w:color="auto"/>
        <w:bottom w:val="none" w:sz="0" w:space="0" w:color="auto"/>
        <w:right w:val="none" w:sz="0" w:space="0" w:color="auto"/>
      </w:divBdr>
    </w:div>
    <w:div w:id="517888027">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96666285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72776967">
      <w:bodyDiv w:val="1"/>
      <w:marLeft w:val="0"/>
      <w:marRight w:val="0"/>
      <w:marTop w:val="0"/>
      <w:marBottom w:val="0"/>
      <w:divBdr>
        <w:top w:val="none" w:sz="0" w:space="0" w:color="auto"/>
        <w:left w:val="none" w:sz="0" w:space="0" w:color="auto"/>
        <w:bottom w:val="none" w:sz="0" w:space="0" w:color="auto"/>
        <w:right w:val="none" w:sz="0" w:space="0" w:color="auto"/>
      </w:divBdr>
    </w:div>
    <w:div w:id="109158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1BE1D054</Template>
  <TotalTime>0</TotalTime>
  <Pages>18</Pages>
  <Words>4188</Words>
  <Characters>23875</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2015-10-28T06:37:00Z</dcterms:created>
  <dcterms:modified xsi:type="dcterms:W3CDTF">2015-10-28T06:54:00Z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