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6607694" wp14:editId="5DB1D93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1F293A">
            <w:t>Annual revenue requirement</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1F293A" w:rsidRDefault="00506DF0">
      <w:pPr>
        <w:spacing w:line="240" w:lineRule="auto"/>
      </w:pPr>
      <w:r>
        <w:t>AER reference:</w:t>
      </w:r>
      <w:r>
        <w:tab/>
        <w:t>51225</w:t>
      </w:r>
      <w:r w:rsidR="001F293A">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5666259"/>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5A555D">
        <w:t xml:space="preserve">SA Power Networks' </w:t>
      </w:r>
      <w:r>
        <w:t xml:space="preserve"> 2015–20 distribution determination. It should be read with </w:t>
      </w:r>
      <w:r w:rsidR="00D068F8">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3D4755" w:rsidRPr="003D4755">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566626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261CA3"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15666259" w:history="1">
            <w:r w:rsidR="00261CA3" w:rsidRPr="00ED77FF">
              <w:rPr>
                <w:rStyle w:val="Hyperlink"/>
              </w:rPr>
              <w:t>Note</w:t>
            </w:r>
            <w:r w:rsidR="00261CA3">
              <w:rPr>
                <w:webHidden/>
              </w:rPr>
              <w:tab/>
            </w:r>
            <w:r w:rsidR="00D068F8">
              <w:rPr>
                <w:webHidden/>
              </w:rPr>
              <w:t>1-</w:t>
            </w:r>
            <w:r w:rsidR="00261CA3">
              <w:rPr>
                <w:webHidden/>
              </w:rPr>
              <w:fldChar w:fldCharType="begin"/>
            </w:r>
            <w:r w:rsidR="00261CA3">
              <w:rPr>
                <w:webHidden/>
              </w:rPr>
              <w:instrText xml:space="preserve"> PAGEREF _Toc415666259 \h </w:instrText>
            </w:r>
            <w:r w:rsidR="00261CA3">
              <w:rPr>
                <w:webHidden/>
              </w:rPr>
            </w:r>
            <w:r w:rsidR="00261CA3">
              <w:rPr>
                <w:webHidden/>
              </w:rPr>
              <w:fldChar w:fldCharType="separate"/>
            </w:r>
            <w:r w:rsidR="0010052C">
              <w:rPr>
                <w:webHidden/>
              </w:rPr>
              <w:t>2</w:t>
            </w:r>
            <w:r w:rsidR="00261CA3">
              <w:rPr>
                <w:webHidden/>
              </w:rPr>
              <w:fldChar w:fldCharType="end"/>
            </w:r>
          </w:hyperlink>
        </w:p>
        <w:p w:rsidR="00261CA3" w:rsidRDefault="006D6FA9">
          <w:pPr>
            <w:pStyle w:val="TOC1"/>
            <w:rPr>
              <w:rFonts w:asciiTheme="minorHAnsi" w:eastAsiaTheme="minorEastAsia" w:hAnsiTheme="minorHAnsi"/>
              <w:b w:val="0"/>
              <w:color w:val="auto"/>
              <w:sz w:val="22"/>
              <w:lang w:val="en-AU" w:eastAsia="en-AU"/>
            </w:rPr>
          </w:pPr>
          <w:hyperlink w:anchor="_Toc415666260" w:history="1">
            <w:r w:rsidR="00261CA3" w:rsidRPr="00ED77FF">
              <w:rPr>
                <w:rStyle w:val="Hyperlink"/>
              </w:rPr>
              <w:t>Contents</w:t>
            </w:r>
            <w:r w:rsidR="00261CA3">
              <w:rPr>
                <w:webHidden/>
              </w:rPr>
              <w:tab/>
            </w:r>
            <w:r w:rsidR="00D068F8">
              <w:rPr>
                <w:webHidden/>
              </w:rPr>
              <w:t>1-</w:t>
            </w:r>
            <w:r w:rsidR="00261CA3">
              <w:rPr>
                <w:webHidden/>
              </w:rPr>
              <w:fldChar w:fldCharType="begin"/>
            </w:r>
            <w:r w:rsidR="00261CA3">
              <w:rPr>
                <w:webHidden/>
              </w:rPr>
              <w:instrText xml:space="preserve"> PAGEREF _Toc415666260 \h </w:instrText>
            </w:r>
            <w:r w:rsidR="00261CA3">
              <w:rPr>
                <w:webHidden/>
              </w:rPr>
            </w:r>
            <w:r w:rsidR="00261CA3">
              <w:rPr>
                <w:webHidden/>
              </w:rPr>
              <w:fldChar w:fldCharType="separate"/>
            </w:r>
            <w:r w:rsidR="0010052C">
              <w:rPr>
                <w:webHidden/>
              </w:rPr>
              <w:t>3</w:t>
            </w:r>
            <w:r w:rsidR="00261CA3">
              <w:rPr>
                <w:webHidden/>
              </w:rPr>
              <w:fldChar w:fldCharType="end"/>
            </w:r>
          </w:hyperlink>
        </w:p>
        <w:p w:rsidR="00261CA3" w:rsidRDefault="006D6FA9">
          <w:pPr>
            <w:pStyle w:val="TOC1"/>
            <w:rPr>
              <w:rFonts w:asciiTheme="minorHAnsi" w:eastAsiaTheme="minorEastAsia" w:hAnsiTheme="minorHAnsi"/>
              <w:b w:val="0"/>
              <w:color w:val="auto"/>
              <w:sz w:val="22"/>
              <w:lang w:val="en-AU" w:eastAsia="en-AU"/>
            </w:rPr>
          </w:pPr>
          <w:hyperlink w:anchor="_Toc415666261" w:history="1">
            <w:r w:rsidR="00261CA3" w:rsidRPr="00ED77FF">
              <w:rPr>
                <w:rStyle w:val="Hyperlink"/>
              </w:rPr>
              <w:t>Shortened forms</w:t>
            </w:r>
            <w:r w:rsidR="00261CA3">
              <w:rPr>
                <w:webHidden/>
              </w:rPr>
              <w:tab/>
            </w:r>
            <w:r w:rsidR="00D068F8">
              <w:rPr>
                <w:webHidden/>
              </w:rPr>
              <w:t>1-</w:t>
            </w:r>
            <w:r w:rsidR="00261CA3">
              <w:rPr>
                <w:webHidden/>
              </w:rPr>
              <w:fldChar w:fldCharType="begin"/>
            </w:r>
            <w:r w:rsidR="00261CA3">
              <w:rPr>
                <w:webHidden/>
              </w:rPr>
              <w:instrText xml:space="preserve"> PAGEREF _Toc415666261 \h </w:instrText>
            </w:r>
            <w:r w:rsidR="00261CA3">
              <w:rPr>
                <w:webHidden/>
              </w:rPr>
            </w:r>
            <w:r w:rsidR="00261CA3">
              <w:rPr>
                <w:webHidden/>
              </w:rPr>
              <w:fldChar w:fldCharType="separate"/>
            </w:r>
            <w:r w:rsidR="0010052C">
              <w:rPr>
                <w:webHidden/>
              </w:rPr>
              <w:t>4</w:t>
            </w:r>
            <w:r w:rsidR="00261CA3">
              <w:rPr>
                <w:webHidden/>
              </w:rPr>
              <w:fldChar w:fldCharType="end"/>
            </w:r>
          </w:hyperlink>
        </w:p>
        <w:p w:rsidR="00261CA3" w:rsidRDefault="006D6FA9">
          <w:pPr>
            <w:pStyle w:val="TOC1"/>
            <w:rPr>
              <w:rFonts w:asciiTheme="minorHAnsi" w:eastAsiaTheme="minorEastAsia" w:hAnsiTheme="minorHAnsi"/>
              <w:b w:val="0"/>
              <w:color w:val="auto"/>
              <w:sz w:val="22"/>
              <w:lang w:val="en-AU" w:eastAsia="en-AU"/>
            </w:rPr>
          </w:pPr>
          <w:hyperlink w:anchor="_Toc415666262" w:history="1">
            <w:r w:rsidR="00261CA3" w:rsidRPr="00ED77FF">
              <w:rPr>
                <w:rStyle w:val="Hyperlink"/>
              </w:rPr>
              <w:t>1</w:t>
            </w:r>
            <w:r w:rsidR="00261CA3">
              <w:rPr>
                <w:rFonts w:asciiTheme="minorHAnsi" w:eastAsiaTheme="minorEastAsia" w:hAnsiTheme="minorHAnsi"/>
                <w:b w:val="0"/>
                <w:color w:val="auto"/>
                <w:sz w:val="22"/>
                <w:lang w:val="en-AU" w:eastAsia="en-AU"/>
              </w:rPr>
              <w:tab/>
            </w:r>
            <w:r w:rsidR="00261CA3" w:rsidRPr="00ED77FF">
              <w:rPr>
                <w:rStyle w:val="Hyperlink"/>
              </w:rPr>
              <w:t>Annual revenue requirement</w:t>
            </w:r>
            <w:r w:rsidR="00261CA3">
              <w:rPr>
                <w:webHidden/>
              </w:rPr>
              <w:tab/>
            </w:r>
            <w:r w:rsidR="00D068F8">
              <w:rPr>
                <w:webHidden/>
              </w:rPr>
              <w:t>1-</w:t>
            </w:r>
            <w:r w:rsidR="00261CA3">
              <w:rPr>
                <w:webHidden/>
              </w:rPr>
              <w:fldChar w:fldCharType="begin"/>
            </w:r>
            <w:r w:rsidR="00261CA3">
              <w:rPr>
                <w:webHidden/>
              </w:rPr>
              <w:instrText xml:space="preserve"> PAGEREF _Toc415666262 \h </w:instrText>
            </w:r>
            <w:r w:rsidR="00261CA3">
              <w:rPr>
                <w:webHidden/>
              </w:rPr>
            </w:r>
            <w:r w:rsidR="00261CA3">
              <w:rPr>
                <w:webHidden/>
              </w:rPr>
              <w:fldChar w:fldCharType="separate"/>
            </w:r>
            <w:r w:rsidR="0010052C">
              <w:rPr>
                <w:webHidden/>
              </w:rPr>
              <w:t>6</w:t>
            </w:r>
            <w:r w:rsidR="00261CA3">
              <w:rPr>
                <w:webHidden/>
              </w:rPr>
              <w:fldChar w:fldCharType="end"/>
            </w:r>
          </w:hyperlink>
        </w:p>
        <w:p w:rsidR="00261CA3" w:rsidRDefault="006D6FA9">
          <w:pPr>
            <w:pStyle w:val="TOC2"/>
            <w:rPr>
              <w:rFonts w:asciiTheme="minorHAnsi" w:eastAsiaTheme="minorEastAsia" w:hAnsiTheme="minorHAnsi"/>
              <w:b w:val="0"/>
              <w:color w:val="auto"/>
              <w:sz w:val="22"/>
              <w:lang w:eastAsia="en-AU"/>
            </w:rPr>
          </w:pPr>
          <w:hyperlink w:anchor="_Toc415666263" w:history="1">
            <w:r w:rsidR="00261CA3" w:rsidRPr="00ED77FF">
              <w:rPr>
                <w:rStyle w:val="Hyperlink"/>
              </w:rPr>
              <w:t>1.1</w:t>
            </w:r>
            <w:r w:rsidR="00261CA3">
              <w:rPr>
                <w:rFonts w:asciiTheme="minorHAnsi" w:eastAsiaTheme="minorEastAsia" w:hAnsiTheme="minorHAnsi"/>
                <w:b w:val="0"/>
                <w:color w:val="auto"/>
                <w:sz w:val="22"/>
                <w:lang w:eastAsia="en-AU"/>
              </w:rPr>
              <w:tab/>
            </w:r>
            <w:r w:rsidR="00261CA3" w:rsidRPr="00ED77FF">
              <w:rPr>
                <w:rStyle w:val="Hyperlink"/>
              </w:rPr>
              <w:t>Preliminary decision</w:t>
            </w:r>
            <w:r w:rsidR="00261CA3">
              <w:rPr>
                <w:webHidden/>
              </w:rPr>
              <w:tab/>
            </w:r>
            <w:r w:rsidR="00D068F8">
              <w:rPr>
                <w:webHidden/>
              </w:rPr>
              <w:t>1-</w:t>
            </w:r>
            <w:r w:rsidR="00261CA3">
              <w:rPr>
                <w:webHidden/>
              </w:rPr>
              <w:fldChar w:fldCharType="begin"/>
            </w:r>
            <w:r w:rsidR="00261CA3">
              <w:rPr>
                <w:webHidden/>
              </w:rPr>
              <w:instrText xml:space="preserve"> PAGEREF _Toc415666263 \h </w:instrText>
            </w:r>
            <w:r w:rsidR="00261CA3">
              <w:rPr>
                <w:webHidden/>
              </w:rPr>
            </w:r>
            <w:r w:rsidR="00261CA3">
              <w:rPr>
                <w:webHidden/>
              </w:rPr>
              <w:fldChar w:fldCharType="separate"/>
            </w:r>
            <w:r w:rsidR="0010052C">
              <w:rPr>
                <w:webHidden/>
              </w:rPr>
              <w:t>6</w:t>
            </w:r>
            <w:r w:rsidR="00261CA3">
              <w:rPr>
                <w:webHidden/>
              </w:rPr>
              <w:fldChar w:fldCharType="end"/>
            </w:r>
          </w:hyperlink>
        </w:p>
        <w:p w:rsidR="00261CA3" w:rsidRDefault="006D6FA9">
          <w:pPr>
            <w:pStyle w:val="TOC2"/>
            <w:rPr>
              <w:rFonts w:asciiTheme="minorHAnsi" w:eastAsiaTheme="minorEastAsia" w:hAnsiTheme="minorHAnsi"/>
              <w:b w:val="0"/>
              <w:color w:val="auto"/>
              <w:sz w:val="22"/>
              <w:lang w:eastAsia="en-AU"/>
            </w:rPr>
          </w:pPr>
          <w:hyperlink w:anchor="_Toc415666264" w:history="1">
            <w:r w:rsidR="00261CA3" w:rsidRPr="00ED77FF">
              <w:rPr>
                <w:rStyle w:val="Hyperlink"/>
              </w:rPr>
              <w:t>1.2</w:t>
            </w:r>
            <w:r w:rsidR="00261CA3">
              <w:rPr>
                <w:rFonts w:asciiTheme="minorHAnsi" w:eastAsiaTheme="minorEastAsia" w:hAnsiTheme="minorHAnsi"/>
                <w:b w:val="0"/>
                <w:color w:val="auto"/>
                <w:sz w:val="22"/>
                <w:lang w:eastAsia="en-AU"/>
              </w:rPr>
              <w:tab/>
            </w:r>
            <w:r w:rsidR="00261CA3" w:rsidRPr="00ED77FF">
              <w:rPr>
                <w:rStyle w:val="Hyperlink"/>
              </w:rPr>
              <w:t>SA Power Networks' proposal</w:t>
            </w:r>
            <w:r w:rsidR="00261CA3">
              <w:rPr>
                <w:webHidden/>
              </w:rPr>
              <w:tab/>
            </w:r>
            <w:r w:rsidR="00D068F8">
              <w:rPr>
                <w:webHidden/>
              </w:rPr>
              <w:t>1-</w:t>
            </w:r>
            <w:r w:rsidR="00261CA3">
              <w:rPr>
                <w:webHidden/>
              </w:rPr>
              <w:fldChar w:fldCharType="begin"/>
            </w:r>
            <w:r w:rsidR="00261CA3">
              <w:rPr>
                <w:webHidden/>
              </w:rPr>
              <w:instrText xml:space="preserve"> PAGEREF _Toc415666264 \h </w:instrText>
            </w:r>
            <w:r w:rsidR="00261CA3">
              <w:rPr>
                <w:webHidden/>
              </w:rPr>
            </w:r>
            <w:r w:rsidR="00261CA3">
              <w:rPr>
                <w:webHidden/>
              </w:rPr>
              <w:fldChar w:fldCharType="separate"/>
            </w:r>
            <w:r w:rsidR="0010052C">
              <w:rPr>
                <w:webHidden/>
              </w:rPr>
              <w:t>8</w:t>
            </w:r>
            <w:r w:rsidR="00261CA3">
              <w:rPr>
                <w:webHidden/>
              </w:rPr>
              <w:fldChar w:fldCharType="end"/>
            </w:r>
          </w:hyperlink>
        </w:p>
        <w:p w:rsidR="00261CA3" w:rsidRDefault="006D6FA9">
          <w:pPr>
            <w:pStyle w:val="TOC2"/>
            <w:rPr>
              <w:rFonts w:asciiTheme="minorHAnsi" w:eastAsiaTheme="minorEastAsia" w:hAnsiTheme="minorHAnsi"/>
              <w:b w:val="0"/>
              <w:color w:val="auto"/>
              <w:sz w:val="22"/>
              <w:lang w:eastAsia="en-AU"/>
            </w:rPr>
          </w:pPr>
          <w:hyperlink w:anchor="_Toc415666265" w:history="1">
            <w:r w:rsidR="00261CA3" w:rsidRPr="00ED77FF">
              <w:rPr>
                <w:rStyle w:val="Hyperlink"/>
              </w:rPr>
              <w:t>1.3</w:t>
            </w:r>
            <w:r w:rsidR="00261CA3">
              <w:rPr>
                <w:rFonts w:asciiTheme="minorHAnsi" w:eastAsiaTheme="minorEastAsia" w:hAnsiTheme="minorHAnsi"/>
                <w:b w:val="0"/>
                <w:color w:val="auto"/>
                <w:sz w:val="22"/>
                <w:lang w:eastAsia="en-AU"/>
              </w:rPr>
              <w:tab/>
            </w:r>
            <w:r w:rsidR="00261CA3" w:rsidRPr="00ED77FF">
              <w:rPr>
                <w:rStyle w:val="Hyperlink"/>
              </w:rPr>
              <w:t>AER’s assessment approach</w:t>
            </w:r>
            <w:r w:rsidR="00261CA3">
              <w:rPr>
                <w:webHidden/>
              </w:rPr>
              <w:tab/>
            </w:r>
            <w:r w:rsidR="00D068F8">
              <w:rPr>
                <w:webHidden/>
              </w:rPr>
              <w:t>1-</w:t>
            </w:r>
            <w:r w:rsidR="00261CA3">
              <w:rPr>
                <w:webHidden/>
              </w:rPr>
              <w:fldChar w:fldCharType="begin"/>
            </w:r>
            <w:r w:rsidR="00261CA3">
              <w:rPr>
                <w:webHidden/>
              </w:rPr>
              <w:instrText xml:space="preserve"> PAGEREF _Toc415666265 \h </w:instrText>
            </w:r>
            <w:r w:rsidR="00261CA3">
              <w:rPr>
                <w:webHidden/>
              </w:rPr>
            </w:r>
            <w:r w:rsidR="00261CA3">
              <w:rPr>
                <w:webHidden/>
              </w:rPr>
              <w:fldChar w:fldCharType="separate"/>
            </w:r>
            <w:r w:rsidR="0010052C">
              <w:rPr>
                <w:webHidden/>
              </w:rPr>
              <w:t>8</w:t>
            </w:r>
            <w:r w:rsidR="00261CA3">
              <w:rPr>
                <w:webHidden/>
              </w:rPr>
              <w:fldChar w:fldCharType="end"/>
            </w:r>
          </w:hyperlink>
        </w:p>
        <w:p w:rsidR="00261CA3" w:rsidRDefault="006D6FA9">
          <w:pPr>
            <w:pStyle w:val="TOC3"/>
            <w:rPr>
              <w:rFonts w:asciiTheme="minorHAnsi" w:eastAsiaTheme="minorEastAsia" w:hAnsiTheme="minorHAnsi"/>
              <w:lang w:eastAsia="en-AU"/>
            </w:rPr>
          </w:pPr>
          <w:hyperlink w:anchor="_Toc415666266" w:history="1">
            <w:r w:rsidR="00261CA3" w:rsidRPr="00ED77FF">
              <w:rPr>
                <w:rStyle w:val="Hyperlink"/>
              </w:rPr>
              <w:t>1.3.1</w:t>
            </w:r>
            <w:r w:rsidR="00261CA3">
              <w:rPr>
                <w:rFonts w:asciiTheme="minorHAnsi" w:eastAsiaTheme="minorEastAsia" w:hAnsiTheme="minorHAnsi"/>
                <w:lang w:eastAsia="en-AU"/>
              </w:rPr>
              <w:tab/>
            </w:r>
            <w:r w:rsidR="00261CA3" w:rsidRPr="00ED77FF">
              <w:rPr>
                <w:rStyle w:val="Hyperlink"/>
              </w:rPr>
              <w:t>The building block costs</w:t>
            </w:r>
            <w:r w:rsidR="00261CA3">
              <w:rPr>
                <w:webHidden/>
              </w:rPr>
              <w:tab/>
            </w:r>
            <w:r w:rsidR="00D068F8">
              <w:rPr>
                <w:webHidden/>
              </w:rPr>
              <w:t>1-</w:t>
            </w:r>
            <w:r w:rsidR="00261CA3">
              <w:rPr>
                <w:webHidden/>
              </w:rPr>
              <w:fldChar w:fldCharType="begin"/>
            </w:r>
            <w:r w:rsidR="00261CA3">
              <w:rPr>
                <w:webHidden/>
              </w:rPr>
              <w:instrText xml:space="preserve"> PAGEREF _Toc415666266 \h </w:instrText>
            </w:r>
            <w:r w:rsidR="00261CA3">
              <w:rPr>
                <w:webHidden/>
              </w:rPr>
            </w:r>
            <w:r w:rsidR="00261CA3">
              <w:rPr>
                <w:webHidden/>
              </w:rPr>
              <w:fldChar w:fldCharType="separate"/>
            </w:r>
            <w:r w:rsidR="0010052C">
              <w:rPr>
                <w:webHidden/>
              </w:rPr>
              <w:t>10</w:t>
            </w:r>
            <w:r w:rsidR="00261CA3">
              <w:rPr>
                <w:webHidden/>
              </w:rPr>
              <w:fldChar w:fldCharType="end"/>
            </w:r>
          </w:hyperlink>
        </w:p>
        <w:p w:rsidR="00261CA3" w:rsidRDefault="006D6FA9">
          <w:pPr>
            <w:pStyle w:val="TOC2"/>
            <w:rPr>
              <w:rFonts w:asciiTheme="minorHAnsi" w:eastAsiaTheme="minorEastAsia" w:hAnsiTheme="minorHAnsi"/>
              <w:b w:val="0"/>
              <w:color w:val="auto"/>
              <w:sz w:val="22"/>
              <w:lang w:eastAsia="en-AU"/>
            </w:rPr>
          </w:pPr>
          <w:hyperlink w:anchor="_Toc415666267" w:history="1">
            <w:r w:rsidR="00261CA3" w:rsidRPr="00ED77FF">
              <w:rPr>
                <w:rStyle w:val="Hyperlink"/>
              </w:rPr>
              <w:t>1.4</w:t>
            </w:r>
            <w:r w:rsidR="00261CA3">
              <w:rPr>
                <w:rFonts w:asciiTheme="minorHAnsi" w:eastAsiaTheme="minorEastAsia" w:hAnsiTheme="minorHAnsi"/>
                <w:b w:val="0"/>
                <w:color w:val="auto"/>
                <w:sz w:val="22"/>
                <w:lang w:eastAsia="en-AU"/>
              </w:rPr>
              <w:tab/>
            </w:r>
            <w:r w:rsidR="00261CA3" w:rsidRPr="00ED77FF">
              <w:rPr>
                <w:rStyle w:val="Hyperlink"/>
              </w:rPr>
              <w:t>Reasons for preliminary decision</w:t>
            </w:r>
            <w:r w:rsidR="00261CA3">
              <w:rPr>
                <w:webHidden/>
              </w:rPr>
              <w:tab/>
            </w:r>
            <w:r w:rsidR="00D068F8">
              <w:rPr>
                <w:webHidden/>
              </w:rPr>
              <w:t>1-</w:t>
            </w:r>
            <w:r w:rsidR="00261CA3">
              <w:rPr>
                <w:webHidden/>
              </w:rPr>
              <w:fldChar w:fldCharType="begin"/>
            </w:r>
            <w:r w:rsidR="00261CA3">
              <w:rPr>
                <w:webHidden/>
              </w:rPr>
              <w:instrText xml:space="preserve"> PAGEREF _Toc415666267 \h </w:instrText>
            </w:r>
            <w:r w:rsidR="00261CA3">
              <w:rPr>
                <w:webHidden/>
              </w:rPr>
            </w:r>
            <w:r w:rsidR="00261CA3">
              <w:rPr>
                <w:webHidden/>
              </w:rPr>
              <w:fldChar w:fldCharType="separate"/>
            </w:r>
            <w:r w:rsidR="0010052C">
              <w:rPr>
                <w:webHidden/>
              </w:rPr>
              <w:t>10</w:t>
            </w:r>
            <w:r w:rsidR="00261CA3">
              <w:rPr>
                <w:webHidden/>
              </w:rPr>
              <w:fldChar w:fldCharType="end"/>
            </w:r>
          </w:hyperlink>
        </w:p>
        <w:p w:rsidR="00261CA3" w:rsidRDefault="006D6FA9">
          <w:pPr>
            <w:pStyle w:val="TOC3"/>
            <w:rPr>
              <w:rFonts w:asciiTheme="minorHAnsi" w:eastAsiaTheme="minorEastAsia" w:hAnsiTheme="minorHAnsi"/>
              <w:lang w:eastAsia="en-AU"/>
            </w:rPr>
          </w:pPr>
          <w:hyperlink w:anchor="_Toc415666268" w:history="1">
            <w:r w:rsidR="00261CA3" w:rsidRPr="00ED77FF">
              <w:rPr>
                <w:rStyle w:val="Hyperlink"/>
              </w:rPr>
              <w:t>1.4.1</w:t>
            </w:r>
            <w:r w:rsidR="00261CA3">
              <w:rPr>
                <w:rFonts w:asciiTheme="minorHAnsi" w:eastAsiaTheme="minorEastAsia" w:hAnsiTheme="minorHAnsi"/>
                <w:lang w:eastAsia="en-AU"/>
              </w:rPr>
              <w:tab/>
            </w:r>
            <w:r w:rsidR="00261CA3" w:rsidRPr="00ED77FF">
              <w:rPr>
                <w:rStyle w:val="Hyperlink"/>
              </w:rPr>
              <w:t>Revenue increments or decrements</w:t>
            </w:r>
            <w:r w:rsidR="00261CA3">
              <w:rPr>
                <w:webHidden/>
              </w:rPr>
              <w:tab/>
            </w:r>
            <w:r w:rsidR="00D068F8">
              <w:rPr>
                <w:webHidden/>
              </w:rPr>
              <w:t>1-</w:t>
            </w:r>
            <w:r w:rsidR="00261CA3">
              <w:rPr>
                <w:webHidden/>
              </w:rPr>
              <w:fldChar w:fldCharType="begin"/>
            </w:r>
            <w:r w:rsidR="00261CA3">
              <w:rPr>
                <w:webHidden/>
              </w:rPr>
              <w:instrText xml:space="preserve"> PAGEREF _Toc415666268 \h </w:instrText>
            </w:r>
            <w:r w:rsidR="00261CA3">
              <w:rPr>
                <w:webHidden/>
              </w:rPr>
            </w:r>
            <w:r w:rsidR="00261CA3">
              <w:rPr>
                <w:webHidden/>
              </w:rPr>
              <w:fldChar w:fldCharType="separate"/>
            </w:r>
            <w:r w:rsidR="0010052C">
              <w:rPr>
                <w:webHidden/>
              </w:rPr>
              <w:t>11</w:t>
            </w:r>
            <w:r w:rsidR="00261CA3">
              <w:rPr>
                <w:webHidden/>
              </w:rPr>
              <w:fldChar w:fldCharType="end"/>
            </w:r>
          </w:hyperlink>
        </w:p>
        <w:p w:rsidR="00261CA3" w:rsidRDefault="006D6FA9">
          <w:pPr>
            <w:pStyle w:val="TOC3"/>
            <w:rPr>
              <w:rFonts w:asciiTheme="minorHAnsi" w:eastAsiaTheme="minorEastAsia" w:hAnsiTheme="minorHAnsi"/>
              <w:lang w:eastAsia="en-AU"/>
            </w:rPr>
          </w:pPr>
          <w:hyperlink w:anchor="_Toc415666269" w:history="1">
            <w:r w:rsidR="00261CA3" w:rsidRPr="00ED77FF">
              <w:rPr>
                <w:rStyle w:val="Hyperlink"/>
              </w:rPr>
              <w:t>1.4.2</w:t>
            </w:r>
            <w:r w:rsidR="00261CA3">
              <w:rPr>
                <w:rFonts w:asciiTheme="minorHAnsi" w:eastAsiaTheme="minorEastAsia" w:hAnsiTheme="minorHAnsi"/>
                <w:lang w:eastAsia="en-AU"/>
              </w:rPr>
              <w:tab/>
            </w:r>
            <w:r w:rsidR="00261CA3" w:rsidRPr="00ED77FF">
              <w:rPr>
                <w:rStyle w:val="Hyperlink"/>
              </w:rPr>
              <w:t>Shared assets</w:t>
            </w:r>
            <w:r w:rsidR="00261CA3">
              <w:rPr>
                <w:webHidden/>
              </w:rPr>
              <w:tab/>
            </w:r>
            <w:r w:rsidR="00D068F8">
              <w:rPr>
                <w:webHidden/>
              </w:rPr>
              <w:t>1-</w:t>
            </w:r>
            <w:r w:rsidR="00261CA3">
              <w:rPr>
                <w:webHidden/>
              </w:rPr>
              <w:fldChar w:fldCharType="begin"/>
            </w:r>
            <w:r w:rsidR="00261CA3">
              <w:rPr>
                <w:webHidden/>
              </w:rPr>
              <w:instrText xml:space="preserve"> PAGEREF _Toc415666269 \h </w:instrText>
            </w:r>
            <w:r w:rsidR="00261CA3">
              <w:rPr>
                <w:webHidden/>
              </w:rPr>
            </w:r>
            <w:r w:rsidR="00261CA3">
              <w:rPr>
                <w:webHidden/>
              </w:rPr>
              <w:fldChar w:fldCharType="separate"/>
            </w:r>
            <w:r w:rsidR="0010052C">
              <w:rPr>
                <w:webHidden/>
              </w:rPr>
              <w:t>12</w:t>
            </w:r>
            <w:r w:rsidR="00261CA3">
              <w:rPr>
                <w:webHidden/>
              </w:rPr>
              <w:fldChar w:fldCharType="end"/>
            </w:r>
          </w:hyperlink>
        </w:p>
        <w:p w:rsidR="00261CA3" w:rsidRDefault="006D6FA9">
          <w:pPr>
            <w:pStyle w:val="TOC3"/>
            <w:rPr>
              <w:rFonts w:asciiTheme="minorHAnsi" w:eastAsiaTheme="minorEastAsia" w:hAnsiTheme="minorHAnsi"/>
              <w:lang w:eastAsia="en-AU"/>
            </w:rPr>
          </w:pPr>
          <w:hyperlink w:anchor="_Toc415666270" w:history="1">
            <w:r w:rsidR="00261CA3" w:rsidRPr="00ED77FF">
              <w:rPr>
                <w:rStyle w:val="Hyperlink"/>
              </w:rPr>
              <w:t>1.4.3</w:t>
            </w:r>
            <w:r w:rsidR="00261CA3">
              <w:rPr>
                <w:rFonts w:asciiTheme="minorHAnsi" w:eastAsiaTheme="minorEastAsia" w:hAnsiTheme="minorHAnsi"/>
                <w:lang w:eastAsia="en-AU"/>
              </w:rPr>
              <w:tab/>
            </w:r>
            <w:r w:rsidR="00261CA3" w:rsidRPr="00ED77FF">
              <w:rPr>
                <w:rStyle w:val="Hyperlink"/>
              </w:rPr>
              <w:t>Indicative average distribution price impact</w:t>
            </w:r>
            <w:r w:rsidR="00261CA3">
              <w:rPr>
                <w:webHidden/>
              </w:rPr>
              <w:tab/>
            </w:r>
            <w:r w:rsidR="00D068F8">
              <w:rPr>
                <w:webHidden/>
              </w:rPr>
              <w:t>1-</w:t>
            </w:r>
            <w:r w:rsidR="00261CA3">
              <w:rPr>
                <w:webHidden/>
              </w:rPr>
              <w:fldChar w:fldCharType="begin"/>
            </w:r>
            <w:r w:rsidR="00261CA3">
              <w:rPr>
                <w:webHidden/>
              </w:rPr>
              <w:instrText xml:space="preserve"> PAGEREF _Toc415666270 \h </w:instrText>
            </w:r>
            <w:r w:rsidR="00261CA3">
              <w:rPr>
                <w:webHidden/>
              </w:rPr>
            </w:r>
            <w:r w:rsidR="00261CA3">
              <w:rPr>
                <w:webHidden/>
              </w:rPr>
              <w:fldChar w:fldCharType="separate"/>
            </w:r>
            <w:r w:rsidR="0010052C">
              <w:rPr>
                <w:webHidden/>
              </w:rPr>
              <w:t>13</w:t>
            </w:r>
            <w:r w:rsidR="00261CA3">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5666261"/>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0B6A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6C20F7" w:rsidP="00DE563D">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068F8" w:rsidP="00D068F8">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w:t>
            </w:r>
            <w:r w:rsidR="00DE563D">
              <w:t xml:space="preserve">orecast </w:t>
            </w:r>
            <w:r>
              <w:t>A</w:t>
            </w:r>
            <w:r w:rsidR="00DE563D">
              <w:t xml:space="preserve">ssessment </w:t>
            </w:r>
            <w:r w:rsidR="006C20F7">
              <w:t>G</w:t>
            </w:r>
            <w:r w:rsidR="00DE563D">
              <w:t>uideline for electricity distribution</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6C20F7">
              <w:t xml:space="preserve">and </w:t>
            </w:r>
            <w:r>
              <w:t>pricing principles</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0B6A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0B6AE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3D4755" w:rsidRDefault="001F293A" w:rsidP="003D4755">
      <w:pPr>
        <w:pStyle w:val="Heading1"/>
      </w:pPr>
      <w:bookmarkStart w:id="10" w:name="_Toc415666262"/>
      <w:r w:rsidRPr="003D4755">
        <w:lastRenderedPageBreak/>
        <w:t>Annual revenue requirement</w:t>
      </w:r>
      <w:bookmarkEnd w:id="10"/>
    </w:p>
    <w:p w:rsidR="00D059AF" w:rsidRPr="007B4D7A" w:rsidRDefault="00D059AF" w:rsidP="00D059AF">
      <w:pPr>
        <w:numPr>
          <w:ilvl w:val="0"/>
          <w:numId w:val="25"/>
        </w:numPr>
      </w:pPr>
      <w:r w:rsidRPr="007B4D7A">
        <w:t>The</w:t>
      </w:r>
      <w:r>
        <w:t xml:space="preserve"> annual </w:t>
      </w:r>
      <w:r w:rsidRPr="007B4D7A">
        <w:t>revenue requirement</w:t>
      </w:r>
      <w:r>
        <w:t xml:space="preserve"> (ARR)</w:t>
      </w:r>
      <w:r w:rsidRPr="007B4D7A">
        <w:t xml:space="preserve"> </w:t>
      </w:r>
      <w:r>
        <w:t>is t</w:t>
      </w:r>
      <w:r w:rsidRPr="007B4D7A">
        <w:t>he sum</w:t>
      </w:r>
      <w:r>
        <w:t xml:space="preserve"> of the</w:t>
      </w:r>
      <w:r w:rsidRPr="007B4D7A">
        <w:t xml:space="preserve"> various </w:t>
      </w:r>
      <w:r>
        <w:t>building block costs for each year of th</w:t>
      </w:r>
      <w:r w:rsidR="00656852">
        <w:t>e regulatory control</w:t>
      </w:r>
      <w:r>
        <w:t xml:space="preserve"> period before smoothing. The ARRs are smoothed across the period to reduce fluctuations between years and to determine expected revenues for each year. The expected revenues are the amounts that SA Power Networks will target for annual pricing purposes</w:t>
      </w:r>
      <w:r w:rsidR="00656852">
        <w:t xml:space="preserve"> and </w:t>
      </w:r>
      <w:r w:rsidR="00656852" w:rsidRPr="00F95B9F">
        <w:t xml:space="preserve">recover from </w:t>
      </w:r>
      <w:r w:rsidR="00656852">
        <w:t xml:space="preserve">customers for </w:t>
      </w:r>
      <w:r w:rsidR="00656852" w:rsidRPr="00F95B9F">
        <w:t>the provision of standard control services for each year of the regulatory control period</w:t>
      </w:r>
      <w:r>
        <w:t xml:space="preserve">. This attachment sets out our </w:t>
      </w:r>
      <w:r w:rsidR="005A555D">
        <w:t>preliminary</w:t>
      </w:r>
      <w:r>
        <w:t xml:space="preserve"> decision on </w:t>
      </w:r>
      <w:r w:rsidR="005A555D">
        <w:t xml:space="preserve">SA Power Networks' </w:t>
      </w:r>
      <w:r>
        <w:t xml:space="preserve">ARRs </w:t>
      </w:r>
      <w:r w:rsidR="00656852">
        <w:t xml:space="preserve">and expected revenues </w:t>
      </w:r>
      <w:r>
        <w:t>for the 2015–20 regulatory control period.</w:t>
      </w:r>
    </w:p>
    <w:p w:rsidR="00DE563D" w:rsidRPr="003D4755" w:rsidRDefault="00DE563D" w:rsidP="003D4755">
      <w:pPr>
        <w:pStyle w:val="Heading2"/>
      </w:pPr>
      <w:bookmarkStart w:id="11" w:name="_Toc403144136"/>
      <w:bookmarkStart w:id="12" w:name="_Toc415666263"/>
      <w:r w:rsidRPr="003D4755">
        <w:t>Preliminary decision</w:t>
      </w:r>
      <w:bookmarkEnd w:id="11"/>
      <w:bookmarkEnd w:id="12"/>
    </w:p>
    <w:p w:rsidR="006D5079" w:rsidRPr="002B52F6" w:rsidRDefault="006D5079" w:rsidP="00C83946">
      <w:r>
        <w:t xml:space="preserve">We </w:t>
      </w:r>
      <w:r w:rsidRPr="0094506C">
        <w:t xml:space="preserve">do not accept </w:t>
      </w:r>
      <w:r>
        <w:t>SA Power Networks'</w:t>
      </w:r>
      <w:r w:rsidRPr="0094506C">
        <w:t xml:space="preserve"> proposed total revenue requirement</w:t>
      </w:r>
      <w:r>
        <w:t xml:space="preserve"> </w:t>
      </w:r>
      <w:r w:rsidRPr="0094506C">
        <w:t>of $</w:t>
      </w:r>
      <w:r>
        <w:t>4781.9 </w:t>
      </w:r>
      <w:r w:rsidRPr="0094506C">
        <w:t xml:space="preserve">million </w:t>
      </w:r>
      <w:r>
        <w:t>($</w:t>
      </w:r>
      <w:r w:rsidR="000721C2">
        <w:t xml:space="preserve"> nominal) </w:t>
      </w:r>
      <w:r w:rsidRPr="0094506C">
        <w:t>over the 201</w:t>
      </w:r>
      <w:r>
        <w:t>5</w:t>
      </w:r>
      <w:r w:rsidRPr="0094506C">
        <w:t>–</w:t>
      </w:r>
      <w:r>
        <w:t>20</w:t>
      </w:r>
      <w:r w:rsidRPr="0094506C">
        <w:t xml:space="preserve"> </w:t>
      </w:r>
      <w:r>
        <w:t xml:space="preserve">regulatory control </w:t>
      </w:r>
      <w:r w:rsidRPr="0094506C">
        <w:t xml:space="preserve">period. </w:t>
      </w:r>
      <w:r w:rsidR="00656852">
        <w:t>This is because we have not accepted the building block costs in SA Power Networks' proposal.</w:t>
      </w:r>
      <w:r w:rsidR="00656852" w:rsidRPr="0094506C">
        <w:t xml:space="preserve"> </w:t>
      </w:r>
      <w:r w:rsidRPr="0094506C">
        <w:t xml:space="preserve">We determine a total revenue requirement </w:t>
      </w:r>
      <w:r w:rsidRPr="000B6AE9">
        <w:t>of $</w:t>
      </w:r>
      <w:r w:rsidR="001B5FCB" w:rsidRPr="00C83946">
        <w:t>3236.3</w:t>
      </w:r>
      <w:r w:rsidRPr="00C83946">
        <w:t>million ($ nominal)</w:t>
      </w:r>
      <w:r w:rsidRPr="000B6AE9">
        <w:t xml:space="preserve"> for</w:t>
      </w:r>
      <w:r w:rsidRPr="002B52F6">
        <w:t xml:space="preserve"> </w:t>
      </w:r>
      <w:r w:rsidR="000721C2">
        <w:t>SA Power Networks</w:t>
      </w:r>
      <w:r>
        <w:t xml:space="preserve"> </w:t>
      </w:r>
      <w:r w:rsidRPr="0094506C">
        <w:t xml:space="preserve">for </w:t>
      </w:r>
      <w:r>
        <w:t xml:space="preserve">the 2015–20 regulatory control period, reflecting our preliminary decision on the various </w:t>
      </w:r>
      <w:r w:rsidRPr="000B6AE9">
        <w:t xml:space="preserve">building block costs. This is a reduction of </w:t>
      </w:r>
      <w:r w:rsidRPr="00C83946">
        <w:t>$</w:t>
      </w:r>
      <w:r w:rsidR="001B5FCB" w:rsidRPr="00C83946">
        <w:t>1545.6</w:t>
      </w:r>
      <w:r w:rsidRPr="00C83946">
        <w:t> million ($ nominal)</w:t>
      </w:r>
      <w:r w:rsidRPr="000B6AE9">
        <w:t xml:space="preserve"> or </w:t>
      </w:r>
      <w:r w:rsidR="001B5FCB" w:rsidRPr="00C83946">
        <w:t xml:space="preserve">32.3 </w:t>
      </w:r>
      <w:r w:rsidRPr="00C83946">
        <w:t>per cent</w:t>
      </w:r>
      <w:r w:rsidRPr="000B6AE9">
        <w:t xml:space="preserve"> to </w:t>
      </w:r>
      <w:r w:rsidR="000721C2" w:rsidRPr="000B6AE9">
        <w:t>SA</w:t>
      </w:r>
      <w:r w:rsidR="000721C2">
        <w:t xml:space="preserve"> Power Network</w:t>
      </w:r>
      <w:r>
        <w:t>s</w:t>
      </w:r>
      <w:r w:rsidR="000721C2">
        <w:t>'</w:t>
      </w:r>
      <w:r w:rsidRPr="002B52F6">
        <w:t xml:space="preserve"> proposal.</w:t>
      </w:r>
    </w:p>
    <w:p w:rsidR="006D5079" w:rsidRDefault="006D5079" w:rsidP="00C83946">
      <w:proofErr w:type="gramStart"/>
      <w:r w:rsidRPr="00AC0E54">
        <w:t>As a result</w:t>
      </w:r>
      <w:proofErr w:type="gramEnd"/>
      <w:r w:rsidRPr="00AC0E54">
        <w:t xml:space="preserve"> of our smoothing of the ARRs, our </w:t>
      </w:r>
      <w:r>
        <w:t>preliminary</w:t>
      </w:r>
      <w:r w:rsidRPr="00AC0E54">
        <w:t xml:space="preserve"> decision </w:t>
      </w:r>
      <w:r>
        <w:t xml:space="preserve">on the annual expected revenue and X </w:t>
      </w:r>
      <w:r w:rsidR="00056981">
        <w:t xml:space="preserve">factor </w:t>
      </w:r>
      <w:r>
        <w:t>for each regulatory year of the 2015–20 regulatory control period is set out in</w:t>
      </w:r>
      <w:r w:rsidR="0075288C">
        <w:t xml:space="preserve"> </w:t>
      </w:r>
      <w:r w:rsidR="0075288C">
        <w:fldChar w:fldCharType="begin"/>
      </w:r>
      <w:r w:rsidR="0075288C">
        <w:instrText xml:space="preserve"> REF  _Ref397598046 \* Lower \h </w:instrText>
      </w:r>
      <w:r w:rsidR="0075288C">
        <w:fldChar w:fldCharType="separate"/>
      </w:r>
      <w:r w:rsidR="0025036E">
        <w:t xml:space="preserve">table </w:t>
      </w:r>
      <w:r w:rsidR="0025036E">
        <w:rPr>
          <w:noProof/>
        </w:rPr>
        <w:t>1</w:t>
      </w:r>
      <w:r w:rsidR="0025036E">
        <w:t>.</w:t>
      </w:r>
      <w:r w:rsidR="0025036E">
        <w:rPr>
          <w:noProof/>
        </w:rPr>
        <w:t>1</w:t>
      </w:r>
      <w:r w:rsidR="0075288C">
        <w:fldChar w:fldCharType="end"/>
      </w:r>
      <w:r>
        <w:t xml:space="preserve">. Our preliminary decision </w:t>
      </w:r>
      <w:r w:rsidRPr="00AC0E54">
        <w:t>is to approve total expected revenues (</w:t>
      </w:r>
      <w:r w:rsidRPr="000B6AE9">
        <w:t xml:space="preserve">smoothed) of </w:t>
      </w:r>
      <w:r w:rsidRPr="00C83946">
        <w:t>$</w:t>
      </w:r>
      <w:r w:rsidR="001B5FCB" w:rsidRPr="00C83946">
        <w:t>3211.3</w:t>
      </w:r>
      <w:r w:rsidRPr="00C83946">
        <w:t xml:space="preserve"> million ($ nominal)</w:t>
      </w:r>
      <w:r w:rsidRPr="000B6AE9">
        <w:t xml:space="preserve"> for</w:t>
      </w:r>
      <w:r w:rsidRPr="00AC0E54">
        <w:t xml:space="preserve"> the 201</w:t>
      </w:r>
      <w:r>
        <w:t>5</w:t>
      </w:r>
      <w:r w:rsidRPr="00AC0E54">
        <w:t>–</w:t>
      </w:r>
      <w:r>
        <w:t>20</w:t>
      </w:r>
      <w:r w:rsidRPr="00AC0E54">
        <w:t xml:space="preserve"> </w:t>
      </w:r>
      <w:r>
        <w:t xml:space="preserve">regulatory control </w:t>
      </w:r>
      <w:r w:rsidRPr="00AC0E54">
        <w:t>period.</w:t>
      </w:r>
    </w:p>
    <w:p w:rsidR="00D059AF" w:rsidRDefault="00D059AF" w:rsidP="00D059AF">
      <w:pPr>
        <w:numPr>
          <w:ilvl w:val="0"/>
          <w:numId w:val="25"/>
        </w:numPr>
      </w:pPr>
      <w:r>
        <w:fldChar w:fldCharType="begin"/>
      </w:r>
      <w:r>
        <w:instrText xml:space="preserve"> REF _Ref397598037 \h </w:instrText>
      </w:r>
      <w:r>
        <w:fldChar w:fldCharType="separate"/>
      </w:r>
      <w:r w:rsidR="0025036E">
        <w:t xml:space="preserve">Figure </w:t>
      </w:r>
      <w:r w:rsidR="0025036E">
        <w:rPr>
          <w:noProof/>
        </w:rPr>
        <w:t>1</w:t>
      </w:r>
      <w:r w:rsidR="0025036E">
        <w:t>.</w:t>
      </w:r>
      <w:r w:rsidR="0025036E">
        <w:rPr>
          <w:noProof/>
        </w:rPr>
        <w:t>1</w:t>
      </w:r>
      <w:r>
        <w:fldChar w:fldCharType="end"/>
      </w:r>
      <w:r w:rsidRPr="00933B05">
        <w:t xml:space="preserve"> </w:t>
      </w:r>
      <w:r>
        <w:t>shows</w:t>
      </w:r>
      <w:r w:rsidRPr="00933B05">
        <w:t xml:space="preserve"> the difference between </w:t>
      </w:r>
      <w:r w:rsidR="005A555D">
        <w:t xml:space="preserve">SA Power Networks' </w:t>
      </w:r>
      <w:r w:rsidRPr="00933B05">
        <w:t xml:space="preserve">proposal and </w:t>
      </w:r>
      <w:r>
        <w:t xml:space="preserve">our </w:t>
      </w:r>
      <w:r w:rsidR="00CA5C7A">
        <w:t>preliminary</w:t>
      </w:r>
      <w:r w:rsidRPr="00933B05">
        <w:t xml:space="preserve"> </w:t>
      </w:r>
      <w:r>
        <w:t>decision</w:t>
      </w:r>
      <w:r w:rsidRPr="00933B05">
        <w:t>.</w:t>
      </w:r>
      <w:r>
        <w:t xml:space="preserve"> </w:t>
      </w:r>
    </w:p>
    <w:p w:rsidR="00AF5046" w:rsidRPr="00AF5046" w:rsidRDefault="00AF5046" w:rsidP="00AF5046">
      <w:pPr>
        <w:pStyle w:val="ListParagraph"/>
        <w:numPr>
          <w:ilvl w:val="0"/>
          <w:numId w:val="25"/>
        </w:numPr>
      </w:pPr>
      <w:r w:rsidRPr="00AF5046">
        <w:fldChar w:fldCharType="begin"/>
      </w:r>
      <w:r w:rsidRPr="00AF5046">
        <w:instrText xml:space="preserve"> REF _Ref397598046 \h </w:instrText>
      </w:r>
      <w:r w:rsidRPr="00AF5046">
        <w:fldChar w:fldCharType="separate"/>
      </w:r>
      <w:r w:rsidRPr="00AF5046">
        <w:t>Table 1.1</w:t>
      </w:r>
      <w:r w:rsidRPr="00AF5046">
        <w:fldChar w:fldCharType="end"/>
      </w:r>
      <w:r w:rsidRPr="00AF5046">
        <w:t xml:space="preserve"> shows our preliminary decision on the building block costs, the ARR, annual expected revenue and X factor for each year of the 2015–20 regulatory control </w:t>
      </w:r>
      <w:proofErr w:type="gramStart"/>
      <w:r w:rsidRPr="00AF5046">
        <w:t>period</w:t>
      </w:r>
      <w:proofErr w:type="gramEnd"/>
      <w:r w:rsidRPr="00AF5046">
        <w:t xml:space="preserve">. </w:t>
      </w:r>
    </w:p>
    <w:p w:rsidR="00D059AF" w:rsidRDefault="00D059AF" w:rsidP="00D059AF">
      <w:pPr>
        <w:numPr>
          <w:ilvl w:val="0"/>
          <w:numId w:val="25"/>
        </w:numPr>
      </w:pPr>
    </w:p>
    <w:p w:rsidR="00D059AF" w:rsidRDefault="00D059AF" w:rsidP="00D059AF">
      <w:pPr>
        <w:pStyle w:val="Caption"/>
      </w:pPr>
      <w:bookmarkStart w:id="13" w:name="_Ref397598037"/>
      <w:r>
        <w:lastRenderedPageBreak/>
        <w:t xml:space="preserve">Figure </w:t>
      </w:r>
      <w:fldSimple w:instr=" STYLEREF 1 \s ">
        <w:r w:rsidR="0025036E">
          <w:rPr>
            <w:noProof/>
          </w:rPr>
          <w:t>1</w:t>
        </w:r>
      </w:fldSimple>
      <w:r w:rsidR="0025036E">
        <w:t>.</w:t>
      </w:r>
      <w:fldSimple w:instr=" SEQ Figure \* ARABIC \s 1 ">
        <w:r w:rsidR="0025036E">
          <w:rPr>
            <w:noProof/>
          </w:rPr>
          <w:t>1</w:t>
        </w:r>
      </w:fldSimple>
      <w:bookmarkEnd w:id="13"/>
      <w:r>
        <w:tab/>
      </w:r>
      <w:r w:rsidRPr="00090AE1">
        <w:t>AER</w:t>
      </w:r>
      <w:r>
        <w:t>'s</w:t>
      </w:r>
      <w:r w:rsidR="00CA5C7A">
        <w:t xml:space="preserve"> preliminary</w:t>
      </w:r>
      <w:r w:rsidRPr="00090AE1">
        <w:t xml:space="preserve"> </w:t>
      </w:r>
      <w:r>
        <w:t>decision</w:t>
      </w:r>
      <w:r w:rsidRPr="00090AE1">
        <w:t xml:space="preserve"> on </w:t>
      </w:r>
      <w:r w:rsidR="005A555D">
        <w:t xml:space="preserve">SA Power Networks' </w:t>
      </w:r>
      <w:r>
        <w:t>revenue for the 201</w:t>
      </w:r>
      <w:r w:rsidR="00CA5C7A">
        <w:t>5</w:t>
      </w:r>
      <w:r>
        <w:t>–</w:t>
      </w:r>
      <w:r w:rsidR="00CA5C7A">
        <w:t>20 regulatory control</w:t>
      </w:r>
      <w:r>
        <w:t xml:space="preserve"> period</w:t>
      </w:r>
      <w:r w:rsidRPr="00090AE1">
        <w:t xml:space="preserve"> ($million, nominal)</w:t>
      </w:r>
    </w:p>
    <w:p w:rsidR="007F5034" w:rsidRDefault="001B5FCB" w:rsidP="007F5034">
      <w:r w:rsidRPr="003256D6">
        <w:rPr>
          <w:rFonts w:asciiTheme="minorHAnsi" w:eastAsia="Calibri" w:hAnsiTheme="minorHAnsi" w:cs="Times New Roman"/>
          <w:noProof/>
          <w:sz w:val="16"/>
          <w:szCs w:val="16"/>
          <w:lang w:eastAsia="en-AU"/>
        </w:rPr>
        <w:drawing>
          <wp:inline distT="0" distB="0" distL="0" distR="0" wp14:anchorId="1912A5C9" wp14:editId="7B6EC36B">
            <wp:extent cx="5382895" cy="3253740"/>
            <wp:effectExtent l="0" t="0" r="825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2015 9-16-14 AM.png"/>
                    <pic:cNvPicPr/>
                  </pic:nvPicPr>
                  <pic:blipFill>
                    <a:blip r:embed="rId14">
                      <a:extLst>
                        <a:ext uri="{28A0092B-C50C-407E-A947-70E740481C1C}">
                          <a14:useLocalDpi xmlns:a14="http://schemas.microsoft.com/office/drawing/2010/main" val="0"/>
                        </a:ext>
                      </a:extLst>
                    </a:blip>
                    <a:stretch>
                      <a:fillRect/>
                    </a:stretch>
                  </pic:blipFill>
                  <pic:spPr>
                    <a:xfrm>
                      <a:off x="0" y="0"/>
                      <a:ext cx="5382895" cy="3253740"/>
                    </a:xfrm>
                    <a:prstGeom prst="rect">
                      <a:avLst/>
                    </a:prstGeom>
                  </pic:spPr>
                </pic:pic>
              </a:graphicData>
            </a:graphic>
          </wp:inline>
        </w:drawing>
      </w:r>
    </w:p>
    <w:p w:rsidR="00891A81" w:rsidRPr="00891A81" w:rsidRDefault="007F5034" w:rsidP="00891A81">
      <w:pPr>
        <w:pStyle w:val="AERtablesource"/>
      </w:pPr>
      <w:r w:rsidRPr="00891A81">
        <w:t xml:space="preserve">Source: </w:t>
      </w:r>
      <w:r w:rsidR="00891A81">
        <w:tab/>
      </w:r>
      <w:r w:rsidRPr="00891A81">
        <w:t xml:space="preserve">SA Power Networks, </w:t>
      </w:r>
      <w:r w:rsidRPr="00891A81">
        <w:rPr>
          <w:rStyle w:val="AERtextitalic"/>
        </w:rPr>
        <w:t>Regulatory proposal</w:t>
      </w:r>
      <w:r w:rsidRPr="00891A81">
        <w:t xml:space="preserve">, </w:t>
      </w:r>
      <w:r w:rsidR="00891A81">
        <w:t xml:space="preserve">October 2014, </w:t>
      </w:r>
      <w:r w:rsidR="00891A81" w:rsidRPr="00891A81">
        <w:t>p</w:t>
      </w:r>
      <w:r w:rsidR="00891A81">
        <w:t>. 352, table 29.1.</w:t>
      </w:r>
      <w:r w:rsidR="00891A81" w:rsidRPr="00891A81">
        <w:t xml:space="preserve"> </w:t>
      </w:r>
    </w:p>
    <w:p w:rsidR="00891A81" w:rsidRPr="00891A81" w:rsidRDefault="00891A81" w:rsidP="00891A81">
      <w:pPr>
        <w:pStyle w:val="AERtablesource"/>
      </w:pPr>
      <w:r>
        <w:tab/>
      </w:r>
      <w:r w:rsidRPr="00891A81">
        <w:t xml:space="preserve">AER analysis </w:t>
      </w:r>
    </w:p>
    <w:p w:rsidR="00D059AF" w:rsidRDefault="00D059AF" w:rsidP="00D059AF">
      <w:pPr>
        <w:pStyle w:val="Caption"/>
      </w:pPr>
      <w:bookmarkStart w:id="14" w:name="_Ref397598046"/>
      <w:r>
        <w:t xml:space="preserve">Table </w:t>
      </w:r>
      <w:fldSimple w:instr=" STYLEREF 1 \s ">
        <w:r w:rsidR="0025036E">
          <w:rPr>
            <w:noProof/>
          </w:rPr>
          <w:t>1</w:t>
        </w:r>
      </w:fldSimple>
      <w:r w:rsidR="0025036E">
        <w:t>.</w:t>
      </w:r>
      <w:r w:rsidR="006D6FA9">
        <w:fldChar w:fldCharType="begin"/>
      </w:r>
      <w:r w:rsidR="006D6FA9">
        <w:instrText xml:space="preserve"> SEQ Table \* ARABIC \s 1 </w:instrText>
      </w:r>
      <w:r w:rsidR="006D6FA9">
        <w:fldChar w:fldCharType="separate"/>
      </w:r>
      <w:r w:rsidR="0025036E">
        <w:rPr>
          <w:noProof/>
        </w:rPr>
        <w:t>1</w:t>
      </w:r>
      <w:r w:rsidR="006D6FA9">
        <w:rPr>
          <w:noProof/>
        </w:rPr>
        <w:fldChar w:fldCharType="end"/>
      </w:r>
      <w:bookmarkEnd w:id="14"/>
      <w:r>
        <w:tab/>
        <w:t>AER's</w:t>
      </w:r>
      <w:r w:rsidRPr="00090AE1">
        <w:t xml:space="preserve"> </w:t>
      </w:r>
      <w:r w:rsidR="00891A81">
        <w:t>preliminary</w:t>
      </w:r>
      <w:r w:rsidRPr="00090AE1">
        <w:t xml:space="preserve"> </w:t>
      </w:r>
      <w:r>
        <w:t>decision</w:t>
      </w:r>
      <w:r w:rsidRPr="00090AE1">
        <w:t xml:space="preserve"> on </w:t>
      </w:r>
      <w:r w:rsidR="005A555D">
        <w:t xml:space="preserve">SA Power Networks' </w:t>
      </w:r>
      <w:r w:rsidRPr="00090AE1">
        <w:t>revenue</w:t>
      </w:r>
      <w:r w:rsidR="00891A81">
        <w:t>s</w:t>
      </w:r>
      <w:r>
        <w:t xml:space="preserve"> for the 20</w:t>
      </w:r>
      <w:r w:rsidR="00891A81">
        <w:t>15</w:t>
      </w:r>
      <w:r>
        <w:t>–</w:t>
      </w:r>
      <w:r w:rsidR="00891A81">
        <w:t>20 regulatory control</w:t>
      </w:r>
      <w:r>
        <w:t xml:space="preserve"> period </w:t>
      </w:r>
      <w:r w:rsidRPr="00090AE1">
        <w:t>($million, nominal)</w:t>
      </w:r>
    </w:p>
    <w:tbl>
      <w:tblPr>
        <w:tblStyle w:val="AERtable-numbers"/>
        <w:tblW w:w="5036" w:type="pct"/>
        <w:tblLayout w:type="fixed"/>
        <w:tblLook w:val="04A0" w:firstRow="1" w:lastRow="0" w:firstColumn="1" w:lastColumn="0" w:noHBand="0" w:noVBand="1"/>
      </w:tblPr>
      <w:tblGrid>
        <w:gridCol w:w="3370"/>
        <w:gridCol w:w="897"/>
        <w:gridCol w:w="898"/>
        <w:gridCol w:w="898"/>
        <w:gridCol w:w="897"/>
        <w:gridCol w:w="898"/>
        <w:gridCol w:w="898"/>
      </w:tblGrid>
      <w:tr w:rsidR="00261CA3" w:rsidRPr="00616865" w:rsidTr="00372E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891A81" w:rsidRPr="00616865" w:rsidRDefault="00891A81" w:rsidP="00891A81">
            <w:r w:rsidRPr="00616865">
              <w:t> </w:t>
            </w:r>
          </w:p>
        </w:tc>
        <w:tc>
          <w:tcPr>
            <w:tcW w:w="512" w:type="pct"/>
            <w:noWrap/>
            <w:hideMark/>
          </w:tcPr>
          <w:p w:rsidR="00891A81" w:rsidRPr="00616865" w:rsidRDefault="00891A81" w:rsidP="00891A81">
            <w:pPr>
              <w:cnfStyle w:val="100000000000" w:firstRow="1" w:lastRow="0" w:firstColumn="0" w:lastColumn="0" w:oddVBand="0" w:evenVBand="0" w:oddHBand="0" w:evenHBand="0" w:firstRowFirstColumn="0" w:firstRowLastColumn="0" w:lastRowFirstColumn="0" w:lastRowLastColumn="0"/>
            </w:pPr>
            <w:r w:rsidRPr="00616865">
              <w:t>2015–16</w:t>
            </w:r>
          </w:p>
        </w:tc>
        <w:tc>
          <w:tcPr>
            <w:tcW w:w="513" w:type="pct"/>
            <w:noWrap/>
          </w:tcPr>
          <w:p w:rsidR="00891A81" w:rsidRPr="00616865" w:rsidRDefault="00891A81" w:rsidP="00891A81">
            <w:pPr>
              <w:cnfStyle w:val="100000000000" w:firstRow="1" w:lastRow="0" w:firstColumn="0" w:lastColumn="0" w:oddVBand="0" w:evenVBand="0" w:oddHBand="0" w:evenHBand="0" w:firstRowFirstColumn="0" w:firstRowLastColumn="0" w:lastRowFirstColumn="0" w:lastRowLastColumn="0"/>
            </w:pPr>
            <w:r w:rsidRPr="00616865">
              <w:t>2016–17</w:t>
            </w:r>
          </w:p>
        </w:tc>
        <w:tc>
          <w:tcPr>
            <w:tcW w:w="513" w:type="pct"/>
            <w:noWrap/>
          </w:tcPr>
          <w:p w:rsidR="00891A81" w:rsidRPr="00616865" w:rsidRDefault="00891A81" w:rsidP="00891A81">
            <w:pPr>
              <w:cnfStyle w:val="100000000000" w:firstRow="1" w:lastRow="0" w:firstColumn="0" w:lastColumn="0" w:oddVBand="0" w:evenVBand="0" w:oddHBand="0" w:evenHBand="0" w:firstRowFirstColumn="0" w:firstRowLastColumn="0" w:lastRowFirstColumn="0" w:lastRowLastColumn="0"/>
            </w:pPr>
            <w:r w:rsidRPr="00616865">
              <w:t>2017–18</w:t>
            </w:r>
          </w:p>
        </w:tc>
        <w:tc>
          <w:tcPr>
            <w:tcW w:w="512" w:type="pct"/>
            <w:noWrap/>
          </w:tcPr>
          <w:p w:rsidR="00891A81" w:rsidRPr="00616865" w:rsidRDefault="00891A81" w:rsidP="00891A81">
            <w:pPr>
              <w:cnfStyle w:val="100000000000" w:firstRow="1" w:lastRow="0" w:firstColumn="0" w:lastColumn="0" w:oddVBand="0" w:evenVBand="0" w:oddHBand="0" w:evenHBand="0" w:firstRowFirstColumn="0" w:firstRowLastColumn="0" w:lastRowFirstColumn="0" w:lastRowLastColumn="0"/>
            </w:pPr>
            <w:r w:rsidRPr="00616865">
              <w:t>2018–19</w:t>
            </w:r>
          </w:p>
        </w:tc>
        <w:tc>
          <w:tcPr>
            <w:tcW w:w="513" w:type="pct"/>
            <w:noWrap/>
          </w:tcPr>
          <w:p w:rsidR="00891A81" w:rsidRPr="00616865" w:rsidRDefault="00891A81" w:rsidP="00891A81">
            <w:pPr>
              <w:cnfStyle w:val="100000000000" w:firstRow="1" w:lastRow="0" w:firstColumn="0" w:lastColumn="0" w:oddVBand="0" w:evenVBand="0" w:oddHBand="0" w:evenHBand="0" w:firstRowFirstColumn="0" w:firstRowLastColumn="0" w:lastRowFirstColumn="0" w:lastRowLastColumn="0"/>
            </w:pPr>
            <w:r>
              <w:t>2019–20</w:t>
            </w:r>
          </w:p>
        </w:tc>
        <w:tc>
          <w:tcPr>
            <w:tcW w:w="513" w:type="pct"/>
            <w:noWrap/>
            <w:hideMark/>
          </w:tcPr>
          <w:p w:rsidR="00891A81" w:rsidRPr="00616865" w:rsidRDefault="00891A81" w:rsidP="00891A81">
            <w:pPr>
              <w:cnfStyle w:val="100000000000" w:firstRow="1" w:lastRow="0" w:firstColumn="0" w:lastColumn="0" w:oddVBand="0" w:evenVBand="0" w:oddHBand="0" w:evenHBand="0" w:firstRowFirstColumn="0" w:firstRowLastColumn="0" w:lastRowFirstColumn="0" w:lastRowLastColumn="0"/>
            </w:pPr>
            <w:r w:rsidRPr="00616865">
              <w:t>Total</w:t>
            </w:r>
          </w:p>
        </w:tc>
      </w:tr>
      <w:tr w:rsidR="001B5FCB"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r w:rsidRPr="001B5FCB">
              <w:t>Return on capital</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208.7</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222.4</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236.9</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251.3</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265.3</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1184.6</w:t>
            </w:r>
          </w:p>
        </w:tc>
      </w:tr>
      <w:tr w:rsidR="001B5FCB" w:rsidRPr="00616865" w:rsidTr="00372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r w:rsidRPr="001B5FCB">
              <w:t>Regulatory depreciation</w:t>
            </w:r>
          </w:p>
        </w:tc>
        <w:tc>
          <w:tcPr>
            <w:tcW w:w="512"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78.8</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95.6</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112.8</w:t>
            </w:r>
          </w:p>
        </w:tc>
        <w:tc>
          <w:tcPr>
            <w:tcW w:w="512"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128.5</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117.9</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533.7</w:t>
            </w:r>
          </w:p>
        </w:tc>
      </w:tr>
      <w:tr w:rsidR="001B5FCB"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r w:rsidRPr="001B5FCB">
              <w:t>Operating expenditure</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248.6</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257.6</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266.5</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275.9</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285.7</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1334.3</w:t>
            </w:r>
          </w:p>
        </w:tc>
      </w:tr>
      <w:tr w:rsidR="001B5FCB" w:rsidRPr="00616865" w:rsidTr="00372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r w:rsidRPr="001B5FCB">
              <w:t>Revenue adjustments</w:t>
            </w:r>
            <w:r w:rsidRPr="000B6AE9">
              <w:rPr>
                <w:rStyle w:val="AERsuperscript"/>
              </w:rPr>
              <w:t>a</w:t>
            </w:r>
          </w:p>
        </w:tc>
        <w:tc>
          <w:tcPr>
            <w:tcW w:w="512" w:type="pct"/>
            <w:noWrap/>
            <w:vAlign w:val="bottom"/>
          </w:tcPr>
          <w:p w:rsidR="001B5FCB" w:rsidRPr="001B5FCB" w:rsidRDefault="00D817C6" w:rsidP="001B5FCB">
            <w:pPr>
              <w:cnfStyle w:val="000000010000" w:firstRow="0" w:lastRow="0" w:firstColumn="0" w:lastColumn="0" w:oddVBand="0" w:evenVBand="0" w:oddHBand="0" w:evenHBand="1" w:firstRowFirstColumn="0" w:firstRowLastColumn="0" w:lastRowFirstColumn="0" w:lastRowLastColumn="0"/>
            </w:pPr>
            <w:r>
              <w:t>–</w:t>
            </w:r>
            <w:r w:rsidR="001B5FCB" w:rsidRPr="001B5FCB">
              <w:t>1.0</w:t>
            </w:r>
          </w:p>
        </w:tc>
        <w:tc>
          <w:tcPr>
            <w:tcW w:w="513" w:type="pct"/>
            <w:noWrap/>
            <w:vAlign w:val="bottom"/>
          </w:tcPr>
          <w:p w:rsidR="001B5FCB" w:rsidRPr="001B5FCB" w:rsidRDefault="00D817C6" w:rsidP="001B5FCB">
            <w:pPr>
              <w:cnfStyle w:val="000000010000" w:firstRow="0" w:lastRow="0" w:firstColumn="0" w:lastColumn="0" w:oddVBand="0" w:evenVBand="0" w:oddHBand="0" w:evenHBand="1" w:firstRowFirstColumn="0" w:firstRowLastColumn="0" w:lastRowFirstColumn="0" w:lastRowLastColumn="0"/>
            </w:pPr>
            <w:r>
              <w:t>–</w:t>
            </w:r>
            <w:r w:rsidR="001B5FCB" w:rsidRPr="001B5FCB">
              <w:t>5.4</w:t>
            </w:r>
          </w:p>
        </w:tc>
        <w:tc>
          <w:tcPr>
            <w:tcW w:w="513" w:type="pct"/>
            <w:noWrap/>
            <w:vAlign w:val="bottom"/>
          </w:tcPr>
          <w:p w:rsidR="001B5FCB" w:rsidRPr="001B5FCB" w:rsidRDefault="00D817C6" w:rsidP="001B5FCB">
            <w:pPr>
              <w:cnfStyle w:val="000000010000" w:firstRow="0" w:lastRow="0" w:firstColumn="0" w:lastColumn="0" w:oddVBand="0" w:evenVBand="0" w:oddHBand="0" w:evenHBand="1" w:firstRowFirstColumn="0" w:firstRowLastColumn="0" w:lastRowFirstColumn="0" w:lastRowLastColumn="0"/>
            </w:pPr>
            <w:r>
              <w:t>–</w:t>
            </w:r>
            <w:r w:rsidR="001B5FCB" w:rsidRPr="001B5FCB">
              <w:t>3.1</w:t>
            </w:r>
          </w:p>
        </w:tc>
        <w:tc>
          <w:tcPr>
            <w:tcW w:w="512"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4.0</w:t>
            </w:r>
          </w:p>
        </w:tc>
        <w:tc>
          <w:tcPr>
            <w:tcW w:w="513" w:type="pct"/>
            <w:noWrap/>
            <w:vAlign w:val="bottom"/>
          </w:tcPr>
          <w:p w:rsidR="001B5FCB" w:rsidRPr="001B5FCB" w:rsidRDefault="00D817C6" w:rsidP="001B5FCB">
            <w:pPr>
              <w:cnfStyle w:val="000000010000" w:firstRow="0" w:lastRow="0" w:firstColumn="0" w:lastColumn="0" w:oddVBand="0" w:evenVBand="0" w:oddHBand="0" w:evenHBand="1" w:firstRowFirstColumn="0" w:firstRowLastColumn="0" w:lastRowFirstColumn="0" w:lastRowLastColumn="0"/>
            </w:pPr>
            <w:r>
              <w:t>–</w:t>
            </w:r>
            <w:r w:rsidR="001B5FCB" w:rsidRPr="001B5FCB">
              <w:t>0.1</w:t>
            </w:r>
          </w:p>
        </w:tc>
        <w:tc>
          <w:tcPr>
            <w:tcW w:w="513" w:type="pct"/>
            <w:noWrap/>
            <w:vAlign w:val="bottom"/>
          </w:tcPr>
          <w:p w:rsidR="001B5FCB" w:rsidRPr="001B5FCB" w:rsidRDefault="00D817C6" w:rsidP="001B5FCB">
            <w:pPr>
              <w:cnfStyle w:val="000000010000" w:firstRow="0" w:lastRow="0" w:firstColumn="0" w:lastColumn="0" w:oddVBand="0" w:evenVBand="0" w:oddHBand="0" w:evenHBand="1" w:firstRowFirstColumn="0" w:firstRowLastColumn="0" w:lastRowFirstColumn="0" w:lastRowLastColumn="0"/>
            </w:pPr>
            <w:r>
              <w:t>–</w:t>
            </w:r>
            <w:r w:rsidR="001B5FCB" w:rsidRPr="001B5FCB">
              <w:t>5.6</w:t>
            </w:r>
          </w:p>
        </w:tc>
      </w:tr>
      <w:tr w:rsidR="001B5FCB" w:rsidRPr="00616865" w:rsidTr="00261CA3">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r w:rsidRPr="001B5FCB">
              <w:t>Net tax allowance</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33.9</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34.4</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35.7</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44.1</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41.3</w:t>
            </w:r>
          </w:p>
        </w:tc>
        <w:tc>
          <w:tcPr>
            <w:tcW w:w="513"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pPr>
            <w:r w:rsidRPr="001B5FCB">
              <w:t>189.3</w:t>
            </w:r>
          </w:p>
        </w:tc>
      </w:tr>
      <w:tr w:rsidR="001B5FCB" w:rsidRPr="00616865" w:rsidTr="00261C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r w:rsidRPr="001B5FCB">
              <w:t>Annual revenue requirement (unsmoothed)</w:t>
            </w:r>
          </w:p>
        </w:tc>
        <w:tc>
          <w:tcPr>
            <w:tcW w:w="512" w:type="pct"/>
            <w:noWrap/>
            <w:vAlign w:val="bottom"/>
          </w:tcPr>
          <w:p w:rsidR="001B5FCB" w:rsidRPr="001B5FCB" w:rsidRDefault="001B5FCB">
            <w:pPr>
              <w:cnfStyle w:val="000000010000" w:firstRow="0" w:lastRow="0" w:firstColumn="0" w:lastColumn="0" w:oddVBand="0" w:evenVBand="0" w:oddHBand="0" w:evenHBand="1" w:firstRowFirstColumn="0" w:firstRowLastColumn="0" w:lastRowFirstColumn="0" w:lastRowLastColumn="0"/>
            </w:pPr>
            <w:r w:rsidRPr="001B5FCB">
              <w:t>569.0</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604.6</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648.8</w:t>
            </w:r>
          </w:p>
        </w:tc>
        <w:tc>
          <w:tcPr>
            <w:tcW w:w="512"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703.9</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710.0</w:t>
            </w:r>
          </w:p>
        </w:tc>
        <w:tc>
          <w:tcPr>
            <w:tcW w:w="513" w:type="pct"/>
            <w:noWrap/>
            <w:vAlign w:val="bottom"/>
          </w:tcPr>
          <w:p w:rsidR="001B5FCB" w:rsidRPr="001B5FCB" w:rsidRDefault="001B5FCB" w:rsidP="001B5FCB">
            <w:pPr>
              <w:cnfStyle w:val="000000010000" w:firstRow="0" w:lastRow="0" w:firstColumn="0" w:lastColumn="0" w:oddVBand="0" w:evenVBand="0" w:oddHBand="0" w:evenHBand="1" w:firstRowFirstColumn="0" w:firstRowLastColumn="0" w:lastRowFirstColumn="0" w:lastRowLastColumn="0"/>
            </w:pPr>
            <w:r w:rsidRPr="001B5FCB">
              <w:t>3236.3</w:t>
            </w:r>
          </w:p>
        </w:tc>
      </w:tr>
      <w:tr w:rsidR="001B5FCB" w:rsidRPr="001B5FCB" w:rsidTr="00261CA3">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B5FCB" w:rsidRPr="001B5FCB" w:rsidRDefault="001B5FCB" w:rsidP="001B5FCB">
            <w:pPr>
              <w:rPr>
                <w:rStyle w:val="Strong"/>
              </w:rPr>
            </w:pPr>
            <w:r w:rsidRPr="001B5FCB">
              <w:rPr>
                <w:rStyle w:val="Strong"/>
              </w:rPr>
              <w:t>Annual expected revenue (smoothed)</w:t>
            </w:r>
          </w:p>
        </w:tc>
        <w:tc>
          <w:tcPr>
            <w:tcW w:w="512" w:type="pct"/>
            <w:noWrap/>
            <w:vAlign w:val="bottom"/>
          </w:tcPr>
          <w:p w:rsidR="001B5FCB" w:rsidRPr="001B5FCB" w:rsidRDefault="001B5FCB" w:rsidP="001B5FCB">
            <w:pPr>
              <w:cnfStyle w:val="000000000000" w:firstRow="0" w:lastRow="0" w:firstColumn="0" w:lastColumn="0" w:oddVBand="0" w:evenVBand="0" w:oddHBand="0" w:evenHBand="0" w:firstRowFirstColumn="0" w:firstRowLastColumn="0" w:lastRowFirstColumn="0" w:lastRowLastColumn="0"/>
              <w:rPr>
                <w:rStyle w:val="Strong"/>
              </w:rPr>
            </w:pPr>
            <w:r w:rsidRPr="000B6AE9">
              <w:rPr>
                <w:rStyle w:val="Strong"/>
              </w:rPr>
              <w:t>682.0</w:t>
            </w:r>
          </w:p>
        </w:tc>
        <w:tc>
          <w:tcPr>
            <w:tcW w:w="513" w:type="pct"/>
            <w:noWrap/>
            <w:vAlign w:val="bottom"/>
          </w:tcPr>
          <w:p w:rsidR="001B5FCB" w:rsidRPr="000B6AE9" w:rsidRDefault="001B5FCB" w:rsidP="001B5FCB">
            <w:pPr>
              <w:cnfStyle w:val="000000000000" w:firstRow="0" w:lastRow="0" w:firstColumn="0" w:lastColumn="0" w:oddVBand="0" w:evenVBand="0" w:oddHBand="0" w:evenHBand="0" w:firstRowFirstColumn="0" w:firstRowLastColumn="0" w:lastRowFirstColumn="0" w:lastRowLastColumn="0"/>
              <w:rPr>
                <w:rStyle w:val="Strong"/>
              </w:rPr>
            </w:pPr>
            <w:r w:rsidRPr="000B6AE9">
              <w:rPr>
                <w:rStyle w:val="Strong"/>
              </w:rPr>
              <w:t>630.2</w:t>
            </w:r>
          </w:p>
        </w:tc>
        <w:tc>
          <w:tcPr>
            <w:tcW w:w="513" w:type="pct"/>
            <w:noWrap/>
            <w:vAlign w:val="bottom"/>
          </w:tcPr>
          <w:p w:rsidR="001B5FCB" w:rsidRPr="000B6AE9" w:rsidRDefault="001B5FCB" w:rsidP="001B5FCB">
            <w:pPr>
              <w:cnfStyle w:val="000000000000" w:firstRow="0" w:lastRow="0" w:firstColumn="0" w:lastColumn="0" w:oddVBand="0" w:evenVBand="0" w:oddHBand="0" w:evenHBand="0" w:firstRowFirstColumn="0" w:firstRowLastColumn="0" w:lastRowFirstColumn="0" w:lastRowLastColumn="0"/>
              <w:rPr>
                <w:rStyle w:val="Strong"/>
              </w:rPr>
            </w:pPr>
            <w:r w:rsidRPr="000B6AE9">
              <w:rPr>
                <w:rStyle w:val="Strong"/>
              </w:rPr>
              <w:t>630.1</w:t>
            </w:r>
          </w:p>
        </w:tc>
        <w:tc>
          <w:tcPr>
            <w:tcW w:w="512" w:type="pct"/>
            <w:noWrap/>
            <w:vAlign w:val="bottom"/>
          </w:tcPr>
          <w:p w:rsidR="001B5FCB" w:rsidRPr="000B6AE9" w:rsidRDefault="001B5FCB" w:rsidP="001B5FCB">
            <w:pPr>
              <w:cnfStyle w:val="000000000000" w:firstRow="0" w:lastRow="0" w:firstColumn="0" w:lastColumn="0" w:oddVBand="0" w:evenVBand="0" w:oddHBand="0" w:evenHBand="0" w:firstRowFirstColumn="0" w:firstRowLastColumn="0" w:lastRowFirstColumn="0" w:lastRowLastColumn="0"/>
              <w:rPr>
                <w:rStyle w:val="Strong"/>
              </w:rPr>
            </w:pPr>
            <w:r w:rsidRPr="000B6AE9">
              <w:rPr>
                <w:rStyle w:val="Strong"/>
              </w:rPr>
              <w:t>630.0</w:t>
            </w:r>
          </w:p>
        </w:tc>
        <w:tc>
          <w:tcPr>
            <w:tcW w:w="513" w:type="pct"/>
            <w:noWrap/>
            <w:vAlign w:val="bottom"/>
          </w:tcPr>
          <w:p w:rsidR="001B5FCB" w:rsidRPr="000B6AE9" w:rsidRDefault="001B5FCB" w:rsidP="001B5FCB">
            <w:pPr>
              <w:cnfStyle w:val="000000000000" w:firstRow="0" w:lastRow="0" w:firstColumn="0" w:lastColumn="0" w:oddVBand="0" w:evenVBand="0" w:oddHBand="0" w:evenHBand="0" w:firstRowFirstColumn="0" w:firstRowLastColumn="0" w:lastRowFirstColumn="0" w:lastRowLastColumn="0"/>
              <w:rPr>
                <w:rStyle w:val="Strong"/>
              </w:rPr>
            </w:pPr>
            <w:r w:rsidRPr="000B6AE9">
              <w:rPr>
                <w:rStyle w:val="Strong"/>
              </w:rPr>
              <w:t>639.0</w:t>
            </w:r>
          </w:p>
        </w:tc>
        <w:tc>
          <w:tcPr>
            <w:tcW w:w="513" w:type="pct"/>
            <w:noWrap/>
            <w:vAlign w:val="bottom"/>
          </w:tcPr>
          <w:p w:rsidR="001B5FCB" w:rsidRPr="000B6AE9" w:rsidRDefault="001B5FCB" w:rsidP="001B5FCB">
            <w:pPr>
              <w:cnfStyle w:val="000000000000" w:firstRow="0" w:lastRow="0" w:firstColumn="0" w:lastColumn="0" w:oddVBand="0" w:evenVBand="0" w:oddHBand="0" w:evenHBand="0" w:firstRowFirstColumn="0" w:firstRowLastColumn="0" w:lastRowFirstColumn="0" w:lastRowLastColumn="0"/>
              <w:rPr>
                <w:rStyle w:val="Strong"/>
              </w:rPr>
            </w:pPr>
            <w:r w:rsidRPr="000B6AE9">
              <w:rPr>
                <w:rStyle w:val="Strong"/>
              </w:rPr>
              <w:t>3211.3</w:t>
            </w:r>
          </w:p>
        </w:tc>
      </w:tr>
      <w:tr w:rsidR="00333424" w:rsidRPr="00616865" w:rsidTr="000B6AE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333424" w:rsidRPr="00333424" w:rsidRDefault="00333424" w:rsidP="00333424">
            <w:r w:rsidRPr="00333424">
              <w:t>X factor</w:t>
            </w:r>
            <w:r w:rsidRPr="00333424">
              <w:rPr>
                <w:rStyle w:val="AERsuperscript"/>
              </w:rPr>
              <w:t>b</w:t>
            </w:r>
          </w:p>
        </w:tc>
        <w:tc>
          <w:tcPr>
            <w:tcW w:w="512" w:type="pct"/>
            <w:noWrap/>
            <w:vAlign w:val="bottom"/>
          </w:tcPr>
          <w:p w:rsidR="00333424" w:rsidRPr="00333424" w:rsidRDefault="00333424" w:rsidP="00333424">
            <w:pPr>
              <w:cnfStyle w:val="000000010000" w:firstRow="0" w:lastRow="0" w:firstColumn="0" w:lastColumn="0" w:oddVBand="0" w:evenVBand="0" w:oddHBand="0" w:evenHBand="1" w:firstRowFirstColumn="0" w:firstRowLastColumn="0" w:lastRowFirstColumn="0" w:lastRowLastColumn="0"/>
            </w:pPr>
            <w:r w:rsidRPr="00333424">
              <w:t>27.61%</w:t>
            </w:r>
          </w:p>
        </w:tc>
        <w:tc>
          <w:tcPr>
            <w:tcW w:w="513" w:type="pct"/>
            <w:noWrap/>
            <w:vAlign w:val="bottom"/>
          </w:tcPr>
          <w:p w:rsidR="00333424" w:rsidRPr="00333424" w:rsidRDefault="00333424" w:rsidP="00333424">
            <w:pPr>
              <w:cnfStyle w:val="000000010000" w:firstRow="0" w:lastRow="0" w:firstColumn="0" w:lastColumn="0" w:oddVBand="0" w:evenVBand="0" w:oddHBand="0" w:evenHBand="1" w:firstRowFirstColumn="0" w:firstRowLastColumn="0" w:lastRowFirstColumn="0" w:lastRowLastColumn="0"/>
            </w:pPr>
            <w:r w:rsidRPr="00333424">
              <w:t>9.90%</w:t>
            </w:r>
          </w:p>
        </w:tc>
        <w:tc>
          <w:tcPr>
            <w:tcW w:w="513" w:type="pct"/>
            <w:noWrap/>
            <w:vAlign w:val="bottom"/>
          </w:tcPr>
          <w:p w:rsidR="00333424" w:rsidRPr="00333424" w:rsidRDefault="00333424" w:rsidP="00333424">
            <w:pPr>
              <w:cnfStyle w:val="000000010000" w:firstRow="0" w:lastRow="0" w:firstColumn="0" w:lastColumn="0" w:oddVBand="0" w:evenVBand="0" w:oddHBand="0" w:evenHBand="1" w:firstRowFirstColumn="0" w:firstRowLastColumn="0" w:lastRowFirstColumn="0" w:lastRowLastColumn="0"/>
            </w:pPr>
            <w:r w:rsidRPr="00333424">
              <w:t>2.50%</w:t>
            </w:r>
          </w:p>
        </w:tc>
        <w:tc>
          <w:tcPr>
            <w:tcW w:w="512" w:type="pct"/>
            <w:noWrap/>
            <w:vAlign w:val="bottom"/>
          </w:tcPr>
          <w:p w:rsidR="00333424" w:rsidRPr="00333424" w:rsidRDefault="00333424" w:rsidP="00333424">
            <w:pPr>
              <w:cnfStyle w:val="000000010000" w:firstRow="0" w:lastRow="0" w:firstColumn="0" w:lastColumn="0" w:oddVBand="0" w:evenVBand="0" w:oddHBand="0" w:evenHBand="1" w:firstRowFirstColumn="0" w:firstRowLastColumn="0" w:lastRowFirstColumn="0" w:lastRowLastColumn="0"/>
            </w:pPr>
            <w:r w:rsidRPr="00333424">
              <w:t>2.50%</w:t>
            </w:r>
          </w:p>
        </w:tc>
        <w:tc>
          <w:tcPr>
            <w:tcW w:w="513" w:type="pct"/>
            <w:noWrap/>
            <w:vAlign w:val="bottom"/>
          </w:tcPr>
          <w:p w:rsidR="00333424" w:rsidRPr="00333424" w:rsidRDefault="00333424" w:rsidP="00333424">
            <w:pPr>
              <w:cnfStyle w:val="000000010000" w:firstRow="0" w:lastRow="0" w:firstColumn="0" w:lastColumn="0" w:oddVBand="0" w:evenVBand="0" w:oddHBand="0" w:evenHBand="1" w:firstRowFirstColumn="0" w:firstRowLastColumn="0" w:lastRowFirstColumn="0" w:lastRowLastColumn="0"/>
            </w:pPr>
            <w:r w:rsidRPr="00333424">
              <w:t>1.10%</w:t>
            </w:r>
          </w:p>
        </w:tc>
        <w:tc>
          <w:tcPr>
            <w:tcW w:w="513" w:type="pct"/>
            <w:noWrap/>
            <w:vAlign w:val="bottom"/>
          </w:tcPr>
          <w:p w:rsidR="00333424" w:rsidRPr="00333424" w:rsidRDefault="00333424" w:rsidP="00333424">
            <w:pPr>
              <w:cnfStyle w:val="000000010000" w:firstRow="0" w:lastRow="0" w:firstColumn="0" w:lastColumn="0" w:oddVBand="0" w:evenVBand="0" w:oddHBand="0" w:evenHBand="1" w:firstRowFirstColumn="0" w:firstRowLastColumn="0" w:lastRowFirstColumn="0" w:lastRowLastColumn="0"/>
            </w:pPr>
            <w:r>
              <w:t>n/a</w:t>
            </w:r>
          </w:p>
        </w:tc>
      </w:tr>
    </w:tbl>
    <w:p w:rsidR="00D059AF" w:rsidRDefault="00D059AF" w:rsidP="00D059AF">
      <w:pPr>
        <w:pStyle w:val="AERtablesource"/>
      </w:pPr>
      <w:r>
        <w:t>Source:</w:t>
      </w:r>
      <w:r>
        <w:tab/>
        <w:t>AER analysis.</w:t>
      </w:r>
    </w:p>
    <w:p w:rsidR="00656852" w:rsidRDefault="00D059AF" w:rsidP="00D059AF">
      <w:pPr>
        <w:pStyle w:val="AERtablesource"/>
      </w:pPr>
      <w:r>
        <w:t>(</w:t>
      </w:r>
      <w:r w:rsidR="00D8618F">
        <w:t>a</w:t>
      </w:r>
      <w:r>
        <w:t>)</w:t>
      </w:r>
      <w:r>
        <w:tab/>
      </w:r>
      <w:r w:rsidR="00656852" w:rsidRPr="00D44939">
        <w:t xml:space="preserve">Revenue adjustments include efficiency benefit sharing scheme </w:t>
      </w:r>
      <w:r w:rsidR="00656852">
        <w:t xml:space="preserve">carry-overs, shared asset amounts </w:t>
      </w:r>
      <w:r w:rsidR="00656852" w:rsidRPr="00D44939">
        <w:t xml:space="preserve">and </w:t>
      </w:r>
      <w:r w:rsidR="00656852">
        <w:t xml:space="preserve">forecast </w:t>
      </w:r>
      <w:r w:rsidR="00656852" w:rsidRPr="00D44939">
        <w:t>DMIA</w:t>
      </w:r>
      <w:r w:rsidRPr="001C2DB8">
        <w:t>.</w:t>
      </w:r>
      <w:r w:rsidR="00656852">
        <w:t xml:space="preserve"> </w:t>
      </w:r>
    </w:p>
    <w:p w:rsidR="00D059AF" w:rsidRDefault="00656852" w:rsidP="00D059AF">
      <w:pPr>
        <w:pStyle w:val="AERtablesource"/>
      </w:pPr>
      <w:r>
        <w:t>(b)</w:t>
      </w:r>
      <w:r>
        <w:tab/>
      </w:r>
      <w:r w:rsidRPr="001C2DB8">
        <w:t xml:space="preserve">The X factor </w:t>
      </w:r>
      <w:r>
        <w:t xml:space="preserve">from 2016–17 to 2019–20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DE563D" w:rsidRPr="003D4755" w:rsidRDefault="005A555D" w:rsidP="003D4755">
      <w:pPr>
        <w:pStyle w:val="Heading2"/>
      </w:pPr>
      <w:bookmarkStart w:id="15" w:name="_Toc403144137"/>
      <w:bookmarkStart w:id="16" w:name="_Toc415666264"/>
      <w:r>
        <w:lastRenderedPageBreak/>
        <w:t xml:space="preserve">SA Power Networks' </w:t>
      </w:r>
      <w:r w:rsidR="00DE563D" w:rsidRPr="003D4755">
        <w:t>proposal</w:t>
      </w:r>
      <w:bookmarkEnd w:id="15"/>
      <w:bookmarkEnd w:id="16"/>
    </w:p>
    <w:p w:rsidR="00F50889" w:rsidRDefault="00616865" w:rsidP="00E70C4D">
      <w:pPr>
        <w:numPr>
          <w:ilvl w:val="0"/>
          <w:numId w:val="25"/>
        </w:numPr>
      </w:pPr>
      <w:r>
        <w:t>SA Power Networks</w:t>
      </w:r>
      <w:r w:rsidR="00F50889">
        <w:t xml:space="preserve"> proposed a total revenue requirement of $</w:t>
      </w:r>
      <w:r>
        <w:t>47</w:t>
      </w:r>
      <w:r w:rsidR="00D8618F">
        <w:t>81</w:t>
      </w:r>
      <w:r>
        <w:t>.9</w:t>
      </w:r>
      <w:r w:rsidR="005D1E0B">
        <w:t xml:space="preserve"> </w:t>
      </w:r>
      <w:r>
        <w:t xml:space="preserve">million ($ nominal) for the </w:t>
      </w:r>
      <w:r w:rsidR="00F50889">
        <w:t>20</w:t>
      </w:r>
      <w:r>
        <w:t>15</w:t>
      </w:r>
      <w:r w:rsidR="00F50889">
        <w:t>–</w:t>
      </w:r>
      <w:r>
        <w:t>20 regulatory control</w:t>
      </w:r>
      <w:r w:rsidR="00F50889">
        <w:t xml:space="preserve"> period. </w:t>
      </w:r>
      <w:r w:rsidR="00F50889">
        <w:fldChar w:fldCharType="begin"/>
      </w:r>
      <w:r w:rsidR="00F50889">
        <w:instrText xml:space="preserve"> REF _Ref397603550 \h </w:instrText>
      </w:r>
      <w:r w:rsidR="00F50889">
        <w:fldChar w:fldCharType="separate"/>
      </w:r>
      <w:r w:rsidR="0025036E">
        <w:t xml:space="preserve">Table </w:t>
      </w:r>
      <w:r w:rsidR="0025036E">
        <w:rPr>
          <w:noProof/>
        </w:rPr>
        <w:t>1</w:t>
      </w:r>
      <w:r w:rsidR="0025036E">
        <w:t>.</w:t>
      </w:r>
      <w:r w:rsidR="0025036E">
        <w:rPr>
          <w:noProof/>
        </w:rPr>
        <w:t>2</w:t>
      </w:r>
      <w:r w:rsidR="00F50889">
        <w:fldChar w:fldCharType="end"/>
      </w:r>
      <w:r w:rsidR="00F50889">
        <w:t xml:space="preserve"> shows</w:t>
      </w:r>
      <w:r w:rsidR="00F50889" w:rsidRPr="00BB6E98">
        <w:t xml:space="preserve"> </w:t>
      </w:r>
      <w:r w:rsidR="005A555D">
        <w:t xml:space="preserve">SA Power Networks' </w:t>
      </w:r>
      <w:r w:rsidR="00F50889">
        <w:t>proposed</w:t>
      </w:r>
      <w:r w:rsidR="00F50889" w:rsidRPr="00BB6E98">
        <w:t xml:space="preserve"> building block</w:t>
      </w:r>
      <w:r w:rsidR="00F50889">
        <w:t xml:space="preserve"> cost</w:t>
      </w:r>
      <w:r w:rsidR="00F50889" w:rsidRPr="00BB6E98">
        <w:t>s</w:t>
      </w:r>
      <w:r w:rsidR="00056981">
        <w:t>,</w:t>
      </w:r>
      <w:r w:rsidR="00F50889" w:rsidRPr="00BB6E98">
        <w:t xml:space="preserve"> the </w:t>
      </w:r>
      <w:r w:rsidR="00056981">
        <w:t>ARR</w:t>
      </w:r>
      <w:r w:rsidR="00656852">
        <w:t>,</w:t>
      </w:r>
      <w:r w:rsidR="00F50889">
        <w:t xml:space="preserve"> expected revenue</w:t>
      </w:r>
      <w:r w:rsidR="00656852">
        <w:t xml:space="preserve"> and X factor</w:t>
      </w:r>
      <w:r w:rsidR="00F50889">
        <w:t xml:space="preserve"> for each year of the 201</w:t>
      </w:r>
      <w:r>
        <w:t>5</w:t>
      </w:r>
      <w:r w:rsidR="00F50889">
        <w:t>–</w:t>
      </w:r>
      <w:r>
        <w:t xml:space="preserve">20 regulatory control </w:t>
      </w:r>
      <w:r w:rsidR="00F50889">
        <w:t>period</w:t>
      </w:r>
      <w:r w:rsidR="00F50889" w:rsidRPr="00BB6E98">
        <w:t>.</w:t>
      </w:r>
    </w:p>
    <w:p w:rsidR="00F50889" w:rsidRDefault="00F50889" w:rsidP="00F50889">
      <w:pPr>
        <w:pStyle w:val="Caption"/>
      </w:pPr>
      <w:bookmarkStart w:id="17" w:name="_Ref397603550"/>
      <w:r>
        <w:t xml:space="preserve">Table </w:t>
      </w:r>
      <w:fldSimple w:instr=" STYLEREF 1 \s ">
        <w:r w:rsidR="0025036E">
          <w:rPr>
            <w:noProof/>
          </w:rPr>
          <w:t>1</w:t>
        </w:r>
      </w:fldSimple>
      <w:r w:rsidR="0025036E">
        <w:t>.</w:t>
      </w:r>
      <w:fldSimple w:instr=" SEQ Table \* ARABIC \s 1 ">
        <w:r w:rsidR="0025036E">
          <w:rPr>
            <w:noProof/>
          </w:rPr>
          <w:t>2</w:t>
        </w:r>
      </w:fldSimple>
      <w:bookmarkEnd w:id="17"/>
      <w:r>
        <w:tab/>
      </w:r>
      <w:r w:rsidR="005A555D">
        <w:t xml:space="preserve">SA Power Networks' </w:t>
      </w:r>
      <w:r>
        <w:t>proposed revenues for the 20</w:t>
      </w:r>
      <w:r w:rsidR="00D8618F">
        <w:t>15</w:t>
      </w:r>
      <w:r>
        <w:t>–</w:t>
      </w:r>
      <w:r w:rsidR="00D8618F">
        <w:t>20 regulatory control</w:t>
      </w:r>
      <w:r>
        <w:t xml:space="preserve">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616865" w:rsidRPr="00616865" w:rsidTr="00372E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616865" w:rsidRPr="00616865" w:rsidRDefault="00616865" w:rsidP="00616865">
            <w:r w:rsidRPr="00616865">
              <w:t> </w:t>
            </w:r>
          </w:p>
        </w:tc>
        <w:tc>
          <w:tcPr>
            <w:tcW w:w="897" w:type="dxa"/>
            <w:noWrap/>
            <w:hideMark/>
          </w:tcPr>
          <w:p w:rsidR="00616865" w:rsidRPr="00616865" w:rsidRDefault="00616865" w:rsidP="00616865">
            <w:pPr>
              <w:cnfStyle w:val="100000000000" w:firstRow="1" w:lastRow="0" w:firstColumn="0" w:lastColumn="0" w:oddVBand="0" w:evenVBand="0" w:oddHBand="0" w:evenHBand="0" w:firstRowFirstColumn="0" w:firstRowLastColumn="0" w:lastRowFirstColumn="0" w:lastRowLastColumn="0"/>
            </w:pPr>
            <w:r w:rsidRPr="00616865">
              <w:t>2015–16</w:t>
            </w:r>
          </w:p>
        </w:tc>
        <w:tc>
          <w:tcPr>
            <w:tcW w:w="898" w:type="dxa"/>
            <w:noWrap/>
            <w:hideMark/>
          </w:tcPr>
          <w:p w:rsidR="00616865" w:rsidRPr="00616865" w:rsidRDefault="00616865" w:rsidP="00616865">
            <w:pPr>
              <w:cnfStyle w:val="100000000000" w:firstRow="1" w:lastRow="0" w:firstColumn="0" w:lastColumn="0" w:oddVBand="0" w:evenVBand="0" w:oddHBand="0" w:evenHBand="0" w:firstRowFirstColumn="0" w:firstRowLastColumn="0" w:lastRowFirstColumn="0" w:lastRowLastColumn="0"/>
            </w:pPr>
            <w:r w:rsidRPr="00616865">
              <w:t>2016–17</w:t>
            </w:r>
          </w:p>
        </w:tc>
        <w:tc>
          <w:tcPr>
            <w:tcW w:w="898" w:type="dxa"/>
            <w:noWrap/>
            <w:hideMark/>
          </w:tcPr>
          <w:p w:rsidR="00616865" w:rsidRPr="00616865" w:rsidRDefault="00616865" w:rsidP="00616865">
            <w:pPr>
              <w:cnfStyle w:val="100000000000" w:firstRow="1" w:lastRow="0" w:firstColumn="0" w:lastColumn="0" w:oddVBand="0" w:evenVBand="0" w:oddHBand="0" w:evenHBand="0" w:firstRowFirstColumn="0" w:firstRowLastColumn="0" w:lastRowFirstColumn="0" w:lastRowLastColumn="0"/>
            </w:pPr>
            <w:r w:rsidRPr="00616865">
              <w:t>2017–18</w:t>
            </w:r>
          </w:p>
        </w:tc>
        <w:tc>
          <w:tcPr>
            <w:tcW w:w="897" w:type="dxa"/>
            <w:noWrap/>
            <w:hideMark/>
          </w:tcPr>
          <w:p w:rsidR="00616865" w:rsidRPr="00616865" w:rsidRDefault="00616865" w:rsidP="00616865">
            <w:pPr>
              <w:cnfStyle w:val="100000000000" w:firstRow="1" w:lastRow="0" w:firstColumn="0" w:lastColumn="0" w:oddVBand="0" w:evenVBand="0" w:oddHBand="0" w:evenHBand="0" w:firstRowFirstColumn="0" w:firstRowLastColumn="0" w:lastRowFirstColumn="0" w:lastRowLastColumn="0"/>
            </w:pPr>
            <w:r w:rsidRPr="00616865">
              <w:t>2018–19</w:t>
            </w:r>
          </w:p>
        </w:tc>
        <w:tc>
          <w:tcPr>
            <w:tcW w:w="898" w:type="dxa"/>
            <w:noWrap/>
            <w:hideMark/>
          </w:tcPr>
          <w:p w:rsidR="00616865" w:rsidRPr="00616865" w:rsidRDefault="00616865" w:rsidP="00616865">
            <w:pPr>
              <w:cnfStyle w:val="100000000000" w:firstRow="1" w:lastRow="0" w:firstColumn="0" w:lastColumn="0" w:oddVBand="0" w:evenVBand="0" w:oddHBand="0" w:evenHBand="0" w:firstRowFirstColumn="0" w:firstRowLastColumn="0" w:lastRowFirstColumn="0" w:lastRowLastColumn="0"/>
            </w:pPr>
            <w:r w:rsidRPr="00616865">
              <w:t>2019–20</w:t>
            </w:r>
          </w:p>
        </w:tc>
        <w:tc>
          <w:tcPr>
            <w:tcW w:w="898" w:type="dxa"/>
            <w:noWrap/>
            <w:hideMark/>
          </w:tcPr>
          <w:p w:rsidR="00616865" w:rsidRPr="00616865" w:rsidRDefault="00616865" w:rsidP="00616865">
            <w:pPr>
              <w:cnfStyle w:val="100000000000" w:firstRow="1" w:lastRow="0" w:firstColumn="0" w:lastColumn="0" w:oddVBand="0" w:evenVBand="0" w:oddHBand="0" w:evenHBand="0" w:firstRowFirstColumn="0" w:firstRowLastColumn="0" w:lastRowFirstColumn="0" w:lastRowLastColumn="0"/>
            </w:pPr>
            <w:r w:rsidRPr="00616865">
              <w:t>Total</w:t>
            </w:r>
          </w:p>
        </w:tc>
      </w:tr>
      <w:tr w:rsidR="00D8618F"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D8618F" w:rsidRDefault="00D8618F" w:rsidP="00D8618F">
            <w:r w:rsidRPr="00D8618F">
              <w:t>Return on capital</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292.0</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318.6</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347.8</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376.2</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404.3</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1738.7</w:t>
            </w:r>
          </w:p>
        </w:tc>
      </w:tr>
      <w:tr w:rsidR="00372EE1" w:rsidRPr="00616865" w:rsidTr="00372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D8618F" w:rsidRDefault="00D8618F" w:rsidP="00D8618F">
            <w:r w:rsidRPr="00D8618F">
              <w:t>Regulatory depreciation</w:t>
            </w:r>
          </w:p>
        </w:tc>
        <w:tc>
          <w:tcPr>
            <w:tcW w:w="897"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132.3</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161.3</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188.6</w:t>
            </w:r>
          </w:p>
        </w:tc>
        <w:tc>
          <w:tcPr>
            <w:tcW w:w="897"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215.5</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238.3</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936.0</w:t>
            </w:r>
          </w:p>
        </w:tc>
      </w:tr>
      <w:tr w:rsidR="00D8618F"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D8618F" w:rsidRDefault="00D8618F" w:rsidP="00D8618F">
            <w:r w:rsidRPr="00D8618F">
              <w:t>Operating expenditure</w:t>
            </w:r>
            <w:r w:rsidR="00D817C6">
              <w:rPr>
                <w:rStyle w:val="AERsuperscript"/>
              </w:rPr>
              <w:t>a</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292.9</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314.3</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340.7</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358.9</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373.2</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1680.1</w:t>
            </w:r>
          </w:p>
        </w:tc>
      </w:tr>
      <w:tr w:rsidR="00372EE1" w:rsidRPr="00616865" w:rsidTr="00372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D8618F" w:rsidRDefault="00D8618F" w:rsidP="00D8618F">
            <w:r w:rsidRPr="00D8618F">
              <w:t xml:space="preserve">Efficiency benefit sharing scheme </w:t>
            </w:r>
            <w:r w:rsidR="005D1E0B">
              <w:br/>
            </w:r>
            <w:r w:rsidRPr="00D8618F">
              <w:t>(carryover amounts)</w:t>
            </w:r>
          </w:p>
        </w:tc>
        <w:tc>
          <w:tcPr>
            <w:tcW w:w="897"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10.4</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17.1</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0.1</w:t>
            </w:r>
          </w:p>
        </w:tc>
        <w:tc>
          <w:tcPr>
            <w:tcW w:w="897" w:type="dxa"/>
            <w:noWrap/>
            <w:vAlign w:val="bottom"/>
            <w:hideMark/>
          </w:tcPr>
          <w:p w:rsidR="00D8618F" w:rsidRPr="00D8618F" w:rsidRDefault="005D1E0B" w:rsidP="005D1E0B">
            <w:pPr>
              <w:cnfStyle w:val="000000010000" w:firstRow="0" w:lastRow="0" w:firstColumn="0" w:lastColumn="0" w:oddVBand="0" w:evenVBand="0" w:oddHBand="0" w:evenHBand="1" w:firstRowFirstColumn="0" w:firstRowLastColumn="0" w:lastRowFirstColumn="0" w:lastRowLastColumn="0"/>
            </w:pPr>
            <w:r>
              <w:t>–</w:t>
            </w:r>
            <w:r w:rsidR="00D8618F" w:rsidRPr="00D8618F">
              <w:t>13.9</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0.0</w:t>
            </w:r>
          </w:p>
        </w:tc>
        <w:tc>
          <w:tcPr>
            <w:tcW w:w="898" w:type="dxa"/>
            <w:noWrap/>
            <w:vAlign w:val="bottom"/>
            <w:hideMark/>
          </w:tcPr>
          <w:p w:rsidR="00D8618F" w:rsidRPr="00D8618F" w:rsidRDefault="00D8618F" w:rsidP="00D8618F">
            <w:pPr>
              <w:cnfStyle w:val="000000010000" w:firstRow="0" w:lastRow="0" w:firstColumn="0" w:lastColumn="0" w:oddVBand="0" w:evenVBand="0" w:oddHBand="0" w:evenHBand="1" w:firstRowFirstColumn="0" w:firstRowLastColumn="0" w:lastRowFirstColumn="0" w:lastRowLastColumn="0"/>
            </w:pPr>
            <w:r w:rsidRPr="00D8618F">
              <w:t>13.7</w:t>
            </w:r>
          </w:p>
        </w:tc>
      </w:tr>
      <w:tr w:rsidR="000721C2"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0721C2" w:rsidRPr="000721C2" w:rsidRDefault="000721C2" w:rsidP="00B65798">
            <w:r w:rsidRPr="000721C2">
              <w:t xml:space="preserve">Shared </w:t>
            </w:r>
            <w:r w:rsidR="00B65798">
              <w:t>a</w:t>
            </w:r>
            <w:r w:rsidRPr="000721C2">
              <w:t xml:space="preserve">ssets </w:t>
            </w:r>
            <w:r w:rsidR="00B65798">
              <w:t>revenue adjustment</w:t>
            </w:r>
          </w:p>
        </w:tc>
        <w:tc>
          <w:tcPr>
            <w:tcW w:w="897" w:type="dxa"/>
            <w:noWrap/>
            <w:hideMark/>
          </w:tcPr>
          <w:p w:rsidR="000721C2" w:rsidRPr="000721C2" w:rsidRDefault="005D1E0B">
            <w:pPr>
              <w:cnfStyle w:val="000000000000" w:firstRow="0" w:lastRow="0" w:firstColumn="0" w:lastColumn="0" w:oddVBand="0" w:evenVBand="0" w:oddHBand="0" w:evenHBand="0" w:firstRowFirstColumn="0" w:firstRowLastColumn="0" w:lastRowFirstColumn="0" w:lastRowLastColumn="0"/>
            </w:pPr>
            <w:r>
              <w:t>–</w:t>
            </w:r>
            <w:r w:rsidR="000721C2" w:rsidRPr="000721C2">
              <w:t>0</w:t>
            </w:r>
            <w:r w:rsidR="00AB387A">
              <w:t>.</w:t>
            </w:r>
            <w:r w:rsidR="00372EE1">
              <w:t>8</w:t>
            </w:r>
          </w:p>
        </w:tc>
        <w:tc>
          <w:tcPr>
            <w:tcW w:w="898" w:type="dxa"/>
            <w:noWrap/>
            <w:hideMark/>
          </w:tcPr>
          <w:p w:rsidR="000721C2" w:rsidRPr="000721C2" w:rsidRDefault="005D1E0B">
            <w:pPr>
              <w:cnfStyle w:val="000000000000" w:firstRow="0" w:lastRow="0" w:firstColumn="0" w:lastColumn="0" w:oddVBand="0" w:evenVBand="0" w:oddHBand="0" w:evenHBand="0" w:firstRowFirstColumn="0" w:firstRowLastColumn="0" w:lastRowFirstColumn="0" w:lastRowLastColumn="0"/>
            </w:pPr>
            <w:r>
              <w:t>–</w:t>
            </w:r>
            <w:r w:rsidR="000721C2" w:rsidRPr="000721C2">
              <w:t>0.</w:t>
            </w:r>
            <w:r w:rsidR="00372EE1">
              <w:t>8</w:t>
            </w:r>
          </w:p>
        </w:tc>
        <w:tc>
          <w:tcPr>
            <w:tcW w:w="898" w:type="dxa"/>
            <w:noWrap/>
            <w:hideMark/>
          </w:tcPr>
          <w:p w:rsidR="000721C2" w:rsidRPr="000721C2" w:rsidRDefault="005D1E0B">
            <w:pPr>
              <w:cnfStyle w:val="000000000000" w:firstRow="0" w:lastRow="0" w:firstColumn="0" w:lastColumn="0" w:oddVBand="0" w:evenVBand="0" w:oddHBand="0" w:evenHBand="0" w:firstRowFirstColumn="0" w:firstRowLastColumn="0" w:lastRowFirstColumn="0" w:lastRowLastColumn="0"/>
            </w:pPr>
            <w:r>
              <w:t>–</w:t>
            </w:r>
            <w:r w:rsidR="000721C2" w:rsidRPr="000721C2">
              <w:t>0.</w:t>
            </w:r>
            <w:r w:rsidR="00372EE1">
              <w:t>8</w:t>
            </w:r>
          </w:p>
        </w:tc>
        <w:tc>
          <w:tcPr>
            <w:tcW w:w="897" w:type="dxa"/>
            <w:noWrap/>
            <w:hideMark/>
          </w:tcPr>
          <w:p w:rsidR="000721C2" w:rsidRPr="000721C2" w:rsidRDefault="000721C2" w:rsidP="000721C2">
            <w:pPr>
              <w:cnfStyle w:val="000000000000" w:firstRow="0" w:lastRow="0" w:firstColumn="0" w:lastColumn="0" w:oddVBand="0" w:evenVBand="0" w:oddHBand="0" w:evenHBand="0" w:firstRowFirstColumn="0" w:firstRowLastColumn="0" w:lastRowFirstColumn="0" w:lastRowLastColumn="0"/>
            </w:pPr>
            <w:r w:rsidRPr="000721C2">
              <w:t>0</w:t>
            </w:r>
          </w:p>
        </w:tc>
        <w:tc>
          <w:tcPr>
            <w:tcW w:w="898" w:type="dxa"/>
            <w:noWrap/>
            <w:hideMark/>
          </w:tcPr>
          <w:p w:rsidR="000721C2" w:rsidRPr="000721C2" w:rsidRDefault="000721C2" w:rsidP="000721C2">
            <w:pPr>
              <w:cnfStyle w:val="000000000000" w:firstRow="0" w:lastRow="0" w:firstColumn="0" w:lastColumn="0" w:oddVBand="0" w:evenVBand="0" w:oddHBand="0" w:evenHBand="0" w:firstRowFirstColumn="0" w:firstRowLastColumn="0" w:lastRowFirstColumn="0" w:lastRowLastColumn="0"/>
            </w:pPr>
            <w:r w:rsidRPr="000721C2">
              <w:t>0</w:t>
            </w:r>
          </w:p>
        </w:tc>
        <w:tc>
          <w:tcPr>
            <w:tcW w:w="898" w:type="dxa"/>
            <w:noWrap/>
            <w:hideMark/>
          </w:tcPr>
          <w:p w:rsidR="000721C2" w:rsidRPr="000721C2" w:rsidRDefault="005D1E0B">
            <w:pPr>
              <w:cnfStyle w:val="000000000000" w:firstRow="0" w:lastRow="0" w:firstColumn="0" w:lastColumn="0" w:oddVBand="0" w:evenVBand="0" w:oddHBand="0" w:evenHBand="0" w:firstRowFirstColumn="0" w:firstRowLastColumn="0" w:lastRowFirstColumn="0" w:lastRowLastColumn="0"/>
            </w:pPr>
            <w:r>
              <w:t>–</w:t>
            </w:r>
            <w:r w:rsidR="000721C2" w:rsidRPr="000721C2">
              <w:t>2.</w:t>
            </w:r>
            <w:r w:rsidR="003C1D88">
              <w:t>5</w:t>
            </w:r>
          </w:p>
        </w:tc>
      </w:tr>
      <w:tr w:rsidR="00372EE1" w:rsidRPr="00616865" w:rsidTr="00372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0721C2" w:rsidRPr="000721C2" w:rsidRDefault="000721C2" w:rsidP="000721C2">
            <w:r w:rsidRPr="00D8618F">
              <w:t>Net tax allowance</w:t>
            </w:r>
          </w:p>
        </w:tc>
        <w:tc>
          <w:tcPr>
            <w:tcW w:w="897" w:type="dxa"/>
            <w:noWrap/>
            <w:vAlign w:val="bottom"/>
            <w:hideMark/>
          </w:tcPr>
          <w:p w:rsidR="000721C2" w:rsidRPr="00D8618F" w:rsidRDefault="000721C2" w:rsidP="000721C2">
            <w:pPr>
              <w:cnfStyle w:val="000000010000" w:firstRow="0" w:lastRow="0" w:firstColumn="0" w:lastColumn="0" w:oddVBand="0" w:evenVBand="0" w:oddHBand="0" w:evenHBand="1" w:firstRowFirstColumn="0" w:firstRowLastColumn="0" w:lastRowFirstColumn="0" w:lastRowLastColumn="0"/>
            </w:pPr>
            <w:r w:rsidRPr="00D8618F">
              <w:t>76.3</w:t>
            </w:r>
          </w:p>
        </w:tc>
        <w:tc>
          <w:tcPr>
            <w:tcW w:w="898" w:type="dxa"/>
            <w:noWrap/>
            <w:vAlign w:val="bottom"/>
            <w:hideMark/>
          </w:tcPr>
          <w:p w:rsidR="000721C2" w:rsidRPr="00D8618F" w:rsidRDefault="000721C2" w:rsidP="000721C2">
            <w:pPr>
              <w:cnfStyle w:val="000000010000" w:firstRow="0" w:lastRow="0" w:firstColumn="0" w:lastColumn="0" w:oddVBand="0" w:evenVBand="0" w:oddHBand="0" w:evenHBand="1" w:firstRowFirstColumn="0" w:firstRowLastColumn="0" w:lastRowFirstColumn="0" w:lastRowLastColumn="0"/>
            </w:pPr>
            <w:r w:rsidRPr="00D8618F">
              <w:t>78.8</w:t>
            </w:r>
          </w:p>
        </w:tc>
        <w:tc>
          <w:tcPr>
            <w:tcW w:w="898" w:type="dxa"/>
            <w:noWrap/>
            <w:vAlign w:val="bottom"/>
            <w:hideMark/>
          </w:tcPr>
          <w:p w:rsidR="000721C2" w:rsidRPr="00D8618F" w:rsidRDefault="000721C2" w:rsidP="000721C2">
            <w:pPr>
              <w:cnfStyle w:val="000000010000" w:firstRow="0" w:lastRow="0" w:firstColumn="0" w:lastColumn="0" w:oddVBand="0" w:evenVBand="0" w:oddHBand="0" w:evenHBand="1" w:firstRowFirstColumn="0" w:firstRowLastColumn="0" w:lastRowFirstColumn="0" w:lastRowLastColumn="0"/>
            </w:pPr>
            <w:r w:rsidRPr="00D8618F">
              <w:t>82.3</w:t>
            </w:r>
          </w:p>
        </w:tc>
        <w:tc>
          <w:tcPr>
            <w:tcW w:w="897" w:type="dxa"/>
            <w:noWrap/>
            <w:vAlign w:val="bottom"/>
            <w:hideMark/>
          </w:tcPr>
          <w:p w:rsidR="000721C2" w:rsidRPr="00D8618F" w:rsidRDefault="000721C2" w:rsidP="000721C2">
            <w:pPr>
              <w:cnfStyle w:val="000000010000" w:firstRow="0" w:lastRow="0" w:firstColumn="0" w:lastColumn="0" w:oddVBand="0" w:evenVBand="0" w:oddHBand="0" w:evenHBand="1" w:firstRowFirstColumn="0" w:firstRowLastColumn="0" w:lastRowFirstColumn="0" w:lastRowLastColumn="0"/>
            </w:pPr>
            <w:r w:rsidRPr="00D8618F">
              <w:t>87.1</w:t>
            </w:r>
          </w:p>
        </w:tc>
        <w:tc>
          <w:tcPr>
            <w:tcW w:w="898" w:type="dxa"/>
            <w:noWrap/>
            <w:vAlign w:val="bottom"/>
            <w:hideMark/>
          </w:tcPr>
          <w:p w:rsidR="000721C2" w:rsidRPr="00D8618F" w:rsidRDefault="000721C2" w:rsidP="000721C2">
            <w:pPr>
              <w:cnfStyle w:val="000000010000" w:firstRow="0" w:lastRow="0" w:firstColumn="0" w:lastColumn="0" w:oddVBand="0" w:evenVBand="0" w:oddHBand="0" w:evenHBand="1" w:firstRowFirstColumn="0" w:firstRowLastColumn="0" w:lastRowFirstColumn="0" w:lastRowLastColumn="0"/>
            </w:pPr>
            <w:r w:rsidRPr="00D8618F">
              <w:t>91.3</w:t>
            </w:r>
          </w:p>
        </w:tc>
        <w:tc>
          <w:tcPr>
            <w:tcW w:w="898" w:type="dxa"/>
            <w:noWrap/>
            <w:vAlign w:val="bottom"/>
            <w:hideMark/>
          </w:tcPr>
          <w:p w:rsidR="000721C2" w:rsidRPr="00D8618F" w:rsidRDefault="000721C2" w:rsidP="000721C2">
            <w:pPr>
              <w:cnfStyle w:val="000000010000" w:firstRow="0" w:lastRow="0" w:firstColumn="0" w:lastColumn="0" w:oddVBand="0" w:evenVBand="0" w:oddHBand="0" w:evenHBand="1" w:firstRowFirstColumn="0" w:firstRowLastColumn="0" w:lastRowFirstColumn="0" w:lastRowLastColumn="0"/>
            </w:pPr>
            <w:r w:rsidRPr="00D8618F">
              <w:t>415.8</w:t>
            </w:r>
          </w:p>
        </w:tc>
      </w:tr>
      <w:tr w:rsidR="00D8618F"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D8618F" w:rsidRDefault="000721C2" w:rsidP="00D8618F">
            <w:r w:rsidRPr="006C6E80">
              <w:t>Annual revenue requirement (unsmoothed)</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803.0</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889.2</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958.7</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1023.9</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1107.2</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4781.9</w:t>
            </w:r>
          </w:p>
        </w:tc>
      </w:tr>
      <w:tr w:rsidR="00372EE1" w:rsidRPr="005D1E0B" w:rsidTr="00372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372EE1" w:rsidRDefault="000721C2" w:rsidP="00D8618F">
            <w:pPr>
              <w:rPr>
                <w:rStyle w:val="Strong"/>
              </w:rPr>
            </w:pPr>
            <w:r w:rsidRPr="00372EE1">
              <w:rPr>
                <w:rStyle w:val="Strong"/>
              </w:rPr>
              <w:t>Annual expected revenue (smoothed)</w:t>
            </w:r>
          </w:p>
        </w:tc>
        <w:tc>
          <w:tcPr>
            <w:tcW w:w="897" w:type="dxa"/>
            <w:noWrap/>
            <w:vAlign w:val="bottom"/>
            <w:hideMark/>
          </w:tcPr>
          <w:p w:rsidR="00D8618F" w:rsidRPr="00372EE1" w:rsidRDefault="00D8618F" w:rsidP="00D8618F">
            <w:pPr>
              <w:cnfStyle w:val="000000010000" w:firstRow="0" w:lastRow="0" w:firstColumn="0" w:lastColumn="0" w:oddVBand="0" w:evenVBand="0" w:oddHBand="0" w:evenHBand="1" w:firstRowFirstColumn="0" w:firstRowLastColumn="0" w:lastRowFirstColumn="0" w:lastRowLastColumn="0"/>
              <w:rPr>
                <w:rStyle w:val="Strong"/>
              </w:rPr>
            </w:pPr>
            <w:r w:rsidRPr="00372EE1">
              <w:rPr>
                <w:rStyle w:val="Strong"/>
              </w:rPr>
              <w:t>901.8</w:t>
            </w:r>
          </w:p>
        </w:tc>
        <w:tc>
          <w:tcPr>
            <w:tcW w:w="898" w:type="dxa"/>
            <w:noWrap/>
            <w:vAlign w:val="bottom"/>
            <w:hideMark/>
          </w:tcPr>
          <w:p w:rsidR="00D8618F" w:rsidRPr="00372EE1" w:rsidRDefault="00D8618F" w:rsidP="00D8618F">
            <w:pPr>
              <w:cnfStyle w:val="000000010000" w:firstRow="0" w:lastRow="0" w:firstColumn="0" w:lastColumn="0" w:oddVBand="0" w:evenVBand="0" w:oddHBand="0" w:evenHBand="1" w:firstRowFirstColumn="0" w:firstRowLastColumn="0" w:lastRowFirstColumn="0" w:lastRowLastColumn="0"/>
              <w:rPr>
                <w:rStyle w:val="Strong"/>
              </w:rPr>
            </w:pPr>
            <w:r w:rsidRPr="00372EE1">
              <w:rPr>
                <w:rStyle w:val="Strong"/>
              </w:rPr>
              <w:t>924.8</w:t>
            </w:r>
          </w:p>
        </w:tc>
        <w:tc>
          <w:tcPr>
            <w:tcW w:w="898" w:type="dxa"/>
            <w:noWrap/>
            <w:vAlign w:val="bottom"/>
            <w:hideMark/>
          </w:tcPr>
          <w:p w:rsidR="00D8618F" w:rsidRPr="00372EE1" w:rsidRDefault="00D8618F" w:rsidP="00D8618F">
            <w:pPr>
              <w:cnfStyle w:val="000000010000" w:firstRow="0" w:lastRow="0" w:firstColumn="0" w:lastColumn="0" w:oddVBand="0" w:evenVBand="0" w:oddHBand="0" w:evenHBand="1" w:firstRowFirstColumn="0" w:firstRowLastColumn="0" w:lastRowFirstColumn="0" w:lastRowLastColumn="0"/>
              <w:rPr>
                <w:rStyle w:val="Strong"/>
              </w:rPr>
            </w:pPr>
            <w:r w:rsidRPr="00372EE1">
              <w:rPr>
                <w:rStyle w:val="Strong"/>
              </w:rPr>
              <w:t>948.4</w:t>
            </w:r>
          </w:p>
        </w:tc>
        <w:tc>
          <w:tcPr>
            <w:tcW w:w="897" w:type="dxa"/>
            <w:noWrap/>
            <w:vAlign w:val="bottom"/>
            <w:hideMark/>
          </w:tcPr>
          <w:p w:rsidR="00D8618F" w:rsidRPr="00372EE1" w:rsidRDefault="00D8618F" w:rsidP="00D8618F">
            <w:pPr>
              <w:cnfStyle w:val="000000010000" w:firstRow="0" w:lastRow="0" w:firstColumn="0" w:lastColumn="0" w:oddVBand="0" w:evenVBand="0" w:oddHBand="0" w:evenHBand="1" w:firstRowFirstColumn="0" w:firstRowLastColumn="0" w:lastRowFirstColumn="0" w:lastRowLastColumn="0"/>
              <w:rPr>
                <w:rStyle w:val="Strong"/>
              </w:rPr>
            </w:pPr>
            <w:r w:rsidRPr="00372EE1">
              <w:rPr>
                <w:rStyle w:val="Strong"/>
              </w:rPr>
              <w:t>972.6</w:t>
            </w:r>
          </w:p>
        </w:tc>
        <w:tc>
          <w:tcPr>
            <w:tcW w:w="898" w:type="dxa"/>
            <w:noWrap/>
            <w:vAlign w:val="bottom"/>
            <w:hideMark/>
          </w:tcPr>
          <w:p w:rsidR="00D8618F" w:rsidRPr="00372EE1" w:rsidRDefault="00D8618F" w:rsidP="00D8618F">
            <w:pPr>
              <w:cnfStyle w:val="000000010000" w:firstRow="0" w:lastRow="0" w:firstColumn="0" w:lastColumn="0" w:oddVBand="0" w:evenVBand="0" w:oddHBand="0" w:evenHBand="1" w:firstRowFirstColumn="0" w:firstRowLastColumn="0" w:lastRowFirstColumn="0" w:lastRowLastColumn="0"/>
              <w:rPr>
                <w:rStyle w:val="Strong"/>
              </w:rPr>
            </w:pPr>
            <w:r w:rsidRPr="00372EE1">
              <w:rPr>
                <w:rStyle w:val="Strong"/>
              </w:rPr>
              <w:t>997.4</w:t>
            </w:r>
          </w:p>
        </w:tc>
        <w:tc>
          <w:tcPr>
            <w:tcW w:w="898" w:type="dxa"/>
            <w:noWrap/>
            <w:vAlign w:val="bottom"/>
            <w:hideMark/>
          </w:tcPr>
          <w:p w:rsidR="00D8618F" w:rsidRPr="00372EE1" w:rsidRDefault="00D8618F" w:rsidP="00D8618F">
            <w:pPr>
              <w:cnfStyle w:val="000000010000" w:firstRow="0" w:lastRow="0" w:firstColumn="0" w:lastColumn="0" w:oddVBand="0" w:evenVBand="0" w:oddHBand="0" w:evenHBand="1" w:firstRowFirstColumn="0" w:firstRowLastColumn="0" w:lastRowFirstColumn="0" w:lastRowLastColumn="0"/>
              <w:rPr>
                <w:rStyle w:val="Strong"/>
              </w:rPr>
            </w:pPr>
            <w:r w:rsidRPr="00372EE1">
              <w:rPr>
                <w:rStyle w:val="Strong"/>
              </w:rPr>
              <w:t>4744.9</w:t>
            </w:r>
          </w:p>
        </w:tc>
      </w:tr>
      <w:tr w:rsidR="00D8618F" w:rsidRPr="00616865" w:rsidTr="00372EE1">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D8618F" w:rsidRPr="00D8618F" w:rsidRDefault="00D8618F" w:rsidP="00D8618F">
            <w:r w:rsidRPr="00D8618F">
              <w:t>X factor (%)</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t>4</w:t>
            </w:r>
            <w:r w:rsidRPr="00D8618F">
              <w:t>.</w:t>
            </w:r>
            <w:r w:rsidR="00333424">
              <w:t>28</w:t>
            </w:r>
            <w:r>
              <w:t>%</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0.0</w:t>
            </w:r>
            <w:r w:rsidR="00333424">
              <w:t>0</w:t>
            </w:r>
            <w:r>
              <w:t>%</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0.0</w:t>
            </w:r>
            <w:r w:rsidR="00333424">
              <w:t>0</w:t>
            </w:r>
            <w:r>
              <w:t>%</w:t>
            </w:r>
          </w:p>
        </w:tc>
        <w:tc>
          <w:tcPr>
            <w:tcW w:w="897"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0.0</w:t>
            </w:r>
            <w:r w:rsidR="00333424">
              <w:t>0</w:t>
            </w:r>
            <w:r>
              <w:t>%</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0.0</w:t>
            </w:r>
            <w:r w:rsidR="00333424">
              <w:t>0</w:t>
            </w:r>
            <w:r>
              <w:t>%</w:t>
            </w:r>
          </w:p>
        </w:tc>
        <w:tc>
          <w:tcPr>
            <w:tcW w:w="898" w:type="dxa"/>
            <w:noWrap/>
            <w:vAlign w:val="bottom"/>
            <w:hideMark/>
          </w:tcPr>
          <w:p w:rsidR="00D8618F" w:rsidRPr="00D8618F" w:rsidRDefault="00D8618F" w:rsidP="00D8618F">
            <w:pPr>
              <w:cnfStyle w:val="000000000000" w:firstRow="0" w:lastRow="0" w:firstColumn="0" w:lastColumn="0" w:oddVBand="0" w:evenVBand="0" w:oddHBand="0" w:evenHBand="0" w:firstRowFirstColumn="0" w:firstRowLastColumn="0" w:lastRowFirstColumn="0" w:lastRowLastColumn="0"/>
            </w:pPr>
            <w:r w:rsidRPr="00D8618F">
              <w:t>n/a</w:t>
            </w:r>
          </w:p>
        </w:tc>
      </w:tr>
    </w:tbl>
    <w:p w:rsidR="00F50889" w:rsidRDefault="00F50889" w:rsidP="00F50889">
      <w:pPr>
        <w:pStyle w:val="AERtablesource"/>
      </w:pPr>
      <w:r w:rsidRPr="004E488E">
        <w:t>Source:</w:t>
      </w:r>
      <w:r w:rsidRPr="004E488E">
        <w:tab/>
      </w:r>
      <w:r w:rsidR="00616865">
        <w:t>SA Power Networks</w:t>
      </w:r>
      <w:r w:rsidRPr="00DB7CF9">
        <w:t xml:space="preserve">, </w:t>
      </w:r>
      <w:r w:rsidRPr="00DB7CF9">
        <w:rPr>
          <w:rStyle w:val="AERtextitalic"/>
        </w:rPr>
        <w:t>Regulatory proposal</w:t>
      </w:r>
      <w:r w:rsidRPr="00DB7CF9">
        <w:t xml:space="preserve">, </w:t>
      </w:r>
      <w:r w:rsidR="00616865">
        <w:t>October</w:t>
      </w:r>
      <w:r w:rsidRPr="00DB7CF9">
        <w:t xml:space="preserve"> 2014, </w:t>
      </w:r>
      <w:r w:rsidR="00D8618F">
        <w:t>p. 352, table 29.1</w:t>
      </w:r>
    </w:p>
    <w:p w:rsidR="00D817C6" w:rsidRPr="00D817C6" w:rsidRDefault="00D817C6" w:rsidP="00D817C6">
      <w:pPr>
        <w:pStyle w:val="AERtablesource"/>
      </w:pPr>
      <w:r w:rsidRPr="00D817C6">
        <w:t>(a)</w:t>
      </w:r>
      <w:r w:rsidRPr="00D817C6">
        <w:tab/>
      </w:r>
      <w:r>
        <w:t>Operating expenditure includes proposed forecast DMIA</w:t>
      </w:r>
      <w:r w:rsidR="00F92C3A">
        <w:t>.</w:t>
      </w:r>
      <w:r>
        <w:t xml:space="preserve"> </w:t>
      </w:r>
    </w:p>
    <w:p w:rsidR="00DE563D" w:rsidRPr="003D4755" w:rsidRDefault="00DE563D" w:rsidP="003D4755">
      <w:pPr>
        <w:pStyle w:val="Heading2"/>
      </w:pPr>
      <w:bookmarkStart w:id="18" w:name="_Toc403144138"/>
      <w:bookmarkStart w:id="19" w:name="_Toc415666265"/>
      <w:r w:rsidRPr="003D4755">
        <w:t>AER’s assessment approach</w:t>
      </w:r>
      <w:bookmarkEnd w:id="18"/>
      <w:bookmarkEnd w:id="19"/>
    </w:p>
    <w:p w:rsidR="00D8618F" w:rsidRDefault="00F50889" w:rsidP="00F50889">
      <w:r>
        <w:t>We are required to determine the ARR</w:t>
      </w:r>
      <w:r w:rsidRPr="00CE1BED">
        <w:t xml:space="preserve"> for </w:t>
      </w:r>
      <w:r w:rsidR="00616865">
        <w:t>SA Power Networks</w:t>
      </w:r>
      <w:r>
        <w:t xml:space="preserve"> for </w:t>
      </w:r>
      <w:r w:rsidRPr="00CE1BED">
        <w:t xml:space="preserve">each year of the </w:t>
      </w:r>
      <w:r>
        <w:t>201</w:t>
      </w:r>
      <w:r w:rsidR="00D8618F">
        <w:t>5</w:t>
      </w:r>
      <w:r>
        <w:t>–</w:t>
      </w:r>
      <w:r w:rsidR="00D8618F">
        <w:t>20</w:t>
      </w:r>
      <w:r>
        <w:t xml:space="preserve"> </w:t>
      </w:r>
      <w:r w:rsidR="00D8618F">
        <w:t xml:space="preserve">regulatory control </w:t>
      </w:r>
      <w:r w:rsidRPr="00CE1BED">
        <w:t>period</w:t>
      </w:r>
      <w:r>
        <w:t>.</w:t>
      </w:r>
      <w:r>
        <w:rPr>
          <w:rStyle w:val="FootnoteReference"/>
        </w:rPr>
        <w:footnoteReference w:id="1"/>
      </w:r>
      <w:r>
        <w:t xml:space="preserve"> </w:t>
      </w:r>
    </w:p>
    <w:p w:rsidR="00F50889" w:rsidRDefault="00F50889" w:rsidP="00F50889">
      <w:r>
        <w:t>In this determination we first calculate ARRs for each year of the</w:t>
      </w:r>
      <w:r w:rsidR="00D8618F">
        <w:t xml:space="preserve"> 2015–20 regulatory control period</w:t>
      </w:r>
      <w:r>
        <w:t xml:space="preserve">. To do this we consider the various costs facing the service provider and the trade-offs and interactions between these costs, service quality and across years. </w:t>
      </w:r>
      <w:r w:rsidRPr="000B32FD">
        <w:t>This reflects the AER's holistic assessment of the service provider's proposal.</w:t>
      </w:r>
    </w:p>
    <w:p w:rsidR="00F50889" w:rsidRDefault="00F50889" w:rsidP="00F50889">
      <w:r>
        <w:t>The ARR</w:t>
      </w:r>
      <w:r w:rsidRPr="005A0FD1">
        <w:t xml:space="preserve"> </w:t>
      </w:r>
      <w:r>
        <w:t xml:space="preserve">for each year </w:t>
      </w:r>
      <w:r w:rsidRPr="005A0FD1">
        <w:t xml:space="preserve">is </w:t>
      </w:r>
      <w:r>
        <w:t>the sum of the building block costs. These building block costs are set out in section</w:t>
      </w:r>
      <w:r w:rsidR="000B6AE9">
        <w:fldChar w:fldCharType="begin"/>
      </w:r>
      <w:r w:rsidR="000B6AE9">
        <w:instrText xml:space="preserve"> REF _Ref417306779 \r \h </w:instrText>
      </w:r>
      <w:r w:rsidR="000B6AE9">
        <w:fldChar w:fldCharType="separate"/>
      </w:r>
      <w:r w:rsidR="0025036E">
        <w:t>1.3.1</w:t>
      </w:r>
      <w:r w:rsidR="000B6AE9">
        <w:fldChar w:fldCharType="end"/>
      </w:r>
      <w:r>
        <w:t xml:space="preserve">. The </w:t>
      </w:r>
      <w:r w:rsidRPr="00D046F4">
        <w:t xml:space="preserve">AER's post-tax revenue model (PTRM) </w:t>
      </w:r>
      <w:r>
        <w:t xml:space="preserve">brings together these building block costs and calculates the resulting ARRs. </w:t>
      </w:r>
    </w:p>
    <w:p w:rsidR="00F50889" w:rsidRDefault="00F50889" w:rsidP="00F50889">
      <w:r>
        <w:t>We understand the trade-offs that occur between building block costs and test</w:t>
      </w:r>
      <w:r w:rsidRPr="00AC172D">
        <w:t xml:space="preserve"> the </w:t>
      </w:r>
      <w:r>
        <w:t>sensitivity of these</w:t>
      </w:r>
      <w:r w:rsidRPr="00AC172D">
        <w:t xml:space="preserve"> costs to their various driv</w:t>
      </w:r>
      <w:r>
        <w:t>er</w:t>
      </w:r>
      <w:r w:rsidRPr="00AC172D">
        <w:t xml:space="preserve"> elements</w:t>
      </w:r>
      <w:r>
        <w:t xml:space="preserve">. These trade-offs are </w:t>
      </w:r>
      <w:r>
        <w:lastRenderedPageBreak/>
        <w:t xml:space="preserve">discussed in the interrelationships section of the various attachments to this </w:t>
      </w:r>
      <w:r w:rsidR="00D8618F">
        <w:t>preliminary</w:t>
      </w:r>
      <w:r>
        <w:t xml:space="preserve"> decision and are reflected in the calculations made in the PTRM developed by the AER.</w:t>
      </w:r>
      <w:r>
        <w:rPr>
          <w:rStyle w:val="FootnoteReference"/>
        </w:rPr>
        <w:footnoteReference w:id="2"/>
      </w:r>
      <w:r>
        <w:t xml:space="preserve"> Such understanding allows the AER to exercise judgement in determining the final inputs into the PTRM and the ARRs that result from this modelling. </w:t>
      </w:r>
    </w:p>
    <w:p w:rsidR="000721C2" w:rsidRDefault="000721C2" w:rsidP="000721C2">
      <w:r w:rsidRPr="000721C2">
        <w:t>Having determined the total revenue requirement for the 2015–20 regulatory control period, the ARRs for each regulatory year are smoothed across the 2015–20 regulatory control period</w:t>
      </w:r>
      <w:r w:rsidR="00D36AE1">
        <w:t>. This is</w:t>
      </w:r>
      <w:r w:rsidRPr="000721C2">
        <w:t xml:space="preserve"> to reduce revenue variations between years and to come up with the expected revenue for each year. This is done through the determination of the X factors.</w:t>
      </w:r>
      <w:r w:rsidRPr="000721C2">
        <w:rPr>
          <w:rStyle w:val="FootnoteReference"/>
        </w:rPr>
        <w:footnoteReference w:id="3"/>
      </w:r>
      <w:r w:rsidRPr="000721C2">
        <w:t xml:space="preserve"> The X factor must equalise (in net present value terms) the total expected revenues to be earned by the service provider with the total revenue requirement for the 2015–20 regulatory control period.</w:t>
      </w:r>
      <w:r w:rsidRPr="000721C2">
        <w:rPr>
          <w:rStyle w:val="FootnoteReference"/>
        </w:rPr>
        <w:footnoteReference w:id="4"/>
      </w:r>
      <w:r w:rsidRPr="000721C2">
        <w:t xml:space="preserve"> The X factor must usually minimise, as far as reasonably possible, the variance between the expected revenue and ARR for the last regulatory year of the period.</w:t>
      </w:r>
      <w:r w:rsidRPr="000721C2">
        <w:rPr>
          <w:rStyle w:val="FootnoteReference"/>
        </w:rPr>
        <w:footnoteReference w:id="5"/>
      </w:r>
      <w:r w:rsidRPr="000721C2">
        <w:t xml:space="preserve"> </w:t>
      </w:r>
    </w:p>
    <w:p w:rsidR="005906AC" w:rsidRPr="007118FB" w:rsidRDefault="000721C2" w:rsidP="005906AC">
      <w:pPr>
        <w:numPr>
          <w:ilvl w:val="0"/>
          <w:numId w:val="25"/>
        </w:numPr>
      </w:pPr>
      <w:r w:rsidRPr="000721C2">
        <w:t>For this preliminary decision, the expected revenue in the last year of the regulatory control period are not required to be as close as reasonably possible to the ARR for that year, due to the transitional provisions.</w:t>
      </w:r>
      <w:r w:rsidRPr="000721C2">
        <w:rPr>
          <w:rStyle w:val="AERsuperscript"/>
        </w:rPr>
        <w:footnoteReference w:id="6"/>
      </w:r>
      <w:r w:rsidRPr="000721C2">
        <w:t xml:space="preserve"> </w:t>
      </w:r>
      <w:r w:rsidR="005906AC" w:rsidRPr="007118FB">
        <w:t>Typically, we would target a divergence of less than 3 per cent between the expected revenue and ARR for the last year of the regulatory control period, if this can promote smoother price changes over the regulatory control period. However, due to the required true-up for 201</w:t>
      </w:r>
      <w:r w:rsidR="005906AC">
        <w:t>5</w:t>
      </w:r>
      <w:r w:rsidR="005906AC" w:rsidRPr="007118FB">
        <w:t>–1</w:t>
      </w:r>
      <w:r w:rsidR="005906AC">
        <w:t>6 over the remaining years of the 2015–20 regulatory control period for the substitute decision</w:t>
      </w:r>
      <w:r w:rsidR="005906AC">
        <w:rPr>
          <w:rStyle w:val="FootnoteReference"/>
        </w:rPr>
        <w:footnoteReference w:id="7"/>
      </w:r>
      <w:r w:rsidR="005906AC" w:rsidRPr="007118FB">
        <w:t xml:space="preserve">, we have </w:t>
      </w:r>
      <w:r w:rsidR="005906AC">
        <w:t xml:space="preserve">provided a gradual decrease in smooth revenues and therefore </w:t>
      </w:r>
      <w:r w:rsidR="005906AC" w:rsidRPr="007118FB">
        <w:t xml:space="preserve">allowed the divergence in the final year revenues to exceed 3 per cent in </w:t>
      </w:r>
      <w:r w:rsidR="005906AC">
        <w:t>this preliminary decision</w:t>
      </w:r>
      <w:r w:rsidR="005906AC" w:rsidRPr="007118FB">
        <w:t>. This helps minimise the prospect of a significant price decrease followed by significant price increases over the 2015–</w:t>
      </w:r>
      <w:r w:rsidR="005906AC">
        <w:t>20</w:t>
      </w:r>
      <w:r w:rsidR="005906AC" w:rsidRPr="007118FB">
        <w:t xml:space="preserve"> regulatory control period. We will review the smoothing for the </w:t>
      </w:r>
      <w:r w:rsidR="005906AC">
        <w:t xml:space="preserve">substitute </w:t>
      </w:r>
      <w:r w:rsidR="005906AC" w:rsidRPr="007118FB">
        <w:t>decision if necessary.</w:t>
      </w:r>
    </w:p>
    <w:p w:rsidR="00F50889" w:rsidRDefault="00F50889" w:rsidP="000721C2">
      <w:pPr>
        <w:rPr>
          <w:rStyle w:val="AERbody"/>
        </w:rPr>
      </w:pPr>
      <w:r w:rsidRPr="000721C2">
        <w:rPr>
          <w:rStyle w:val="AERbody"/>
        </w:rPr>
        <w:t>The building block costs (and the elements that drive</w:t>
      </w:r>
      <w:r w:rsidR="000721C2" w:rsidRPr="000721C2">
        <w:rPr>
          <w:rStyle w:val="AERbody"/>
        </w:rPr>
        <w:t xml:space="preserve"> those costs) used to determine </w:t>
      </w:r>
      <w:r w:rsidRPr="000721C2">
        <w:rPr>
          <w:rStyle w:val="AERbody"/>
        </w:rPr>
        <w:t>the unsmoothed ARR are set out below.</w:t>
      </w:r>
    </w:p>
    <w:p w:rsidR="00AF5046" w:rsidRDefault="00AF5046" w:rsidP="000721C2">
      <w:pPr>
        <w:rPr>
          <w:rStyle w:val="AERbody"/>
        </w:rPr>
      </w:pPr>
    </w:p>
    <w:p w:rsidR="000721C2" w:rsidRPr="00E70C4D" w:rsidRDefault="00E70C4D" w:rsidP="00E70C4D">
      <w:pPr>
        <w:pStyle w:val="Heading3"/>
      </w:pPr>
      <w:bookmarkStart w:id="20" w:name="_Toc415666266"/>
      <w:bookmarkStart w:id="21" w:name="_Ref417306779"/>
      <w:r w:rsidRPr="00E70C4D">
        <w:lastRenderedPageBreak/>
        <w:t>The building block costs</w:t>
      </w:r>
      <w:bookmarkEnd w:id="20"/>
      <w:bookmarkEnd w:id="21"/>
      <w:r w:rsidR="000721C2" w:rsidRPr="00E70C4D">
        <w:t xml:space="preserve"> </w:t>
      </w:r>
    </w:p>
    <w:p w:rsidR="000721C2" w:rsidRPr="000721C2" w:rsidRDefault="000721C2" w:rsidP="000721C2">
      <w:pPr>
        <w:numPr>
          <w:ilvl w:val="0"/>
          <w:numId w:val="25"/>
        </w:numPr>
      </w:pPr>
      <w:r w:rsidRPr="000721C2">
        <w:t xml:space="preserve">The efficient costs to be recovered by a service provider can be thought of as being made up of various building block costs. Our preliminary decision assesses each of the building block costs and the elements that drive these costs. The building block costs are approved reflecting trade-offs and interactions between the cost elements, service quality and across years. </w:t>
      </w:r>
      <w:r w:rsidR="00056981">
        <w:fldChar w:fldCharType="begin"/>
      </w:r>
      <w:r w:rsidR="00056981">
        <w:instrText xml:space="preserve"> REF _Ref415657725 \h </w:instrText>
      </w:r>
      <w:r w:rsidR="00056981">
        <w:fldChar w:fldCharType="separate"/>
      </w:r>
      <w:r w:rsidR="0025036E">
        <w:t xml:space="preserve">Table </w:t>
      </w:r>
      <w:r w:rsidR="0025036E">
        <w:rPr>
          <w:noProof/>
        </w:rPr>
        <w:t>1</w:t>
      </w:r>
      <w:r w:rsidR="0025036E">
        <w:t>.</w:t>
      </w:r>
      <w:r w:rsidR="0025036E">
        <w:rPr>
          <w:noProof/>
        </w:rPr>
        <w:t>3</w:t>
      </w:r>
      <w:r w:rsidR="00056981">
        <w:fldChar w:fldCharType="end"/>
      </w:r>
      <w:r w:rsidR="00056981">
        <w:t xml:space="preserve"> </w:t>
      </w:r>
      <w:r w:rsidRPr="000721C2">
        <w:t xml:space="preserve">shows the building block costs that form the ARR for each year and where discussion on the elements that drive these costs </w:t>
      </w:r>
      <w:proofErr w:type="gramStart"/>
      <w:r w:rsidRPr="000721C2">
        <w:t>can be found</w:t>
      </w:r>
      <w:proofErr w:type="gramEnd"/>
      <w:r w:rsidRPr="000721C2">
        <w:t xml:space="preserve"> within this preliminary decision.</w:t>
      </w:r>
    </w:p>
    <w:p w:rsidR="000721C2" w:rsidRPr="000721C2" w:rsidRDefault="00056981" w:rsidP="00056981">
      <w:pPr>
        <w:pStyle w:val="Caption"/>
      </w:pPr>
      <w:bookmarkStart w:id="22" w:name="_Ref415657725"/>
      <w:r>
        <w:t xml:space="preserve">Table </w:t>
      </w:r>
      <w:fldSimple w:instr=" STYLEREF 1 \s ">
        <w:r w:rsidR="0025036E">
          <w:rPr>
            <w:noProof/>
          </w:rPr>
          <w:t>1</w:t>
        </w:r>
      </w:fldSimple>
      <w:r w:rsidR="0025036E">
        <w:t>.</w:t>
      </w:r>
      <w:fldSimple w:instr=" SEQ Table \* ARABIC \s 1 ">
        <w:r w:rsidR="0025036E">
          <w:rPr>
            <w:noProof/>
          </w:rPr>
          <w:t>3</w:t>
        </w:r>
      </w:fldSimple>
      <w:bookmarkEnd w:id="22"/>
      <w:r>
        <w:tab/>
      </w:r>
      <w:r w:rsidR="000721C2" w:rsidRPr="000721C2">
        <w:t>Building block costs</w:t>
      </w:r>
    </w:p>
    <w:tbl>
      <w:tblPr>
        <w:tblStyle w:val="AERtable-text0"/>
        <w:tblW w:w="8755" w:type="dxa"/>
        <w:tblLook w:val="04A0" w:firstRow="1" w:lastRow="0" w:firstColumn="1" w:lastColumn="0" w:noHBand="0" w:noVBand="1"/>
      </w:tblPr>
      <w:tblGrid>
        <w:gridCol w:w="3959"/>
        <w:gridCol w:w="4796"/>
      </w:tblGrid>
      <w:tr w:rsidR="000721C2" w:rsidRPr="00356B64" w:rsidTr="00D068F8">
        <w:trPr>
          <w:cnfStyle w:val="100000000000" w:firstRow="1" w:lastRow="0" w:firstColumn="0" w:lastColumn="0" w:oddVBand="0" w:evenVBand="0" w:oddHBand="0" w:evenHBand="0" w:firstRowFirstColumn="0" w:firstRowLastColumn="0" w:lastRowFirstColumn="0" w:lastRowLastColumn="0"/>
          <w:trHeight w:val="196"/>
        </w:trPr>
        <w:tc>
          <w:tcPr>
            <w:tcW w:w="3959" w:type="dxa"/>
            <w:noWrap/>
            <w:hideMark/>
          </w:tcPr>
          <w:p w:rsidR="000721C2" w:rsidRPr="000721C2" w:rsidRDefault="000721C2" w:rsidP="000721C2">
            <w:r w:rsidRPr="000721C2">
              <w:t> Building block costs</w:t>
            </w:r>
          </w:p>
        </w:tc>
        <w:tc>
          <w:tcPr>
            <w:tcW w:w="4796" w:type="dxa"/>
            <w:noWrap/>
            <w:hideMark/>
          </w:tcPr>
          <w:p w:rsidR="000721C2" w:rsidRPr="000721C2" w:rsidRDefault="000721C2" w:rsidP="000721C2">
            <w:r w:rsidRPr="000721C2">
              <w:t>Attachments where elements are discussed</w:t>
            </w:r>
          </w:p>
        </w:tc>
      </w:tr>
      <w:tr w:rsidR="000721C2" w:rsidRPr="00E77F29" w:rsidTr="00D068F8">
        <w:trPr>
          <w:trHeight w:val="196"/>
        </w:trPr>
        <w:tc>
          <w:tcPr>
            <w:tcW w:w="3959" w:type="dxa"/>
            <w:noWrap/>
          </w:tcPr>
          <w:p w:rsidR="000721C2" w:rsidRPr="000721C2" w:rsidRDefault="000721C2" w:rsidP="000721C2">
            <w:r w:rsidRPr="000721C2">
              <w:t>Return on capital</w:t>
            </w:r>
          </w:p>
        </w:tc>
        <w:tc>
          <w:tcPr>
            <w:tcW w:w="4796" w:type="dxa"/>
            <w:noWrap/>
            <w:hideMark/>
          </w:tcPr>
          <w:p w:rsidR="000721C2" w:rsidRPr="000721C2" w:rsidRDefault="000721C2" w:rsidP="000721C2">
            <w:r w:rsidRPr="000721C2">
              <w:t>Regulatory asset base (attachment 2)</w:t>
            </w:r>
          </w:p>
          <w:p w:rsidR="000721C2" w:rsidRPr="000721C2" w:rsidRDefault="000721C2" w:rsidP="000721C2">
            <w:r w:rsidRPr="000721C2">
              <w:t xml:space="preserve">Capex (attachment 6) </w:t>
            </w:r>
          </w:p>
          <w:p w:rsidR="000721C2" w:rsidRPr="000721C2" w:rsidRDefault="000721C2" w:rsidP="000721C2">
            <w:r w:rsidRPr="000721C2">
              <w:t>Rate of return (attachment 3)</w:t>
            </w:r>
          </w:p>
        </w:tc>
      </w:tr>
      <w:tr w:rsidR="000721C2" w:rsidRPr="00356B64" w:rsidTr="00D068F8">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0721C2" w:rsidRPr="000721C2" w:rsidRDefault="000721C2" w:rsidP="000721C2">
            <w:r w:rsidRPr="000721C2">
              <w:t>Regulatory depreciation (return of capital)</w:t>
            </w:r>
          </w:p>
        </w:tc>
        <w:tc>
          <w:tcPr>
            <w:tcW w:w="4796" w:type="dxa"/>
            <w:noWrap/>
            <w:hideMark/>
          </w:tcPr>
          <w:p w:rsidR="000721C2" w:rsidRPr="000721C2" w:rsidRDefault="000721C2" w:rsidP="000721C2">
            <w:r w:rsidRPr="000721C2">
              <w:t>Regulatory asset base (attachment 2)</w:t>
            </w:r>
          </w:p>
          <w:p w:rsidR="000721C2" w:rsidRPr="000721C2" w:rsidRDefault="000721C2" w:rsidP="000721C2">
            <w:r w:rsidRPr="000721C2">
              <w:t xml:space="preserve">Capex (attachment 6) </w:t>
            </w:r>
          </w:p>
          <w:p w:rsidR="000721C2" w:rsidRPr="000721C2" w:rsidRDefault="000721C2" w:rsidP="000721C2">
            <w:r w:rsidRPr="000721C2">
              <w:t>Rate of return (attachment 3) </w:t>
            </w:r>
          </w:p>
        </w:tc>
      </w:tr>
      <w:tr w:rsidR="000721C2" w:rsidRPr="00356B64" w:rsidTr="00D068F8">
        <w:trPr>
          <w:trHeight w:val="196"/>
        </w:trPr>
        <w:tc>
          <w:tcPr>
            <w:tcW w:w="3959" w:type="dxa"/>
            <w:noWrap/>
          </w:tcPr>
          <w:p w:rsidR="000721C2" w:rsidRPr="000721C2" w:rsidRDefault="000721C2" w:rsidP="000721C2">
            <w:r w:rsidRPr="000721C2">
              <w:t>Operating expenditure (opex)</w:t>
            </w:r>
          </w:p>
        </w:tc>
        <w:tc>
          <w:tcPr>
            <w:tcW w:w="4796" w:type="dxa"/>
            <w:noWrap/>
            <w:hideMark/>
          </w:tcPr>
          <w:p w:rsidR="000721C2" w:rsidRPr="000721C2" w:rsidRDefault="000721C2" w:rsidP="000721C2">
            <w:r w:rsidRPr="000721C2">
              <w:t>Opex (attachment 7)</w:t>
            </w:r>
          </w:p>
        </w:tc>
      </w:tr>
      <w:tr w:rsidR="000721C2" w:rsidRPr="00356B64" w:rsidTr="00D068F8">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0721C2" w:rsidRPr="000721C2" w:rsidRDefault="000721C2" w:rsidP="000721C2">
            <w:r w:rsidRPr="000721C2">
              <w:t>Efficiency benefits/penalties</w:t>
            </w:r>
          </w:p>
        </w:tc>
        <w:tc>
          <w:tcPr>
            <w:tcW w:w="4796" w:type="dxa"/>
            <w:noWrap/>
            <w:hideMark/>
          </w:tcPr>
          <w:p w:rsidR="000721C2" w:rsidRPr="000721C2" w:rsidRDefault="000721C2" w:rsidP="000721C2">
            <w:r w:rsidRPr="000721C2">
              <w:t>Efficiency benefit sharing scheme (attachment 9) </w:t>
            </w:r>
          </w:p>
        </w:tc>
      </w:tr>
      <w:tr w:rsidR="000721C2" w:rsidRPr="00356B64" w:rsidTr="00D068F8">
        <w:trPr>
          <w:trHeight w:val="196"/>
        </w:trPr>
        <w:tc>
          <w:tcPr>
            <w:tcW w:w="3959" w:type="dxa"/>
            <w:noWrap/>
          </w:tcPr>
          <w:p w:rsidR="000721C2" w:rsidRPr="000721C2" w:rsidRDefault="000721C2" w:rsidP="000721C2">
            <w:r w:rsidRPr="000721C2">
              <w:t>Estimated cost of corporate tax</w:t>
            </w:r>
          </w:p>
        </w:tc>
        <w:tc>
          <w:tcPr>
            <w:tcW w:w="4796" w:type="dxa"/>
            <w:noWrap/>
          </w:tcPr>
          <w:p w:rsidR="000721C2" w:rsidRPr="000721C2" w:rsidRDefault="000721C2" w:rsidP="000721C2">
            <w:r w:rsidRPr="000721C2">
              <w:t xml:space="preserve">Corporate income tax  (attachment 8) </w:t>
            </w:r>
          </w:p>
          <w:p w:rsidR="000721C2" w:rsidRPr="000721C2" w:rsidRDefault="000721C2" w:rsidP="000721C2">
            <w:r w:rsidRPr="000721C2">
              <w:t>Rate of return (attachment 4)</w:t>
            </w:r>
          </w:p>
        </w:tc>
      </w:tr>
      <w:tr w:rsidR="008B5A80" w:rsidRPr="00356B64" w:rsidTr="00D068F8">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8B5A80" w:rsidRPr="000721C2" w:rsidRDefault="008B5A80" w:rsidP="008B5A80">
            <w:r>
              <w:t>Adjustment for shared assets</w:t>
            </w:r>
          </w:p>
        </w:tc>
        <w:tc>
          <w:tcPr>
            <w:tcW w:w="4796" w:type="dxa"/>
            <w:noWrap/>
          </w:tcPr>
          <w:p w:rsidR="008B5A80" w:rsidRPr="000721C2" w:rsidRDefault="008B5A80" w:rsidP="000721C2">
            <w:r>
              <w:t>Annual revenue requirement (attachment 1)</w:t>
            </w:r>
          </w:p>
        </w:tc>
      </w:tr>
      <w:tr w:rsidR="00D817C6" w:rsidRPr="00356B64" w:rsidTr="00D068F8">
        <w:trPr>
          <w:trHeight w:val="196"/>
        </w:trPr>
        <w:tc>
          <w:tcPr>
            <w:tcW w:w="3959" w:type="dxa"/>
            <w:noWrap/>
          </w:tcPr>
          <w:p w:rsidR="00D817C6" w:rsidRDefault="00D817C6" w:rsidP="009F3208">
            <w:r>
              <w:t>D</w:t>
            </w:r>
            <w:r w:rsidR="009F3208">
              <w:t>emand management innovation allowance</w:t>
            </w:r>
          </w:p>
        </w:tc>
        <w:tc>
          <w:tcPr>
            <w:tcW w:w="4796" w:type="dxa"/>
            <w:noWrap/>
          </w:tcPr>
          <w:p w:rsidR="00D817C6" w:rsidRDefault="00D817C6" w:rsidP="009F3208">
            <w:r w:rsidRPr="00D817C6">
              <w:t>Demand management incentive scheme</w:t>
            </w:r>
            <w:r>
              <w:t xml:space="preserve"> (attachment 12)</w:t>
            </w:r>
          </w:p>
        </w:tc>
      </w:tr>
    </w:tbl>
    <w:p w:rsidR="00DE563D" w:rsidRPr="003D4755" w:rsidRDefault="00DE563D" w:rsidP="003D4755">
      <w:pPr>
        <w:pStyle w:val="Heading2"/>
      </w:pPr>
      <w:bookmarkStart w:id="23" w:name="_Toc403144140"/>
      <w:bookmarkStart w:id="24" w:name="_Toc415666267"/>
      <w:r w:rsidRPr="003D4755">
        <w:t>Reasons for preliminary decision</w:t>
      </w:r>
      <w:bookmarkEnd w:id="23"/>
      <w:bookmarkEnd w:id="24"/>
      <w:r w:rsidRPr="003D4755">
        <w:t xml:space="preserve"> </w:t>
      </w:r>
    </w:p>
    <w:p w:rsidR="00F50889" w:rsidRDefault="00DB5BC2" w:rsidP="00C83946">
      <w:r>
        <w:t>For this preliminary decision, w</w:t>
      </w:r>
      <w:r w:rsidR="00F50889" w:rsidRPr="001903C4">
        <w:t xml:space="preserve">e determine </w:t>
      </w:r>
      <w:r w:rsidR="00F50889">
        <w:t xml:space="preserve">a total revenue </w:t>
      </w:r>
      <w:r w:rsidR="00F50889" w:rsidRPr="000B6AE9">
        <w:t xml:space="preserve">requirement of </w:t>
      </w:r>
      <w:r w:rsidR="00F50889" w:rsidRPr="00C83946">
        <w:t>$</w:t>
      </w:r>
      <w:r w:rsidR="00D817C6" w:rsidRPr="00C83946">
        <w:t>3236.3</w:t>
      </w:r>
      <w:r w:rsidR="00F50889" w:rsidRPr="00C83946">
        <w:t> million ($ nominal)</w:t>
      </w:r>
      <w:r w:rsidR="00F50889" w:rsidRPr="000B6AE9">
        <w:t xml:space="preserve"> for </w:t>
      </w:r>
      <w:r w:rsidR="00030B62" w:rsidRPr="000B6AE9">
        <w:t xml:space="preserve">SA </w:t>
      </w:r>
      <w:r w:rsidR="00030B62">
        <w:t>Power Networks</w:t>
      </w:r>
      <w:r w:rsidR="00F50889">
        <w:t xml:space="preserve"> over </w:t>
      </w:r>
      <w:r w:rsidR="00F50889" w:rsidRPr="001903C4">
        <w:t xml:space="preserve">the </w:t>
      </w:r>
      <w:r w:rsidR="005A555D">
        <w:t>2015–20 regulatory control period</w:t>
      </w:r>
      <w:r w:rsidR="00F50889" w:rsidRPr="001903C4">
        <w:t xml:space="preserve">. This </w:t>
      </w:r>
      <w:r w:rsidR="00F50889" w:rsidRPr="000B6AE9">
        <w:t xml:space="preserve">is </w:t>
      </w:r>
      <w:r w:rsidR="00F50889" w:rsidRPr="00C83946">
        <w:t>$1</w:t>
      </w:r>
      <w:r w:rsidR="00D817C6" w:rsidRPr="00C83946">
        <w:t>545.6</w:t>
      </w:r>
      <w:r w:rsidR="00F50889" w:rsidRPr="00C83946">
        <w:t xml:space="preserve"> million ($ nominal) or </w:t>
      </w:r>
      <w:r w:rsidR="00D817C6" w:rsidRPr="00C83946">
        <w:t>32.3</w:t>
      </w:r>
      <w:r w:rsidR="00F50889" w:rsidRPr="00C83946">
        <w:t xml:space="preserve"> per cent</w:t>
      </w:r>
      <w:r w:rsidR="00F50889" w:rsidRPr="000B6AE9">
        <w:t xml:space="preserve"> below</w:t>
      </w:r>
      <w:r w:rsidR="00F50889" w:rsidRPr="001903C4">
        <w:t xml:space="preserve"> </w:t>
      </w:r>
      <w:r w:rsidR="005A555D">
        <w:t xml:space="preserve">SA Power Networks' </w:t>
      </w:r>
      <w:r w:rsidR="00F50889" w:rsidRPr="001903C4">
        <w:t>proposal</w:t>
      </w:r>
      <w:r w:rsidR="00AF5E1F">
        <w:t xml:space="preserve">. This </w:t>
      </w:r>
      <w:r w:rsidR="00F50889" w:rsidRPr="001903C4">
        <w:t xml:space="preserve">reflects the impact of our </w:t>
      </w:r>
      <w:r w:rsidR="005A555D">
        <w:t>preliminary</w:t>
      </w:r>
      <w:r w:rsidR="00F50889" w:rsidRPr="001903C4">
        <w:t xml:space="preserve"> decision on the various building block c</w:t>
      </w:r>
      <w:r w:rsidR="00F50889">
        <w:t>ost</w:t>
      </w:r>
      <w:r w:rsidR="00F50889" w:rsidRPr="001903C4">
        <w:t>s.</w:t>
      </w:r>
      <w:r w:rsidR="00F50889">
        <w:t xml:space="preserve"> </w:t>
      </w:r>
      <w:r w:rsidR="00F50889">
        <w:fldChar w:fldCharType="begin"/>
      </w:r>
      <w:r w:rsidR="00F50889">
        <w:instrText xml:space="preserve"> REF _Ref398709260 \h </w:instrText>
      </w:r>
      <w:r w:rsidR="00F50889">
        <w:fldChar w:fldCharType="separate"/>
      </w:r>
      <w:r w:rsidR="0025036E">
        <w:t xml:space="preserve">Figure </w:t>
      </w:r>
      <w:r w:rsidR="0025036E">
        <w:rPr>
          <w:noProof/>
        </w:rPr>
        <w:t>1</w:t>
      </w:r>
      <w:r w:rsidR="0025036E">
        <w:t>.</w:t>
      </w:r>
      <w:r w:rsidR="0025036E">
        <w:rPr>
          <w:noProof/>
        </w:rPr>
        <w:t>2</w:t>
      </w:r>
      <w:r w:rsidR="00F50889">
        <w:fldChar w:fldCharType="end"/>
      </w:r>
      <w:r w:rsidR="00F50889">
        <w:t xml:space="preserve"> shows the difference between</w:t>
      </w:r>
      <w:r w:rsidR="00F50889" w:rsidRPr="008659AA">
        <w:t xml:space="preserve"> </w:t>
      </w:r>
      <w:r w:rsidR="005A555D">
        <w:t xml:space="preserve">SA Power Networks' </w:t>
      </w:r>
      <w:r w:rsidR="00F50889" w:rsidRPr="008659AA">
        <w:t xml:space="preserve">proposed </w:t>
      </w:r>
      <w:r w:rsidR="00F50889">
        <w:t>ARRs and our</w:t>
      </w:r>
      <w:r w:rsidR="00F50889" w:rsidRPr="008659AA">
        <w:t xml:space="preserve"> </w:t>
      </w:r>
      <w:r w:rsidR="005A555D">
        <w:t>preliminary</w:t>
      </w:r>
      <w:r w:rsidR="00F50889">
        <w:t xml:space="preserve"> decision.</w:t>
      </w:r>
    </w:p>
    <w:p w:rsidR="00F50889" w:rsidRDefault="00F50889" w:rsidP="00F50889">
      <w:pPr>
        <w:pStyle w:val="Caption"/>
      </w:pPr>
      <w:bookmarkStart w:id="25" w:name="_Ref398709260"/>
      <w:r>
        <w:lastRenderedPageBreak/>
        <w:t xml:space="preserve">Figure </w:t>
      </w:r>
      <w:fldSimple w:instr=" STYLEREF 1 \s ">
        <w:r w:rsidR="0025036E">
          <w:rPr>
            <w:noProof/>
          </w:rPr>
          <w:t>1</w:t>
        </w:r>
      </w:fldSimple>
      <w:r w:rsidR="0025036E">
        <w:t>.</w:t>
      </w:r>
      <w:fldSimple w:instr=" SEQ Figure \* ARABIC \s 1 ">
        <w:r w:rsidR="0025036E">
          <w:rPr>
            <w:noProof/>
          </w:rPr>
          <w:t>2</w:t>
        </w:r>
      </w:fldSimple>
      <w:bookmarkEnd w:id="25"/>
      <w:r>
        <w:tab/>
      </w:r>
      <w:r w:rsidRPr="00FC471A">
        <w:t xml:space="preserve">AER's </w:t>
      </w:r>
      <w:r w:rsidR="005A555D">
        <w:t>preliminary</w:t>
      </w:r>
      <w:r w:rsidRPr="00FC471A">
        <w:t xml:space="preserve"> </w:t>
      </w:r>
      <w:r>
        <w:t>decision</w:t>
      </w:r>
      <w:r w:rsidRPr="00FC471A">
        <w:t xml:space="preserve"> </w:t>
      </w:r>
      <w:r>
        <w:t>and</w:t>
      </w:r>
      <w:r w:rsidRPr="00FC471A">
        <w:t xml:space="preserve"> </w:t>
      </w:r>
      <w:r w:rsidR="005A555D">
        <w:t xml:space="preserve">SA Power Networks' </w:t>
      </w:r>
      <w:r w:rsidRPr="00FC471A">
        <w:t xml:space="preserve">proposed </w:t>
      </w:r>
      <w:r>
        <w:t>annual revenue requirement</w:t>
      </w:r>
      <w:r w:rsidRPr="00FC471A">
        <w:t xml:space="preserve"> ($million, nominal)</w:t>
      </w:r>
    </w:p>
    <w:p w:rsidR="00F50889" w:rsidRDefault="00C83946" w:rsidP="00F50889">
      <w:pPr>
        <w:numPr>
          <w:ilvl w:val="0"/>
          <w:numId w:val="25"/>
        </w:numPr>
      </w:pPr>
      <w:r>
        <w:rPr>
          <w:rFonts w:asciiTheme="minorHAnsi" w:eastAsia="Calibri" w:hAnsiTheme="minorHAnsi" w:cs="Times New Roman"/>
          <w:noProof/>
          <w:sz w:val="16"/>
          <w:szCs w:val="16"/>
          <w:lang w:eastAsia="en-AU"/>
        </w:rPr>
        <w:drawing>
          <wp:inline distT="0" distB="0" distL="0" distR="0" wp14:anchorId="09B70404" wp14:editId="4D21C9C5">
            <wp:extent cx="5382895" cy="35782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4-2015 8-57-34 AM.png"/>
                    <pic:cNvPicPr/>
                  </pic:nvPicPr>
                  <pic:blipFill>
                    <a:blip r:embed="rId15">
                      <a:extLst>
                        <a:ext uri="{28A0092B-C50C-407E-A947-70E740481C1C}">
                          <a14:useLocalDpi xmlns:a14="http://schemas.microsoft.com/office/drawing/2010/main" val="0"/>
                        </a:ext>
                      </a:extLst>
                    </a:blip>
                    <a:stretch>
                      <a:fillRect/>
                    </a:stretch>
                  </pic:blipFill>
                  <pic:spPr>
                    <a:xfrm>
                      <a:off x="0" y="0"/>
                      <a:ext cx="5382895" cy="3578225"/>
                    </a:xfrm>
                    <a:prstGeom prst="rect">
                      <a:avLst/>
                    </a:prstGeom>
                  </pic:spPr>
                </pic:pic>
              </a:graphicData>
            </a:graphic>
          </wp:inline>
        </w:drawing>
      </w:r>
    </w:p>
    <w:p w:rsidR="00F50889" w:rsidRDefault="00F50889" w:rsidP="00F50889">
      <w:pPr>
        <w:pStyle w:val="AERtablesource"/>
      </w:pPr>
      <w:r w:rsidRPr="004E488E">
        <w:t>Source:</w:t>
      </w:r>
      <w:r w:rsidRPr="004E488E">
        <w:tab/>
      </w:r>
      <w:r w:rsidR="00030B62">
        <w:t>SA Power Networks</w:t>
      </w:r>
      <w:r w:rsidRPr="00DB7CF9">
        <w:t xml:space="preserve">, </w:t>
      </w:r>
      <w:r w:rsidRPr="00DB7CF9">
        <w:rPr>
          <w:rStyle w:val="AERtextitalic"/>
        </w:rPr>
        <w:t>Regulatory proposal</w:t>
      </w:r>
      <w:r w:rsidRPr="00DB7CF9">
        <w:t xml:space="preserve">, </w:t>
      </w:r>
      <w:r w:rsidR="004C6A29">
        <w:t>October 2014</w:t>
      </w:r>
      <w:r w:rsidRPr="00DB7CF9">
        <w:t>, Attachment 4.02.</w:t>
      </w:r>
    </w:p>
    <w:p w:rsidR="009A697B" w:rsidRDefault="00F50889">
      <w:pPr>
        <w:pStyle w:val="AERtablesource"/>
      </w:pPr>
      <w:r>
        <w:tab/>
        <w:t>AER analysis.</w:t>
      </w:r>
      <w:r w:rsidR="009A697B" w:rsidRPr="009A697B">
        <w:t xml:space="preserve"> </w:t>
      </w:r>
    </w:p>
    <w:p w:rsidR="00F50889" w:rsidRDefault="009A697B">
      <w:pPr>
        <w:pStyle w:val="AERtablesource"/>
      </w:pPr>
      <w:r>
        <w:t>Note:</w:t>
      </w:r>
      <w:r>
        <w:tab/>
      </w:r>
      <w:r w:rsidRPr="009A697B">
        <w:t>Revenue adjustments include efficiency benefit sharing scheme carry-overs, shared asset amounts and forecast DMIA.</w:t>
      </w:r>
    </w:p>
    <w:p w:rsidR="00F50889" w:rsidRDefault="00F50889" w:rsidP="000B6AE9">
      <w:r>
        <w:t xml:space="preserve">The most significant changes to </w:t>
      </w:r>
      <w:r w:rsidR="005A555D">
        <w:t xml:space="preserve">SA Power Networks' </w:t>
      </w:r>
      <w:r>
        <w:t xml:space="preserve">proposal include: a reduction to the rate of return of </w:t>
      </w:r>
      <w:r w:rsidR="00C83946">
        <w:t>2.2</w:t>
      </w:r>
      <w:r w:rsidRPr="00C83946">
        <w:t xml:space="preserve"> per cent</w:t>
      </w:r>
      <w:r w:rsidRPr="000B6AE9">
        <w:t xml:space="preserve"> (</w:t>
      </w:r>
      <w:r>
        <w:t>attachment</w:t>
      </w:r>
      <w:r w:rsidR="008B5A80">
        <w:t xml:space="preserve"> </w:t>
      </w:r>
      <w:r>
        <w:t>3</w:t>
      </w:r>
      <w:r w:rsidR="00587D9E">
        <w:t>)</w:t>
      </w:r>
      <w:r w:rsidR="00056981">
        <w:t>, a reduction in</w:t>
      </w:r>
      <w:r>
        <w:t xml:space="preserve"> the </w:t>
      </w:r>
      <w:r w:rsidR="00587D9E">
        <w:t xml:space="preserve">regulatory </w:t>
      </w:r>
      <w:r w:rsidR="00587D9E" w:rsidRPr="000B6AE9">
        <w:t xml:space="preserve">depreciation of </w:t>
      </w:r>
      <w:r w:rsidR="003C1D88" w:rsidRPr="00C83946">
        <w:t>43.0</w:t>
      </w:r>
      <w:r w:rsidR="00587D9E" w:rsidRPr="00C83946">
        <w:t xml:space="preserve"> per cent</w:t>
      </w:r>
      <w:r w:rsidR="00056981" w:rsidRPr="000B6AE9">
        <w:t xml:space="preserve"> (attachment</w:t>
      </w:r>
      <w:r w:rsidR="00056981">
        <w:t xml:space="preserve"> 5), a reduction in the</w:t>
      </w:r>
      <w:r w:rsidR="00587D9E">
        <w:t xml:space="preserve"> </w:t>
      </w:r>
      <w:r>
        <w:t xml:space="preserve">capex allowance of </w:t>
      </w:r>
      <w:r w:rsidR="003C1D88" w:rsidRPr="00C83946">
        <w:t>32.7</w:t>
      </w:r>
      <w:r w:rsidRPr="00C83946">
        <w:t xml:space="preserve"> per cent</w:t>
      </w:r>
      <w:r w:rsidRPr="000B6AE9">
        <w:t xml:space="preserve"> (attachment</w:t>
      </w:r>
      <w:r>
        <w:t xml:space="preserve"> 6), and a reduction in the opex allowance of </w:t>
      </w:r>
      <w:r w:rsidR="000B6AE9">
        <w:t>19.7</w:t>
      </w:r>
      <w:r w:rsidRPr="00C83946">
        <w:t xml:space="preserve"> per cent</w:t>
      </w:r>
      <w:r>
        <w:t xml:space="preserve"> (attachment 7). </w:t>
      </w:r>
    </w:p>
    <w:p w:rsidR="00056981" w:rsidRPr="00056981" w:rsidRDefault="00056981" w:rsidP="00372EE1">
      <w:pPr>
        <w:pStyle w:val="Heading3"/>
      </w:pPr>
      <w:bookmarkStart w:id="26" w:name="_Toc415666268"/>
      <w:bookmarkStart w:id="27" w:name="_Ref398727972"/>
      <w:bookmarkStart w:id="28" w:name="_Toc403571580"/>
      <w:bookmarkStart w:id="29" w:name="_Toc404611387"/>
      <w:r w:rsidRPr="00056981">
        <w:t xml:space="preserve">Revenue </w:t>
      </w:r>
      <w:r w:rsidR="00D67E40">
        <w:t>smoothing</w:t>
      </w:r>
      <w:bookmarkEnd w:id="26"/>
    </w:p>
    <w:p w:rsidR="00B65798" w:rsidRDefault="00D36AE1" w:rsidP="00C83946">
      <w:r>
        <w:t>We have taken</w:t>
      </w:r>
      <w:r w:rsidR="00D67E40">
        <w:t xml:space="preserve"> the building block costs determined in this decision</w:t>
      </w:r>
      <w:r>
        <w:t>, including</w:t>
      </w:r>
      <w:r w:rsidR="00D67E40">
        <w:t xml:space="preserve"> the adjustment for shared assets</w:t>
      </w:r>
      <w:r>
        <w:t>,</w:t>
      </w:r>
      <w:r w:rsidR="00D67E40">
        <w:t xml:space="preserve"> when smoothing </w:t>
      </w:r>
      <w:r w:rsidR="00D67E40" w:rsidRPr="00BD4F8B">
        <w:t>the expected revenues</w:t>
      </w:r>
      <w:r w:rsidR="00D67E40">
        <w:t xml:space="preserve"> for SA Power Networks over the 2015–20 regulatory control period</w:t>
      </w:r>
      <w:r>
        <w:t>.</w:t>
      </w:r>
      <w:r w:rsidR="00D67E40">
        <w:t xml:space="preserve"> </w:t>
      </w:r>
      <w:r>
        <w:t>W</w:t>
      </w:r>
      <w:r w:rsidR="00D67E40" w:rsidRPr="001C28C6">
        <w:t xml:space="preserve">e first set </w:t>
      </w:r>
      <w:r w:rsidR="00D67E40">
        <w:t>the expected revenue</w:t>
      </w:r>
      <w:r w:rsidR="00D67E40" w:rsidRPr="001C28C6">
        <w:t xml:space="preserve"> for the first regulatory year (201</w:t>
      </w:r>
      <w:r w:rsidR="00D67E40">
        <w:t>5</w:t>
      </w:r>
      <w:r w:rsidR="00D67E40" w:rsidRPr="001C28C6">
        <w:t>–</w:t>
      </w:r>
      <w:r w:rsidR="00D67E40">
        <w:t>20</w:t>
      </w:r>
      <w:r w:rsidR="00D67E40" w:rsidRPr="00761E8F">
        <w:t xml:space="preserve">) at </w:t>
      </w:r>
      <w:r w:rsidR="00D67E40" w:rsidRPr="00C83946">
        <w:t>$</w:t>
      </w:r>
      <w:r w:rsidR="003C1D88" w:rsidRPr="00C83946">
        <w:t>682</w:t>
      </w:r>
      <w:r w:rsidRPr="00C83946">
        <w:t>.0</w:t>
      </w:r>
      <w:r w:rsidR="00D67E40" w:rsidRPr="00C83946">
        <w:t xml:space="preserve"> million ($ nominal).</w:t>
      </w:r>
      <w:r w:rsidR="00D67E40" w:rsidRPr="00761E8F">
        <w:t xml:space="preserve"> This</w:t>
      </w:r>
      <w:r w:rsidR="00D67E40" w:rsidRPr="001C28C6">
        <w:t xml:space="preserve"> is </w:t>
      </w:r>
      <w:r w:rsidR="00761E8F">
        <w:t>higher</w:t>
      </w:r>
      <w:r w:rsidR="00761E8F" w:rsidRPr="001C28C6">
        <w:t xml:space="preserve"> </w:t>
      </w:r>
      <w:r w:rsidR="00D67E40" w:rsidRPr="001C28C6">
        <w:t xml:space="preserve">than the 2014–15 </w:t>
      </w:r>
      <w:r w:rsidR="00D67E40">
        <w:t>ARR (unsmoothed) we have no</w:t>
      </w:r>
      <w:r w:rsidR="00D67E40" w:rsidRPr="00761E8F">
        <w:t xml:space="preserve">w determined, which is </w:t>
      </w:r>
      <w:r w:rsidR="00D67E40" w:rsidRPr="00C83946">
        <w:t>$</w:t>
      </w:r>
      <w:r w:rsidR="00F61481">
        <w:t>569.0</w:t>
      </w:r>
      <w:r w:rsidR="00D67E40" w:rsidRPr="00C83946">
        <w:t xml:space="preserve"> million ($ nominal)</w:t>
      </w:r>
      <w:r w:rsidR="00D67E40" w:rsidRPr="00761E8F">
        <w:t xml:space="preserve">. We then applied a profile </w:t>
      </w:r>
      <w:r w:rsidR="00D67E40">
        <w:t xml:space="preserve">of </w:t>
      </w:r>
      <w:r w:rsidR="00D67E40" w:rsidRPr="001C28C6">
        <w:t>X factor</w:t>
      </w:r>
      <w:r w:rsidR="00D67E40">
        <w:t>s</w:t>
      </w:r>
      <w:r w:rsidR="00D67E40" w:rsidRPr="001C28C6">
        <w:t xml:space="preserve"> to determine the expected </w:t>
      </w:r>
      <w:r w:rsidR="00D67E40">
        <w:t>revenue</w:t>
      </w:r>
      <w:r w:rsidR="00D67E40" w:rsidRPr="001C28C6">
        <w:t xml:space="preserve"> in subsequent years. </w:t>
      </w:r>
    </w:p>
    <w:p w:rsidR="00B65798" w:rsidRDefault="000021EE" w:rsidP="00D67E40">
      <w:pPr>
        <w:numPr>
          <w:ilvl w:val="0"/>
          <w:numId w:val="25"/>
        </w:numPr>
      </w:pPr>
      <w:r w:rsidRPr="00F424C3">
        <w:t xml:space="preserve">We consider that our profile of X factors </w:t>
      </w:r>
      <w:r>
        <w:t xml:space="preserve">is reasonable given the requirements of the transitional rules. We have allowed the difference between smoothed and unsmoothed revenues in the last year of the 2015–20 regulatory control period to diverge more than </w:t>
      </w:r>
      <w:r>
        <w:lastRenderedPageBreak/>
        <w:t xml:space="preserve">would be usual. This approach smooths the revenues by allowing for a more gradual path for lower revenues over the 2015–20 regulatory control period. </w:t>
      </w:r>
    </w:p>
    <w:p w:rsidR="00D67E40" w:rsidRPr="00C729DC" w:rsidRDefault="00D67E40" w:rsidP="00D67E40">
      <w:pPr>
        <w:numPr>
          <w:ilvl w:val="0"/>
          <w:numId w:val="25"/>
        </w:numPr>
      </w:pPr>
      <w:r w:rsidRPr="007118FB">
        <w:t xml:space="preserve">In the present circumstances, based on the X factors we have determined for </w:t>
      </w:r>
      <w:r>
        <w:t>SA Power Networks</w:t>
      </w:r>
      <w:r w:rsidRPr="007118FB">
        <w:t xml:space="preserve">, the difference between the expected revenue and ARR for 2018–19 is around </w:t>
      </w:r>
      <w:r w:rsidR="003C1D88">
        <w:t>10</w:t>
      </w:r>
      <w:r w:rsidRPr="007118FB">
        <w:t xml:space="preserve"> per cent. While </w:t>
      </w:r>
      <w:r w:rsidR="000021EE">
        <w:t xml:space="preserve">we consider </w:t>
      </w:r>
      <w:r w:rsidRPr="007118FB">
        <w:t>th</w:t>
      </w:r>
      <w:r w:rsidR="000021EE">
        <w:t>is</w:t>
      </w:r>
      <w:r w:rsidRPr="007118FB">
        <w:t xml:space="preserve"> divergence is significant, it avoids the situation </w:t>
      </w:r>
      <w:r w:rsidR="000021EE">
        <w:t xml:space="preserve">where 2015–16 cost changes for the substitute decision and the consequent true-up could result in </w:t>
      </w:r>
      <w:r w:rsidRPr="007118FB">
        <w:t>a</w:t>
      </w:r>
      <w:r w:rsidR="000021EE">
        <w:t xml:space="preserve"> large</w:t>
      </w:r>
      <w:r w:rsidRPr="007118FB">
        <w:t xml:space="preserve"> price decrease in 2015–16 followed by significant price increases for the remaining </w:t>
      </w:r>
      <w:r w:rsidR="000021EE">
        <w:t>four y</w:t>
      </w:r>
      <w:r w:rsidRPr="007118FB">
        <w:t>ears of the regulatory control period. We will review this smoothing for the final decision if necessary.</w:t>
      </w:r>
      <w:r w:rsidRPr="00D67E40">
        <w:rPr>
          <w:rStyle w:val="CommentReference"/>
        </w:rPr>
        <w:t xml:space="preserve"> </w:t>
      </w:r>
    </w:p>
    <w:p w:rsidR="00AF5E1F" w:rsidRDefault="00AF5E1F" w:rsidP="00F50889">
      <w:pPr>
        <w:pStyle w:val="Heading3"/>
      </w:pPr>
      <w:bookmarkStart w:id="30" w:name="_Toc415666269"/>
      <w:r>
        <w:t>Shared assets</w:t>
      </w:r>
      <w:bookmarkEnd w:id="30"/>
      <w:r>
        <w:t xml:space="preserve"> </w:t>
      </w:r>
    </w:p>
    <w:p w:rsidR="00B20539" w:rsidRDefault="00AF5E1F" w:rsidP="00AF5E1F">
      <w:pPr>
        <w:numPr>
          <w:ilvl w:val="0"/>
          <w:numId w:val="25"/>
        </w:numPr>
      </w:pPr>
      <w:r w:rsidRPr="007F7AA6">
        <w:t xml:space="preserve">Service providers, such as </w:t>
      </w:r>
      <w:r>
        <w:t>SA Power Networks</w:t>
      </w:r>
      <w:r w:rsidRPr="007F7AA6">
        <w:t>, may use assets to provide both standard control services we regulate and unregulated services. These assets are called 'shared assets'.</w:t>
      </w:r>
      <w:r w:rsidRPr="007F7AA6">
        <w:rPr>
          <w:rStyle w:val="AERsuperscript"/>
        </w:rPr>
        <w:footnoteReference w:id="8"/>
      </w:r>
      <w:r w:rsidRPr="007F7AA6">
        <w:rPr>
          <w:rStyle w:val="AERsuperscript"/>
        </w:rPr>
        <w:t xml:space="preserve"> </w:t>
      </w:r>
      <w:r w:rsidRPr="007F7AA6">
        <w:t>Of the unregulated revenues a service provider earns from shared assets, 10 per cent will be used to reduce the service provider's prices for standard control services.</w:t>
      </w:r>
      <w:r w:rsidRPr="007F7AA6">
        <w:rPr>
          <w:rStyle w:val="AERsuperscript"/>
        </w:rPr>
        <w:footnoteReference w:id="9"/>
      </w:r>
      <w:r w:rsidR="00B20539">
        <w:t xml:space="preserve"> </w:t>
      </w:r>
    </w:p>
    <w:p w:rsidR="00AF5E1F" w:rsidRPr="007F7AA6" w:rsidRDefault="00B20539" w:rsidP="00AF5E1F">
      <w:pPr>
        <w:numPr>
          <w:ilvl w:val="0"/>
          <w:numId w:val="25"/>
        </w:numPr>
      </w:pPr>
      <w:r>
        <w:t>Shared asset</w:t>
      </w:r>
      <w:r w:rsidR="00AF5E1F" w:rsidRPr="007F7AA6">
        <w:t xml:space="preserve"> price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00AF5E1F" w:rsidRPr="007F7AA6">
        <w:rPr>
          <w:rStyle w:val="AERsuperscript"/>
        </w:rPr>
        <w:footnoteReference w:id="10"/>
      </w:r>
      <w:r w:rsidR="00AF5E1F" w:rsidRPr="007F7AA6">
        <w:t xml:space="preserve">  </w:t>
      </w:r>
    </w:p>
    <w:p w:rsidR="00AF5E1F" w:rsidRDefault="00AF5E1F" w:rsidP="00C83946">
      <w:pPr>
        <w:rPr>
          <w:rStyle w:val="AERbody"/>
        </w:rPr>
      </w:pPr>
      <w:r>
        <w:t>SA Power Networks</w:t>
      </w:r>
      <w:r w:rsidRPr="007F7AA6">
        <w:t xml:space="preserve"> submitted that its shared asset unregulated revenues </w:t>
      </w:r>
      <w:r w:rsidR="00D83835">
        <w:t>will</w:t>
      </w:r>
      <w:r w:rsidRPr="007F7AA6">
        <w:t xml:space="preserve"> </w:t>
      </w:r>
      <w:r w:rsidR="00B20539">
        <w:t xml:space="preserve">meet the shared asset threshold in the first three years of the forthcoming </w:t>
      </w:r>
      <w:r w:rsidR="006545ED">
        <w:t xml:space="preserve">regulatory </w:t>
      </w:r>
      <w:r w:rsidR="00D83835">
        <w:t>period, but</w:t>
      </w:r>
      <w:r w:rsidR="00B20539">
        <w:t xml:space="preserve"> </w:t>
      </w:r>
      <w:r w:rsidR="00416849">
        <w:t xml:space="preserve">will be </w:t>
      </w:r>
      <w:r w:rsidR="00B20539">
        <w:t>below the threshold for the final two years.</w:t>
      </w:r>
      <w:r w:rsidR="00D83835">
        <w:rPr>
          <w:rStyle w:val="FootnoteReference"/>
        </w:rPr>
        <w:footnoteReference w:id="11"/>
      </w:r>
      <w:r w:rsidR="00B20539">
        <w:t xml:space="preserve"> </w:t>
      </w:r>
      <w:r>
        <w:rPr>
          <w:rStyle w:val="AERbody"/>
        </w:rPr>
        <w:t xml:space="preserve">However, SA Power Networks' forecast unregulated revenues must be compared to the </w:t>
      </w:r>
      <w:r w:rsidR="00B20539">
        <w:rPr>
          <w:rStyle w:val="AERbody"/>
        </w:rPr>
        <w:t xml:space="preserve">total </w:t>
      </w:r>
      <w:r>
        <w:rPr>
          <w:rStyle w:val="AERbody"/>
        </w:rPr>
        <w:t xml:space="preserve">regulated revenues </w:t>
      </w:r>
      <w:r w:rsidR="00416849">
        <w:rPr>
          <w:rStyle w:val="AERbody"/>
        </w:rPr>
        <w:t xml:space="preserve">we determine, rather than the total revenue </w:t>
      </w:r>
      <w:r>
        <w:rPr>
          <w:rStyle w:val="AERbody"/>
        </w:rPr>
        <w:t xml:space="preserve">proposed by SA Power Networks. On that basis, we consider SA Power Networks' </w:t>
      </w:r>
      <w:r w:rsidRPr="00C83946">
        <w:t>unregulated revenues are between</w:t>
      </w:r>
      <w:r w:rsidR="009D6C48" w:rsidRPr="00C83946">
        <w:t xml:space="preserve"> </w:t>
      </w:r>
      <w:r w:rsidR="004333BC" w:rsidRPr="00C83946">
        <w:t>1.2</w:t>
      </w:r>
      <w:r w:rsidRPr="00C83946">
        <w:t xml:space="preserve"> and</w:t>
      </w:r>
      <w:r w:rsidR="009D6C48" w:rsidRPr="00C83946">
        <w:t xml:space="preserve"> </w:t>
      </w:r>
      <w:r w:rsidR="004333BC" w:rsidRPr="00C83946">
        <w:t>1.3</w:t>
      </w:r>
      <w:r w:rsidRPr="00C83946">
        <w:t xml:space="preserve"> per cent of its total expected revenue in each reg</w:t>
      </w:r>
      <w:r>
        <w:rPr>
          <w:rStyle w:val="AERbody"/>
        </w:rPr>
        <w:t>ulatory year of the 201</w:t>
      </w:r>
      <w:r w:rsidR="009D6C48">
        <w:rPr>
          <w:rStyle w:val="AERbody"/>
        </w:rPr>
        <w:t>5</w:t>
      </w:r>
      <w:r>
        <w:rPr>
          <w:rStyle w:val="AERbody"/>
        </w:rPr>
        <w:t>–</w:t>
      </w:r>
      <w:r w:rsidR="009D6C48">
        <w:rPr>
          <w:rStyle w:val="AERbody"/>
        </w:rPr>
        <w:t>20 regula</w:t>
      </w:r>
      <w:r w:rsidR="006545ED">
        <w:rPr>
          <w:rStyle w:val="AERbody"/>
        </w:rPr>
        <w:t xml:space="preserve">tory </w:t>
      </w:r>
      <w:r>
        <w:rPr>
          <w:rStyle w:val="AERbody"/>
        </w:rPr>
        <w:t>period.</w:t>
      </w:r>
    </w:p>
    <w:p w:rsidR="00416849" w:rsidRDefault="00416849" w:rsidP="00416849">
      <w:pPr>
        <w:numPr>
          <w:ilvl w:val="0"/>
          <w:numId w:val="25"/>
        </w:numPr>
      </w:pPr>
      <w:r>
        <w:rPr>
          <w:rStyle w:val="AERbody"/>
        </w:rPr>
        <w:t xml:space="preserve">We </w:t>
      </w:r>
      <w:r w:rsidR="004056D2">
        <w:rPr>
          <w:rStyle w:val="AERbody"/>
        </w:rPr>
        <w:t>are satisfied</w:t>
      </w:r>
      <w:r>
        <w:rPr>
          <w:rStyle w:val="AERbody"/>
        </w:rPr>
        <w:t xml:space="preserve"> SA Power Networks' shared asset unregulated revenues meet the threshold for revenue adjustments in each year of the </w:t>
      </w:r>
      <w:r w:rsidR="00B65798">
        <w:rPr>
          <w:rStyle w:val="AERbody"/>
        </w:rPr>
        <w:t xml:space="preserve">2015–20 </w:t>
      </w:r>
      <w:r>
        <w:rPr>
          <w:rStyle w:val="AERbody"/>
        </w:rPr>
        <w:t xml:space="preserve">regulatory </w:t>
      </w:r>
      <w:r w:rsidR="00B65798">
        <w:rPr>
          <w:rStyle w:val="AERbody"/>
        </w:rPr>
        <w:t xml:space="preserve">control </w:t>
      </w:r>
      <w:r>
        <w:rPr>
          <w:rStyle w:val="AERbody"/>
        </w:rPr>
        <w:t>period.</w:t>
      </w:r>
      <w:r w:rsidR="006A69A6">
        <w:rPr>
          <w:rStyle w:val="AERbody"/>
        </w:rPr>
        <w:t xml:space="preserve"> SA Power Networks submitted that it expects to earn a consistent amount of unregulated revenue from its shared assets in each year of the period. </w:t>
      </w:r>
      <w:r>
        <w:rPr>
          <w:rStyle w:val="AERbody"/>
        </w:rPr>
        <w:t>Our preliminary decision is therefore to reduce SA Power Networks' annual revenue requirement by a consistent amount for shared assets in each year of th</w:t>
      </w:r>
      <w:r w:rsidR="004056D2">
        <w:rPr>
          <w:rStyle w:val="AERbody"/>
        </w:rPr>
        <w:t>at</w:t>
      </w:r>
      <w:r w:rsidR="00B65798">
        <w:rPr>
          <w:rStyle w:val="AERbody"/>
        </w:rPr>
        <w:t xml:space="preserve"> </w:t>
      </w:r>
      <w:r>
        <w:rPr>
          <w:rStyle w:val="AERbody"/>
        </w:rPr>
        <w:t>period</w:t>
      </w:r>
      <w:r w:rsidR="004056D2">
        <w:rPr>
          <w:rStyle w:val="AERbody"/>
        </w:rPr>
        <w:t xml:space="preserve"> as shown in </w:t>
      </w:r>
      <w:r w:rsidR="004056D2">
        <w:rPr>
          <w:rStyle w:val="AERbody"/>
        </w:rPr>
        <w:fldChar w:fldCharType="begin"/>
      </w:r>
      <w:r w:rsidR="004056D2">
        <w:rPr>
          <w:rStyle w:val="AERbody"/>
        </w:rPr>
        <w:instrText xml:space="preserve"> REF _Ref415670989 \h </w:instrText>
      </w:r>
      <w:r w:rsidR="004056D2">
        <w:rPr>
          <w:rStyle w:val="AERbody"/>
        </w:rPr>
      </w:r>
      <w:r w:rsidR="004056D2">
        <w:rPr>
          <w:rStyle w:val="AERbody"/>
        </w:rPr>
        <w:fldChar w:fldCharType="separate"/>
      </w:r>
      <w:r w:rsidR="0025036E">
        <w:t xml:space="preserve">Table </w:t>
      </w:r>
      <w:r w:rsidR="0025036E">
        <w:rPr>
          <w:noProof/>
        </w:rPr>
        <w:t>1</w:t>
      </w:r>
      <w:r w:rsidR="0025036E">
        <w:t>.</w:t>
      </w:r>
      <w:r w:rsidR="0025036E">
        <w:rPr>
          <w:noProof/>
        </w:rPr>
        <w:t>4</w:t>
      </w:r>
      <w:r w:rsidR="004056D2">
        <w:rPr>
          <w:rStyle w:val="AERbody"/>
        </w:rPr>
        <w:fldChar w:fldCharType="end"/>
      </w:r>
      <w:r>
        <w:rPr>
          <w:rStyle w:val="AERbody"/>
        </w:rPr>
        <w:t xml:space="preserve">. </w:t>
      </w:r>
    </w:p>
    <w:p w:rsidR="00416849" w:rsidRPr="004056D2" w:rsidRDefault="004056D2" w:rsidP="004056D2">
      <w:pPr>
        <w:pStyle w:val="Caption"/>
      </w:pPr>
      <w:bookmarkStart w:id="31" w:name="_Ref415670989"/>
      <w:r>
        <w:lastRenderedPageBreak/>
        <w:t xml:space="preserve">Table </w:t>
      </w:r>
      <w:fldSimple w:instr=" STYLEREF 1 \s ">
        <w:r w:rsidR="0025036E">
          <w:rPr>
            <w:noProof/>
          </w:rPr>
          <w:t>1</w:t>
        </w:r>
      </w:fldSimple>
      <w:r w:rsidR="0025036E">
        <w:t>.</w:t>
      </w:r>
      <w:fldSimple w:instr=" SEQ Table \* ARABIC \s 1 ">
        <w:r w:rsidR="0025036E">
          <w:rPr>
            <w:noProof/>
          </w:rPr>
          <w:t>4</w:t>
        </w:r>
      </w:fldSimple>
      <w:bookmarkEnd w:id="31"/>
      <w:r>
        <w:tab/>
      </w:r>
      <w:r w:rsidR="00416849" w:rsidRPr="004056D2">
        <w:t>AER</w:t>
      </w:r>
      <w:r w:rsidRPr="004056D2">
        <w:t>'s</w:t>
      </w:r>
      <w:r w:rsidR="00416849" w:rsidRPr="004056D2">
        <w:t xml:space="preserve"> preliminary decision on SA Power Networks' shared asset revenue adjustments ($million, nominal)</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B65798" w:rsidTr="00372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B65798" w:rsidRPr="00056981" w:rsidRDefault="00B65798" w:rsidP="00416849"/>
        </w:tc>
        <w:tc>
          <w:tcPr>
            <w:tcW w:w="981" w:type="dxa"/>
          </w:tcPr>
          <w:p w:rsidR="00B65798" w:rsidRPr="00056981" w:rsidRDefault="00B65798" w:rsidP="00416849">
            <w:pPr>
              <w:cnfStyle w:val="100000000000" w:firstRow="1" w:lastRow="0" w:firstColumn="0" w:lastColumn="0" w:oddVBand="0" w:evenVBand="0" w:oddHBand="0" w:evenHBand="0" w:firstRowFirstColumn="0" w:firstRowLastColumn="0" w:lastRowFirstColumn="0" w:lastRowLastColumn="0"/>
            </w:pPr>
            <w:r w:rsidRPr="00056981">
              <w:t>2015–16</w:t>
            </w:r>
          </w:p>
        </w:tc>
        <w:tc>
          <w:tcPr>
            <w:tcW w:w="982" w:type="dxa"/>
          </w:tcPr>
          <w:p w:rsidR="00B65798" w:rsidRPr="00056981" w:rsidRDefault="00B65798" w:rsidP="00416849">
            <w:pPr>
              <w:cnfStyle w:val="100000000000" w:firstRow="1" w:lastRow="0" w:firstColumn="0" w:lastColumn="0" w:oddVBand="0" w:evenVBand="0" w:oddHBand="0" w:evenHBand="0" w:firstRowFirstColumn="0" w:firstRowLastColumn="0" w:lastRowFirstColumn="0" w:lastRowLastColumn="0"/>
            </w:pPr>
            <w:r w:rsidRPr="00056981">
              <w:t>2016–17</w:t>
            </w:r>
          </w:p>
        </w:tc>
        <w:tc>
          <w:tcPr>
            <w:tcW w:w="982" w:type="dxa"/>
          </w:tcPr>
          <w:p w:rsidR="00B65798" w:rsidRPr="00056981" w:rsidRDefault="00B65798" w:rsidP="00416849">
            <w:pPr>
              <w:cnfStyle w:val="100000000000" w:firstRow="1" w:lastRow="0" w:firstColumn="0" w:lastColumn="0" w:oddVBand="0" w:evenVBand="0" w:oddHBand="0" w:evenHBand="0" w:firstRowFirstColumn="0" w:firstRowLastColumn="0" w:lastRowFirstColumn="0" w:lastRowLastColumn="0"/>
            </w:pPr>
            <w:r w:rsidRPr="00056981">
              <w:t>2017–18</w:t>
            </w:r>
          </w:p>
        </w:tc>
        <w:tc>
          <w:tcPr>
            <w:tcW w:w="982" w:type="dxa"/>
          </w:tcPr>
          <w:p w:rsidR="00B65798" w:rsidRPr="00056981" w:rsidRDefault="00B65798" w:rsidP="00416849">
            <w:pPr>
              <w:cnfStyle w:val="100000000000" w:firstRow="1" w:lastRow="0" w:firstColumn="0" w:lastColumn="0" w:oddVBand="0" w:evenVBand="0" w:oddHBand="0" w:evenHBand="0" w:firstRowFirstColumn="0" w:firstRowLastColumn="0" w:lastRowFirstColumn="0" w:lastRowLastColumn="0"/>
            </w:pPr>
            <w:r w:rsidRPr="00056981">
              <w:t>2018–19</w:t>
            </w:r>
          </w:p>
        </w:tc>
        <w:tc>
          <w:tcPr>
            <w:tcW w:w="982" w:type="dxa"/>
          </w:tcPr>
          <w:p w:rsidR="00B65798" w:rsidRPr="00056981" w:rsidRDefault="00B65798" w:rsidP="00416849">
            <w:pPr>
              <w:cnfStyle w:val="100000000000" w:firstRow="1" w:lastRow="0" w:firstColumn="0" w:lastColumn="0" w:oddVBand="0" w:evenVBand="0" w:oddHBand="0" w:evenHBand="0" w:firstRowFirstColumn="0" w:firstRowLastColumn="0" w:lastRowFirstColumn="0" w:lastRowLastColumn="0"/>
            </w:pPr>
            <w:r w:rsidRPr="00056981">
              <w:t>2019–20</w:t>
            </w:r>
          </w:p>
        </w:tc>
        <w:tc>
          <w:tcPr>
            <w:tcW w:w="982" w:type="dxa"/>
          </w:tcPr>
          <w:p w:rsidR="00B65798" w:rsidRPr="00056981" w:rsidRDefault="00B65798" w:rsidP="00416849">
            <w:pPr>
              <w:cnfStyle w:val="100000000000" w:firstRow="1" w:lastRow="0" w:firstColumn="0" w:lastColumn="0" w:oddVBand="0" w:evenVBand="0" w:oddHBand="0" w:evenHBand="0" w:firstRowFirstColumn="0" w:firstRowLastColumn="0" w:lastRowFirstColumn="0" w:lastRowLastColumn="0"/>
            </w:pPr>
            <w:r>
              <w:t>Total</w:t>
            </w:r>
          </w:p>
        </w:tc>
      </w:tr>
      <w:tr w:rsidR="00B65798" w:rsidTr="00372EE1">
        <w:tc>
          <w:tcPr>
            <w:cnfStyle w:val="001000000000" w:firstRow="0" w:lastRow="0" w:firstColumn="1" w:lastColumn="0" w:oddVBand="0" w:evenVBand="0" w:oddHBand="0" w:evenHBand="0" w:firstRowFirstColumn="0" w:firstRowLastColumn="0" w:lastRowFirstColumn="0" w:lastRowLastColumn="0"/>
            <w:tcW w:w="2802" w:type="dxa"/>
          </w:tcPr>
          <w:p w:rsidR="00B65798" w:rsidRPr="00891C78" w:rsidRDefault="00B65798" w:rsidP="00416849">
            <w:r>
              <w:t>Shared assets revenue adjustment</w:t>
            </w:r>
          </w:p>
        </w:tc>
        <w:tc>
          <w:tcPr>
            <w:tcW w:w="981" w:type="dxa"/>
            <w:vAlign w:val="bottom"/>
          </w:tcPr>
          <w:p w:rsidR="00B65798" w:rsidRPr="00891C78" w:rsidRDefault="003C1D88" w:rsidP="00A37117">
            <w:pPr>
              <w:cnfStyle w:val="000000000000" w:firstRow="0" w:lastRow="0" w:firstColumn="0" w:lastColumn="0" w:oddVBand="0" w:evenVBand="0" w:oddHBand="0" w:evenHBand="0" w:firstRowFirstColumn="0" w:firstRowLastColumn="0" w:lastRowFirstColumn="0" w:lastRowLastColumn="0"/>
            </w:pPr>
            <w:r>
              <w:t>–</w:t>
            </w:r>
            <w:r w:rsidR="00B65798">
              <w:t>0.</w:t>
            </w:r>
            <w:r w:rsidR="00372EE1">
              <w:t>8</w:t>
            </w:r>
          </w:p>
        </w:tc>
        <w:tc>
          <w:tcPr>
            <w:tcW w:w="982" w:type="dxa"/>
            <w:vAlign w:val="bottom"/>
          </w:tcPr>
          <w:p w:rsidR="00B65798" w:rsidRPr="00891C78" w:rsidRDefault="003C1D88" w:rsidP="00A37117">
            <w:pPr>
              <w:cnfStyle w:val="000000000000" w:firstRow="0" w:lastRow="0" w:firstColumn="0" w:lastColumn="0" w:oddVBand="0" w:evenVBand="0" w:oddHBand="0" w:evenHBand="0" w:firstRowFirstColumn="0" w:firstRowLastColumn="0" w:lastRowFirstColumn="0" w:lastRowLastColumn="0"/>
            </w:pPr>
            <w:r>
              <w:t>–</w:t>
            </w:r>
            <w:r w:rsidR="00B65798">
              <w:t>0.</w:t>
            </w:r>
            <w:r w:rsidR="00372EE1">
              <w:t>8</w:t>
            </w:r>
          </w:p>
        </w:tc>
        <w:tc>
          <w:tcPr>
            <w:tcW w:w="982" w:type="dxa"/>
            <w:vAlign w:val="bottom"/>
          </w:tcPr>
          <w:p w:rsidR="00B65798" w:rsidRPr="00891C78" w:rsidRDefault="003C1D88" w:rsidP="00A37117">
            <w:pPr>
              <w:cnfStyle w:val="000000000000" w:firstRow="0" w:lastRow="0" w:firstColumn="0" w:lastColumn="0" w:oddVBand="0" w:evenVBand="0" w:oddHBand="0" w:evenHBand="0" w:firstRowFirstColumn="0" w:firstRowLastColumn="0" w:lastRowFirstColumn="0" w:lastRowLastColumn="0"/>
            </w:pPr>
            <w:r>
              <w:t>–</w:t>
            </w:r>
            <w:r w:rsidR="00B65798">
              <w:t>0.</w:t>
            </w:r>
            <w:r w:rsidR="00372EE1">
              <w:t>8</w:t>
            </w:r>
          </w:p>
        </w:tc>
        <w:tc>
          <w:tcPr>
            <w:tcW w:w="982" w:type="dxa"/>
            <w:vAlign w:val="bottom"/>
          </w:tcPr>
          <w:p w:rsidR="00B65798" w:rsidRPr="00891C78" w:rsidRDefault="003C1D88" w:rsidP="00A37117">
            <w:pPr>
              <w:cnfStyle w:val="000000000000" w:firstRow="0" w:lastRow="0" w:firstColumn="0" w:lastColumn="0" w:oddVBand="0" w:evenVBand="0" w:oddHBand="0" w:evenHBand="0" w:firstRowFirstColumn="0" w:firstRowLastColumn="0" w:lastRowFirstColumn="0" w:lastRowLastColumn="0"/>
            </w:pPr>
            <w:r>
              <w:t>–</w:t>
            </w:r>
            <w:r w:rsidR="00B65798">
              <w:t>0.</w:t>
            </w:r>
            <w:r w:rsidR="00372EE1">
              <w:t>8</w:t>
            </w:r>
          </w:p>
        </w:tc>
        <w:tc>
          <w:tcPr>
            <w:tcW w:w="982" w:type="dxa"/>
            <w:vAlign w:val="bottom"/>
          </w:tcPr>
          <w:p w:rsidR="00B65798" w:rsidRPr="00891C78" w:rsidRDefault="003C1D88" w:rsidP="00A37117">
            <w:pPr>
              <w:cnfStyle w:val="000000000000" w:firstRow="0" w:lastRow="0" w:firstColumn="0" w:lastColumn="0" w:oddVBand="0" w:evenVBand="0" w:oddHBand="0" w:evenHBand="0" w:firstRowFirstColumn="0" w:firstRowLastColumn="0" w:lastRowFirstColumn="0" w:lastRowLastColumn="0"/>
            </w:pPr>
            <w:r>
              <w:t>–</w:t>
            </w:r>
            <w:r w:rsidR="00B65798">
              <w:t>0.</w:t>
            </w:r>
            <w:r w:rsidR="00372EE1">
              <w:t>8</w:t>
            </w:r>
          </w:p>
        </w:tc>
        <w:tc>
          <w:tcPr>
            <w:tcW w:w="982" w:type="dxa"/>
          </w:tcPr>
          <w:p w:rsidR="00B65798" w:rsidRDefault="003C1D88">
            <w:pPr>
              <w:cnfStyle w:val="000000000000" w:firstRow="0" w:lastRow="0" w:firstColumn="0" w:lastColumn="0" w:oddVBand="0" w:evenVBand="0" w:oddHBand="0" w:evenHBand="0" w:firstRowFirstColumn="0" w:firstRowLastColumn="0" w:lastRowFirstColumn="0" w:lastRowLastColumn="0"/>
            </w:pPr>
            <w:r>
              <w:t>–4.1</w:t>
            </w:r>
          </w:p>
        </w:tc>
      </w:tr>
    </w:tbl>
    <w:p w:rsidR="00B20539" w:rsidRDefault="00B65798" w:rsidP="00372EE1">
      <w:pPr>
        <w:pStyle w:val="AERtablesource"/>
      </w:pPr>
      <w:r>
        <w:t xml:space="preserve">Source: </w:t>
      </w:r>
      <w:r>
        <w:tab/>
      </w:r>
      <w:r w:rsidR="003256D6">
        <w:t xml:space="preserve">AER </w:t>
      </w:r>
      <w:r w:rsidR="00903654">
        <w:t>a</w:t>
      </w:r>
      <w:r w:rsidR="003256D6">
        <w:t xml:space="preserve">nalysis </w:t>
      </w:r>
      <w:r>
        <w:t xml:space="preserve"> </w:t>
      </w:r>
    </w:p>
    <w:p w:rsidR="00F50889" w:rsidRPr="00F50889" w:rsidRDefault="00F50889" w:rsidP="00F50889">
      <w:pPr>
        <w:pStyle w:val="Heading3"/>
      </w:pPr>
      <w:bookmarkStart w:id="32" w:name="_Toc415666270"/>
      <w:r w:rsidRPr="00F37EDD">
        <w:t>Indicative</w:t>
      </w:r>
      <w:r w:rsidRPr="00F50889">
        <w:t xml:space="preserve"> average distribution price impact</w:t>
      </w:r>
      <w:bookmarkEnd w:id="27"/>
      <w:bookmarkEnd w:id="28"/>
      <w:bookmarkEnd w:id="29"/>
      <w:bookmarkEnd w:id="32"/>
    </w:p>
    <w:p w:rsidR="009D6C48" w:rsidRDefault="00F50889" w:rsidP="00F50889">
      <w:pPr>
        <w:numPr>
          <w:ilvl w:val="0"/>
          <w:numId w:val="25"/>
        </w:numPr>
      </w:pPr>
      <w:r>
        <w:rPr>
          <w:rStyle w:val="AERbody"/>
        </w:rPr>
        <w:t xml:space="preserve">Our </w:t>
      </w:r>
      <w:r w:rsidR="005A555D">
        <w:rPr>
          <w:rStyle w:val="AERbody"/>
        </w:rPr>
        <w:t>preliminary</w:t>
      </w:r>
      <w:r>
        <w:rPr>
          <w:rStyle w:val="AERbody"/>
        </w:rPr>
        <w:t xml:space="preserve"> decision on </w:t>
      </w:r>
      <w:r w:rsidR="005A555D">
        <w:rPr>
          <w:rStyle w:val="AERbody"/>
        </w:rPr>
        <w:t xml:space="preserve">SA Power Networks' </w:t>
      </w:r>
      <w:r>
        <w:rPr>
          <w:rStyle w:val="AERbody"/>
        </w:rPr>
        <w:t xml:space="preserve">expected </w:t>
      </w:r>
      <w:r w:rsidRPr="00177C01">
        <w:rPr>
          <w:rStyle w:val="AERbody"/>
        </w:rPr>
        <w:t>revenue</w:t>
      </w:r>
      <w:r>
        <w:rPr>
          <w:rStyle w:val="AERbody"/>
        </w:rPr>
        <w:t>s</w:t>
      </w:r>
      <w:r w:rsidRPr="00177C01">
        <w:rPr>
          <w:rStyle w:val="AERbody"/>
        </w:rPr>
        <w:t xml:space="preserve"> ultimately affects the prices consumers pay for electricity. </w:t>
      </w:r>
      <w:r w:rsidR="009D6C48">
        <w:t xml:space="preserve">There are several steps required </w:t>
      </w:r>
      <w:r w:rsidR="001C0B33">
        <w:t>in</w:t>
      </w:r>
      <w:r w:rsidR="009D6C48">
        <w:t xml:space="preserve"> translat</w:t>
      </w:r>
      <w:r w:rsidR="001C0B33">
        <w:t>ing</w:t>
      </w:r>
      <w:r w:rsidR="009D6C48">
        <w:t xml:space="preserve"> our revenue decision to a price impact.</w:t>
      </w:r>
    </w:p>
    <w:p w:rsidR="00F50889" w:rsidRDefault="009D6C48" w:rsidP="00F50889">
      <w:pPr>
        <w:numPr>
          <w:ilvl w:val="0"/>
          <w:numId w:val="25"/>
        </w:numPr>
        <w:rPr>
          <w:rStyle w:val="AERbody"/>
        </w:rPr>
      </w:pPr>
      <w:r>
        <w:rPr>
          <w:rStyle w:val="AERbody"/>
        </w:rPr>
        <w:t>W</w:t>
      </w:r>
      <w:r w:rsidR="00F50889">
        <w:rPr>
          <w:rStyle w:val="AERbody"/>
        </w:rPr>
        <w:t xml:space="preserve">e </w:t>
      </w:r>
      <w:r w:rsidR="00F50889" w:rsidRPr="00177C01">
        <w:rPr>
          <w:rStyle w:val="AERbody"/>
        </w:rPr>
        <w:t>regulat</w:t>
      </w:r>
      <w:r w:rsidR="00DB5BC2">
        <w:rPr>
          <w:rStyle w:val="AERbody"/>
        </w:rPr>
        <w:t>e</w:t>
      </w:r>
      <w:r w:rsidR="00F50889" w:rsidRPr="00177C01">
        <w:rPr>
          <w:rStyle w:val="AERbody"/>
        </w:rPr>
        <w:t xml:space="preserve"> </w:t>
      </w:r>
      <w:r w:rsidR="005A555D">
        <w:rPr>
          <w:rStyle w:val="AERbody"/>
        </w:rPr>
        <w:t xml:space="preserve">SA Power Networks' </w:t>
      </w:r>
      <w:r w:rsidR="00F50889" w:rsidRPr="00177C01">
        <w:rPr>
          <w:rStyle w:val="AERbody"/>
        </w:rPr>
        <w:t>standard control services under a revenue cap</w:t>
      </w:r>
      <w:r w:rsidR="007322F8">
        <w:rPr>
          <w:rStyle w:val="AERbody"/>
        </w:rPr>
        <w:t xml:space="preserve"> form of control. </w:t>
      </w:r>
      <w:r w:rsidR="007322F8" w:rsidRPr="007322F8">
        <w:t xml:space="preserve">This means our preliminary decision on </w:t>
      </w:r>
      <w:r w:rsidR="007322F8">
        <w:t>SA Power Networks'</w:t>
      </w:r>
      <w:r w:rsidR="007322F8" w:rsidRPr="007322F8">
        <w:t xml:space="preserve"> expected revenues do not directly translate to price impacts</w:t>
      </w:r>
      <w:r w:rsidR="007322F8">
        <w:t>.</w:t>
      </w:r>
      <w:r w:rsidR="00F50889" w:rsidRPr="00177C01">
        <w:rPr>
          <w:rStyle w:val="AERbody"/>
        </w:rPr>
        <w:t xml:space="preserve"> This is because </w:t>
      </w:r>
      <w:r w:rsidR="005A555D">
        <w:rPr>
          <w:rStyle w:val="AERbody"/>
        </w:rPr>
        <w:t xml:space="preserve">SA Power Networks' </w:t>
      </w:r>
      <w:r w:rsidR="00F50889" w:rsidRPr="00177C01">
        <w:rPr>
          <w:rStyle w:val="AERbody"/>
        </w:rPr>
        <w:t>revenue is fixed</w:t>
      </w:r>
      <w:r w:rsidR="00F50889">
        <w:rPr>
          <w:rStyle w:val="AERbody"/>
        </w:rPr>
        <w:t xml:space="preserve"> under the revenue cap form of control</w:t>
      </w:r>
      <w:r w:rsidR="00F50889" w:rsidRPr="00177C01">
        <w:rPr>
          <w:rStyle w:val="AERbody"/>
        </w:rPr>
        <w:t>, so changes in the consumption of electricity will affect the price</w:t>
      </w:r>
      <w:r w:rsidR="00F50889">
        <w:rPr>
          <w:rStyle w:val="AERbody"/>
        </w:rPr>
        <w:t>s ultimately charged to consumers</w:t>
      </w:r>
      <w:r w:rsidR="00F50889" w:rsidRPr="00177C01">
        <w:rPr>
          <w:rStyle w:val="AERbody"/>
        </w:rPr>
        <w:t>.</w:t>
      </w:r>
      <w:r w:rsidR="00F50889">
        <w:rPr>
          <w:rStyle w:val="AERbody"/>
        </w:rPr>
        <w:t xml:space="preserve"> </w:t>
      </w:r>
      <w:r w:rsidR="00F50889" w:rsidRPr="00051610">
        <w:t xml:space="preserve">We are not required to establish the distribution prices for </w:t>
      </w:r>
      <w:r w:rsidR="00030B62">
        <w:t>SA Power Networks</w:t>
      </w:r>
      <w:r w:rsidR="00F50889" w:rsidRPr="00051610">
        <w:t xml:space="preserve"> as part of th</w:t>
      </w:r>
      <w:r w:rsidR="00F50889">
        <w:t>is determination</w:t>
      </w:r>
      <w:r w:rsidR="00F50889" w:rsidRPr="00051610">
        <w:t xml:space="preserve">. </w:t>
      </w:r>
      <w:r w:rsidR="00F50889">
        <w:rPr>
          <w:rStyle w:val="AERbody"/>
        </w:rPr>
        <w:t xml:space="preserve">However, we will assess </w:t>
      </w:r>
      <w:r w:rsidR="005A555D">
        <w:rPr>
          <w:rStyle w:val="AERbody"/>
        </w:rPr>
        <w:t xml:space="preserve">SA Power Networks' </w:t>
      </w:r>
      <w:r w:rsidR="00F50889">
        <w:rPr>
          <w:rStyle w:val="AERbody"/>
        </w:rPr>
        <w:t xml:space="preserve">annual pricing proposals before the commencement of </w:t>
      </w:r>
      <w:r w:rsidR="007623E4">
        <w:rPr>
          <w:rStyle w:val="AERbody"/>
        </w:rPr>
        <w:t>each</w:t>
      </w:r>
      <w:r w:rsidR="00F50889">
        <w:rPr>
          <w:rStyle w:val="AERbody"/>
        </w:rPr>
        <w:t xml:space="preserve"> regulatory year for the </w:t>
      </w:r>
      <w:r w:rsidR="005A555D">
        <w:rPr>
          <w:rStyle w:val="AERbody"/>
        </w:rPr>
        <w:t>2015–20 regulatory control period</w:t>
      </w:r>
      <w:r w:rsidR="00F50889">
        <w:rPr>
          <w:rStyle w:val="AERbody"/>
        </w:rPr>
        <w:t xml:space="preserve"> </w:t>
      </w:r>
      <w:r w:rsidR="007623E4">
        <w:rPr>
          <w:rStyle w:val="AERbody"/>
        </w:rPr>
        <w:t>to administer the pricing requirements in</w:t>
      </w:r>
      <w:r w:rsidR="00F50889">
        <w:rPr>
          <w:rStyle w:val="AERbody"/>
        </w:rPr>
        <w:t xml:space="preserve"> this distribution determination. </w:t>
      </w:r>
    </w:p>
    <w:p w:rsidR="00761E8F" w:rsidRDefault="00F50889" w:rsidP="00761E8F">
      <w:pPr>
        <w:numPr>
          <w:ilvl w:val="0"/>
          <w:numId w:val="25"/>
        </w:numPr>
        <w:rPr>
          <w:rStyle w:val="AERbody"/>
        </w:rPr>
      </w:pPr>
      <w:r>
        <w:rPr>
          <w:rStyle w:val="AERbody"/>
        </w:rPr>
        <w:t xml:space="preserve">For this </w:t>
      </w:r>
      <w:r w:rsidR="005A555D">
        <w:rPr>
          <w:rStyle w:val="AERbody"/>
        </w:rPr>
        <w:t>preliminary</w:t>
      </w:r>
      <w:r>
        <w:rPr>
          <w:rStyle w:val="AERbody"/>
        </w:rPr>
        <w:t xml:space="preserve"> decision, we have estimated some indicative average distribution price impacts flowing from our determination on the expected revenues for </w:t>
      </w:r>
      <w:r w:rsidR="00030B62">
        <w:rPr>
          <w:rStyle w:val="AERbody"/>
        </w:rPr>
        <w:t>SA Power Networks</w:t>
      </w:r>
      <w:r>
        <w:rPr>
          <w:rStyle w:val="AERbody"/>
        </w:rPr>
        <w:t xml:space="preserve"> over the </w:t>
      </w:r>
      <w:r w:rsidR="005A555D">
        <w:rPr>
          <w:rStyle w:val="AERbody"/>
        </w:rPr>
        <w:t>2015–20 regulatory control period</w:t>
      </w:r>
      <w:r>
        <w:rPr>
          <w:rStyle w:val="AERbody"/>
        </w:rPr>
        <w:t>.</w:t>
      </w:r>
      <w:r w:rsidRPr="00706C44">
        <w:rPr>
          <w:rStyle w:val="AERbody"/>
        </w:rPr>
        <w:t xml:space="preserve"> </w:t>
      </w:r>
    </w:p>
    <w:p w:rsidR="009D6C48" w:rsidRDefault="00761E8F" w:rsidP="00761E8F">
      <w:pPr>
        <w:numPr>
          <w:ilvl w:val="0"/>
          <w:numId w:val="25"/>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25036E">
        <w:t xml:space="preserve">Figure </w:t>
      </w:r>
      <w:r w:rsidR="0025036E">
        <w:rPr>
          <w:noProof/>
        </w:rPr>
        <w:t>1</w:t>
      </w:r>
      <w:r w:rsidR="0025036E">
        <w:t>.</w:t>
      </w:r>
      <w:r w:rsidR="0025036E">
        <w:rPr>
          <w:noProof/>
        </w:rPr>
        <w:t>3</w:t>
      </w:r>
      <w:r>
        <w:rPr>
          <w:rStyle w:val="AERbody"/>
        </w:rPr>
        <w:fldChar w:fldCharType="end"/>
      </w:r>
      <w:r w:rsidR="00F50889">
        <w:rPr>
          <w:rStyle w:val="AERbody"/>
        </w:rPr>
        <w:t xml:space="preserve"> shows </w:t>
      </w:r>
      <w:r w:rsidR="005A555D">
        <w:rPr>
          <w:rStyle w:val="AERbody"/>
        </w:rPr>
        <w:t xml:space="preserve">SA Power Networks' </w:t>
      </w:r>
      <w:r w:rsidR="00F50889" w:rsidRPr="00706C44">
        <w:rPr>
          <w:rStyle w:val="AERbody"/>
        </w:rPr>
        <w:t xml:space="preserve">indicative price path based on </w:t>
      </w:r>
      <w:r w:rsidR="00F50889">
        <w:rPr>
          <w:rStyle w:val="AERbody"/>
        </w:rPr>
        <w:t>the expected</w:t>
      </w:r>
      <w:r w:rsidR="00F50889" w:rsidRPr="00706C44">
        <w:rPr>
          <w:rStyle w:val="AERbody"/>
        </w:rPr>
        <w:t xml:space="preserve"> revenue</w:t>
      </w:r>
      <w:r w:rsidR="00F50889">
        <w:rPr>
          <w:rStyle w:val="AERbody"/>
        </w:rPr>
        <w:t>s</w:t>
      </w:r>
      <w:r w:rsidR="00F50889" w:rsidRPr="00706C44">
        <w:rPr>
          <w:rStyle w:val="AERbody"/>
        </w:rPr>
        <w:t xml:space="preserve"> </w:t>
      </w:r>
      <w:r w:rsidR="00F50889">
        <w:rPr>
          <w:rStyle w:val="AERbody"/>
        </w:rPr>
        <w:t xml:space="preserve">established in our </w:t>
      </w:r>
      <w:r w:rsidR="005A555D">
        <w:rPr>
          <w:rStyle w:val="AERbody"/>
        </w:rPr>
        <w:t>preliminary</w:t>
      </w:r>
      <w:r w:rsidR="00F50889" w:rsidRPr="00706C44">
        <w:rPr>
          <w:rStyle w:val="AERbody"/>
        </w:rPr>
        <w:t xml:space="preserve"> decision </w:t>
      </w:r>
      <w:r w:rsidR="00F50889">
        <w:rPr>
          <w:rStyle w:val="AERbody"/>
        </w:rPr>
        <w:t>compared to its proposed revenue requirement</w:t>
      </w:r>
      <w:r w:rsidR="00F50889" w:rsidRPr="00706C44">
        <w:rPr>
          <w:rStyle w:val="AERbody"/>
        </w:rPr>
        <w:t>.</w:t>
      </w:r>
      <w:r w:rsidR="00F50889">
        <w:rPr>
          <w:rStyle w:val="AERbody"/>
        </w:rPr>
        <w:t xml:space="preserve"> </w:t>
      </w:r>
      <w:bookmarkStart w:id="33" w:name="_Ref397941631"/>
      <w:r w:rsidR="009D6C48">
        <w:t>W</w:t>
      </w:r>
      <w:r w:rsidR="009D6C48" w:rsidRPr="00446442">
        <w:t xml:space="preserve">e used the </w:t>
      </w:r>
      <w:r w:rsidR="009D6C48">
        <w:t xml:space="preserve">data on </w:t>
      </w:r>
      <w:r w:rsidR="009D6C48" w:rsidRPr="00446442">
        <w:t xml:space="preserve">price </w:t>
      </w:r>
      <w:r w:rsidR="009D6C48">
        <w:t>changes</w:t>
      </w:r>
      <w:r w:rsidR="009D6C48" w:rsidRPr="00446442">
        <w:t xml:space="preserve"> </w:t>
      </w:r>
      <w:r w:rsidR="006615FD">
        <w:t xml:space="preserve">SA Power Networks </w:t>
      </w:r>
      <w:r w:rsidR="009D6C48" w:rsidRPr="00446442">
        <w:t xml:space="preserve">provided in </w:t>
      </w:r>
      <w:r w:rsidR="009D6C48">
        <w:t>its proposal.</w:t>
      </w:r>
      <w:r w:rsidR="009D6C48" w:rsidRPr="00446442">
        <w:t xml:space="preserve"> </w:t>
      </w:r>
      <w:r w:rsidR="009D6C48">
        <w:t xml:space="preserve">We have adopted the data </w:t>
      </w:r>
      <w:r w:rsidR="009D6C48" w:rsidRPr="00446442">
        <w:t>to determine the movement in overall prices. For presentational purposes, the prices are scaled so that the price index begins at 1.0 in 201</w:t>
      </w:r>
      <w:r w:rsidR="009D6C48">
        <w:t>4–</w:t>
      </w:r>
      <w:r w:rsidR="009D6C48" w:rsidRPr="00446442">
        <w:t>1</w:t>
      </w:r>
      <w:r w:rsidR="009D6C48">
        <w:t>5</w:t>
      </w:r>
      <w:r w:rsidR="009D6C48" w:rsidRPr="00446442">
        <w:t>.</w:t>
      </w:r>
      <w:r w:rsidR="009D6C48" w:rsidRPr="00F15277">
        <w:t xml:space="preserve"> The index provides a simple overall measure of the relative movement in expected distribution prices over the 201</w:t>
      </w:r>
      <w:r w:rsidR="009D6C48">
        <w:t>5–20 regulatory control</w:t>
      </w:r>
      <w:r w:rsidR="009D6C48" w:rsidRPr="00F15277">
        <w:t xml:space="preserve"> period.</w:t>
      </w:r>
      <w:r w:rsidR="009D6C48">
        <w:t xml:space="preserve"> </w:t>
      </w:r>
    </w:p>
    <w:p w:rsidR="00F50889" w:rsidRDefault="006615FD" w:rsidP="006615FD">
      <w:pPr>
        <w:pStyle w:val="Caption"/>
      </w:pPr>
      <w:bookmarkStart w:id="34" w:name="_Ref417307328"/>
      <w:bookmarkEnd w:id="33"/>
      <w:r>
        <w:lastRenderedPageBreak/>
        <w:t xml:space="preserve">Figure </w:t>
      </w:r>
      <w:r w:rsidR="006D6FA9">
        <w:fldChar w:fldCharType="begin"/>
      </w:r>
      <w:r w:rsidR="006D6FA9">
        <w:instrText xml:space="preserve"> STYLEREF 1 \s </w:instrText>
      </w:r>
      <w:r w:rsidR="006D6FA9">
        <w:fldChar w:fldCharType="separate"/>
      </w:r>
      <w:r w:rsidR="0025036E">
        <w:rPr>
          <w:noProof/>
        </w:rPr>
        <w:t>1</w:t>
      </w:r>
      <w:r w:rsidR="006D6FA9">
        <w:rPr>
          <w:noProof/>
        </w:rPr>
        <w:fldChar w:fldCharType="end"/>
      </w:r>
      <w:r w:rsidR="0025036E">
        <w:t>.</w:t>
      </w:r>
      <w:r w:rsidR="006D6FA9">
        <w:fldChar w:fldCharType="begin"/>
      </w:r>
      <w:r w:rsidR="006D6FA9">
        <w:instrText xml:space="preserve"> SEQ Figure \* ARABIC \s 1 </w:instrText>
      </w:r>
      <w:r w:rsidR="006D6FA9">
        <w:fldChar w:fldCharType="separate"/>
      </w:r>
      <w:r w:rsidR="0025036E">
        <w:rPr>
          <w:noProof/>
        </w:rPr>
        <w:t>3</w:t>
      </w:r>
      <w:r w:rsidR="006D6FA9">
        <w:rPr>
          <w:noProof/>
        </w:rPr>
        <w:fldChar w:fldCharType="end"/>
      </w:r>
      <w:bookmarkEnd w:id="34"/>
      <w:r>
        <w:tab/>
      </w:r>
      <w:r w:rsidR="00F50889" w:rsidRPr="006615FD">
        <w:t xml:space="preserve">AER's </w:t>
      </w:r>
      <w:r w:rsidR="005A555D" w:rsidRPr="006615FD">
        <w:t>preliminary</w:t>
      </w:r>
      <w:r w:rsidR="00F50889" w:rsidRPr="006615FD">
        <w:t xml:space="preserve"> decision and </w:t>
      </w:r>
      <w:r w:rsidR="005A555D" w:rsidRPr="006615FD">
        <w:t xml:space="preserve">SA Power Networks' </w:t>
      </w:r>
      <w:r w:rsidR="00F50889" w:rsidRPr="006615FD">
        <w:t>proposed indicative price path (nominal price index)</w:t>
      </w:r>
    </w:p>
    <w:p w:rsidR="00F50889" w:rsidRPr="00F50889" w:rsidRDefault="00E751AA" w:rsidP="003256D6">
      <w:pPr>
        <w:rPr>
          <w:rStyle w:val="CommentReference"/>
          <w:b/>
          <w:bCs/>
        </w:rPr>
      </w:pPr>
      <w:r w:rsidRPr="00E751AA">
        <w:rPr>
          <w:noProof/>
          <w:lang w:eastAsia="en-AU"/>
        </w:rPr>
        <w:drawing>
          <wp:inline distT="0" distB="0" distL="0" distR="0" wp14:anchorId="36189611" wp14:editId="6841EBF4">
            <wp:extent cx="5382895" cy="322783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6615FD" w:rsidRPr="006615FD" w:rsidRDefault="006615FD" w:rsidP="006615FD">
      <w:pPr>
        <w:pStyle w:val="AERtablesource"/>
      </w:pPr>
      <w:r w:rsidRPr="006615FD">
        <w:t>Source:</w:t>
      </w:r>
      <w:r w:rsidRPr="006615FD">
        <w:tab/>
        <w:t xml:space="preserve">AER analysis. </w:t>
      </w:r>
    </w:p>
    <w:p w:rsidR="006615FD" w:rsidRPr="006615FD" w:rsidRDefault="006615FD" w:rsidP="006615FD">
      <w:pPr>
        <w:pStyle w:val="AERtablesource"/>
      </w:pPr>
      <w:r w:rsidRPr="006615FD">
        <w:t>Notes:</w:t>
      </w:r>
      <w:r w:rsidRPr="006615FD">
        <w:tab/>
        <w:t xml:space="preserve">The nominal </w:t>
      </w:r>
      <w:r w:rsidR="000B5A53">
        <w:t xml:space="preserve">proposed </w:t>
      </w:r>
      <w:r w:rsidRPr="006615FD">
        <w:t xml:space="preserve">price index is calculated by the AER based on the </w:t>
      </w:r>
      <w:r w:rsidR="00CD5115">
        <w:t>weighted</w:t>
      </w:r>
      <w:r w:rsidRPr="006615FD">
        <w:t xml:space="preserve"> average price changes submitted by </w:t>
      </w:r>
      <w:r>
        <w:t>SA Power Networks</w:t>
      </w:r>
      <w:r w:rsidRPr="006615FD">
        <w:t xml:space="preserve"> in its proposal, and adjusting for the change in overall revenue substituted by the AER.   </w:t>
      </w:r>
    </w:p>
    <w:p w:rsidR="006615FD" w:rsidRPr="006615FD" w:rsidRDefault="006615FD" w:rsidP="008764B6">
      <w:r w:rsidRPr="006615FD">
        <w:t xml:space="preserve">We estimate that our preliminary decision on </w:t>
      </w:r>
      <w:r>
        <w:t>SA Power Network</w:t>
      </w:r>
      <w:r w:rsidRPr="006615FD">
        <w:t>s</w:t>
      </w:r>
      <w:r>
        <w:t>'</w:t>
      </w:r>
      <w:r w:rsidRPr="006615FD">
        <w:t xml:space="preserve"> annual expected revenue will result in a decrease to average distribution charges by about </w:t>
      </w:r>
      <w:r w:rsidR="00BE4A55">
        <w:t>7.</w:t>
      </w:r>
      <w:r w:rsidR="00CD5115">
        <w:t>0</w:t>
      </w:r>
      <w:r w:rsidR="008764B6">
        <w:t xml:space="preserve"> per cent </w:t>
      </w:r>
      <w:r w:rsidRPr="006615FD">
        <w:t>per annum over the 2015–20 regulatory control period in nominal terms.</w:t>
      </w:r>
      <w:r w:rsidRPr="006615FD">
        <w:rPr>
          <w:rStyle w:val="FootnoteReference"/>
        </w:rPr>
        <w:footnoteReference w:id="12"/>
      </w:r>
      <w:r w:rsidRPr="006615FD">
        <w:t xml:space="preserve"> This compares to the nominal average increase of approximately </w:t>
      </w:r>
      <w:r w:rsidR="00CD5115">
        <w:t>1.</w:t>
      </w:r>
      <w:r w:rsidR="00BE4A55">
        <w:t>7</w:t>
      </w:r>
      <w:r w:rsidR="008764B6">
        <w:t xml:space="preserve"> per cent </w:t>
      </w:r>
      <w:r w:rsidRPr="006615FD">
        <w:t xml:space="preserve">per annum proposed by </w:t>
      </w:r>
      <w:r>
        <w:t>SA Power Networks</w:t>
      </w:r>
      <w:r w:rsidRPr="006615FD">
        <w:t xml:space="preserve"> over the 2015–20 regulatory control period.</w:t>
      </w:r>
    </w:p>
    <w:p w:rsidR="00F50889" w:rsidRDefault="00F50889" w:rsidP="00F50889">
      <w:pPr>
        <w:numPr>
          <w:ilvl w:val="0"/>
          <w:numId w:val="25"/>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25036E">
        <w:t xml:space="preserve">Table </w:t>
      </w:r>
      <w:r w:rsidR="0025036E">
        <w:rPr>
          <w:noProof/>
        </w:rPr>
        <w:t>1</w:t>
      </w:r>
      <w:r w:rsidR="0025036E">
        <w:t>.</w:t>
      </w:r>
      <w:r w:rsidR="0025036E">
        <w:rPr>
          <w:noProof/>
        </w:rPr>
        <w:t>5</w:t>
      </w:r>
      <w:r>
        <w:rPr>
          <w:rStyle w:val="AERbody"/>
        </w:rPr>
        <w:fldChar w:fldCharType="end"/>
      </w:r>
      <w:r>
        <w:rPr>
          <w:rStyle w:val="AERbody"/>
        </w:rPr>
        <w:t xml:space="preserve"> </w:t>
      </w:r>
      <w:r w:rsidRPr="00663C10">
        <w:rPr>
          <w:rStyle w:val="AERbody"/>
        </w:rPr>
        <w:t xml:space="preserve">displays the comparison of the price impacts of </w:t>
      </w:r>
      <w:r w:rsidR="005A555D">
        <w:rPr>
          <w:rStyle w:val="AERbody"/>
        </w:rPr>
        <w:t xml:space="preserve">SA Power Networks' </w:t>
      </w:r>
      <w:r w:rsidRPr="00663C10">
        <w:rPr>
          <w:rStyle w:val="AERbody"/>
        </w:rPr>
        <w:t xml:space="preserve">proposal and our </w:t>
      </w:r>
      <w:r w:rsidR="005A555D">
        <w:rPr>
          <w:rStyle w:val="AERbody"/>
        </w:rPr>
        <w:t>preliminary</w:t>
      </w:r>
      <w:r w:rsidRPr="00663C10">
        <w:rPr>
          <w:rStyle w:val="AERbody"/>
        </w:rPr>
        <w:t xml:space="preserve"> decision revenue allowance.</w:t>
      </w:r>
      <w:bookmarkStart w:id="35" w:name="_Ref397951148"/>
    </w:p>
    <w:p w:rsidR="003C1D88" w:rsidRDefault="003C1D88" w:rsidP="000B6AE9">
      <w:pPr>
        <w:rPr>
          <w:rStyle w:val="AERbody"/>
        </w:rPr>
      </w:pPr>
    </w:p>
    <w:p w:rsidR="003C1D88" w:rsidRDefault="003C1D88" w:rsidP="000B6AE9">
      <w:pPr>
        <w:rPr>
          <w:rStyle w:val="AERbody"/>
        </w:rPr>
      </w:pPr>
    </w:p>
    <w:p w:rsidR="003C1D88" w:rsidRPr="00F50889" w:rsidRDefault="003C1D88" w:rsidP="000B6AE9"/>
    <w:p w:rsidR="00F50889" w:rsidRDefault="00F50889" w:rsidP="00F50889">
      <w:pPr>
        <w:pStyle w:val="Caption"/>
        <w:rPr>
          <w:rStyle w:val="AERbody"/>
        </w:rPr>
      </w:pPr>
      <w:bookmarkStart w:id="36" w:name="_Ref404611300"/>
      <w:r>
        <w:lastRenderedPageBreak/>
        <w:t xml:space="preserve">Table </w:t>
      </w:r>
      <w:fldSimple w:instr=" STYLEREF 1 \s ">
        <w:r w:rsidR="0025036E">
          <w:rPr>
            <w:noProof/>
          </w:rPr>
          <w:t>1</w:t>
        </w:r>
      </w:fldSimple>
      <w:r w:rsidR="0025036E">
        <w:t>.</w:t>
      </w:r>
      <w:fldSimple w:instr=" SEQ Table \* ARABIC \s 1 ">
        <w:r w:rsidR="0025036E">
          <w:rPr>
            <w:noProof/>
          </w:rPr>
          <w:t>5</w:t>
        </w:r>
      </w:fldSimple>
      <w:bookmarkEnd w:id="35"/>
      <w:bookmarkEnd w:id="36"/>
      <w:r>
        <w:tab/>
      </w:r>
      <w:r w:rsidRPr="0031076B">
        <w:t xml:space="preserve">Comparison of </w:t>
      </w:r>
      <w:r>
        <w:t xml:space="preserve">revenue and </w:t>
      </w:r>
      <w:r w:rsidRPr="0031076B">
        <w:t xml:space="preserve">price impacts of </w:t>
      </w:r>
      <w:r w:rsidR="005A555D">
        <w:t xml:space="preserve">SA Power Networks' </w:t>
      </w:r>
      <w:r w:rsidRPr="0031076B">
        <w:t xml:space="preserve">proposal and </w:t>
      </w:r>
      <w:r>
        <w:t xml:space="preserve">the </w:t>
      </w:r>
      <w:r w:rsidRPr="0031076B">
        <w:t>AER</w:t>
      </w:r>
      <w:r>
        <w:t>'s</w:t>
      </w:r>
      <w:r w:rsidRPr="0031076B">
        <w:t xml:space="preserve"> </w:t>
      </w:r>
      <w:r w:rsidR="005A555D">
        <w:t>preliminary</w:t>
      </w:r>
      <w:r w:rsidRPr="0031076B">
        <w:t xml:space="preserve"> </w:t>
      </w:r>
      <w:r>
        <w:t xml:space="preserve">decision </w:t>
      </w:r>
    </w:p>
    <w:tbl>
      <w:tblPr>
        <w:tblStyle w:val="AERtable-numbers"/>
        <w:tblW w:w="5000" w:type="pct"/>
        <w:tblLayout w:type="fixed"/>
        <w:tblLook w:val="04A0" w:firstRow="1" w:lastRow="0" w:firstColumn="1" w:lastColumn="0" w:noHBand="0" w:noVBand="1"/>
      </w:tblPr>
      <w:tblGrid>
        <w:gridCol w:w="2063"/>
        <w:gridCol w:w="1105"/>
        <w:gridCol w:w="1106"/>
        <w:gridCol w:w="1106"/>
        <w:gridCol w:w="1106"/>
        <w:gridCol w:w="1106"/>
        <w:gridCol w:w="1101"/>
      </w:tblGrid>
      <w:tr w:rsidR="005953FD" w:rsidRPr="009362A4" w:rsidTr="00761E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5953FD" w:rsidRPr="005953FD" w:rsidRDefault="005953FD" w:rsidP="005953FD">
            <w:r w:rsidRPr="005953FD">
              <w:t> </w:t>
            </w:r>
          </w:p>
        </w:tc>
        <w:tc>
          <w:tcPr>
            <w:tcW w:w="636" w:type="pct"/>
            <w:noWrap/>
            <w:hideMark/>
          </w:tcPr>
          <w:p w:rsidR="005953FD" w:rsidRPr="005953FD" w:rsidRDefault="005953FD" w:rsidP="005953FD">
            <w:pPr>
              <w:cnfStyle w:val="100000000000" w:firstRow="1" w:lastRow="0" w:firstColumn="0" w:lastColumn="0" w:oddVBand="0" w:evenVBand="0" w:oddHBand="0" w:evenHBand="0" w:firstRowFirstColumn="0" w:firstRowLastColumn="0" w:lastRowFirstColumn="0" w:lastRowLastColumn="0"/>
            </w:pPr>
            <w:r w:rsidRPr="005953FD">
              <w:t>2014–15</w:t>
            </w:r>
          </w:p>
        </w:tc>
        <w:tc>
          <w:tcPr>
            <w:tcW w:w="636" w:type="pct"/>
            <w:noWrap/>
          </w:tcPr>
          <w:p w:rsidR="005953FD" w:rsidRPr="005953FD" w:rsidRDefault="005953FD" w:rsidP="005953FD">
            <w:pPr>
              <w:cnfStyle w:val="100000000000" w:firstRow="1" w:lastRow="0" w:firstColumn="0" w:lastColumn="0" w:oddVBand="0" w:evenVBand="0" w:oddHBand="0" w:evenHBand="0" w:firstRowFirstColumn="0" w:firstRowLastColumn="0" w:lastRowFirstColumn="0" w:lastRowLastColumn="0"/>
            </w:pPr>
            <w:r w:rsidRPr="005953FD">
              <w:t>2015–16</w:t>
            </w:r>
          </w:p>
        </w:tc>
        <w:tc>
          <w:tcPr>
            <w:tcW w:w="636" w:type="pct"/>
            <w:noWrap/>
          </w:tcPr>
          <w:p w:rsidR="005953FD" w:rsidRPr="005953FD" w:rsidRDefault="005953FD" w:rsidP="005953FD">
            <w:pPr>
              <w:cnfStyle w:val="100000000000" w:firstRow="1" w:lastRow="0" w:firstColumn="0" w:lastColumn="0" w:oddVBand="0" w:evenVBand="0" w:oddHBand="0" w:evenHBand="0" w:firstRowFirstColumn="0" w:firstRowLastColumn="0" w:lastRowFirstColumn="0" w:lastRowLastColumn="0"/>
            </w:pPr>
            <w:r w:rsidRPr="005953FD">
              <w:t>2016–17</w:t>
            </w:r>
          </w:p>
        </w:tc>
        <w:tc>
          <w:tcPr>
            <w:tcW w:w="636" w:type="pct"/>
            <w:noWrap/>
          </w:tcPr>
          <w:p w:rsidR="005953FD" w:rsidRPr="005953FD" w:rsidRDefault="005953FD" w:rsidP="005953FD">
            <w:pPr>
              <w:cnfStyle w:val="100000000000" w:firstRow="1" w:lastRow="0" w:firstColumn="0" w:lastColumn="0" w:oddVBand="0" w:evenVBand="0" w:oddHBand="0" w:evenHBand="0" w:firstRowFirstColumn="0" w:firstRowLastColumn="0" w:lastRowFirstColumn="0" w:lastRowLastColumn="0"/>
            </w:pPr>
            <w:r w:rsidRPr="005953FD">
              <w:t>2017–18</w:t>
            </w:r>
          </w:p>
        </w:tc>
        <w:tc>
          <w:tcPr>
            <w:tcW w:w="636" w:type="pct"/>
            <w:noWrap/>
          </w:tcPr>
          <w:p w:rsidR="005953FD" w:rsidRPr="005953FD" w:rsidRDefault="005953FD" w:rsidP="005953FD">
            <w:pPr>
              <w:cnfStyle w:val="100000000000" w:firstRow="1" w:lastRow="0" w:firstColumn="0" w:lastColumn="0" w:oddVBand="0" w:evenVBand="0" w:oddHBand="0" w:evenHBand="0" w:firstRowFirstColumn="0" w:firstRowLastColumn="0" w:lastRowFirstColumn="0" w:lastRowLastColumn="0"/>
            </w:pPr>
            <w:r w:rsidRPr="005953FD">
              <w:t>2018–19</w:t>
            </w:r>
          </w:p>
        </w:tc>
        <w:tc>
          <w:tcPr>
            <w:tcW w:w="633" w:type="pct"/>
            <w:noWrap/>
          </w:tcPr>
          <w:p w:rsidR="005953FD" w:rsidRPr="005953FD" w:rsidRDefault="005953FD" w:rsidP="005953FD">
            <w:pPr>
              <w:cnfStyle w:val="100000000000" w:firstRow="1" w:lastRow="0" w:firstColumn="0" w:lastColumn="0" w:oddVBand="0" w:evenVBand="0" w:oddHBand="0" w:evenHBand="0" w:firstRowFirstColumn="0" w:firstRowLastColumn="0" w:lastRowFirstColumn="0" w:lastRowLastColumn="0"/>
            </w:pPr>
            <w:r>
              <w:t>2019–20</w:t>
            </w:r>
          </w:p>
        </w:tc>
      </w:tr>
      <w:tr w:rsidR="00761E8F" w:rsidRPr="009362A4" w:rsidTr="00761E8F">
        <w:trPr>
          <w:trHeight w:val="300"/>
        </w:trPr>
        <w:tc>
          <w:tcPr>
            <w:cnfStyle w:val="001000000000" w:firstRow="0" w:lastRow="0" w:firstColumn="1" w:lastColumn="0" w:oddVBand="0" w:evenVBand="0" w:oddHBand="0" w:evenHBand="0" w:firstRowFirstColumn="0" w:firstRowLastColumn="0" w:lastRowFirstColumn="0" w:lastRowLastColumn="0"/>
            <w:tcW w:w="1822" w:type="pct"/>
            <w:gridSpan w:val="2"/>
            <w:noWrap/>
            <w:hideMark/>
          </w:tcPr>
          <w:p w:rsidR="00761E8F" w:rsidRPr="003C1D88" w:rsidRDefault="00761E8F" w:rsidP="003C1D88">
            <w:pPr>
              <w:rPr>
                <w:rStyle w:val="Strong"/>
              </w:rPr>
            </w:pPr>
            <w:r w:rsidRPr="003C1D88">
              <w:rPr>
                <w:rStyle w:val="Strong"/>
              </w:rPr>
              <w:t>SA Power Networks proposal</w:t>
            </w:r>
          </w:p>
        </w:tc>
        <w:tc>
          <w:tcPr>
            <w:tcW w:w="636" w:type="pct"/>
            <w:noWrap/>
          </w:tcPr>
          <w:p w:rsidR="00761E8F" w:rsidRPr="003C1D88" w:rsidRDefault="00761E8F" w:rsidP="003C1D88">
            <w:pPr>
              <w:cnfStyle w:val="000000000000" w:firstRow="0" w:lastRow="0" w:firstColumn="0" w:lastColumn="0" w:oddVBand="0" w:evenVBand="0" w:oddHBand="0" w:evenHBand="0" w:firstRowFirstColumn="0" w:firstRowLastColumn="0" w:lastRowFirstColumn="0" w:lastRowLastColumn="0"/>
            </w:pPr>
            <w:r w:rsidRPr="003C1D88">
              <w:t> </w:t>
            </w:r>
          </w:p>
        </w:tc>
        <w:tc>
          <w:tcPr>
            <w:tcW w:w="636" w:type="pct"/>
            <w:noWrap/>
          </w:tcPr>
          <w:p w:rsidR="00761E8F" w:rsidRPr="003C1D88" w:rsidRDefault="00761E8F" w:rsidP="003C1D88">
            <w:pPr>
              <w:cnfStyle w:val="000000000000" w:firstRow="0" w:lastRow="0" w:firstColumn="0" w:lastColumn="0" w:oddVBand="0" w:evenVBand="0" w:oddHBand="0" w:evenHBand="0" w:firstRowFirstColumn="0" w:firstRowLastColumn="0" w:lastRowFirstColumn="0" w:lastRowLastColumn="0"/>
            </w:pPr>
            <w:r w:rsidRPr="003C1D88">
              <w:t> </w:t>
            </w:r>
          </w:p>
        </w:tc>
        <w:tc>
          <w:tcPr>
            <w:tcW w:w="636" w:type="pct"/>
            <w:noWrap/>
          </w:tcPr>
          <w:p w:rsidR="00761E8F" w:rsidRPr="003C1D88" w:rsidRDefault="00761E8F" w:rsidP="003C1D88">
            <w:pPr>
              <w:cnfStyle w:val="000000000000" w:firstRow="0" w:lastRow="0" w:firstColumn="0" w:lastColumn="0" w:oddVBand="0" w:evenVBand="0" w:oddHBand="0" w:evenHBand="0" w:firstRowFirstColumn="0" w:firstRowLastColumn="0" w:lastRowFirstColumn="0" w:lastRowLastColumn="0"/>
            </w:pPr>
            <w:r w:rsidRPr="003C1D88">
              <w:t> </w:t>
            </w:r>
          </w:p>
        </w:tc>
        <w:tc>
          <w:tcPr>
            <w:tcW w:w="636" w:type="pct"/>
            <w:noWrap/>
          </w:tcPr>
          <w:p w:rsidR="00761E8F" w:rsidRPr="003C1D88" w:rsidRDefault="00761E8F" w:rsidP="003C1D88">
            <w:pPr>
              <w:cnfStyle w:val="000000000000" w:firstRow="0" w:lastRow="0" w:firstColumn="0" w:lastColumn="0" w:oddVBand="0" w:evenVBand="0" w:oddHBand="0" w:evenHBand="0" w:firstRowFirstColumn="0" w:firstRowLastColumn="0" w:lastRowFirstColumn="0" w:lastRowLastColumn="0"/>
            </w:pPr>
            <w:r w:rsidRPr="003C1D88">
              <w:t> </w:t>
            </w:r>
          </w:p>
        </w:tc>
        <w:tc>
          <w:tcPr>
            <w:tcW w:w="633" w:type="pct"/>
            <w:noWrap/>
          </w:tcPr>
          <w:p w:rsidR="00761E8F" w:rsidRPr="003C1D88" w:rsidRDefault="00761E8F" w:rsidP="003C1D88">
            <w:pPr>
              <w:cnfStyle w:val="000000000000" w:firstRow="0" w:lastRow="0" w:firstColumn="0" w:lastColumn="0" w:oddVBand="0" w:evenVBand="0" w:oddHBand="0" w:evenHBand="0" w:firstRowFirstColumn="0" w:firstRowLastColumn="0" w:lastRowFirstColumn="0" w:lastRowLastColumn="0"/>
            </w:pPr>
            <w:r w:rsidRPr="003C1D88">
              <w:t> </w:t>
            </w:r>
          </w:p>
        </w:tc>
      </w:tr>
      <w:tr w:rsidR="003C1D88" w:rsidRPr="009362A4" w:rsidTr="00761E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3C1D88" w:rsidRPr="003C1D88" w:rsidRDefault="003C1D88" w:rsidP="003C1D88">
            <w:r w:rsidRPr="003C1D88">
              <w:t>Revenue ($m, nominal)</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918.7</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901.8</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924.8</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948.4</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972.6</w:t>
            </w:r>
          </w:p>
        </w:tc>
        <w:tc>
          <w:tcPr>
            <w:tcW w:w="633"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997.4</w:t>
            </w:r>
          </w:p>
        </w:tc>
      </w:tr>
      <w:tr w:rsidR="003C1D88" w:rsidRPr="009362A4" w:rsidTr="00761E8F">
        <w:trPr>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3C1D88" w:rsidRPr="003C1D88" w:rsidRDefault="003C1D88" w:rsidP="003C1D88">
            <w:r w:rsidRPr="003C1D88">
              <w:t>Price path (nominal index)</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1.00</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0.98</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1.01</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1.03</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1.06</w:t>
            </w:r>
          </w:p>
        </w:tc>
        <w:tc>
          <w:tcPr>
            <w:tcW w:w="633"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1.09</w:t>
            </w:r>
          </w:p>
        </w:tc>
      </w:tr>
      <w:tr w:rsidR="009A697B" w:rsidRPr="009362A4" w:rsidTr="00761E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9A697B" w:rsidRPr="009A697B" w:rsidRDefault="009A697B" w:rsidP="009A697B">
            <w:r w:rsidRPr="009A697B">
              <w:t>Revenue (change %)</w:t>
            </w:r>
          </w:p>
        </w:tc>
        <w:tc>
          <w:tcPr>
            <w:tcW w:w="636" w:type="pct"/>
            <w:noWrap/>
          </w:tcPr>
          <w:p w:rsidR="009A697B" w:rsidRPr="009A697B" w:rsidRDefault="009A697B" w:rsidP="009A697B">
            <w:pPr>
              <w:cnfStyle w:val="000000010000" w:firstRow="0" w:lastRow="0" w:firstColumn="0" w:lastColumn="0" w:oddVBand="0" w:evenVBand="0" w:oddHBand="0" w:evenHBand="1" w:firstRowFirstColumn="0" w:firstRowLastColumn="0" w:lastRowFirstColumn="0" w:lastRowLastColumn="0"/>
            </w:pPr>
            <w:r w:rsidRPr="009A697B">
              <w:t> </w:t>
            </w:r>
          </w:p>
        </w:tc>
        <w:tc>
          <w:tcPr>
            <w:tcW w:w="636" w:type="pct"/>
            <w:noWrap/>
          </w:tcPr>
          <w:p w:rsidR="009A697B" w:rsidRPr="009A697B" w:rsidRDefault="00AF5046" w:rsidP="00761E8F">
            <w:pPr>
              <w:cnfStyle w:val="000000010000" w:firstRow="0" w:lastRow="0" w:firstColumn="0" w:lastColumn="0" w:oddVBand="0" w:evenVBand="0" w:oddHBand="0" w:evenHBand="1" w:firstRowFirstColumn="0" w:firstRowLastColumn="0" w:lastRowFirstColumn="0" w:lastRowLastColumn="0"/>
            </w:pPr>
            <w:r>
              <w:t>–</w:t>
            </w:r>
            <w:r w:rsidR="009A697B" w:rsidRPr="009A697B">
              <w:t>1.8%</w:t>
            </w:r>
          </w:p>
        </w:tc>
        <w:tc>
          <w:tcPr>
            <w:tcW w:w="636" w:type="pct"/>
            <w:noWrap/>
          </w:tcPr>
          <w:p w:rsidR="009A697B" w:rsidRPr="009A697B" w:rsidRDefault="009A697B" w:rsidP="009A697B">
            <w:pPr>
              <w:cnfStyle w:val="000000010000" w:firstRow="0" w:lastRow="0" w:firstColumn="0" w:lastColumn="0" w:oddVBand="0" w:evenVBand="0" w:oddHBand="0" w:evenHBand="1" w:firstRowFirstColumn="0" w:firstRowLastColumn="0" w:lastRowFirstColumn="0" w:lastRowLastColumn="0"/>
            </w:pPr>
            <w:r w:rsidRPr="009A697B">
              <w:t>2.5%</w:t>
            </w:r>
          </w:p>
        </w:tc>
        <w:tc>
          <w:tcPr>
            <w:tcW w:w="636" w:type="pct"/>
            <w:noWrap/>
          </w:tcPr>
          <w:p w:rsidR="009A697B" w:rsidRPr="009A697B" w:rsidRDefault="009A697B" w:rsidP="00761E8F">
            <w:pPr>
              <w:cnfStyle w:val="000000010000" w:firstRow="0" w:lastRow="0" w:firstColumn="0" w:lastColumn="0" w:oddVBand="0" w:evenVBand="0" w:oddHBand="0" w:evenHBand="1" w:firstRowFirstColumn="0" w:firstRowLastColumn="0" w:lastRowFirstColumn="0" w:lastRowLastColumn="0"/>
            </w:pPr>
            <w:r w:rsidRPr="009A697B">
              <w:t>2.5%</w:t>
            </w:r>
          </w:p>
        </w:tc>
        <w:tc>
          <w:tcPr>
            <w:tcW w:w="636" w:type="pct"/>
            <w:noWrap/>
          </w:tcPr>
          <w:p w:rsidR="009A697B" w:rsidRPr="009A697B" w:rsidRDefault="009A697B" w:rsidP="009A697B">
            <w:pPr>
              <w:cnfStyle w:val="000000010000" w:firstRow="0" w:lastRow="0" w:firstColumn="0" w:lastColumn="0" w:oddVBand="0" w:evenVBand="0" w:oddHBand="0" w:evenHBand="1" w:firstRowFirstColumn="0" w:firstRowLastColumn="0" w:lastRowFirstColumn="0" w:lastRowLastColumn="0"/>
            </w:pPr>
            <w:r w:rsidRPr="009A697B">
              <w:t>2.</w:t>
            </w:r>
            <w:r w:rsidR="00761E8F">
              <w:t>6</w:t>
            </w:r>
            <w:r w:rsidRPr="009A697B">
              <w:t>%</w:t>
            </w:r>
          </w:p>
        </w:tc>
        <w:tc>
          <w:tcPr>
            <w:tcW w:w="633" w:type="pct"/>
            <w:noWrap/>
          </w:tcPr>
          <w:p w:rsidR="009A697B" w:rsidRPr="009A697B" w:rsidRDefault="009A697B" w:rsidP="00761E8F">
            <w:pPr>
              <w:cnfStyle w:val="000000010000" w:firstRow="0" w:lastRow="0" w:firstColumn="0" w:lastColumn="0" w:oddVBand="0" w:evenVBand="0" w:oddHBand="0" w:evenHBand="1" w:firstRowFirstColumn="0" w:firstRowLastColumn="0" w:lastRowFirstColumn="0" w:lastRowLastColumn="0"/>
            </w:pPr>
            <w:r w:rsidRPr="009A697B">
              <w:t>2.</w:t>
            </w:r>
            <w:r w:rsidR="00761E8F">
              <w:t>6</w:t>
            </w:r>
            <w:r w:rsidRPr="009A697B">
              <w:t>%</w:t>
            </w:r>
          </w:p>
        </w:tc>
      </w:tr>
      <w:tr w:rsidR="009A697B" w:rsidRPr="009362A4" w:rsidTr="00761E8F">
        <w:trPr>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9A697B" w:rsidRPr="009A697B" w:rsidRDefault="009A697B" w:rsidP="009A697B">
            <w:r w:rsidRPr="009A697B">
              <w:t>Price path (change %)</w:t>
            </w:r>
          </w:p>
        </w:tc>
        <w:tc>
          <w:tcPr>
            <w:tcW w:w="636" w:type="pct"/>
            <w:noWrap/>
          </w:tcPr>
          <w:p w:rsidR="009A697B" w:rsidRPr="009A697B" w:rsidRDefault="009A697B" w:rsidP="009A697B">
            <w:pPr>
              <w:cnfStyle w:val="000000000000" w:firstRow="0" w:lastRow="0" w:firstColumn="0" w:lastColumn="0" w:oddVBand="0" w:evenVBand="0" w:oddHBand="0" w:evenHBand="0" w:firstRowFirstColumn="0" w:firstRowLastColumn="0" w:lastRowFirstColumn="0" w:lastRowLastColumn="0"/>
            </w:pPr>
            <w:r w:rsidRPr="009A697B">
              <w:t> </w:t>
            </w:r>
          </w:p>
        </w:tc>
        <w:tc>
          <w:tcPr>
            <w:tcW w:w="636" w:type="pct"/>
            <w:noWrap/>
          </w:tcPr>
          <w:p w:rsidR="009A697B" w:rsidRPr="009A697B" w:rsidRDefault="00AF5046" w:rsidP="009A697B">
            <w:pPr>
              <w:cnfStyle w:val="000000000000" w:firstRow="0" w:lastRow="0" w:firstColumn="0" w:lastColumn="0" w:oddVBand="0" w:evenVBand="0" w:oddHBand="0" w:evenHBand="0" w:firstRowFirstColumn="0" w:firstRowLastColumn="0" w:lastRowFirstColumn="0" w:lastRowLastColumn="0"/>
            </w:pPr>
            <w:r>
              <w:t>–</w:t>
            </w:r>
            <w:r w:rsidR="009A697B" w:rsidRPr="009A697B">
              <w:t>1.</w:t>
            </w:r>
            <w:r w:rsidR="00761E8F">
              <w:t>9</w:t>
            </w:r>
            <w:r w:rsidR="009A697B" w:rsidRPr="009A697B">
              <w:t>%</w:t>
            </w:r>
          </w:p>
        </w:tc>
        <w:tc>
          <w:tcPr>
            <w:tcW w:w="636" w:type="pct"/>
            <w:noWrap/>
          </w:tcPr>
          <w:p w:rsidR="009A697B" w:rsidRPr="009A697B" w:rsidRDefault="009A697B" w:rsidP="00761E8F">
            <w:pPr>
              <w:cnfStyle w:val="000000000000" w:firstRow="0" w:lastRow="0" w:firstColumn="0" w:lastColumn="0" w:oddVBand="0" w:evenVBand="0" w:oddHBand="0" w:evenHBand="0" w:firstRowFirstColumn="0" w:firstRowLastColumn="0" w:lastRowFirstColumn="0" w:lastRowLastColumn="0"/>
            </w:pPr>
            <w:r w:rsidRPr="009A697B">
              <w:t>2.</w:t>
            </w:r>
            <w:r w:rsidR="00761E8F">
              <w:t>6</w:t>
            </w:r>
            <w:r w:rsidRPr="009A697B">
              <w:t>%</w:t>
            </w:r>
          </w:p>
        </w:tc>
        <w:tc>
          <w:tcPr>
            <w:tcW w:w="636" w:type="pct"/>
            <w:noWrap/>
          </w:tcPr>
          <w:p w:rsidR="009A697B" w:rsidRPr="009A697B" w:rsidRDefault="009A697B" w:rsidP="009A697B">
            <w:pPr>
              <w:cnfStyle w:val="000000000000" w:firstRow="0" w:lastRow="0" w:firstColumn="0" w:lastColumn="0" w:oddVBand="0" w:evenVBand="0" w:oddHBand="0" w:evenHBand="0" w:firstRowFirstColumn="0" w:firstRowLastColumn="0" w:lastRowFirstColumn="0" w:lastRowLastColumn="0"/>
            </w:pPr>
            <w:r w:rsidRPr="009A697B">
              <w:t>2.</w:t>
            </w:r>
            <w:r w:rsidR="00761E8F">
              <w:t>6</w:t>
            </w:r>
            <w:r w:rsidRPr="009A697B">
              <w:t>%</w:t>
            </w:r>
          </w:p>
        </w:tc>
        <w:tc>
          <w:tcPr>
            <w:tcW w:w="636" w:type="pct"/>
            <w:noWrap/>
          </w:tcPr>
          <w:p w:rsidR="009A697B" w:rsidRPr="009A697B" w:rsidRDefault="009A697B" w:rsidP="009A697B">
            <w:pPr>
              <w:cnfStyle w:val="000000000000" w:firstRow="0" w:lastRow="0" w:firstColumn="0" w:lastColumn="0" w:oddVBand="0" w:evenVBand="0" w:oddHBand="0" w:evenHBand="0" w:firstRowFirstColumn="0" w:firstRowLastColumn="0" w:lastRowFirstColumn="0" w:lastRowLastColumn="0"/>
            </w:pPr>
            <w:r w:rsidRPr="009A697B">
              <w:t>2.</w:t>
            </w:r>
            <w:r w:rsidR="00761E8F">
              <w:t>6</w:t>
            </w:r>
            <w:r w:rsidRPr="009A697B">
              <w:t>%</w:t>
            </w:r>
          </w:p>
        </w:tc>
        <w:tc>
          <w:tcPr>
            <w:tcW w:w="633" w:type="pct"/>
            <w:noWrap/>
          </w:tcPr>
          <w:p w:rsidR="009A697B" w:rsidRPr="009A697B" w:rsidRDefault="009A697B" w:rsidP="009A697B">
            <w:pPr>
              <w:cnfStyle w:val="000000000000" w:firstRow="0" w:lastRow="0" w:firstColumn="0" w:lastColumn="0" w:oddVBand="0" w:evenVBand="0" w:oddHBand="0" w:evenHBand="0" w:firstRowFirstColumn="0" w:firstRowLastColumn="0" w:lastRowFirstColumn="0" w:lastRowLastColumn="0"/>
            </w:pPr>
            <w:r w:rsidRPr="009A697B">
              <w:t>2.</w:t>
            </w:r>
            <w:r w:rsidR="00761E8F">
              <w:t>6</w:t>
            </w:r>
            <w:r w:rsidRPr="009A697B">
              <w:t>%</w:t>
            </w:r>
          </w:p>
        </w:tc>
      </w:tr>
      <w:tr w:rsidR="00761E8F" w:rsidRPr="009362A4" w:rsidTr="00761E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2" w:type="pct"/>
            <w:gridSpan w:val="2"/>
            <w:noWrap/>
            <w:hideMark/>
          </w:tcPr>
          <w:p w:rsidR="00761E8F" w:rsidRPr="003C1D88" w:rsidRDefault="00761E8F" w:rsidP="003C1D88">
            <w:r w:rsidRPr="003C1D88">
              <w:rPr>
                <w:rStyle w:val="Strong"/>
              </w:rPr>
              <w:t>AER preliminary decision</w:t>
            </w:r>
          </w:p>
        </w:tc>
        <w:tc>
          <w:tcPr>
            <w:tcW w:w="636" w:type="pct"/>
            <w:noWrap/>
          </w:tcPr>
          <w:p w:rsidR="00761E8F" w:rsidRPr="003C1D88" w:rsidRDefault="00761E8F" w:rsidP="003C1D88">
            <w:pPr>
              <w:cnfStyle w:val="000000010000" w:firstRow="0" w:lastRow="0" w:firstColumn="0" w:lastColumn="0" w:oddVBand="0" w:evenVBand="0" w:oddHBand="0" w:evenHBand="1" w:firstRowFirstColumn="0" w:firstRowLastColumn="0" w:lastRowFirstColumn="0" w:lastRowLastColumn="0"/>
            </w:pPr>
            <w:r w:rsidRPr="003C1D88">
              <w:t> </w:t>
            </w:r>
          </w:p>
        </w:tc>
        <w:tc>
          <w:tcPr>
            <w:tcW w:w="636" w:type="pct"/>
            <w:noWrap/>
          </w:tcPr>
          <w:p w:rsidR="00761E8F" w:rsidRPr="003C1D88" w:rsidRDefault="00761E8F" w:rsidP="003C1D88">
            <w:pPr>
              <w:cnfStyle w:val="000000010000" w:firstRow="0" w:lastRow="0" w:firstColumn="0" w:lastColumn="0" w:oddVBand="0" w:evenVBand="0" w:oddHBand="0" w:evenHBand="1" w:firstRowFirstColumn="0" w:firstRowLastColumn="0" w:lastRowFirstColumn="0" w:lastRowLastColumn="0"/>
            </w:pPr>
            <w:r w:rsidRPr="003C1D88">
              <w:t> </w:t>
            </w:r>
          </w:p>
        </w:tc>
        <w:tc>
          <w:tcPr>
            <w:tcW w:w="636" w:type="pct"/>
            <w:noWrap/>
          </w:tcPr>
          <w:p w:rsidR="00761E8F" w:rsidRPr="003C1D88" w:rsidRDefault="00761E8F" w:rsidP="003C1D88">
            <w:pPr>
              <w:cnfStyle w:val="000000010000" w:firstRow="0" w:lastRow="0" w:firstColumn="0" w:lastColumn="0" w:oddVBand="0" w:evenVBand="0" w:oddHBand="0" w:evenHBand="1" w:firstRowFirstColumn="0" w:firstRowLastColumn="0" w:lastRowFirstColumn="0" w:lastRowLastColumn="0"/>
            </w:pPr>
            <w:r w:rsidRPr="003C1D88">
              <w:t> </w:t>
            </w:r>
          </w:p>
        </w:tc>
        <w:tc>
          <w:tcPr>
            <w:tcW w:w="636" w:type="pct"/>
            <w:noWrap/>
          </w:tcPr>
          <w:p w:rsidR="00761E8F" w:rsidRPr="003C1D88" w:rsidRDefault="00761E8F" w:rsidP="003C1D88">
            <w:pPr>
              <w:cnfStyle w:val="000000010000" w:firstRow="0" w:lastRow="0" w:firstColumn="0" w:lastColumn="0" w:oddVBand="0" w:evenVBand="0" w:oddHBand="0" w:evenHBand="1" w:firstRowFirstColumn="0" w:firstRowLastColumn="0" w:lastRowFirstColumn="0" w:lastRowLastColumn="0"/>
            </w:pPr>
            <w:r w:rsidRPr="003C1D88">
              <w:t> </w:t>
            </w:r>
          </w:p>
        </w:tc>
        <w:tc>
          <w:tcPr>
            <w:tcW w:w="633" w:type="pct"/>
            <w:noWrap/>
          </w:tcPr>
          <w:p w:rsidR="00761E8F" w:rsidRPr="003C1D88" w:rsidRDefault="00761E8F" w:rsidP="003C1D88">
            <w:pPr>
              <w:cnfStyle w:val="000000010000" w:firstRow="0" w:lastRow="0" w:firstColumn="0" w:lastColumn="0" w:oddVBand="0" w:evenVBand="0" w:oddHBand="0" w:evenHBand="1" w:firstRowFirstColumn="0" w:firstRowLastColumn="0" w:lastRowFirstColumn="0" w:lastRowLastColumn="0"/>
            </w:pPr>
            <w:r w:rsidRPr="003C1D88">
              <w:t> </w:t>
            </w:r>
          </w:p>
        </w:tc>
      </w:tr>
      <w:tr w:rsidR="003C1D88" w:rsidRPr="009362A4" w:rsidTr="00761E8F">
        <w:trPr>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3C1D88" w:rsidRPr="003C1D88" w:rsidRDefault="003C1D88" w:rsidP="003C1D88">
            <w:r w:rsidRPr="003C1D88">
              <w:t>Revenue ($m, nominal)</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918.7</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682.0</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630.2</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630.1</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630.0</w:t>
            </w:r>
          </w:p>
        </w:tc>
        <w:tc>
          <w:tcPr>
            <w:tcW w:w="633"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639.0</w:t>
            </w:r>
          </w:p>
        </w:tc>
      </w:tr>
      <w:tr w:rsidR="003C1D88" w:rsidRPr="009362A4" w:rsidTr="00761E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3C1D88" w:rsidRPr="003C1D88" w:rsidRDefault="003C1D88" w:rsidP="003C1D88">
            <w:r w:rsidRPr="003C1D88">
              <w:t>Price path (nominal index)</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1.00</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0.74</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0.69</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0.69</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0.69</w:t>
            </w:r>
          </w:p>
        </w:tc>
        <w:tc>
          <w:tcPr>
            <w:tcW w:w="633"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0.70</w:t>
            </w:r>
          </w:p>
        </w:tc>
      </w:tr>
      <w:tr w:rsidR="003C1D88" w:rsidRPr="009362A4" w:rsidTr="00761E8F">
        <w:trPr>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3C1D88" w:rsidRPr="003C1D88" w:rsidRDefault="003C1D88" w:rsidP="003C1D88">
            <w:r w:rsidRPr="003C1D88">
              <w:t>Revenue (change %)</w:t>
            </w:r>
          </w:p>
        </w:tc>
        <w:tc>
          <w:tcPr>
            <w:tcW w:w="636" w:type="pct"/>
            <w:noWrap/>
          </w:tcPr>
          <w:p w:rsidR="003C1D88" w:rsidRPr="003C1D88" w:rsidRDefault="003C1D88" w:rsidP="003C1D88">
            <w:pPr>
              <w:cnfStyle w:val="000000000000" w:firstRow="0" w:lastRow="0" w:firstColumn="0" w:lastColumn="0" w:oddVBand="0" w:evenVBand="0" w:oddHBand="0" w:evenHBand="0" w:firstRowFirstColumn="0" w:firstRowLastColumn="0" w:lastRowFirstColumn="0" w:lastRowLastColumn="0"/>
            </w:pPr>
            <w:r w:rsidRPr="003C1D88">
              <w:t> </w:t>
            </w:r>
          </w:p>
        </w:tc>
        <w:tc>
          <w:tcPr>
            <w:tcW w:w="636" w:type="pct"/>
            <w:noWrap/>
          </w:tcPr>
          <w:p w:rsidR="003C1D88" w:rsidRPr="003C1D88" w:rsidRDefault="006E7F97" w:rsidP="003C1D88">
            <w:pPr>
              <w:cnfStyle w:val="000000000000" w:firstRow="0" w:lastRow="0" w:firstColumn="0" w:lastColumn="0" w:oddVBand="0" w:evenVBand="0" w:oddHBand="0" w:evenHBand="0" w:firstRowFirstColumn="0" w:firstRowLastColumn="0" w:lastRowFirstColumn="0" w:lastRowLastColumn="0"/>
            </w:pPr>
            <w:r>
              <w:t>–</w:t>
            </w:r>
            <w:r w:rsidR="003C1D88" w:rsidRPr="003C1D88">
              <w:t>25.</w:t>
            </w:r>
            <w:r w:rsidR="00761E8F">
              <w:t>8</w:t>
            </w:r>
            <w:r w:rsidR="003C1D88" w:rsidRPr="003C1D88">
              <w:t>%</w:t>
            </w:r>
          </w:p>
        </w:tc>
        <w:tc>
          <w:tcPr>
            <w:tcW w:w="636" w:type="pct"/>
            <w:noWrap/>
          </w:tcPr>
          <w:p w:rsidR="003C1D88" w:rsidRPr="003C1D88" w:rsidRDefault="006E7F97" w:rsidP="00761E8F">
            <w:pPr>
              <w:cnfStyle w:val="000000000000" w:firstRow="0" w:lastRow="0" w:firstColumn="0" w:lastColumn="0" w:oddVBand="0" w:evenVBand="0" w:oddHBand="0" w:evenHBand="0" w:firstRowFirstColumn="0" w:firstRowLastColumn="0" w:lastRowFirstColumn="0" w:lastRowLastColumn="0"/>
            </w:pPr>
            <w:r>
              <w:t>–</w:t>
            </w:r>
            <w:r w:rsidR="003C1D88" w:rsidRPr="003C1D88">
              <w:t>7.6%</w:t>
            </w:r>
          </w:p>
        </w:tc>
        <w:tc>
          <w:tcPr>
            <w:tcW w:w="636" w:type="pct"/>
            <w:noWrap/>
          </w:tcPr>
          <w:p w:rsidR="003C1D88" w:rsidRPr="003C1D88" w:rsidRDefault="00761E8F" w:rsidP="003C1D88">
            <w:pPr>
              <w:cnfStyle w:val="000000000000" w:firstRow="0" w:lastRow="0" w:firstColumn="0" w:lastColumn="0" w:oddVBand="0" w:evenVBand="0" w:oddHBand="0" w:evenHBand="0" w:firstRowFirstColumn="0" w:firstRowLastColumn="0" w:lastRowFirstColumn="0" w:lastRowLastColumn="0"/>
            </w:pPr>
            <w:r>
              <w:t>0.0</w:t>
            </w:r>
            <w:r w:rsidR="003C1D88" w:rsidRPr="003C1D88">
              <w:t>%</w:t>
            </w:r>
          </w:p>
        </w:tc>
        <w:tc>
          <w:tcPr>
            <w:tcW w:w="636" w:type="pct"/>
            <w:noWrap/>
          </w:tcPr>
          <w:p w:rsidR="003C1D88" w:rsidRPr="003C1D88" w:rsidRDefault="003C1D88" w:rsidP="00761E8F">
            <w:pPr>
              <w:cnfStyle w:val="000000000000" w:firstRow="0" w:lastRow="0" w:firstColumn="0" w:lastColumn="0" w:oddVBand="0" w:evenVBand="0" w:oddHBand="0" w:evenHBand="0" w:firstRowFirstColumn="0" w:firstRowLastColumn="0" w:lastRowFirstColumn="0" w:lastRowLastColumn="0"/>
            </w:pPr>
            <w:r w:rsidRPr="003C1D88">
              <w:t>0.0%</w:t>
            </w:r>
          </w:p>
        </w:tc>
        <w:tc>
          <w:tcPr>
            <w:tcW w:w="633" w:type="pct"/>
            <w:noWrap/>
          </w:tcPr>
          <w:p w:rsidR="003C1D88" w:rsidRPr="003C1D88" w:rsidRDefault="003C1D88" w:rsidP="00761E8F">
            <w:pPr>
              <w:cnfStyle w:val="000000000000" w:firstRow="0" w:lastRow="0" w:firstColumn="0" w:lastColumn="0" w:oddVBand="0" w:evenVBand="0" w:oddHBand="0" w:evenHBand="0" w:firstRowFirstColumn="0" w:firstRowLastColumn="0" w:lastRowFirstColumn="0" w:lastRowLastColumn="0"/>
            </w:pPr>
            <w:r w:rsidRPr="003C1D88">
              <w:t>1.4%</w:t>
            </w:r>
          </w:p>
        </w:tc>
      </w:tr>
      <w:tr w:rsidR="003C1D88" w:rsidRPr="009362A4" w:rsidTr="00761E8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pct"/>
            <w:noWrap/>
            <w:hideMark/>
          </w:tcPr>
          <w:p w:rsidR="003C1D88" w:rsidRPr="003C1D88" w:rsidRDefault="003C1D88" w:rsidP="003C1D88">
            <w:r w:rsidRPr="003C1D88">
              <w:t>Price path (change %)</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 </w:t>
            </w:r>
          </w:p>
        </w:tc>
        <w:tc>
          <w:tcPr>
            <w:tcW w:w="636" w:type="pct"/>
            <w:noWrap/>
          </w:tcPr>
          <w:p w:rsidR="003C1D88" w:rsidRPr="003C1D88" w:rsidRDefault="006E7F97" w:rsidP="00761E8F">
            <w:pPr>
              <w:cnfStyle w:val="000000010000" w:firstRow="0" w:lastRow="0" w:firstColumn="0" w:lastColumn="0" w:oddVBand="0" w:evenVBand="0" w:oddHBand="0" w:evenHBand="1" w:firstRowFirstColumn="0" w:firstRowLastColumn="0" w:lastRowFirstColumn="0" w:lastRowLastColumn="0"/>
            </w:pPr>
            <w:r>
              <w:t>–</w:t>
            </w:r>
            <w:r w:rsidR="003C1D88" w:rsidRPr="003C1D88">
              <w:t>25.</w:t>
            </w:r>
            <w:r w:rsidR="00761E8F">
              <w:t>8</w:t>
            </w:r>
            <w:r w:rsidR="003C1D88" w:rsidRPr="003C1D88">
              <w:t>%</w:t>
            </w:r>
          </w:p>
        </w:tc>
        <w:tc>
          <w:tcPr>
            <w:tcW w:w="636" w:type="pct"/>
            <w:noWrap/>
          </w:tcPr>
          <w:p w:rsidR="003C1D88" w:rsidRPr="003C1D88" w:rsidRDefault="006E7F97" w:rsidP="003C1D88">
            <w:pPr>
              <w:cnfStyle w:val="000000010000" w:firstRow="0" w:lastRow="0" w:firstColumn="0" w:lastColumn="0" w:oddVBand="0" w:evenVBand="0" w:oddHBand="0" w:evenHBand="1" w:firstRowFirstColumn="0" w:firstRowLastColumn="0" w:lastRowFirstColumn="0" w:lastRowLastColumn="0"/>
            </w:pPr>
            <w:r>
              <w:t>–</w:t>
            </w:r>
            <w:r w:rsidR="003C1D88" w:rsidRPr="003C1D88">
              <w:t>7.6%</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0.0%</w:t>
            </w:r>
          </w:p>
        </w:tc>
        <w:tc>
          <w:tcPr>
            <w:tcW w:w="636"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0.0%</w:t>
            </w:r>
          </w:p>
        </w:tc>
        <w:tc>
          <w:tcPr>
            <w:tcW w:w="633" w:type="pct"/>
            <w:noWrap/>
          </w:tcPr>
          <w:p w:rsidR="003C1D88" w:rsidRPr="003C1D88" w:rsidRDefault="003C1D88" w:rsidP="003C1D88">
            <w:pPr>
              <w:cnfStyle w:val="000000010000" w:firstRow="0" w:lastRow="0" w:firstColumn="0" w:lastColumn="0" w:oddVBand="0" w:evenVBand="0" w:oddHBand="0" w:evenHBand="1" w:firstRowFirstColumn="0" w:firstRowLastColumn="0" w:lastRowFirstColumn="0" w:lastRowLastColumn="0"/>
            </w:pPr>
            <w:r w:rsidRPr="003C1D88">
              <w:t>1.4%</w:t>
            </w:r>
          </w:p>
        </w:tc>
      </w:tr>
    </w:tbl>
    <w:p w:rsidR="00F50889" w:rsidRDefault="00F50889" w:rsidP="00F50889">
      <w:pPr>
        <w:pStyle w:val="AERtablesource"/>
      </w:pPr>
      <w:r>
        <w:t>Source:</w:t>
      </w:r>
      <w:r>
        <w:tab/>
        <w:t>AER analysis.</w:t>
      </w:r>
    </w:p>
    <w:p w:rsidR="008E1FC7" w:rsidRPr="008E1FC7" w:rsidRDefault="008E1FC7" w:rsidP="008E1FC7">
      <w:pPr>
        <w:numPr>
          <w:ilvl w:val="0"/>
          <w:numId w:val="25"/>
        </w:numPr>
      </w:pPr>
      <w:r w:rsidRPr="008E1FC7">
        <w:t xml:space="preserve">Distribution charges represent approximately </w:t>
      </w:r>
      <w:r w:rsidR="00CD5115">
        <w:t>38</w:t>
      </w:r>
      <w:r w:rsidRPr="008E1FC7">
        <w:t xml:space="preserve"> per cent on average of </w:t>
      </w:r>
      <w:r>
        <w:t>SA Power Networks'</w:t>
      </w:r>
      <w:r w:rsidRPr="008E1FC7">
        <w:t xml:space="preserve"> typical customer's annual electricity bill.</w:t>
      </w:r>
      <w:r w:rsidRPr="008E1FC7">
        <w:rPr>
          <w:rStyle w:val="FootnoteReference"/>
        </w:rPr>
        <w:footnoteReference w:id="13"/>
      </w:r>
      <w:r w:rsidRPr="008E1FC7">
        <w:t xml:space="preserve"> We expect that our preliminary decision, </w:t>
      </w:r>
      <w:r w:rsidR="007623E4">
        <w:t xml:space="preserve">holding all </w:t>
      </w:r>
      <w:r w:rsidRPr="008E1FC7">
        <w:t xml:space="preserve">other </w:t>
      </w:r>
      <w:r w:rsidR="007623E4">
        <w:t>components of the bill constant</w:t>
      </w:r>
      <w:r w:rsidRPr="008E1FC7">
        <w:t xml:space="preserve">, will reduce the average annual electricity bills for residential customers in </w:t>
      </w:r>
      <w:r>
        <w:t>SA Power Networks'</w:t>
      </w:r>
      <w:r w:rsidRPr="008E1FC7">
        <w:t xml:space="preserve"> network. This is because we estimate that our preliminary decision will result in lower distribution charges on average over the 2015–20 regulatory control period compared to SA Power Networks' proposal as discussed above. We estimate that </w:t>
      </w:r>
      <w:r w:rsidR="007623E4">
        <w:t>based on</w:t>
      </w:r>
      <w:r w:rsidRPr="008E1FC7">
        <w:t xml:space="preserve"> the distribution charges from our preliminary decision </w:t>
      </w:r>
      <w:r w:rsidR="007623E4">
        <w:t>passing</w:t>
      </w:r>
      <w:r w:rsidRPr="008E1FC7">
        <w:t xml:space="preserve"> through to customers, we would expect the average annual electricity bill for residential customers to reduce by </w:t>
      </w:r>
      <w:r w:rsidR="008764B6">
        <w:t>$19</w:t>
      </w:r>
      <w:r w:rsidR="00753B23">
        <w:t>7</w:t>
      </w:r>
      <w:r w:rsidR="000C49B4">
        <w:t xml:space="preserve"> </w:t>
      </w:r>
      <w:r w:rsidR="008764B6">
        <w:t>or 9.</w:t>
      </w:r>
      <w:r w:rsidR="00753B23">
        <w:t>8</w:t>
      </w:r>
      <w:r w:rsidR="008764B6">
        <w:t xml:space="preserve"> per cent</w:t>
      </w:r>
      <w:r w:rsidRPr="008E1FC7">
        <w:t xml:space="preserve"> in 2015–16. This would be followed by </w:t>
      </w:r>
      <w:r>
        <w:t>de</w:t>
      </w:r>
      <w:r w:rsidRPr="008E1FC7">
        <w:t xml:space="preserve">creases of about </w:t>
      </w:r>
      <w:r w:rsidR="008764B6">
        <w:t xml:space="preserve">$9 or 0.5 per cent </w:t>
      </w:r>
      <w:r w:rsidRPr="008E1FC7">
        <w:t>($ nominal) per a</w:t>
      </w:r>
      <w:r w:rsidR="00BE4BDB">
        <w:t>nnum from 2016–17 to 2019–20. By comparison, had</w:t>
      </w:r>
      <w:r w:rsidRPr="008E1FC7">
        <w:t xml:space="preserve"> we accepted </w:t>
      </w:r>
      <w:r>
        <w:t>SA Power Networks'</w:t>
      </w:r>
      <w:r w:rsidRPr="008E1FC7">
        <w:t xml:space="preserve"> proposal, the average annual electricity bill for residential customers would increase by approximately </w:t>
      </w:r>
      <w:r w:rsidR="008764B6">
        <w:t>$</w:t>
      </w:r>
      <w:r w:rsidR="000C49B4">
        <w:t xml:space="preserve">13.3 </w:t>
      </w:r>
      <w:r w:rsidR="008764B6">
        <w:t xml:space="preserve">or </w:t>
      </w:r>
      <w:r w:rsidR="000C49B4">
        <w:t>0.6</w:t>
      </w:r>
      <w:r w:rsidR="008764B6">
        <w:t xml:space="preserve"> per cent </w:t>
      </w:r>
      <w:r w:rsidRPr="008E1FC7">
        <w:t xml:space="preserve">($ nominal) per annum over the 2015–20 regulatory control period. </w:t>
      </w:r>
    </w:p>
    <w:p w:rsidR="008E1FC7" w:rsidRPr="008E1FC7" w:rsidRDefault="008E1FC7" w:rsidP="008E1FC7">
      <w:pPr>
        <w:numPr>
          <w:ilvl w:val="0"/>
          <w:numId w:val="25"/>
        </w:numPr>
      </w:pPr>
      <w:r w:rsidRPr="008E1FC7">
        <w:t>Our estimate</w:t>
      </w:r>
      <w:r w:rsidR="00BE4BDB">
        <w:t xml:space="preserve"> of the</w:t>
      </w:r>
      <w:r w:rsidRPr="008E1FC7">
        <w:t xml:space="preserve"> potential impact </w:t>
      </w:r>
      <w:r w:rsidR="00BE4BDB">
        <w:t xml:space="preserve">our preliminary decision will have for SA Power Networks' residential customers </w:t>
      </w:r>
      <w:r w:rsidRPr="008E1FC7">
        <w:t xml:space="preserve">is based on the typical annual electricity usage of </w:t>
      </w:r>
      <w:r w:rsidRPr="00874D66">
        <w:rPr>
          <w:rStyle w:val="AERbody"/>
        </w:rPr>
        <w:t>500</w:t>
      </w:r>
      <w:r w:rsidR="00874D66" w:rsidRPr="00874D66">
        <w:rPr>
          <w:rStyle w:val="AERbody"/>
        </w:rPr>
        <w:t>0</w:t>
      </w:r>
      <w:r w:rsidR="00920F0B">
        <w:rPr>
          <w:rStyle w:val="AERbody"/>
        </w:rPr>
        <w:t> </w:t>
      </w:r>
      <w:r w:rsidRPr="00874D66">
        <w:rPr>
          <w:rStyle w:val="AERbody"/>
        </w:rPr>
        <w:t>kWh</w:t>
      </w:r>
      <w:r w:rsidRPr="008E1FC7">
        <w:t xml:space="preserve"> per annum for a residential customer in </w:t>
      </w:r>
      <w:r>
        <w:t>South Australia</w:t>
      </w:r>
      <w:r w:rsidRPr="008E1FC7">
        <w:t>.</w:t>
      </w:r>
      <w:r w:rsidRPr="008E1FC7">
        <w:rPr>
          <w:rStyle w:val="FootnoteReference"/>
        </w:rPr>
        <w:footnoteReference w:id="14"/>
      </w:r>
      <w:r w:rsidRPr="008E1FC7">
        <w:t xml:space="preserve"> Therefore customers with different usage will experience different changes in their bills. We also </w:t>
      </w:r>
      <w:r w:rsidRPr="008E1FC7">
        <w:lastRenderedPageBreak/>
        <w:t xml:space="preserve">note that there are other factors, such as transmission network costs, wholesale and retail costs, which affect electricity bills. </w:t>
      </w:r>
    </w:p>
    <w:p w:rsidR="008E1FC7" w:rsidRPr="008E1FC7" w:rsidRDefault="008E1FC7" w:rsidP="00874D66">
      <w:r w:rsidRPr="008E1FC7">
        <w:t xml:space="preserve">Similarly, for an average small business customer in </w:t>
      </w:r>
      <w:r>
        <w:t xml:space="preserve">South Australia </w:t>
      </w:r>
      <w:r w:rsidRPr="008E1FC7">
        <w:t xml:space="preserve">that uses approximately </w:t>
      </w:r>
      <w:r w:rsidR="00874D66" w:rsidRPr="00874D66">
        <w:rPr>
          <w:rStyle w:val="AERbody"/>
        </w:rPr>
        <w:t>10</w:t>
      </w:r>
      <w:r w:rsidRPr="00874D66">
        <w:rPr>
          <w:rStyle w:val="AERbody"/>
        </w:rPr>
        <w:t xml:space="preserve"> MWh</w:t>
      </w:r>
      <w:r w:rsidR="00874D66">
        <w:rPr>
          <w:rStyle w:val="FootnoteReference"/>
        </w:rPr>
        <w:footnoteReference w:id="15"/>
      </w:r>
      <w:r w:rsidRPr="008E1FC7">
        <w:t xml:space="preserve"> of electricity per annum, our preliminary decision for </w:t>
      </w:r>
      <w:r>
        <w:t>SA Power Networks</w:t>
      </w:r>
      <w:r w:rsidRPr="008E1FC7">
        <w:t xml:space="preserve"> is expected to lead to lower average annual electricity bills. We estimate that </w:t>
      </w:r>
      <w:r w:rsidR="007623E4">
        <w:t>based on</w:t>
      </w:r>
      <w:r w:rsidRPr="008E1FC7">
        <w:t xml:space="preserve"> the distribution charges from our preliminary decision </w:t>
      </w:r>
      <w:r w:rsidR="007623E4">
        <w:t>passing</w:t>
      </w:r>
      <w:r w:rsidRPr="008E1FC7">
        <w:t xml:space="preserve"> through to customers, we would expect the average annual electricity bill for small business customers to reduce by </w:t>
      </w:r>
      <w:r w:rsidR="008764B6">
        <w:t>$3</w:t>
      </w:r>
      <w:r w:rsidR="00753B23">
        <w:t>81</w:t>
      </w:r>
      <w:r w:rsidR="008764B6">
        <w:t xml:space="preserve"> or 9.</w:t>
      </w:r>
      <w:r w:rsidR="00753B23">
        <w:t>8</w:t>
      </w:r>
      <w:r w:rsidR="008764B6">
        <w:t xml:space="preserve"> per cent </w:t>
      </w:r>
      <w:r w:rsidRPr="008E1FC7">
        <w:t xml:space="preserve">2015–16. This would be followed by </w:t>
      </w:r>
      <w:r w:rsidR="00920F0B">
        <w:t>de</w:t>
      </w:r>
      <w:r w:rsidRPr="008E1FC7">
        <w:t xml:space="preserve">creases of about </w:t>
      </w:r>
      <w:r w:rsidR="008764B6">
        <w:t xml:space="preserve">$17 or 0.5 per cent ($ nominal) </w:t>
      </w:r>
      <w:r w:rsidRPr="008E1FC7">
        <w:t>per annum from 2016–</w:t>
      </w:r>
      <w:r w:rsidR="00BE4BDB">
        <w:t>17 to 2019–20. By comparison, had</w:t>
      </w:r>
      <w:r w:rsidRPr="008E1FC7">
        <w:t xml:space="preserve"> we accepted </w:t>
      </w:r>
      <w:r>
        <w:t>SA Power Networks'</w:t>
      </w:r>
      <w:r w:rsidRPr="008E1FC7">
        <w:t xml:space="preserve"> proposal, the average annual electricity bill for small business customers would increase by approximately </w:t>
      </w:r>
      <w:r w:rsidR="008764B6">
        <w:t>$</w:t>
      </w:r>
      <w:r w:rsidR="000C49B4">
        <w:t xml:space="preserve">25 </w:t>
      </w:r>
      <w:r w:rsidR="008764B6">
        <w:t xml:space="preserve">or </w:t>
      </w:r>
      <w:r w:rsidR="000C49B4">
        <w:t>0.6</w:t>
      </w:r>
      <w:r w:rsidR="008764B6">
        <w:t xml:space="preserve"> per cent ($ nominal) </w:t>
      </w:r>
      <w:r w:rsidRPr="008E1FC7">
        <w:t xml:space="preserve">per annum over the 2015–20 regulatory control period. </w:t>
      </w:r>
    </w:p>
    <w:p w:rsidR="008E1FC7" w:rsidRPr="008E1FC7" w:rsidRDefault="008E1FC7" w:rsidP="008E1FC7">
      <w:pPr>
        <w:numPr>
          <w:ilvl w:val="0"/>
          <w:numId w:val="25"/>
        </w:numPr>
      </w:pPr>
      <w:r>
        <w:fldChar w:fldCharType="begin"/>
      </w:r>
      <w:r>
        <w:instrText xml:space="preserve"> REF _Ref400716413 \h </w:instrText>
      </w:r>
      <w:r>
        <w:fldChar w:fldCharType="separate"/>
      </w:r>
      <w:r w:rsidR="0025036E">
        <w:t xml:space="preserve">Table </w:t>
      </w:r>
      <w:r w:rsidR="0025036E">
        <w:rPr>
          <w:noProof/>
        </w:rPr>
        <w:t>1</w:t>
      </w:r>
      <w:r w:rsidR="0025036E">
        <w:t>.</w:t>
      </w:r>
      <w:r w:rsidR="0025036E">
        <w:rPr>
          <w:noProof/>
        </w:rPr>
        <w:t>6</w:t>
      </w:r>
      <w:r>
        <w:fldChar w:fldCharType="end"/>
      </w:r>
      <w:r w:rsidR="00920F0B">
        <w:t xml:space="preserve"> </w:t>
      </w:r>
      <w:r w:rsidR="00E751AA">
        <w:fldChar w:fldCharType="begin"/>
      </w:r>
      <w:r w:rsidR="00E751AA">
        <w:instrText xml:space="preserve"> REF _Ref401574064 \h  \* MERGEFORMAT </w:instrText>
      </w:r>
      <w:r w:rsidR="00E751AA">
        <w:fldChar w:fldCharType="end"/>
      </w:r>
      <w:r w:rsidRPr="008E1FC7">
        <w:t xml:space="preserve">shows the estimated annual average impact of our preliminary decision for  the 2015–20 regulatory control period and </w:t>
      </w:r>
      <w:r>
        <w:t>SA Power Networks'</w:t>
      </w:r>
      <w:r w:rsidRPr="008E1FC7">
        <w:t xml:space="preserve"> proposal on the average residential and small business customers' annual electricity bills. </w:t>
      </w:r>
    </w:p>
    <w:p w:rsidR="00F50889" w:rsidRPr="00F50889" w:rsidRDefault="00F50889" w:rsidP="00F50889">
      <w:pPr>
        <w:pStyle w:val="Caption"/>
        <w:rPr>
          <w:rStyle w:val="AERbody"/>
        </w:rPr>
      </w:pPr>
      <w:bookmarkStart w:id="37" w:name="_Ref400716413"/>
      <w:r>
        <w:t xml:space="preserve">Table </w:t>
      </w:r>
      <w:r w:rsidR="006D6FA9">
        <w:fldChar w:fldCharType="begin"/>
      </w:r>
      <w:r w:rsidR="006D6FA9">
        <w:instrText xml:space="preserve"> STYLEREF 1 \s </w:instrText>
      </w:r>
      <w:r w:rsidR="006D6FA9">
        <w:fldChar w:fldCharType="separate"/>
      </w:r>
      <w:r w:rsidR="0025036E">
        <w:rPr>
          <w:noProof/>
        </w:rPr>
        <w:t>1</w:t>
      </w:r>
      <w:r w:rsidR="006D6FA9">
        <w:rPr>
          <w:noProof/>
        </w:rPr>
        <w:fldChar w:fldCharType="end"/>
      </w:r>
      <w:r w:rsidR="0025036E">
        <w:t>.</w:t>
      </w:r>
      <w:r w:rsidR="006D6FA9">
        <w:fldChar w:fldCharType="begin"/>
      </w:r>
      <w:r w:rsidR="006D6FA9">
        <w:instrText xml:space="preserve"> SEQ Table \* ARABIC \s 1 </w:instrText>
      </w:r>
      <w:r w:rsidR="006D6FA9">
        <w:fldChar w:fldCharType="separate"/>
      </w:r>
      <w:r w:rsidR="0025036E">
        <w:rPr>
          <w:noProof/>
        </w:rPr>
        <w:t>6</w:t>
      </w:r>
      <w:r w:rsidR="006D6FA9">
        <w:rPr>
          <w:noProof/>
        </w:rPr>
        <w:fldChar w:fldCharType="end"/>
      </w:r>
      <w:bookmarkEnd w:id="37"/>
      <w:r>
        <w:tab/>
        <w:t>E</w:t>
      </w:r>
      <w:r w:rsidRPr="00EF62B7">
        <w:t xml:space="preserve">stimated impact of </w:t>
      </w:r>
      <w:r w:rsidR="005A555D">
        <w:t xml:space="preserve">SA Power Networks' </w:t>
      </w:r>
      <w:r w:rsidRPr="00B81CDA">
        <w:t xml:space="preserve">adjusted proposal </w:t>
      </w:r>
      <w:r>
        <w:t xml:space="preserve">and the AER's </w:t>
      </w:r>
      <w:r w:rsidR="005A555D">
        <w:t>preliminary</w:t>
      </w:r>
      <w:r w:rsidRPr="00EF62B7">
        <w:t xml:space="preserve"> decision on </w:t>
      </w:r>
      <w:r>
        <w:t xml:space="preserve">annual </w:t>
      </w:r>
      <w:r w:rsidRPr="00EF62B7">
        <w:t xml:space="preserve">electricity </w:t>
      </w:r>
      <w:r>
        <w:t>bills</w:t>
      </w:r>
      <w:r w:rsidRPr="00EF62B7">
        <w:t xml:space="preserve"> for </w:t>
      </w:r>
      <w:r>
        <w:t xml:space="preserve">the </w:t>
      </w:r>
      <w:r w:rsidR="005A555D">
        <w:t>2015–20 regulatory control period</w:t>
      </w:r>
      <w:r w:rsidRPr="00EF62B7">
        <w:t xml:space="preserve"> ($ nominal)</w:t>
      </w:r>
    </w:p>
    <w:tbl>
      <w:tblPr>
        <w:tblStyle w:val="AERtable-numbers"/>
        <w:tblW w:w="5000" w:type="pct"/>
        <w:tblLook w:val="04A0" w:firstRow="1" w:lastRow="0" w:firstColumn="1" w:lastColumn="0" w:noHBand="0" w:noVBand="1"/>
      </w:tblPr>
      <w:tblGrid>
        <w:gridCol w:w="2859"/>
        <w:gridCol w:w="839"/>
        <w:gridCol w:w="1177"/>
        <w:gridCol w:w="1088"/>
        <w:gridCol w:w="910"/>
        <w:gridCol w:w="910"/>
        <w:gridCol w:w="910"/>
      </w:tblGrid>
      <w:tr w:rsidR="008E1FC7" w:rsidRPr="00164ED7" w:rsidTr="008764B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E1FC7" w:rsidRPr="008E1FC7" w:rsidRDefault="008E1FC7" w:rsidP="008E1FC7">
            <w:r w:rsidRPr="008E1FC7">
              <w:t> </w:t>
            </w:r>
          </w:p>
        </w:tc>
        <w:tc>
          <w:tcPr>
            <w:tcW w:w="526" w:type="pct"/>
            <w:noWrap/>
            <w:hideMark/>
          </w:tcPr>
          <w:p w:rsidR="008E1FC7" w:rsidRPr="008E1FC7" w:rsidRDefault="008E1FC7" w:rsidP="008E1FC7">
            <w:pPr>
              <w:cnfStyle w:val="100000000000" w:firstRow="1" w:lastRow="0" w:firstColumn="0" w:lastColumn="0" w:oddVBand="0" w:evenVBand="0" w:oddHBand="0" w:evenHBand="0" w:firstRowFirstColumn="0" w:firstRowLastColumn="0" w:lastRowFirstColumn="0" w:lastRowLastColumn="0"/>
            </w:pPr>
            <w:r w:rsidRPr="008E1FC7">
              <w:t>2014–15</w:t>
            </w:r>
          </w:p>
        </w:tc>
        <w:tc>
          <w:tcPr>
            <w:tcW w:w="550" w:type="pct"/>
            <w:noWrap/>
            <w:hideMark/>
          </w:tcPr>
          <w:p w:rsidR="008E1FC7" w:rsidRPr="008E1FC7" w:rsidRDefault="008E1FC7" w:rsidP="008E1FC7">
            <w:pPr>
              <w:cnfStyle w:val="100000000000" w:firstRow="1" w:lastRow="0" w:firstColumn="0" w:lastColumn="0" w:oddVBand="0" w:evenVBand="0" w:oddHBand="0" w:evenHBand="0" w:firstRowFirstColumn="0" w:firstRowLastColumn="0" w:lastRowFirstColumn="0" w:lastRowLastColumn="0"/>
            </w:pPr>
            <w:r w:rsidRPr="008E1FC7">
              <w:t>2015–16</w:t>
            </w:r>
          </w:p>
        </w:tc>
        <w:tc>
          <w:tcPr>
            <w:tcW w:w="598" w:type="pct"/>
            <w:noWrap/>
            <w:hideMark/>
          </w:tcPr>
          <w:p w:rsidR="008E1FC7" w:rsidRPr="008E1FC7" w:rsidRDefault="008E1FC7" w:rsidP="008E1FC7">
            <w:pPr>
              <w:cnfStyle w:val="100000000000" w:firstRow="1" w:lastRow="0" w:firstColumn="0" w:lastColumn="0" w:oddVBand="0" w:evenVBand="0" w:oddHBand="0" w:evenHBand="0" w:firstRowFirstColumn="0" w:firstRowLastColumn="0" w:lastRowFirstColumn="0" w:lastRowLastColumn="0"/>
            </w:pPr>
            <w:r w:rsidRPr="008E1FC7">
              <w:t>2016–17</w:t>
            </w:r>
          </w:p>
        </w:tc>
        <w:tc>
          <w:tcPr>
            <w:tcW w:w="526" w:type="pct"/>
            <w:noWrap/>
            <w:hideMark/>
          </w:tcPr>
          <w:p w:rsidR="008E1FC7" w:rsidRPr="008E1FC7" w:rsidRDefault="008E1FC7" w:rsidP="008E1FC7">
            <w:pPr>
              <w:cnfStyle w:val="100000000000" w:firstRow="1" w:lastRow="0" w:firstColumn="0" w:lastColumn="0" w:oddVBand="0" w:evenVBand="0" w:oddHBand="0" w:evenHBand="0" w:firstRowFirstColumn="0" w:firstRowLastColumn="0" w:lastRowFirstColumn="0" w:lastRowLastColumn="0"/>
            </w:pPr>
            <w:r w:rsidRPr="008E1FC7">
              <w:t>2017–18</w:t>
            </w:r>
          </w:p>
        </w:tc>
        <w:tc>
          <w:tcPr>
            <w:tcW w:w="526" w:type="pct"/>
            <w:noWrap/>
            <w:hideMark/>
          </w:tcPr>
          <w:p w:rsidR="008E1FC7" w:rsidRPr="008E1FC7" w:rsidRDefault="008E1FC7" w:rsidP="008E1FC7">
            <w:pPr>
              <w:cnfStyle w:val="100000000000" w:firstRow="1" w:lastRow="0" w:firstColumn="0" w:lastColumn="0" w:oddVBand="0" w:evenVBand="0" w:oddHBand="0" w:evenHBand="0" w:firstRowFirstColumn="0" w:firstRowLastColumn="0" w:lastRowFirstColumn="0" w:lastRowLastColumn="0"/>
            </w:pPr>
            <w:r w:rsidRPr="008E1FC7">
              <w:t>2018–19</w:t>
            </w:r>
          </w:p>
        </w:tc>
        <w:tc>
          <w:tcPr>
            <w:tcW w:w="527" w:type="pct"/>
            <w:noWrap/>
            <w:hideMark/>
          </w:tcPr>
          <w:p w:rsidR="008E1FC7" w:rsidRPr="008E1FC7" w:rsidRDefault="008E1FC7" w:rsidP="008E1FC7">
            <w:pPr>
              <w:cnfStyle w:val="100000000000" w:firstRow="1" w:lastRow="0" w:firstColumn="0" w:lastColumn="0" w:oddVBand="0" w:evenVBand="0" w:oddHBand="0" w:evenHBand="0" w:firstRowFirstColumn="0" w:firstRowLastColumn="0" w:lastRowFirstColumn="0" w:lastRowLastColumn="0"/>
            </w:pPr>
            <w:r w:rsidRPr="008E1FC7">
              <w:t>2019–20</w:t>
            </w:r>
          </w:p>
        </w:tc>
      </w:tr>
      <w:tr w:rsidR="008E1FC7" w:rsidRPr="00164ED7" w:rsidTr="008764B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E1FC7" w:rsidRPr="008E1FC7" w:rsidRDefault="008E1FC7" w:rsidP="008E1FC7">
            <w:pPr>
              <w:rPr>
                <w:rStyle w:val="Strong"/>
              </w:rPr>
            </w:pPr>
            <w:r w:rsidRPr="008E1FC7">
              <w:rPr>
                <w:rStyle w:val="Strong"/>
              </w:rPr>
              <w:t>SA Power Networks proposal</w:t>
            </w:r>
          </w:p>
        </w:tc>
        <w:tc>
          <w:tcPr>
            <w:tcW w:w="526" w:type="pct"/>
            <w:noWrap/>
          </w:tcPr>
          <w:p w:rsidR="008E1FC7" w:rsidRPr="008E1FC7" w:rsidRDefault="008E1FC7" w:rsidP="008E1FC7">
            <w:pPr>
              <w:cnfStyle w:val="000000000000" w:firstRow="0" w:lastRow="0" w:firstColumn="0" w:lastColumn="0" w:oddVBand="0" w:evenVBand="0" w:oddHBand="0" w:evenHBand="0" w:firstRowFirstColumn="0" w:firstRowLastColumn="0" w:lastRowFirstColumn="0" w:lastRowLastColumn="0"/>
            </w:pPr>
          </w:p>
        </w:tc>
        <w:tc>
          <w:tcPr>
            <w:tcW w:w="550" w:type="pct"/>
            <w:noWrap/>
          </w:tcPr>
          <w:p w:rsidR="008E1FC7" w:rsidRPr="008E1FC7" w:rsidRDefault="008E1FC7" w:rsidP="008E1FC7">
            <w:pPr>
              <w:cnfStyle w:val="000000000000" w:firstRow="0" w:lastRow="0" w:firstColumn="0" w:lastColumn="0" w:oddVBand="0" w:evenVBand="0" w:oddHBand="0" w:evenHBand="0" w:firstRowFirstColumn="0" w:firstRowLastColumn="0" w:lastRowFirstColumn="0" w:lastRowLastColumn="0"/>
            </w:pPr>
          </w:p>
        </w:tc>
        <w:tc>
          <w:tcPr>
            <w:tcW w:w="598" w:type="pct"/>
            <w:noWrap/>
          </w:tcPr>
          <w:p w:rsidR="008E1FC7" w:rsidRPr="008E1FC7" w:rsidRDefault="008E1FC7" w:rsidP="008E1FC7">
            <w:pPr>
              <w:cnfStyle w:val="000000000000" w:firstRow="0" w:lastRow="0" w:firstColumn="0" w:lastColumn="0" w:oddVBand="0" w:evenVBand="0" w:oddHBand="0" w:evenHBand="0" w:firstRowFirstColumn="0" w:firstRowLastColumn="0" w:lastRowFirstColumn="0" w:lastRowLastColumn="0"/>
            </w:pPr>
          </w:p>
        </w:tc>
        <w:tc>
          <w:tcPr>
            <w:tcW w:w="526" w:type="pct"/>
            <w:noWrap/>
          </w:tcPr>
          <w:p w:rsidR="008E1FC7" w:rsidRPr="008E1FC7" w:rsidRDefault="008E1FC7" w:rsidP="008E1FC7">
            <w:pPr>
              <w:cnfStyle w:val="000000000000" w:firstRow="0" w:lastRow="0" w:firstColumn="0" w:lastColumn="0" w:oddVBand="0" w:evenVBand="0" w:oddHBand="0" w:evenHBand="0" w:firstRowFirstColumn="0" w:firstRowLastColumn="0" w:lastRowFirstColumn="0" w:lastRowLastColumn="0"/>
            </w:pPr>
          </w:p>
        </w:tc>
        <w:tc>
          <w:tcPr>
            <w:tcW w:w="526" w:type="pct"/>
            <w:noWrap/>
          </w:tcPr>
          <w:p w:rsidR="008E1FC7" w:rsidRPr="008E1FC7" w:rsidRDefault="008E1FC7" w:rsidP="008E1FC7">
            <w:pPr>
              <w:cnfStyle w:val="000000000000" w:firstRow="0" w:lastRow="0" w:firstColumn="0" w:lastColumn="0" w:oddVBand="0" w:evenVBand="0" w:oddHBand="0" w:evenHBand="0" w:firstRowFirstColumn="0" w:firstRowLastColumn="0" w:lastRowFirstColumn="0" w:lastRowLastColumn="0"/>
            </w:pPr>
          </w:p>
        </w:tc>
        <w:tc>
          <w:tcPr>
            <w:tcW w:w="527" w:type="pct"/>
            <w:noWrap/>
          </w:tcPr>
          <w:p w:rsidR="008E1FC7" w:rsidRPr="008E1FC7" w:rsidRDefault="008E1FC7" w:rsidP="008E1FC7">
            <w:pPr>
              <w:cnfStyle w:val="000000000000" w:firstRow="0" w:lastRow="0" w:firstColumn="0" w:lastColumn="0" w:oddVBand="0" w:evenVBand="0" w:oddHBand="0" w:evenHBand="0" w:firstRowFirstColumn="0" w:firstRowLastColumn="0" w:lastRowFirstColumn="0" w:lastRowLastColumn="0"/>
            </w:pPr>
          </w:p>
        </w:tc>
      </w:tr>
      <w:tr w:rsidR="008764B6" w:rsidRPr="00164ED7" w:rsidTr="008764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Residential annual bill</w:t>
            </w:r>
            <w:r w:rsidRPr="008764B6">
              <w:rPr>
                <w:rStyle w:val="AERsuperscript"/>
              </w:rPr>
              <w:t>a</w:t>
            </w:r>
          </w:p>
        </w:tc>
        <w:tc>
          <w:tcPr>
            <w:tcW w:w="526"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200</w:t>
            </w:r>
            <w:r w:rsidR="00753B23">
              <w:t>7</w:t>
            </w:r>
          </w:p>
        </w:tc>
        <w:tc>
          <w:tcPr>
            <w:tcW w:w="550"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1992</w:t>
            </w:r>
          </w:p>
        </w:tc>
        <w:tc>
          <w:tcPr>
            <w:tcW w:w="598"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201</w:t>
            </w:r>
            <w:r w:rsidR="00753B23">
              <w:t>2</w:t>
            </w:r>
          </w:p>
        </w:tc>
        <w:tc>
          <w:tcPr>
            <w:tcW w:w="526"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2031</w:t>
            </w:r>
          </w:p>
        </w:tc>
        <w:tc>
          <w:tcPr>
            <w:tcW w:w="526"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205</w:t>
            </w:r>
            <w:r w:rsidR="00753B23">
              <w:t>2</w:t>
            </w:r>
          </w:p>
        </w:tc>
        <w:tc>
          <w:tcPr>
            <w:tcW w:w="527"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2072</w:t>
            </w:r>
          </w:p>
        </w:tc>
      </w:tr>
      <w:tr w:rsidR="008764B6" w:rsidRPr="00164ED7" w:rsidTr="008764B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Annual change</w:t>
            </w:r>
          </w:p>
        </w:tc>
        <w:tc>
          <w:tcPr>
            <w:tcW w:w="526"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p>
        </w:tc>
        <w:tc>
          <w:tcPr>
            <w:tcW w:w="550" w:type="pct"/>
            <w:noWrap/>
            <w:vAlign w:val="top"/>
          </w:tcPr>
          <w:p w:rsidR="008764B6" w:rsidRPr="008764B6" w:rsidRDefault="00EB6E38" w:rsidP="008764B6">
            <w:pPr>
              <w:cnfStyle w:val="000000000000" w:firstRow="0" w:lastRow="0" w:firstColumn="0" w:lastColumn="0" w:oddVBand="0" w:evenVBand="0" w:oddHBand="0" w:evenHBand="0" w:firstRowFirstColumn="0" w:firstRowLastColumn="0" w:lastRowFirstColumn="0" w:lastRowLastColumn="0"/>
            </w:pPr>
            <w:r>
              <w:t>–</w:t>
            </w:r>
            <w:r w:rsidR="008764B6" w:rsidRPr="008764B6">
              <w:t>14 (</w:t>
            </w:r>
            <w:r>
              <w:t>–</w:t>
            </w:r>
            <w:r w:rsidR="008764B6" w:rsidRPr="008764B6">
              <w:t>0.7%)</w:t>
            </w:r>
          </w:p>
        </w:tc>
        <w:tc>
          <w:tcPr>
            <w:tcW w:w="598"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19 (1</w:t>
            </w:r>
            <w:r w:rsidR="000C49B4">
              <w:t>.0</w:t>
            </w:r>
            <w:r w:rsidRPr="008764B6">
              <w:t>%)</w:t>
            </w:r>
          </w:p>
        </w:tc>
        <w:tc>
          <w:tcPr>
            <w:tcW w:w="526"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20 (1</w:t>
            </w:r>
            <w:r w:rsidR="000C49B4">
              <w:t>.0</w:t>
            </w:r>
            <w:r w:rsidRPr="008764B6">
              <w:t>%)</w:t>
            </w:r>
          </w:p>
        </w:tc>
        <w:tc>
          <w:tcPr>
            <w:tcW w:w="526"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20 (1</w:t>
            </w:r>
            <w:r w:rsidR="000C49B4">
              <w:t>.0</w:t>
            </w:r>
            <w:r w:rsidRPr="008764B6">
              <w:t>%)</w:t>
            </w:r>
          </w:p>
        </w:tc>
        <w:tc>
          <w:tcPr>
            <w:tcW w:w="527"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21 (1</w:t>
            </w:r>
            <w:r w:rsidR="000C49B4">
              <w:t>.0</w:t>
            </w:r>
            <w:r w:rsidRPr="008764B6">
              <w:t>%)</w:t>
            </w:r>
          </w:p>
        </w:tc>
      </w:tr>
      <w:tr w:rsidR="008764B6" w:rsidRPr="00164ED7" w:rsidTr="008764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Small business annual bill</w:t>
            </w:r>
            <w:r w:rsidRPr="008764B6">
              <w:rPr>
                <w:rStyle w:val="AERsuperscript"/>
              </w:rPr>
              <w:t>b</w:t>
            </w:r>
          </w:p>
        </w:tc>
        <w:tc>
          <w:tcPr>
            <w:tcW w:w="526"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3867</w:t>
            </w:r>
          </w:p>
        </w:tc>
        <w:tc>
          <w:tcPr>
            <w:tcW w:w="550"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38</w:t>
            </w:r>
            <w:r w:rsidR="00753B23">
              <w:t>40</w:t>
            </w:r>
          </w:p>
        </w:tc>
        <w:tc>
          <w:tcPr>
            <w:tcW w:w="598"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3877</w:t>
            </w:r>
          </w:p>
        </w:tc>
        <w:tc>
          <w:tcPr>
            <w:tcW w:w="526"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3915</w:t>
            </w:r>
          </w:p>
        </w:tc>
        <w:tc>
          <w:tcPr>
            <w:tcW w:w="526"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3954</w:t>
            </w:r>
          </w:p>
        </w:tc>
        <w:tc>
          <w:tcPr>
            <w:tcW w:w="527"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3994</w:t>
            </w:r>
          </w:p>
        </w:tc>
      </w:tr>
      <w:tr w:rsidR="008764B6" w:rsidRPr="00164ED7" w:rsidTr="008764B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Annual change</w:t>
            </w:r>
          </w:p>
        </w:tc>
        <w:tc>
          <w:tcPr>
            <w:tcW w:w="526"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p>
        </w:tc>
        <w:tc>
          <w:tcPr>
            <w:tcW w:w="550" w:type="pct"/>
            <w:noWrap/>
            <w:vAlign w:val="top"/>
          </w:tcPr>
          <w:p w:rsidR="008764B6" w:rsidRPr="008764B6" w:rsidRDefault="00EB6E38" w:rsidP="00EB6E38">
            <w:pPr>
              <w:cnfStyle w:val="000000000000" w:firstRow="0" w:lastRow="0" w:firstColumn="0" w:lastColumn="0" w:oddVBand="0" w:evenVBand="0" w:oddHBand="0" w:evenHBand="0" w:firstRowFirstColumn="0" w:firstRowLastColumn="0" w:lastRowFirstColumn="0" w:lastRowLastColumn="0"/>
            </w:pPr>
            <w:r>
              <w:t>–</w:t>
            </w:r>
            <w:r w:rsidR="008764B6" w:rsidRPr="008764B6">
              <w:t>28 (</w:t>
            </w:r>
            <w:r>
              <w:t>–</w:t>
            </w:r>
            <w:r w:rsidR="008764B6" w:rsidRPr="008764B6">
              <w:t>0.7%)</w:t>
            </w:r>
          </w:p>
        </w:tc>
        <w:tc>
          <w:tcPr>
            <w:tcW w:w="598"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37 (1</w:t>
            </w:r>
            <w:r w:rsidR="000C49B4">
              <w:t>.0</w:t>
            </w:r>
            <w:r w:rsidRPr="008764B6">
              <w:t>%)</w:t>
            </w:r>
          </w:p>
        </w:tc>
        <w:tc>
          <w:tcPr>
            <w:tcW w:w="526"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38 (1</w:t>
            </w:r>
            <w:r w:rsidR="000C49B4">
              <w:t>.0</w:t>
            </w:r>
            <w:r w:rsidRPr="008764B6">
              <w:t>%)</w:t>
            </w:r>
          </w:p>
        </w:tc>
        <w:tc>
          <w:tcPr>
            <w:tcW w:w="526"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39 (1</w:t>
            </w:r>
            <w:r w:rsidR="000C49B4">
              <w:t>.0</w:t>
            </w:r>
            <w:r w:rsidRPr="008764B6">
              <w:t>%)</w:t>
            </w:r>
          </w:p>
        </w:tc>
        <w:tc>
          <w:tcPr>
            <w:tcW w:w="527" w:type="pct"/>
            <w:noWrap/>
            <w:vAlign w:val="top"/>
          </w:tcPr>
          <w:p w:rsidR="008764B6" w:rsidRPr="008764B6" w:rsidRDefault="008764B6" w:rsidP="008764B6">
            <w:pPr>
              <w:cnfStyle w:val="000000000000" w:firstRow="0" w:lastRow="0" w:firstColumn="0" w:lastColumn="0" w:oddVBand="0" w:evenVBand="0" w:oddHBand="0" w:evenHBand="0" w:firstRowFirstColumn="0" w:firstRowLastColumn="0" w:lastRowFirstColumn="0" w:lastRowLastColumn="0"/>
            </w:pPr>
            <w:r w:rsidRPr="008764B6">
              <w:t>40 (1</w:t>
            </w:r>
            <w:r w:rsidR="000C49B4">
              <w:t>.0</w:t>
            </w:r>
            <w:r w:rsidRPr="008764B6">
              <w:t>%)</w:t>
            </w:r>
          </w:p>
        </w:tc>
      </w:tr>
      <w:tr w:rsidR="008764B6" w:rsidRPr="00164ED7" w:rsidTr="008764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pPr>
              <w:rPr>
                <w:rStyle w:val="Strong"/>
              </w:rPr>
            </w:pPr>
            <w:r w:rsidRPr="008764B6">
              <w:rPr>
                <w:rStyle w:val="Strong"/>
              </w:rPr>
              <w:t>AER preliminary decision</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50"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98"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27"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r>
      <w:tr w:rsidR="008764B6" w:rsidRPr="00164ED7" w:rsidTr="008764B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Residential annual bill</w:t>
            </w:r>
            <w:r w:rsidRPr="008764B6">
              <w:rPr>
                <w:rStyle w:val="AERsuperscript"/>
              </w:rPr>
              <w:t>a</w:t>
            </w:r>
          </w:p>
        </w:tc>
        <w:tc>
          <w:tcPr>
            <w:tcW w:w="526"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200</w:t>
            </w:r>
            <w:r w:rsidR="00753B23">
              <w:t>7</w:t>
            </w:r>
          </w:p>
        </w:tc>
        <w:tc>
          <w:tcPr>
            <w:tcW w:w="550" w:type="pct"/>
            <w:noWrap/>
            <w:vAlign w:val="top"/>
          </w:tcPr>
          <w:p w:rsidR="008764B6" w:rsidRPr="008764B6" w:rsidRDefault="008764B6" w:rsidP="00951F6D">
            <w:pPr>
              <w:cnfStyle w:val="000000000000" w:firstRow="0" w:lastRow="0" w:firstColumn="0" w:lastColumn="0" w:oddVBand="0" w:evenVBand="0" w:oddHBand="0" w:evenHBand="0" w:firstRowFirstColumn="0" w:firstRowLastColumn="0" w:lastRowFirstColumn="0" w:lastRowLastColumn="0"/>
            </w:pPr>
            <w:r w:rsidRPr="008764B6">
              <w:t>18</w:t>
            </w:r>
            <w:r w:rsidR="00753B23">
              <w:t>09</w:t>
            </w:r>
          </w:p>
        </w:tc>
        <w:tc>
          <w:tcPr>
            <w:tcW w:w="598"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17</w:t>
            </w:r>
            <w:r w:rsidR="00753B23">
              <w:t>65</w:t>
            </w:r>
          </w:p>
        </w:tc>
        <w:tc>
          <w:tcPr>
            <w:tcW w:w="526"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17</w:t>
            </w:r>
            <w:r w:rsidR="00753B23">
              <w:t>65</w:t>
            </w:r>
          </w:p>
        </w:tc>
        <w:tc>
          <w:tcPr>
            <w:tcW w:w="526"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17</w:t>
            </w:r>
            <w:r w:rsidR="00753B23">
              <w:t>65</w:t>
            </w:r>
          </w:p>
        </w:tc>
        <w:tc>
          <w:tcPr>
            <w:tcW w:w="527"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17</w:t>
            </w:r>
            <w:r w:rsidR="00753B23">
              <w:t>73</w:t>
            </w:r>
          </w:p>
        </w:tc>
      </w:tr>
      <w:tr w:rsidR="008764B6" w:rsidRPr="00164ED7" w:rsidTr="008764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Annual change</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50" w:type="pct"/>
            <w:noWrap/>
            <w:vAlign w:val="top"/>
          </w:tcPr>
          <w:p w:rsidR="008764B6" w:rsidRPr="008764B6" w:rsidRDefault="00EB6E38" w:rsidP="00753B23">
            <w:pPr>
              <w:cnfStyle w:val="000000010000" w:firstRow="0" w:lastRow="0" w:firstColumn="0" w:lastColumn="0" w:oddVBand="0" w:evenVBand="0" w:oddHBand="0" w:evenHBand="1" w:firstRowFirstColumn="0" w:firstRowLastColumn="0" w:lastRowFirstColumn="0" w:lastRowLastColumn="0"/>
            </w:pPr>
            <w:r>
              <w:t>–</w:t>
            </w:r>
            <w:r w:rsidR="008764B6" w:rsidRPr="008764B6">
              <w:t>19</w:t>
            </w:r>
            <w:r w:rsidR="00753B23">
              <w:t>7</w:t>
            </w:r>
            <w:r w:rsidR="008764B6" w:rsidRPr="008764B6">
              <w:t xml:space="preserve"> (</w:t>
            </w:r>
            <w:r>
              <w:t>–</w:t>
            </w:r>
            <w:r w:rsidR="008764B6" w:rsidRPr="008764B6">
              <w:t>9.</w:t>
            </w:r>
            <w:r w:rsidR="00753B23">
              <w:t>8</w:t>
            </w:r>
            <w:r w:rsidR="008764B6" w:rsidRPr="008764B6">
              <w:t>%)</w:t>
            </w:r>
          </w:p>
        </w:tc>
        <w:tc>
          <w:tcPr>
            <w:tcW w:w="598" w:type="pct"/>
            <w:noWrap/>
            <w:vAlign w:val="top"/>
          </w:tcPr>
          <w:p w:rsidR="008764B6" w:rsidRPr="008764B6" w:rsidRDefault="00EB6E38" w:rsidP="00753B23">
            <w:pPr>
              <w:cnfStyle w:val="000000010000" w:firstRow="0" w:lastRow="0" w:firstColumn="0" w:lastColumn="0" w:oddVBand="0" w:evenVBand="0" w:oddHBand="0" w:evenHBand="1" w:firstRowFirstColumn="0" w:firstRowLastColumn="0" w:lastRowFirstColumn="0" w:lastRowLastColumn="0"/>
            </w:pPr>
            <w:r>
              <w:t>–</w:t>
            </w:r>
            <w:r w:rsidR="008764B6" w:rsidRPr="008764B6">
              <w:t>4</w:t>
            </w:r>
            <w:r w:rsidR="00753B23">
              <w:t>4</w:t>
            </w:r>
            <w:r w:rsidR="008764B6" w:rsidRPr="008764B6">
              <w:t xml:space="preserve"> (</w:t>
            </w:r>
            <w:r>
              <w:t>–</w:t>
            </w:r>
            <w:r w:rsidR="008764B6" w:rsidRPr="008764B6">
              <w:t>2.4%)</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r w:rsidRPr="008764B6">
              <w:t>0 (0</w:t>
            </w:r>
            <w:r w:rsidR="000C49B4">
              <w:t>.0</w:t>
            </w:r>
            <w:r w:rsidRPr="008764B6">
              <w:t>%)</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r w:rsidRPr="008764B6">
              <w:t>0 (0</w:t>
            </w:r>
            <w:r w:rsidR="000C49B4">
              <w:t>.0</w:t>
            </w:r>
            <w:r w:rsidRPr="008764B6">
              <w:t>%)</w:t>
            </w:r>
          </w:p>
        </w:tc>
        <w:tc>
          <w:tcPr>
            <w:tcW w:w="527"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8 (0.</w:t>
            </w:r>
            <w:r w:rsidR="00753B23">
              <w:t>5</w:t>
            </w:r>
            <w:r w:rsidRPr="008764B6">
              <w:t>%)</w:t>
            </w:r>
          </w:p>
        </w:tc>
      </w:tr>
      <w:tr w:rsidR="008764B6" w:rsidRPr="00164ED7" w:rsidTr="008764B6">
        <w:trPr>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Small business annual bill</w:t>
            </w:r>
            <w:r w:rsidRPr="008764B6">
              <w:rPr>
                <w:rStyle w:val="AERsuperscript"/>
              </w:rPr>
              <w:t>b</w:t>
            </w:r>
          </w:p>
        </w:tc>
        <w:tc>
          <w:tcPr>
            <w:tcW w:w="526"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3867</w:t>
            </w:r>
          </w:p>
        </w:tc>
        <w:tc>
          <w:tcPr>
            <w:tcW w:w="550"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34</w:t>
            </w:r>
            <w:r w:rsidR="00753B23">
              <w:t>87</w:t>
            </w:r>
          </w:p>
        </w:tc>
        <w:tc>
          <w:tcPr>
            <w:tcW w:w="598"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34</w:t>
            </w:r>
            <w:r w:rsidR="00753B23">
              <w:t>02</w:t>
            </w:r>
          </w:p>
        </w:tc>
        <w:tc>
          <w:tcPr>
            <w:tcW w:w="526"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34</w:t>
            </w:r>
            <w:r w:rsidR="00753B23">
              <w:t>02</w:t>
            </w:r>
          </w:p>
        </w:tc>
        <w:tc>
          <w:tcPr>
            <w:tcW w:w="526"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34</w:t>
            </w:r>
            <w:r w:rsidR="00753B23">
              <w:t>01</w:t>
            </w:r>
          </w:p>
        </w:tc>
        <w:tc>
          <w:tcPr>
            <w:tcW w:w="527" w:type="pct"/>
            <w:noWrap/>
            <w:vAlign w:val="top"/>
          </w:tcPr>
          <w:p w:rsidR="008764B6" w:rsidRPr="008764B6" w:rsidRDefault="008764B6" w:rsidP="00753B23">
            <w:pPr>
              <w:cnfStyle w:val="000000000000" w:firstRow="0" w:lastRow="0" w:firstColumn="0" w:lastColumn="0" w:oddVBand="0" w:evenVBand="0" w:oddHBand="0" w:evenHBand="0" w:firstRowFirstColumn="0" w:firstRowLastColumn="0" w:lastRowFirstColumn="0" w:lastRowLastColumn="0"/>
            </w:pPr>
            <w:r w:rsidRPr="008764B6">
              <w:t>34</w:t>
            </w:r>
            <w:r w:rsidR="00753B23">
              <w:t>17</w:t>
            </w:r>
          </w:p>
        </w:tc>
      </w:tr>
      <w:tr w:rsidR="008764B6" w:rsidRPr="00164ED7" w:rsidTr="008764B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noWrap/>
            <w:hideMark/>
          </w:tcPr>
          <w:p w:rsidR="008764B6" w:rsidRPr="008764B6" w:rsidRDefault="008764B6" w:rsidP="008764B6">
            <w:r w:rsidRPr="008764B6">
              <w:t>Annual change</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p>
        </w:tc>
        <w:tc>
          <w:tcPr>
            <w:tcW w:w="550" w:type="pct"/>
            <w:noWrap/>
            <w:vAlign w:val="top"/>
          </w:tcPr>
          <w:p w:rsidR="008764B6" w:rsidRPr="008764B6" w:rsidRDefault="00EB6E38" w:rsidP="00753B23">
            <w:pPr>
              <w:cnfStyle w:val="000000010000" w:firstRow="0" w:lastRow="0" w:firstColumn="0" w:lastColumn="0" w:oddVBand="0" w:evenVBand="0" w:oddHBand="0" w:evenHBand="1" w:firstRowFirstColumn="0" w:firstRowLastColumn="0" w:lastRowFirstColumn="0" w:lastRowLastColumn="0"/>
            </w:pPr>
            <w:r>
              <w:t>–</w:t>
            </w:r>
            <w:r w:rsidR="008764B6" w:rsidRPr="008764B6">
              <w:t>3</w:t>
            </w:r>
            <w:r w:rsidR="00753B23">
              <w:t>81</w:t>
            </w:r>
            <w:r w:rsidR="008764B6" w:rsidRPr="008764B6">
              <w:t xml:space="preserve"> (</w:t>
            </w:r>
            <w:r>
              <w:t>–</w:t>
            </w:r>
            <w:r w:rsidR="008764B6" w:rsidRPr="008764B6">
              <w:t>9.</w:t>
            </w:r>
            <w:r w:rsidR="00753B23">
              <w:t>8</w:t>
            </w:r>
            <w:r w:rsidR="008764B6" w:rsidRPr="008764B6">
              <w:t>%)</w:t>
            </w:r>
          </w:p>
        </w:tc>
        <w:tc>
          <w:tcPr>
            <w:tcW w:w="598" w:type="pct"/>
            <w:noWrap/>
            <w:vAlign w:val="top"/>
          </w:tcPr>
          <w:p w:rsidR="008764B6" w:rsidRPr="008764B6" w:rsidRDefault="00EB6E38" w:rsidP="00753B23">
            <w:pPr>
              <w:cnfStyle w:val="000000010000" w:firstRow="0" w:lastRow="0" w:firstColumn="0" w:lastColumn="0" w:oddVBand="0" w:evenVBand="0" w:oddHBand="0" w:evenHBand="1" w:firstRowFirstColumn="0" w:firstRowLastColumn="0" w:lastRowFirstColumn="0" w:lastRowLastColumn="0"/>
            </w:pPr>
            <w:r>
              <w:t>–</w:t>
            </w:r>
            <w:r w:rsidR="008764B6" w:rsidRPr="008764B6">
              <w:t>8</w:t>
            </w:r>
            <w:r w:rsidR="00753B23">
              <w:t>5</w:t>
            </w:r>
            <w:r w:rsidR="008764B6" w:rsidRPr="008764B6">
              <w:t xml:space="preserve"> (</w:t>
            </w:r>
            <w:r>
              <w:t>–</w:t>
            </w:r>
            <w:r w:rsidR="008764B6" w:rsidRPr="008764B6">
              <w:t>2.4%)</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r w:rsidRPr="008764B6">
              <w:t>0 (0</w:t>
            </w:r>
            <w:r w:rsidR="000C49B4">
              <w:t>.0</w:t>
            </w:r>
            <w:r w:rsidRPr="008764B6">
              <w:t>%)</w:t>
            </w:r>
          </w:p>
        </w:tc>
        <w:tc>
          <w:tcPr>
            <w:tcW w:w="526" w:type="pct"/>
            <w:noWrap/>
            <w:vAlign w:val="top"/>
          </w:tcPr>
          <w:p w:rsidR="008764B6" w:rsidRPr="008764B6" w:rsidRDefault="008764B6" w:rsidP="008764B6">
            <w:pPr>
              <w:cnfStyle w:val="000000010000" w:firstRow="0" w:lastRow="0" w:firstColumn="0" w:lastColumn="0" w:oddVBand="0" w:evenVBand="0" w:oddHBand="0" w:evenHBand="1" w:firstRowFirstColumn="0" w:firstRowLastColumn="0" w:lastRowFirstColumn="0" w:lastRowLastColumn="0"/>
            </w:pPr>
            <w:r w:rsidRPr="008764B6">
              <w:t>0 (0</w:t>
            </w:r>
            <w:r w:rsidR="000C49B4">
              <w:t>.0</w:t>
            </w:r>
            <w:r w:rsidRPr="008764B6">
              <w:t>%)</w:t>
            </w:r>
          </w:p>
        </w:tc>
        <w:tc>
          <w:tcPr>
            <w:tcW w:w="527" w:type="pct"/>
            <w:noWrap/>
            <w:vAlign w:val="top"/>
          </w:tcPr>
          <w:p w:rsidR="008764B6" w:rsidRPr="008764B6" w:rsidRDefault="008764B6" w:rsidP="00753B23">
            <w:pPr>
              <w:cnfStyle w:val="000000010000" w:firstRow="0" w:lastRow="0" w:firstColumn="0" w:lastColumn="0" w:oddVBand="0" w:evenVBand="0" w:oddHBand="0" w:evenHBand="1" w:firstRowFirstColumn="0" w:firstRowLastColumn="0" w:lastRowFirstColumn="0" w:lastRowLastColumn="0"/>
            </w:pPr>
            <w:r w:rsidRPr="008764B6">
              <w:t>1</w:t>
            </w:r>
            <w:r w:rsidR="00753B23">
              <w:t>6</w:t>
            </w:r>
            <w:r w:rsidRPr="008764B6">
              <w:t xml:space="preserve"> (0.</w:t>
            </w:r>
            <w:r w:rsidR="00753B23">
              <w:t>5</w:t>
            </w:r>
            <w:r w:rsidRPr="008764B6">
              <w:t>%)</w:t>
            </w:r>
          </w:p>
        </w:tc>
      </w:tr>
    </w:tbl>
    <w:p w:rsidR="008E1FC7" w:rsidRPr="008E1FC7" w:rsidRDefault="008E1FC7" w:rsidP="00EC3269">
      <w:pPr>
        <w:pStyle w:val="AERtablesource"/>
      </w:pPr>
      <w:r w:rsidRPr="008E1FC7">
        <w:t>Source:</w:t>
      </w:r>
      <w:r w:rsidRPr="008E1FC7">
        <w:tab/>
        <w:t xml:space="preserve">AER analysis; AER, </w:t>
      </w:r>
      <w:hyperlink r:id="rId17" w:history="1">
        <w:r w:rsidRPr="00D377F8">
          <w:rPr>
            <w:rStyle w:val="Hyperlink"/>
            <w:sz w:val="16"/>
          </w:rPr>
          <w:t>Energy Made Easy</w:t>
        </w:r>
      </w:hyperlink>
      <w:r w:rsidRPr="008E1FC7">
        <w:t xml:space="preserve">; </w:t>
      </w:r>
      <w:r w:rsidR="00EC3269">
        <w:t xml:space="preserve">ESCoSA, </w:t>
      </w:r>
      <w:r w:rsidR="00EC3269" w:rsidRPr="00EC3269">
        <w:rPr>
          <w:rStyle w:val="AERtextitalic"/>
        </w:rPr>
        <w:t>South Australian Energy Retail Prices Ministerial Pricing Report 2014</w:t>
      </w:r>
      <w:r w:rsidR="00EC3269">
        <w:t>, August</w:t>
      </w:r>
      <w:r w:rsidRPr="008E1FC7">
        <w:t xml:space="preserve"> 201</w:t>
      </w:r>
      <w:r w:rsidR="00EC3269">
        <w:t>4</w:t>
      </w:r>
      <w:r w:rsidRPr="008E1FC7">
        <w:t>.</w:t>
      </w:r>
    </w:p>
    <w:p w:rsidR="008E1FC7" w:rsidRPr="008E1FC7" w:rsidRDefault="008E1FC7" w:rsidP="008E1FC7">
      <w:pPr>
        <w:pStyle w:val="AERtablesource"/>
      </w:pPr>
      <w:r w:rsidRPr="008E1FC7">
        <w:t>(a)</w:t>
      </w:r>
      <w:r w:rsidRPr="008E1FC7">
        <w:tab/>
        <w:t xml:space="preserve">Based on annual bill for typical consumption of </w:t>
      </w:r>
      <w:r w:rsidR="00EC46C1">
        <w:t>5000</w:t>
      </w:r>
      <w:r>
        <w:t xml:space="preserve"> </w:t>
      </w:r>
      <w:r w:rsidR="009F3208">
        <w:t>k</w:t>
      </w:r>
      <w:r w:rsidRPr="008E1FC7">
        <w:t>Wh per year during the period 1 July 201</w:t>
      </w:r>
      <w:r w:rsidR="00EC46C1">
        <w:t>4</w:t>
      </w:r>
      <w:r w:rsidRPr="008E1FC7">
        <w:t xml:space="preserve"> to 30 June 201</w:t>
      </w:r>
      <w:r w:rsidR="001313CE">
        <w:t>5</w:t>
      </w:r>
      <w:r w:rsidRPr="008E1FC7">
        <w:t xml:space="preserve">. Sample postcode: </w:t>
      </w:r>
      <w:r w:rsidR="001313CE">
        <w:t>50</w:t>
      </w:r>
      <w:r w:rsidR="008764B6">
        <w:t>15</w:t>
      </w:r>
      <w:r w:rsidRPr="008E1FC7">
        <w:t>.</w:t>
      </w:r>
    </w:p>
    <w:p w:rsidR="008E1FC7" w:rsidRPr="008E1FC7" w:rsidRDefault="008E1FC7" w:rsidP="008E1FC7">
      <w:pPr>
        <w:pStyle w:val="AERtablesource"/>
      </w:pPr>
      <w:r w:rsidRPr="008E1FC7">
        <w:lastRenderedPageBreak/>
        <w:t>(b)</w:t>
      </w:r>
      <w:r w:rsidRPr="008E1FC7">
        <w:tab/>
        <w:t xml:space="preserve">Based on the annual bill sourced from </w:t>
      </w:r>
      <w:hyperlink r:id="rId18" w:history="1">
        <w:r w:rsidRPr="00D377F8">
          <w:rPr>
            <w:rStyle w:val="Hyperlink"/>
            <w:sz w:val="16"/>
          </w:rPr>
          <w:t>Energy Made Easy</w:t>
        </w:r>
      </w:hyperlink>
      <w:r w:rsidRPr="008E1FC7">
        <w:t xml:space="preserve"> for a typical consumption of </w:t>
      </w:r>
      <w:r w:rsidR="00874D66">
        <w:t>10000</w:t>
      </w:r>
      <w:r w:rsidRPr="008E1FC7">
        <w:t xml:space="preserve"> kWh per year during the period 1 July 201</w:t>
      </w:r>
      <w:r w:rsidR="001313CE">
        <w:t>4</w:t>
      </w:r>
      <w:r w:rsidRPr="008E1FC7">
        <w:t xml:space="preserve"> to 30 June 201</w:t>
      </w:r>
      <w:r w:rsidR="001313CE">
        <w:t>5</w:t>
      </w:r>
      <w:r w:rsidRPr="008E1FC7">
        <w:t xml:space="preserve">. Sample postcode: </w:t>
      </w:r>
      <w:r w:rsidR="001313CE">
        <w:t>50</w:t>
      </w:r>
      <w:r w:rsidR="008764B6">
        <w:t>15</w:t>
      </w:r>
      <w:r w:rsidRPr="008E1FC7">
        <w:t>.</w:t>
      </w:r>
    </w:p>
    <w:p w:rsidR="00F50889" w:rsidRPr="00AF5E1F" w:rsidRDefault="00F50889" w:rsidP="00AF5E1F">
      <w:pPr>
        <w:pStyle w:val="AERtablesource"/>
      </w:pPr>
    </w:p>
    <w:sectPr w:rsidR="00F50889" w:rsidRPr="00AF5E1F"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88C" w:rsidRPr="00290C63" w:rsidRDefault="0075288C" w:rsidP="00290C63">
      <w:r>
        <w:separator/>
      </w:r>
    </w:p>
    <w:p w:rsidR="0075288C" w:rsidRDefault="0075288C"/>
  </w:endnote>
  <w:endnote w:type="continuationSeparator" w:id="0">
    <w:p w:rsidR="0075288C" w:rsidRPr="00290C63" w:rsidRDefault="0075288C" w:rsidP="00290C63">
      <w:r>
        <w:continuationSeparator/>
      </w:r>
    </w:p>
    <w:p w:rsidR="0075288C" w:rsidRDefault="00752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8C" w:rsidRPr="00290C63" w:rsidRDefault="0075288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5288C" w:rsidRDefault="0075288C"/>
  <w:p w:rsidR="0075288C" w:rsidRDefault="0075288C"/>
  <w:p w:rsidR="0075288C" w:rsidRDefault="0075288C"/>
  <w:p w:rsidR="0075288C" w:rsidRDefault="0075288C"/>
  <w:p w:rsidR="0075288C" w:rsidRDefault="0075288C"/>
  <w:p w:rsidR="0075288C" w:rsidRDefault="0075288C"/>
  <w:p w:rsidR="0075288C" w:rsidRDefault="007528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75288C" w:rsidRDefault="0075288C">
        <w:pPr>
          <w:pStyle w:val="Footer"/>
        </w:pPr>
        <w:r>
          <w:t>1-</w:t>
        </w:r>
        <w:r>
          <w:fldChar w:fldCharType="begin"/>
        </w:r>
        <w:r>
          <w:instrText xml:space="preserve"> PAGE   \* MERGEFORMAT </w:instrText>
        </w:r>
        <w:r>
          <w:fldChar w:fldCharType="separate"/>
        </w:r>
        <w:r w:rsidR="006D6FA9">
          <w:rPr>
            <w:noProof/>
          </w:rPr>
          <w:t>17</w:t>
        </w:r>
        <w:r>
          <w:rPr>
            <w:noProof/>
          </w:rPr>
          <w:fldChar w:fldCharType="end"/>
        </w:r>
        <w:r>
          <w:rPr>
            <w:noProof/>
          </w:rPr>
          <w:t xml:space="preserve">      </w:t>
        </w:r>
        <w:r>
          <w:t xml:space="preserve">           </w:t>
        </w:r>
        <w:r>
          <w:rPr>
            <w:noProof/>
          </w:rPr>
          <w:t xml:space="preserve"> Attachment 1 </w:t>
        </w:r>
        <w:r>
          <w:rPr>
            <w:rFonts w:cs="Gautami"/>
            <w:noProof/>
          </w:rPr>
          <w:t xml:space="preserve">– </w:t>
        </w:r>
        <w:r>
          <w:t>Annual revenue requirement</w:t>
        </w:r>
        <w:r>
          <w:rPr>
            <w:rFonts w:cs="Gautami"/>
            <w:noProof/>
          </w:rPr>
          <w:t xml:space="preserve"> | </w:t>
        </w:r>
        <w:r>
          <w:t>SA Power Networks'</w:t>
        </w:r>
        <w:r>
          <w:rPr>
            <w:rFonts w:cs="Gautami"/>
            <w:noProof/>
          </w:rPr>
          <w:t xml:space="preserve"> determination 2015–20</w:t>
        </w:r>
      </w:p>
    </w:sdtContent>
  </w:sdt>
  <w:p w:rsidR="0075288C" w:rsidRDefault="007528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8C" w:rsidRPr="00290C63" w:rsidRDefault="0075288C"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5288C" w:rsidRDefault="0075288C">
    <w:pPr>
      <w:pStyle w:val="Footer"/>
    </w:pPr>
  </w:p>
  <w:p w:rsidR="0075288C" w:rsidRDefault="0075288C"/>
  <w:p w:rsidR="0075288C" w:rsidRDefault="0075288C"/>
  <w:p w:rsidR="0075288C" w:rsidRDefault="0075288C"/>
  <w:p w:rsidR="0075288C" w:rsidRDefault="0075288C"/>
  <w:p w:rsidR="0075288C" w:rsidRDefault="0075288C"/>
  <w:p w:rsidR="0075288C" w:rsidRDefault="0075288C"/>
  <w:p w:rsidR="0075288C" w:rsidRDefault="007528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88C" w:rsidRPr="00290C63" w:rsidRDefault="0075288C" w:rsidP="00290C63">
      <w:r>
        <w:separator/>
      </w:r>
    </w:p>
    <w:p w:rsidR="0075288C" w:rsidRDefault="0075288C"/>
  </w:footnote>
  <w:footnote w:type="continuationSeparator" w:id="0">
    <w:p w:rsidR="0075288C" w:rsidRPr="00290C63" w:rsidRDefault="0075288C" w:rsidP="00290C63">
      <w:r>
        <w:continuationSeparator/>
      </w:r>
    </w:p>
    <w:p w:rsidR="0075288C" w:rsidRDefault="0075288C"/>
  </w:footnote>
  <w:footnote w:id="1">
    <w:p w:rsidR="0075288C" w:rsidRDefault="0075288C" w:rsidP="00F50889">
      <w:pPr>
        <w:pStyle w:val="FootnoteText"/>
      </w:pPr>
      <w:r>
        <w:rPr>
          <w:rStyle w:val="FootnoteReference"/>
        </w:rPr>
        <w:footnoteRef/>
      </w:r>
      <w:r>
        <w:t xml:space="preserve"> </w:t>
      </w:r>
      <w:r>
        <w:tab/>
        <w:t>NER, cl 6.3.2(a)(1).</w:t>
      </w:r>
    </w:p>
  </w:footnote>
  <w:footnote w:id="2">
    <w:p w:rsidR="0075288C" w:rsidRDefault="0075288C" w:rsidP="00F50889">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75288C" w:rsidRDefault="0075288C" w:rsidP="000721C2">
      <w:pPr>
        <w:pStyle w:val="FootnoteText"/>
      </w:pPr>
      <w:r>
        <w:rPr>
          <w:rStyle w:val="FootnoteReference"/>
        </w:rPr>
        <w:footnoteRef/>
      </w:r>
      <w:r>
        <w:t xml:space="preserve"> </w:t>
      </w:r>
      <w:r>
        <w:tab/>
        <w:t>NER, cl 6.5.9(a).</w:t>
      </w:r>
    </w:p>
  </w:footnote>
  <w:footnote w:id="4">
    <w:p w:rsidR="0075288C" w:rsidRDefault="0075288C" w:rsidP="000721C2">
      <w:pPr>
        <w:pStyle w:val="FootnoteText"/>
      </w:pPr>
      <w:r>
        <w:rPr>
          <w:rStyle w:val="FootnoteReference"/>
        </w:rPr>
        <w:footnoteRef/>
      </w:r>
      <w:r>
        <w:t xml:space="preserve"> </w:t>
      </w:r>
      <w:r>
        <w:tab/>
        <w:t>NER, cl 6.5.9(3)(i).</w:t>
      </w:r>
      <w:r w:rsidRPr="00DB5BC2">
        <w:t xml:space="preserve"> </w:t>
      </w:r>
      <w:r>
        <w:t>The X factors represent the real revenue path over the 2014–19 period under the CPI–X framework.</w:t>
      </w:r>
    </w:p>
  </w:footnote>
  <w:footnote w:id="5">
    <w:p w:rsidR="0075288C" w:rsidRDefault="0075288C" w:rsidP="000721C2">
      <w:pPr>
        <w:pStyle w:val="FootnoteText"/>
      </w:pPr>
      <w:r>
        <w:rPr>
          <w:rStyle w:val="FootnoteReference"/>
        </w:rPr>
        <w:footnoteRef/>
      </w:r>
      <w:r>
        <w:t xml:space="preserve"> </w:t>
      </w:r>
      <w:r>
        <w:tab/>
        <w:t>NER, cl 6.5.9(b)(2).</w:t>
      </w:r>
    </w:p>
  </w:footnote>
  <w:footnote w:id="6">
    <w:p w:rsidR="0075288C" w:rsidRDefault="0075288C" w:rsidP="000721C2">
      <w:pPr>
        <w:pStyle w:val="FootnoteText"/>
      </w:pPr>
      <w:r>
        <w:rPr>
          <w:rStyle w:val="FootnoteReference"/>
        </w:rPr>
        <w:footnoteRef/>
      </w:r>
      <w:r>
        <w:t xml:space="preserve"> </w:t>
      </w:r>
      <w:r>
        <w:tab/>
        <w:t>NER, cl 11.60.3(b).</w:t>
      </w:r>
    </w:p>
  </w:footnote>
  <w:footnote w:id="7">
    <w:p w:rsidR="0075288C" w:rsidRDefault="0075288C">
      <w:pPr>
        <w:pStyle w:val="FootnoteText"/>
      </w:pPr>
      <w:r>
        <w:rPr>
          <w:rStyle w:val="FootnoteReference"/>
        </w:rPr>
        <w:footnoteRef/>
      </w:r>
      <w:r>
        <w:t xml:space="preserve"> </w:t>
      </w:r>
      <w:r>
        <w:tab/>
        <w:t>NER, cl 11.60.4(d)(1).</w:t>
      </w:r>
    </w:p>
  </w:footnote>
  <w:footnote w:id="8">
    <w:p w:rsidR="0075288C" w:rsidRDefault="0075288C" w:rsidP="00AF5E1F">
      <w:pPr>
        <w:pStyle w:val="FootnoteText"/>
      </w:pPr>
      <w:r>
        <w:rPr>
          <w:rStyle w:val="FootnoteReference"/>
        </w:rPr>
        <w:footnoteRef/>
      </w:r>
      <w:r>
        <w:t xml:space="preserve"> </w:t>
      </w:r>
      <w:r>
        <w:tab/>
        <w:t>NER, cl. 6.4.4.</w:t>
      </w:r>
    </w:p>
  </w:footnote>
  <w:footnote w:id="9">
    <w:p w:rsidR="0075288C" w:rsidRDefault="0075288C" w:rsidP="00AF5E1F">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0">
    <w:p w:rsidR="0075288C" w:rsidRDefault="0075288C" w:rsidP="00AF5E1F">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1">
    <w:p w:rsidR="0075288C" w:rsidRDefault="0075288C">
      <w:pPr>
        <w:pStyle w:val="FootnoteText"/>
      </w:pPr>
      <w:r>
        <w:rPr>
          <w:rStyle w:val="FootnoteReference"/>
        </w:rPr>
        <w:footnoteRef/>
      </w:r>
      <w:r>
        <w:t xml:space="preserve"> </w:t>
      </w:r>
      <w:r>
        <w:tab/>
        <w:t xml:space="preserve">SA Power Networks, </w:t>
      </w:r>
      <w:r w:rsidRPr="00D83835">
        <w:rPr>
          <w:rStyle w:val="Emphasis"/>
        </w:rPr>
        <w:t>Regulatory proposal</w:t>
      </w:r>
      <w:r>
        <w:t>, October 2014, p. 296.</w:t>
      </w:r>
    </w:p>
  </w:footnote>
  <w:footnote w:id="12">
    <w:p w:rsidR="0075288C" w:rsidRDefault="0075288C" w:rsidP="006615FD">
      <w:pPr>
        <w:pStyle w:val="FootnoteText"/>
      </w:pPr>
      <w:r>
        <w:rPr>
          <w:rStyle w:val="FootnoteReference"/>
        </w:rPr>
        <w:footnoteRef/>
      </w:r>
      <w:r>
        <w:t xml:space="preserve"> </w:t>
      </w:r>
      <w:r>
        <w:tab/>
      </w:r>
      <w:r w:rsidRPr="00E606D6">
        <w:t>This amount includes a forecast inflation rate of 2.5</w:t>
      </w:r>
      <w:r>
        <w:t>5</w:t>
      </w:r>
      <w:r w:rsidRPr="00E606D6">
        <w:t xml:space="preserve"> per cent per annum. In real terms we estimate average distribution charges to decline by </w:t>
      </w:r>
      <w:r>
        <w:t>7.0 per cent</w:t>
      </w:r>
      <w:r w:rsidRPr="00E606D6">
        <w:t xml:space="preserve"> per annum, compared to a</w:t>
      </w:r>
      <w:r>
        <w:t>n increase</w:t>
      </w:r>
      <w:r w:rsidRPr="00E606D6">
        <w:t xml:space="preserve"> of</w:t>
      </w:r>
      <w:r>
        <w:t>1.7 per cent</w:t>
      </w:r>
      <w:r w:rsidRPr="00E606D6">
        <w:t xml:space="preserve"> proposed by </w:t>
      </w:r>
      <w:r>
        <w:t>SA Power Networks</w:t>
      </w:r>
      <w:r w:rsidRPr="00E606D6">
        <w:t>.</w:t>
      </w:r>
    </w:p>
  </w:footnote>
  <w:footnote w:id="13">
    <w:p w:rsidR="0075288C" w:rsidRDefault="0075288C" w:rsidP="008E1FC7">
      <w:pPr>
        <w:pStyle w:val="FootnoteText"/>
      </w:pPr>
      <w:r>
        <w:rPr>
          <w:rStyle w:val="FootnoteReference"/>
        </w:rPr>
        <w:footnoteRef/>
      </w:r>
      <w:r>
        <w:t xml:space="preserve"> </w:t>
      </w:r>
      <w:r>
        <w:tab/>
      </w:r>
      <w:r w:rsidR="00753B23">
        <w:t xml:space="preserve">SA Power Networks, </w:t>
      </w:r>
      <w:r w:rsidR="00753B23" w:rsidRPr="00753B23">
        <w:rPr>
          <w:rStyle w:val="AERtextitalic"/>
        </w:rPr>
        <w:t>Regulatory proposal</w:t>
      </w:r>
      <w:r w:rsidR="00753B23">
        <w:t>, October 2014.</w:t>
      </w:r>
    </w:p>
  </w:footnote>
  <w:footnote w:id="14">
    <w:p w:rsidR="0075288C" w:rsidRDefault="0075288C" w:rsidP="00EC3269">
      <w:pPr>
        <w:pStyle w:val="FootnoteText"/>
      </w:pPr>
      <w:r>
        <w:rPr>
          <w:rStyle w:val="FootnoteReference"/>
        </w:rPr>
        <w:footnoteRef/>
      </w:r>
      <w:r>
        <w:t xml:space="preserve"> </w:t>
      </w:r>
      <w:r>
        <w:tab/>
        <w:t xml:space="preserve">Based on </w:t>
      </w:r>
      <w:r w:rsidRPr="00EC3269">
        <w:t xml:space="preserve">ESCoSA, </w:t>
      </w:r>
      <w:r w:rsidRPr="00EC3269">
        <w:rPr>
          <w:rStyle w:val="AERtextitalic"/>
        </w:rPr>
        <w:t>South Australian Energy Retail Prices Ministerial Pricing Report 2014</w:t>
      </w:r>
      <w:r>
        <w:t>, August 2014, p. 9.</w:t>
      </w:r>
    </w:p>
  </w:footnote>
  <w:footnote w:id="15">
    <w:p w:rsidR="0075288C" w:rsidRDefault="0075288C">
      <w:pPr>
        <w:pStyle w:val="FootnoteText"/>
      </w:pPr>
      <w:r>
        <w:rPr>
          <w:rStyle w:val="FootnoteReference"/>
        </w:rPr>
        <w:footnoteRef/>
      </w:r>
      <w:r>
        <w:t xml:space="preserve"> </w:t>
      </w:r>
      <w:r>
        <w:tab/>
      </w:r>
      <w:r w:rsidRPr="00874D66">
        <w:t xml:space="preserve">Based on ESCoSA, </w:t>
      </w:r>
      <w:r w:rsidRPr="00874D66">
        <w:rPr>
          <w:rStyle w:val="AERtextitalic"/>
        </w:rPr>
        <w:t>South Australian Energy Retail Prices Ministerial Pricing Report 2014</w:t>
      </w:r>
      <w:r w:rsidRPr="00874D66">
        <w:t>, August 2014,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95C7239"/>
    <w:multiLevelType w:val="multilevel"/>
    <w:tmpl w:val="950A1C52"/>
    <w:numStyleLink w:val="AERHeadings"/>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26D42E3"/>
    <w:multiLevelType w:val="multilevel"/>
    <w:tmpl w:val="950A1C52"/>
    <w:numStyleLink w:val="AERHeadings"/>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2"/>
  </w:num>
  <w:num w:numId="16">
    <w:abstractNumId w:val="26"/>
  </w:num>
  <w:num w:numId="17">
    <w:abstractNumId w:val="9"/>
  </w:num>
  <w:num w:numId="18">
    <w:abstractNumId w:val="16"/>
  </w:num>
  <w:num w:numId="19">
    <w:abstractNumId w:val="27"/>
  </w:num>
  <w:num w:numId="20">
    <w:abstractNumId w:val="34"/>
  </w:num>
  <w:num w:numId="21">
    <w:abstractNumId w:val="13"/>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5"/>
  </w:num>
  <w:num w:numId="30">
    <w:abstractNumId w:val="35"/>
  </w:num>
  <w:num w:numId="31">
    <w:abstractNumId w:val="14"/>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0"/>
  </w:num>
  <w:num w:numId="38">
    <w:abstractNumId w:val="25"/>
  </w:num>
  <w:num w:numId="39">
    <w:abstractNumId w:val="23"/>
  </w:num>
  <w:num w:numId="40">
    <w:abstractNumId w:val="17"/>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JmDKBh8sGoDRpHt+bMBOllb0T5JQ/XV13xNflr+n4c=" w:saltValue="9M4kfZmDqRP4twmWIQzpdQ==" w:algorithmName="SHA-256"/>
  <w:defaultTabStop w:val="34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1 - Annual revenue requirement - April 2015.DOCX"/>
  </w:docVars>
  <w:rsids>
    <w:rsidRoot w:val="00961A4A"/>
    <w:rsid w:val="000021EE"/>
    <w:rsid w:val="00021202"/>
    <w:rsid w:val="0002517F"/>
    <w:rsid w:val="0002572E"/>
    <w:rsid w:val="00030B62"/>
    <w:rsid w:val="0003578C"/>
    <w:rsid w:val="00056981"/>
    <w:rsid w:val="00063247"/>
    <w:rsid w:val="00070F9F"/>
    <w:rsid w:val="0007137B"/>
    <w:rsid w:val="000721C2"/>
    <w:rsid w:val="00085663"/>
    <w:rsid w:val="00085EBF"/>
    <w:rsid w:val="000A3020"/>
    <w:rsid w:val="000A6C7B"/>
    <w:rsid w:val="000B5A53"/>
    <w:rsid w:val="000B6AE9"/>
    <w:rsid w:val="000C49B4"/>
    <w:rsid w:val="000D122C"/>
    <w:rsid w:val="000E1819"/>
    <w:rsid w:val="000E4821"/>
    <w:rsid w:val="000E6C72"/>
    <w:rsid w:val="0010052C"/>
    <w:rsid w:val="00116EB2"/>
    <w:rsid w:val="00124609"/>
    <w:rsid w:val="00126A4C"/>
    <w:rsid w:val="001313CE"/>
    <w:rsid w:val="0014573B"/>
    <w:rsid w:val="001573E4"/>
    <w:rsid w:val="00160756"/>
    <w:rsid w:val="0017232E"/>
    <w:rsid w:val="00174102"/>
    <w:rsid w:val="00180157"/>
    <w:rsid w:val="00185CB9"/>
    <w:rsid w:val="00186F77"/>
    <w:rsid w:val="001926A4"/>
    <w:rsid w:val="00192AD5"/>
    <w:rsid w:val="001B45A0"/>
    <w:rsid w:val="001B5FCB"/>
    <w:rsid w:val="001C0B33"/>
    <w:rsid w:val="001D055E"/>
    <w:rsid w:val="001F293A"/>
    <w:rsid w:val="001F492E"/>
    <w:rsid w:val="001F6DA3"/>
    <w:rsid w:val="002010BC"/>
    <w:rsid w:val="00202E03"/>
    <w:rsid w:val="0020492C"/>
    <w:rsid w:val="00224DB9"/>
    <w:rsid w:val="00233775"/>
    <w:rsid w:val="0025036E"/>
    <w:rsid w:val="00251745"/>
    <w:rsid w:val="00261CA3"/>
    <w:rsid w:val="00263AC0"/>
    <w:rsid w:val="00264264"/>
    <w:rsid w:val="0026772D"/>
    <w:rsid w:val="00286874"/>
    <w:rsid w:val="00290C63"/>
    <w:rsid w:val="00296B65"/>
    <w:rsid w:val="002A7DEF"/>
    <w:rsid w:val="002E7B22"/>
    <w:rsid w:val="002F7986"/>
    <w:rsid w:val="00301B40"/>
    <w:rsid w:val="003029EE"/>
    <w:rsid w:val="00305CC8"/>
    <w:rsid w:val="00307F6D"/>
    <w:rsid w:val="003177A2"/>
    <w:rsid w:val="003256D6"/>
    <w:rsid w:val="003271B5"/>
    <w:rsid w:val="00327A1E"/>
    <w:rsid w:val="00331264"/>
    <w:rsid w:val="00333424"/>
    <w:rsid w:val="00334C8D"/>
    <w:rsid w:val="00343A18"/>
    <w:rsid w:val="003518B3"/>
    <w:rsid w:val="00372EE1"/>
    <w:rsid w:val="003846F1"/>
    <w:rsid w:val="003B484F"/>
    <w:rsid w:val="003C1D88"/>
    <w:rsid w:val="003D4755"/>
    <w:rsid w:val="003F174D"/>
    <w:rsid w:val="004056D2"/>
    <w:rsid w:val="00416849"/>
    <w:rsid w:val="004333BC"/>
    <w:rsid w:val="0045777E"/>
    <w:rsid w:val="00480B4B"/>
    <w:rsid w:val="00485DC4"/>
    <w:rsid w:val="004A43D1"/>
    <w:rsid w:val="004B4412"/>
    <w:rsid w:val="004C348C"/>
    <w:rsid w:val="004C6A29"/>
    <w:rsid w:val="004D55BA"/>
    <w:rsid w:val="004E13AD"/>
    <w:rsid w:val="004E22EC"/>
    <w:rsid w:val="00506DF0"/>
    <w:rsid w:val="00530128"/>
    <w:rsid w:val="00532467"/>
    <w:rsid w:val="00564A4D"/>
    <w:rsid w:val="00567BA5"/>
    <w:rsid w:val="00571B35"/>
    <w:rsid w:val="00571D57"/>
    <w:rsid w:val="00577A09"/>
    <w:rsid w:val="005829C2"/>
    <w:rsid w:val="00584D8F"/>
    <w:rsid w:val="00587D9E"/>
    <w:rsid w:val="005906AC"/>
    <w:rsid w:val="005953FD"/>
    <w:rsid w:val="005A404D"/>
    <w:rsid w:val="005A555D"/>
    <w:rsid w:val="005B1E3C"/>
    <w:rsid w:val="005C26CC"/>
    <w:rsid w:val="005D1E0B"/>
    <w:rsid w:val="005D7BA2"/>
    <w:rsid w:val="005E36C2"/>
    <w:rsid w:val="00615C6B"/>
    <w:rsid w:val="00616865"/>
    <w:rsid w:val="00621DCE"/>
    <w:rsid w:val="00632D6D"/>
    <w:rsid w:val="00642C3E"/>
    <w:rsid w:val="006545ED"/>
    <w:rsid w:val="00656852"/>
    <w:rsid w:val="0066104A"/>
    <w:rsid w:val="006615FD"/>
    <w:rsid w:val="00663DAD"/>
    <w:rsid w:val="00675E20"/>
    <w:rsid w:val="00676679"/>
    <w:rsid w:val="00683C89"/>
    <w:rsid w:val="006A69A6"/>
    <w:rsid w:val="006B2395"/>
    <w:rsid w:val="006B4CF9"/>
    <w:rsid w:val="006B7AC8"/>
    <w:rsid w:val="006C20F7"/>
    <w:rsid w:val="006C6E80"/>
    <w:rsid w:val="006D5079"/>
    <w:rsid w:val="006D550F"/>
    <w:rsid w:val="006D6FA9"/>
    <w:rsid w:val="006E7F97"/>
    <w:rsid w:val="00701CAB"/>
    <w:rsid w:val="00707563"/>
    <w:rsid w:val="0072348C"/>
    <w:rsid w:val="00724A37"/>
    <w:rsid w:val="007303C3"/>
    <w:rsid w:val="007322F8"/>
    <w:rsid w:val="007429BE"/>
    <w:rsid w:val="00743223"/>
    <w:rsid w:val="00746E01"/>
    <w:rsid w:val="0075288C"/>
    <w:rsid w:val="00753B23"/>
    <w:rsid w:val="00757BDF"/>
    <w:rsid w:val="00761E8F"/>
    <w:rsid w:val="007623E4"/>
    <w:rsid w:val="00763E5D"/>
    <w:rsid w:val="00767740"/>
    <w:rsid w:val="00777EE6"/>
    <w:rsid w:val="00782EEA"/>
    <w:rsid w:val="007B2C72"/>
    <w:rsid w:val="007C1C53"/>
    <w:rsid w:val="007C74BB"/>
    <w:rsid w:val="007E4904"/>
    <w:rsid w:val="007E4CB5"/>
    <w:rsid w:val="007F066B"/>
    <w:rsid w:val="007F5034"/>
    <w:rsid w:val="008033C4"/>
    <w:rsid w:val="00806C88"/>
    <w:rsid w:val="0081034E"/>
    <w:rsid w:val="008344F6"/>
    <w:rsid w:val="0083510F"/>
    <w:rsid w:val="00851209"/>
    <w:rsid w:val="00874D66"/>
    <w:rsid w:val="008764B6"/>
    <w:rsid w:val="008837AC"/>
    <w:rsid w:val="00891A81"/>
    <w:rsid w:val="00891C78"/>
    <w:rsid w:val="008A587D"/>
    <w:rsid w:val="008B35CD"/>
    <w:rsid w:val="008B5A80"/>
    <w:rsid w:val="008B5FCC"/>
    <w:rsid w:val="008C5486"/>
    <w:rsid w:val="008D1661"/>
    <w:rsid w:val="008E1FC7"/>
    <w:rsid w:val="008E7031"/>
    <w:rsid w:val="008E77DE"/>
    <w:rsid w:val="008F07A3"/>
    <w:rsid w:val="008F6925"/>
    <w:rsid w:val="00900E1B"/>
    <w:rsid w:val="00903654"/>
    <w:rsid w:val="00920F0B"/>
    <w:rsid w:val="009233EE"/>
    <w:rsid w:val="009362A4"/>
    <w:rsid w:val="009460AA"/>
    <w:rsid w:val="00951978"/>
    <w:rsid w:val="00951F6D"/>
    <w:rsid w:val="00961A4A"/>
    <w:rsid w:val="009661DE"/>
    <w:rsid w:val="00983C25"/>
    <w:rsid w:val="009856B7"/>
    <w:rsid w:val="00985C86"/>
    <w:rsid w:val="009A5FC3"/>
    <w:rsid w:val="009A697B"/>
    <w:rsid w:val="009B74B0"/>
    <w:rsid w:val="009C4C74"/>
    <w:rsid w:val="009C7A52"/>
    <w:rsid w:val="009D1E11"/>
    <w:rsid w:val="009D6B46"/>
    <w:rsid w:val="009D6C48"/>
    <w:rsid w:val="009F3208"/>
    <w:rsid w:val="009F4940"/>
    <w:rsid w:val="009F5BA1"/>
    <w:rsid w:val="00A02A88"/>
    <w:rsid w:val="00A0562E"/>
    <w:rsid w:val="00A0726D"/>
    <w:rsid w:val="00A32FBB"/>
    <w:rsid w:val="00A37117"/>
    <w:rsid w:val="00A428EE"/>
    <w:rsid w:val="00A4478A"/>
    <w:rsid w:val="00A44852"/>
    <w:rsid w:val="00A57D04"/>
    <w:rsid w:val="00A60A26"/>
    <w:rsid w:val="00A61598"/>
    <w:rsid w:val="00A84A99"/>
    <w:rsid w:val="00A84F46"/>
    <w:rsid w:val="00A871F4"/>
    <w:rsid w:val="00AB387A"/>
    <w:rsid w:val="00AC1B2C"/>
    <w:rsid w:val="00AC3264"/>
    <w:rsid w:val="00AE1BF1"/>
    <w:rsid w:val="00AF0DD2"/>
    <w:rsid w:val="00AF5046"/>
    <w:rsid w:val="00AF5E1F"/>
    <w:rsid w:val="00B13048"/>
    <w:rsid w:val="00B1716D"/>
    <w:rsid w:val="00B17A1D"/>
    <w:rsid w:val="00B20539"/>
    <w:rsid w:val="00B207A0"/>
    <w:rsid w:val="00B514DD"/>
    <w:rsid w:val="00B52AF0"/>
    <w:rsid w:val="00B561BD"/>
    <w:rsid w:val="00B56E03"/>
    <w:rsid w:val="00B65798"/>
    <w:rsid w:val="00B8080B"/>
    <w:rsid w:val="00B87BA5"/>
    <w:rsid w:val="00B87C39"/>
    <w:rsid w:val="00BA2E24"/>
    <w:rsid w:val="00BA4665"/>
    <w:rsid w:val="00BB2FB2"/>
    <w:rsid w:val="00BB3304"/>
    <w:rsid w:val="00BD3446"/>
    <w:rsid w:val="00BE1F1B"/>
    <w:rsid w:val="00BE47B5"/>
    <w:rsid w:val="00BE4A55"/>
    <w:rsid w:val="00BE4BDB"/>
    <w:rsid w:val="00C0775B"/>
    <w:rsid w:val="00C25FA6"/>
    <w:rsid w:val="00C359F0"/>
    <w:rsid w:val="00C538A9"/>
    <w:rsid w:val="00C53B5A"/>
    <w:rsid w:val="00C54F5A"/>
    <w:rsid w:val="00C569B4"/>
    <w:rsid w:val="00C67A92"/>
    <w:rsid w:val="00C83946"/>
    <w:rsid w:val="00C86679"/>
    <w:rsid w:val="00C87FE7"/>
    <w:rsid w:val="00CA489E"/>
    <w:rsid w:val="00CA5C7A"/>
    <w:rsid w:val="00CB0279"/>
    <w:rsid w:val="00CB666B"/>
    <w:rsid w:val="00CC7F1D"/>
    <w:rsid w:val="00CD5115"/>
    <w:rsid w:val="00D006AE"/>
    <w:rsid w:val="00D01CF0"/>
    <w:rsid w:val="00D0442A"/>
    <w:rsid w:val="00D059AF"/>
    <w:rsid w:val="00D0608B"/>
    <w:rsid w:val="00D068F8"/>
    <w:rsid w:val="00D22C97"/>
    <w:rsid w:val="00D36AE1"/>
    <w:rsid w:val="00D377F8"/>
    <w:rsid w:val="00D61388"/>
    <w:rsid w:val="00D61A54"/>
    <w:rsid w:val="00D64DEA"/>
    <w:rsid w:val="00D67E40"/>
    <w:rsid w:val="00D7168E"/>
    <w:rsid w:val="00D71E57"/>
    <w:rsid w:val="00D80893"/>
    <w:rsid w:val="00D817C6"/>
    <w:rsid w:val="00D83835"/>
    <w:rsid w:val="00D84854"/>
    <w:rsid w:val="00D8618F"/>
    <w:rsid w:val="00D92CF1"/>
    <w:rsid w:val="00D92D38"/>
    <w:rsid w:val="00D950F5"/>
    <w:rsid w:val="00DA4752"/>
    <w:rsid w:val="00DA61F3"/>
    <w:rsid w:val="00DB0F93"/>
    <w:rsid w:val="00DB1A67"/>
    <w:rsid w:val="00DB5074"/>
    <w:rsid w:val="00DB5BC2"/>
    <w:rsid w:val="00DC7981"/>
    <w:rsid w:val="00DD2B23"/>
    <w:rsid w:val="00DE1093"/>
    <w:rsid w:val="00DE4EFA"/>
    <w:rsid w:val="00DE5520"/>
    <w:rsid w:val="00DE563D"/>
    <w:rsid w:val="00E017F5"/>
    <w:rsid w:val="00E04818"/>
    <w:rsid w:val="00E06442"/>
    <w:rsid w:val="00E23993"/>
    <w:rsid w:val="00E25B8C"/>
    <w:rsid w:val="00E65C85"/>
    <w:rsid w:val="00E66199"/>
    <w:rsid w:val="00E70C4D"/>
    <w:rsid w:val="00E751AA"/>
    <w:rsid w:val="00E755EC"/>
    <w:rsid w:val="00E7624D"/>
    <w:rsid w:val="00EA3D42"/>
    <w:rsid w:val="00EA6B1B"/>
    <w:rsid w:val="00EB6E38"/>
    <w:rsid w:val="00EC3269"/>
    <w:rsid w:val="00EC46C1"/>
    <w:rsid w:val="00ED7323"/>
    <w:rsid w:val="00EE28F3"/>
    <w:rsid w:val="00EF5110"/>
    <w:rsid w:val="00F10411"/>
    <w:rsid w:val="00F15882"/>
    <w:rsid w:val="00F171E0"/>
    <w:rsid w:val="00F20BD3"/>
    <w:rsid w:val="00F33033"/>
    <w:rsid w:val="00F373A5"/>
    <w:rsid w:val="00F47559"/>
    <w:rsid w:val="00F50889"/>
    <w:rsid w:val="00F61481"/>
    <w:rsid w:val="00F64C7B"/>
    <w:rsid w:val="00F676DD"/>
    <w:rsid w:val="00F75A26"/>
    <w:rsid w:val="00F76706"/>
    <w:rsid w:val="00F83FAD"/>
    <w:rsid w:val="00F92C3A"/>
    <w:rsid w:val="00F952A0"/>
    <w:rsid w:val="00FA3C7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F293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1F293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68367024">
      <w:bodyDiv w:val="1"/>
      <w:marLeft w:val="0"/>
      <w:marRight w:val="0"/>
      <w:marTop w:val="0"/>
      <w:marBottom w:val="0"/>
      <w:divBdr>
        <w:top w:val="none" w:sz="0" w:space="0" w:color="auto"/>
        <w:left w:val="none" w:sz="0" w:space="0" w:color="auto"/>
        <w:bottom w:val="none" w:sz="0" w:space="0" w:color="auto"/>
        <w:right w:val="none" w:sz="0" w:space="0" w:color="auto"/>
      </w:divBdr>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energymadeeasy.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nergymadeeasy.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18</Pages>
  <Words>3968</Words>
  <Characters>22620</Characters>
  <Application>Microsoft Office Word</Application>
  <DocSecurity>4</DocSecurity>
  <Lines>188</Lines>
  <Paragraphs>53</Paragraphs>
  <ScaleCrop>false</ScaleCrop>
  <LinksUpToDate>false</LinksUpToDate>
  <CharactersWithSpaces>26535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2015-04-27T08:14:00Z</dcterms:created>
  <dcterms:modified xsi:type="dcterms:W3CDTF">2015-04-27T08:14:00Z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