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displacedByCustomXml="next"/>
    <w:bookmarkEnd w:id="0" w:displacedByCustomXml="next"/>
    <w:sdt>
      <w:sdtPr>
        <w:rPr>
          <w:rFonts w:eastAsiaTheme="majorEastAsia" w:cstheme="majorBidi"/>
          <w:noProof/>
          <w:sz w:val="36"/>
          <w:szCs w:val="36"/>
          <w:lang w:eastAsia="en-AU"/>
        </w:rPr>
        <w:id w:val="1021519724"/>
        <w:docPartObj>
          <w:docPartGallery w:val="Cover Pages"/>
          <w:docPartUnique/>
        </w:docPartObj>
      </w:sdtPr>
      <w:sdtEndPr/>
      <w:sdtContent>
        <w:p w:rsidR="000A6C7B" w:rsidRPr="00290C63" w:rsidRDefault="000A6C7B" w:rsidP="00290C63">
          <w:r w:rsidRPr="00290C63">
            <w:rPr>
              <w:noProof/>
              <w:lang w:eastAsia="en-AU"/>
            </w:rPr>
            <w:drawing>
              <wp:anchor distT="0" distB="0" distL="114300" distR="114300" simplePos="0" relativeHeight="251659264" behindDoc="1" locked="0" layoutInCell="1" allowOverlap="1" wp14:anchorId="01C39141" wp14:editId="46A80C8E">
                <wp:simplePos x="0" y="0"/>
                <wp:positionH relativeFrom="column">
                  <wp:posOffset>-1104900</wp:posOffset>
                </wp:positionH>
                <wp:positionV relativeFrom="paragraph">
                  <wp:posOffset>-927735</wp:posOffset>
                </wp:positionV>
                <wp:extent cx="7591425" cy="10728960"/>
                <wp:effectExtent l="0" t="0" r="9525" b="0"/>
                <wp:wrapNone/>
                <wp:docPr id="2" name="Picture 2" descr="Australian Energy Regulator Report 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ER report front cover_D0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591425" cy="10728960"/>
                        </a:xfrm>
                        <a:prstGeom prst="rect">
                          <a:avLst/>
                        </a:prstGeom>
                        <a:noFill/>
                      </pic:spPr>
                    </pic:pic>
                  </a:graphicData>
                </a:graphic>
                <wp14:sizeRelH relativeFrom="page">
                  <wp14:pctWidth>0</wp14:pctWidth>
                </wp14:sizeRelH>
                <wp14:sizeRelV relativeFrom="page">
                  <wp14:pctHeight>0</wp14:pctHeight>
                </wp14:sizeRelV>
              </wp:anchor>
            </w:drawing>
          </w:r>
        </w:p>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327A1E" w:rsidRDefault="00DA4752" w:rsidP="008F07A3">
          <w:pPr>
            <w:pStyle w:val="ReportSubtitle"/>
          </w:pPr>
          <w:r>
            <w:t>PRELIMINARY DECISION</w:t>
          </w:r>
        </w:p>
        <w:p w:rsidR="000A6C7B" w:rsidRDefault="00675E20" w:rsidP="008F07A3">
          <w:pPr>
            <w:pStyle w:val="ReportSubtitle"/>
          </w:pPr>
          <w:r>
            <w:t>SA Power Networks</w:t>
          </w:r>
          <w:r w:rsidR="00DA4752">
            <w:t xml:space="preserve"> determination 2015</w:t>
          </w:r>
          <w:r w:rsidR="00DA4752">
            <w:rPr>
              <w:rFonts w:cs="Arial"/>
            </w:rPr>
            <w:t>−</w:t>
          </w:r>
          <w:r w:rsidR="00DA4752">
            <w:t>16 to 2019</w:t>
          </w:r>
          <w:r w:rsidR="00DA4752">
            <w:rPr>
              <w:rFonts w:cs="Arial"/>
            </w:rPr>
            <w:t>−</w:t>
          </w:r>
          <w:r w:rsidR="00DA4752">
            <w:t>20</w:t>
          </w:r>
        </w:p>
        <w:p w:rsidR="008F07A3" w:rsidRPr="000A6C7B" w:rsidRDefault="008F07A3" w:rsidP="008F07A3">
          <w:pPr>
            <w:pStyle w:val="ReportSubtitle"/>
          </w:pPr>
        </w:p>
        <w:p w:rsidR="000A6C7B" w:rsidRPr="000A6C7B" w:rsidRDefault="00DA4752" w:rsidP="008F07A3">
          <w:pPr>
            <w:pStyle w:val="ReportSubtitle"/>
          </w:pPr>
          <w:r>
            <w:t>Attachment 1</w:t>
          </w:r>
          <w:r w:rsidR="007E5F5D">
            <w:t>5</w:t>
          </w:r>
          <w:r>
            <w:t xml:space="preserve"> </w:t>
          </w:r>
          <w:r>
            <w:rPr>
              <w:rFonts w:cs="Arial"/>
            </w:rPr>
            <w:t>−</w:t>
          </w:r>
          <w:r>
            <w:t xml:space="preserve"> </w:t>
          </w:r>
          <w:r w:rsidR="007E5F5D">
            <w:t>Pass through events</w:t>
          </w:r>
        </w:p>
        <w:p w:rsidR="000A6C7B" w:rsidRPr="00327A1E" w:rsidRDefault="00DA4752" w:rsidP="00327A1E">
          <w:pPr>
            <w:pStyle w:val="ReportDate"/>
          </w:pPr>
          <w:r>
            <w:t>April 2015</w:t>
          </w:r>
        </w:p>
      </w:sdtContent>
    </w:sdt>
    <w:p w:rsidR="00327A1E" w:rsidRPr="00290C63" w:rsidRDefault="00327A1E" w:rsidP="00290C63">
      <w:r>
        <w:br w:type="page"/>
      </w:r>
    </w:p>
    <w:p w:rsidR="000A6C7B" w:rsidRDefault="008F07A3" w:rsidP="00961A4A">
      <w:pPr>
        <w:pStyle w:val="Copyright"/>
      </w:pPr>
      <w:r>
        <w:lastRenderedPageBreak/>
        <w:t>© Commonwealth of Australia 2015</w:t>
      </w:r>
    </w:p>
    <w:p w:rsidR="000A6C7B" w:rsidRDefault="000A6C7B" w:rsidP="000A6C7B">
      <w:pPr>
        <w:pStyle w:val="Copyright"/>
      </w:pPr>
      <w:r>
        <w:t>This work is copyright. In addition to any use permitted under the Copyright Act 1968, all material contained within this work is provided under a Creative Commons Attributions 3.0 Australia licence, with the exception of:</w:t>
      </w:r>
    </w:p>
    <w:p w:rsidR="000A6C7B" w:rsidRPr="00983C25" w:rsidRDefault="000A6C7B" w:rsidP="00983C25">
      <w:pPr>
        <w:pStyle w:val="AERbulletlistfirststyle"/>
        <w:rPr>
          <w:sz w:val="20"/>
          <w:szCs w:val="20"/>
        </w:rPr>
      </w:pPr>
      <w:r>
        <w:t xml:space="preserve">the </w:t>
      </w:r>
      <w:r w:rsidRPr="00983C25">
        <w:rPr>
          <w:sz w:val="20"/>
          <w:szCs w:val="20"/>
        </w:rPr>
        <w:t>Commonwealth Coat of Arms</w:t>
      </w:r>
    </w:p>
    <w:p w:rsidR="000A6C7B" w:rsidRPr="00983C25" w:rsidRDefault="000A6C7B" w:rsidP="00983C25">
      <w:pPr>
        <w:pStyle w:val="AERbulletlistfirststyle"/>
        <w:rPr>
          <w:sz w:val="20"/>
          <w:szCs w:val="20"/>
        </w:rPr>
      </w:pPr>
      <w:r w:rsidRPr="00983C25">
        <w:rPr>
          <w:sz w:val="20"/>
          <w:szCs w:val="20"/>
        </w:rPr>
        <w:t>the ACCC and AER logos</w:t>
      </w:r>
    </w:p>
    <w:p w:rsidR="000A6C7B" w:rsidRPr="00983C25" w:rsidRDefault="000A6C7B" w:rsidP="00983C25">
      <w:pPr>
        <w:pStyle w:val="AERbulletlistfirststyle"/>
        <w:rPr>
          <w:sz w:val="20"/>
        </w:rPr>
      </w:pPr>
      <w:r w:rsidRPr="00983C25">
        <w:rPr>
          <w:sz w:val="20"/>
        </w:rPr>
        <w:t>any illustration, diagram, photograph or graphic over which the Australian Competition and Consumer Commission does not hold copyright, but which may be part of or contained within this publication. The details of the relevant licence conditions are available on the Creative Commons website, as is the full legal code for the CC BY 3.0 AU licence.</w:t>
      </w:r>
    </w:p>
    <w:p w:rsidR="000A6C7B" w:rsidRDefault="000A6C7B" w:rsidP="000A6C7B">
      <w:pPr>
        <w:pStyle w:val="Copyright"/>
      </w:pPr>
      <w:r>
        <w:t>Requests and inquiries concerning reproduction and rights should be addressed to the Director, Corporate Communications,</w:t>
      </w:r>
      <w:r w:rsidR="00983C25">
        <w:br/>
      </w:r>
      <w:r>
        <w:t xml:space="preserve">Australian Competition and Consumer Commission, </w:t>
      </w:r>
      <w:r w:rsidR="00983C25">
        <w:br/>
      </w:r>
      <w:r>
        <w:t>GPO Box 4141, Canberra ACT 2601</w:t>
      </w:r>
      <w:r w:rsidR="00983C25">
        <w:br/>
      </w:r>
      <w:r>
        <w:t>or publishing.unit@accc.gov.au.</w:t>
      </w:r>
    </w:p>
    <w:p w:rsidR="00951978" w:rsidRDefault="000A6C7B" w:rsidP="00961A4A">
      <w:pPr>
        <w:pStyle w:val="Copyright"/>
      </w:pPr>
      <w:r>
        <w:t>Inquiries about this publication should be addressed to:</w:t>
      </w:r>
    </w:p>
    <w:p w:rsidR="000A6C7B" w:rsidRDefault="000A6C7B" w:rsidP="000A6C7B">
      <w:pPr>
        <w:pStyle w:val="Copyright"/>
      </w:pPr>
      <w:r>
        <w:t xml:space="preserve">Australian Energy </w:t>
      </w:r>
      <w:r w:rsidRPr="00F171E0">
        <w:t>Regulator</w:t>
      </w:r>
      <w:r w:rsidR="00951978">
        <w:br/>
      </w:r>
      <w:r>
        <w:t>GPO Box 520</w:t>
      </w:r>
      <w:r w:rsidR="00951978">
        <w:br/>
      </w:r>
      <w:r>
        <w:t>Melbourne  Vic  3001</w:t>
      </w:r>
    </w:p>
    <w:p w:rsidR="000A6C7B" w:rsidRDefault="000A6C7B" w:rsidP="00961A4A">
      <w:pPr>
        <w:pStyle w:val="Copyright"/>
      </w:pPr>
      <w:r>
        <w:t>Tel: (03) 9290 1444</w:t>
      </w:r>
      <w:r w:rsidR="00951978">
        <w:br/>
      </w:r>
      <w:r>
        <w:t>Fax: (03) 9290 1457</w:t>
      </w:r>
    </w:p>
    <w:p w:rsidR="005D7BA2" w:rsidRPr="00D448B6" w:rsidRDefault="000A6C7B" w:rsidP="008F07A3">
      <w:pPr>
        <w:pStyle w:val="Copyright"/>
      </w:pPr>
      <w:r>
        <w:t xml:space="preserve">Email: </w:t>
      </w:r>
      <w:hyperlink r:id="rId10" w:history="1">
        <w:r w:rsidRPr="00D64888">
          <w:rPr>
            <w:rStyle w:val="Hyperlink"/>
          </w:rPr>
          <w:t>AERInquiry@aer.gov.au</w:t>
        </w:r>
      </w:hyperlink>
      <w:r w:rsidR="00951978">
        <w:rPr>
          <w:rStyle w:val="Hyperlink"/>
        </w:rPr>
        <w:br/>
      </w:r>
    </w:p>
    <w:p w:rsidR="008F07A3" w:rsidRDefault="00C82CD7" w:rsidP="00630376">
      <w:pPr>
        <w:pStyle w:val="Copyright"/>
      </w:pPr>
      <w:r>
        <w:t>AER reference:</w:t>
      </w:r>
    </w:p>
    <w:p w:rsidR="007E5F5D" w:rsidRDefault="007E5F5D">
      <w:pPr>
        <w:spacing w:line="240" w:lineRule="auto"/>
      </w:pPr>
      <w:bookmarkStart w:id="1" w:name="_Toc404354899"/>
      <w:bookmarkStart w:id="2" w:name="_Toc404353070"/>
      <w:bookmarkStart w:id="3" w:name="_Toc404684201"/>
      <w:bookmarkStart w:id="4" w:name="_Toc404700923"/>
      <w:r>
        <w:rPr>
          <w:b/>
          <w:bCs/>
        </w:rPr>
        <w:br w:type="page"/>
      </w:r>
    </w:p>
    <w:p w:rsidR="008F07A3" w:rsidRDefault="00DA61F3" w:rsidP="008F07A3">
      <w:pPr>
        <w:pStyle w:val="UnnumberedHeading"/>
        <w:numPr>
          <w:ilvl w:val="0"/>
          <w:numId w:val="24"/>
        </w:numPr>
      </w:pPr>
      <w:bookmarkStart w:id="5" w:name="_Toc417658671"/>
      <w:r>
        <w:lastRenderedPageBreak/>
        <w:t>N</w:t>
      </w:r>
      <w:r w:rsidR="008F07A3">
        <w:t>ote</w:t>
      </w:r>
      <w:bookmarkEnd w:id="1"/>
      <w:bookmarkEnd w:id="2"/>
      <w:bookmarkEnd w:id="3"/>
      <w:bookmarkEnd w:id="4"/>
      <w:bookmarkEnd w:id="5"/>
    </w:p>
    <w:p w:rsidR="008F07A3" w:rsidRDefault="008F07A3" w:rsidP="008F07A3">
      <w:pPr>
        <w:numPr>
          <w:ilvl w:val="0"/>
          <w:numId w:val="25"/>
        </w:numPr>
      </w:pPr>
      <w:r>
        <w:t xml:space="preserve">This attachment forms part of the AER's preliminary decision on </w:t>
      </w:r>
      <w:r w:rsidR="00DA61F3">
        <w:t>SA Power Networks'</w:t>
      </w:r>
      <w:r>
        <w:t xml:space="preserve"> 2015–20 distribution determination. It should be read with </w:t>
      </w:r>
      <w:r w:rsidR="00603935">
        <w:t xml:space="preserve">all </w:t>
      </w:r>
      <w:r>
        <w:t>other parts of the preliminary decision.</w:t>
      </w:r>
    </w:p>
    <w:p w:rsidR="008F07A3" w:rsidRDefault="008F07A3" w:rsidP="008F07A3">
      <w:pPr>
        <w:numPr>
          <w:ilvl w:val="0"/>
          <w:numId w:val="25"/>
        </w:numPr>
      </w:pPr>
      <w:r>
        <w:t>The preliminary decision includes the following documents:</w:t>
      </w:r>
    </w:p>
    <w:p w:rsidR="008F07A3" w:rsidRDefault="008F07A3" w:rsidP="008F07A3">
      <w:pPr>
        <w:numPr>
          <w:ilvl w:val="0"/>
          <w:numId w:val="25"/>
        </w:numPr>
      </w:pPr>
      <w:r>
        <w:t>Overview</w:t>
      </w:r>
    </w:p>
    <w:p w:rsidR="008F07A3" w:rsidRDefault="008F07A3" w:rsidP="008F07A3">
      <w:pPr>
        <w:numPr>
          <w:ilvl w:val="0"/>
          <w:numId w:val="25"/>
        </w:numPr>
      </w:pPr>
      <w:r>
        <w:t>Attachment 1 – Annual revenue requirement</w:t>
      </w:r>
    </w:p>
    <w:p w:rsidR="008F07A3" w:rsidRDefault="008F07A3" w:rsidP="008F07A3">
      <w:pPr>
        <w:numPr>
          <w:ilvl w:val="0"/>
          <w:numId w:val="25"/>
        </w:numPr>
      </w:pPr>
      <w:r>
        <w:t>Attachment 2 – Regulatory asset base</w:t>
      </w:r>
    </w:p>
    <w:p w:rsidR="008F07A3" w:rsidRDefault="008F07A3" w:rsidP="008F07A3">
      <w:pPr>
        <w:numPr>
          <w:ilvl w:val="0"/>
          <w:numId w:val="25"/>
        </w:numPr>
      </w:pPr>
      <w:r>
        <w:t>Attachment 3 – Rate of return</w:t>
      </w:r>
    </w:p>
    <w:p w:rsidR="008F07A3" w:rsidRDefault="008F07A3" w:rsidP="008F07A3">
      <w:pPr>
        <w:numPr>
          <w:ilvl w:val="0"/>
          <w:numId w:val="25"/>
        </w:numPr>
      </w:pPr>
      <w:r>
        <w:t>Attachment 4 – Value of imputation credits</w:t>
      </w:r>
    </w:p>
    <w:p w:rsidR="008F07A3" w:rsidRDefault="008F07A3" w:rsidP="008F07A3">
      <w:pPr>
        <w:numPr>
          <w:ilvl w:val="0"/>
          <w:numId w:val="25"/>
        </w:numPr>
      </w:pPr>
      <w:r>
        <w:t>Attachment 5 – Regulatory depreciation</w:t>
      </w:r>
    </w:p>
    <w:p w:rsidR="008F07A3" w:rsidRDefault="008F07A3" w:rsidP="008F07A3">
      <w:pPr>
        <w:numPr>
          <w:ilvl w:val="0"/>
          <w:numId w:val="25"/>
        </w:numPr>
      </w:pPr>
      <w:r>
        <w:t xml:space="preserve">Attachment 6 – Capital expenditure </w:t>
      </w:r>
    </w:p>
    <w:p w:rsidR="008F07A3" w:rsidRDefault="008F07A3" w:rsidP="008F07A3">
      <w:pPr>
        <w:numPr>
          <w:ilvl w:val="0"/>
          <w:numId w:val="25"/>
        </w:numPr>
      </w:pPr>
      <w:r>
        <w:t>Attachment 7 – Operating expenditure</w:t>
      </w:r>
    </w:p>
    <w:p w:rsidR="008F07A3" w:rsidRDefault="008F07A3" w:rsidP="008F07A3">
      <w:pPr>
        <w:numPr>
          <w:ilvl w:val="0"/>
          <w:numId w:val="25"/>
        </w:numPr>
      </w:pPr>
      <w:r>
        <w:t>Attachment 8 – Corporate income tax</w:t>
      </w:r>
    </w:p>
    <w:p w:rsidR="008F07A3" w:rsidRDefault="008F07A3" w:rsidP="008F07A3">
      <w:pPr>
        <w:numPr>
          <w:ilvl w:val="0"/>
          <w:numId w:val="25"/>
        </w:numPr>
      </w:pPr>
      <w:r>
        <w:t>Attachment 9 – Efficiency benefit sharing scheme</w:t>
      </w:r>
    </w:p>
    <w:p w:rsidR="008F07A3" w:rsidRDefault="008F07A3" w:rsidP="008F07A3">
      <w:pPr>
        <w:numPr>
          <w:ilvl w:val="0"/>
          <w:numId w:val="25"/>
        </w:numPr>
      </w:pPr>
      <w:r>
        <w:t>Attachment 10 – Capital expenditure sharing scheme</w:t>
      </w:r>
    </w:p>
    <w:p w:rsidR="008F07A3" w:rsidRDefault="008F07A3" w:rsidP="008F07A3">
      <w:pPr>
        <w:numPr>
          <w:ilvl w:val="0"/>
          <w:numId w:val="25"/>
        </w:numPr>
      </w:pPr>
      <w:r>
        <w:t>Attachment 11 – Service target performance incentive scheme</w:t>
      </w:r>
    </w:p>
    <w:p w:rsidR="008F07A3" w:rsidRDefault="008F07A3" w:rsidP="008F07A3">
      <w:pPr>
        <w:numPr>
          <w:ilvl w:val="0"/>
          <w:numId w:val="25"/>
        </w:numPr>
      </w:pPr>
      <w:r>
        <w:t>Attachment 12 – Demand management incentive scheme</w:t>
      </w:r>
    </w:p>
    <w:p w:rsidR="008F07A3" w:rsidRDefault="008F07A3" w:rsidP="008F07A3">
      <w:pPr>
        <w:numPr>
          <w:ilvl w:val="0"/>
          <w:numId w:val="25"/>
        </w:numPr>
      </w:pPr>
      <w:r>
        <w:t>Attachment 13 – Classification of services</w:t>
      </w:r>
    </w:p>
    <w:p w:rsidR="008F07A3" w:rsidRDefault="008F07A3" w:rsidP="008F07A3">
      <w:pPr>
        <w:numPr>
          <w:ilvl w:val="0"/>
          <w:numId w:val="25"/>
        </w:numPr>
      </w:pPr>
      <w:r>
        <w:t>Attachment 14 – Control mechanism</w:t>
      </w:r>
    </w:p>
    <w:p w:rsidR="008F07A3" w:rsidRDefault="008F07A3" w:rsidP="008F07A3">
      <w:pPr>
        <w:numPr>
          <w:ilvl w:val="0"/>
          <w:numId w:val="25"/>
        </w:numPr>
      </w:pPr>
      <w:r>
        <w:t>Attachment 15 – Pass through events</w:t>
      </w:r>
    </w:p>
    <w:p w:rsidR="008F07A3" w:rsidRDefault="008F07A3" w:rsidP="008F07A3">
      <w:pPr>
        <w:numPr>
          <w:ilvl w:val="0"/>
          <w:numId w:val="25"/>
        </w:numPr>
      </w:pPr>
      <w:r>
        <w:t>Attachment 16 – Alternative control services</w:t>
      </w:r>
    </w:p>
    <w:p w:rsidR="008F07A3" w:rsidRDefault="008F07A3" w:rsidP="008F07A3">
      <w:pPr>
        <w:numPr>
          <w:ilvl w:val="0"/>
          <w:numId w:val="25"/>
        </w:numPr>
      </w:pPr>
      <w:r>
        <w:t>Attachment 17 – Negotiated services framework and criteria</w:t>
      </w:r>
    </w:p>
    <w:p w:rsidR="008F07A3" w:rsidRPr="008B6C33" w:rsidRDefault="008F07A3" w:rsidP="008F07A3">
      <w:pPr>
        <w:numPr>
          <w:ilvl w:val="0"/>
          <w:numId w:val="25"/>
        </w:numPr>
      </w:pPr>
      <w:r>
        <w:t xml:space="preserve">Attachment 18 – Connection </w:t>
      </w:r>
      <w:r w:rsidR="004E080E" w:rsidRPr="004E080E">
        <w:t>policy</w:t>
      </w:r>
    </w:p>
    <w:p w:rsidR="008F07A3" w:rsidRPr="008F07A3" w:rsidRDefault="008F07A3" w:rsidP="008F07A3">
      <w:pPr>
        <w:sectPr w:rsidR="008F07A3" w:rsidRPr="008F07A3" w:rsidSect="00DE563D">
          <w:footerReference w:type="even" r:id="rId11"/>
          <w:footerReference w:type="default" r:id="rId12"/>
          <w:footerReference w:type="first" r:id="rId13"/>
          <w:pgSz w:w="11906" w:h="16838" w:code="9"/>
          <w:pgMar w:top="1440" w:right="1700" w:bottom="1582" w:left="1729" w:header="720" w:footer="0" w:gutter="0"/>
          <w:pgNumType w:start="0"/>
          <w:cols w:space="720"/>
          <w:docGrid w:linePitch="326"/>
        </w:sectPr>
      </w:pPr>
    </w:p>
    <w:p w:rsidR="00DE563D" w:rsidRPr="00A72B34" w:rsidRDefault="00DE563D" w:rsidP="00DE563D">
      <w:pPr>
        <w:pStyle w:val="UnnumberedHeading"/>
        <w:numPr>
          <w:ilvl w:val="0"/>
          <w:numId w:val="24"/>
        </w:numPr>
      </w:pPr>
      <w:bookmarkStart w:id="6" w:name="_Toc403144133"/>
      <w:bookmarkStart w:id="7" w:name="_Toc417658672"/>
      <w:r>
        <w:lastRenderedPageBreak/>
        <w:t>Contents</w:t>
      </w:r>
      <w:bookmarkEnd w:id="6"/>
      <w:bookmarkEnd w:id="7"/>
    </w:p>
    <w:p w:rsidR="005D7BA2" w:rsidRDefault="005D7BA2">
      <w:pPr>
        <w:spacing w:line="240" w:lineRule="auto"/>
      </w:pPr>
    </w:p>
    <w:sdt>
      <w:sdtPr>
        <w:rPr>
          <w:b w:val="0"/>
          <w:noProof w:val="0"/>
          <w:color w:val="auto"/>
          <w:sz w:val="22"/>
          <w:lang w:val="en-AU" w:eastAsia="en-US"/>
        </w:rPr>
        <w:id w:val="1269200322"/>
        <w:docPartObj>
          <w:docPartGallery w:val="Table of Contents"/>
          <w:docPartUnique/>
        </w:docPartObj>
      </w:sdtPr>
      <w:sdtEndPr/>
      <w:sdtContent>
        <w:p w:rsidR="00261D78" w:rsidRDefault="00DE563D">
          <w:pPr>
            <w:pStyle w:val="TOC1"/>
            <w:rPr>
              <w:rFonts w:asciiTheme="minorHAnsi" w:eastAsiaTheme="minorEastAsia" w:hAnsiTheme="minorHAnsi"/>
              <w:b w:val="0"/>
              <w:color w:val="auto"/>
              <w:sz w:val="22"/>
              <w:lang w:val="en-AU" w:eastAsia="en-AU"/>
            </w:rPr>
          </w:pPr>
          <w:r>
            <w:rPr>
              <w:color w:val="auto"/>
              <w:sz w:val="22"/>
            </w:rPr>
            <w:fldChar w:fldCharType="begin"/>
          </w:r>
          <w:r>
            <w:instrText xml:space="preserve"> TOC \o \h \z \u </w:instrText>
          </w:r>
          <w:r>
            <w:rPr>
              <w:color w:val="auto"/>
              <w:sz w:val="22"/>
            </w:rPr>
            <w:fldChar w:fldCharType="separate"/>
          </w:r>
          <w:hyperlink w:anchor="_Toc417658671" w:history="1">
            <w:r w:rsidR="00261D78" w:rsidRPr="00D775AD">
              <w:rPr>
                <w:rStyle w:val="Hyperlink"/>
              </w:rPr>
              <w:t>Note</w:t>
            </w:r>
            <w:r w:rsidR="00261D78">
              <w:rPr>
                <w:webHidden/>
              </w:rPr>
              <w:tab/>
            </w:r>
            <w:r w:rsidR="00603935">
              <w:rPr>
                <w:webHidden/>
              </w:rPr>
              <w:t>15-</w:t>
            </w:r>
            <w:r w:rsidR="00261D78">
              <w:rPr>
                <w:webHidden/>
              </w:rPr>
              <w:fldChar w:fldCharType="begin"/>
            </w:r>
            <w:r w:rsidR="00261D78">
              <w:rPr>
                <w:webHidden/>
              </w:rPr>
              <w:instrText xml:space="preserve"> PAGEREF _Toc417658671 \h </w:instrText>
            </w:r>
            <w:r w:rsidR="00261D78">
              <w:rPr>
                <w:webHidden/>
              </w:rPr>
            </w:r>
            <w:r w:rsidR="00261D78">
              <w:rPr>
                <w:webHidden/>
              </w:rPr>
              <w:fldChar w:fldCharType="separate"/>
            </w:r>
            <w:r w:rsidR="00261D78">
              <w:rPr>
                <w:webHidden/>
              </w:rPr>
              <w:t>2</w:t>
            </w:r>
            <w:r w:rsidR="00261D78">
              <w:rPr>
                <w:webHidden/>
              </w:rPr>
              <w:fldChar w:fldCharType="end"/>
            </w:r>
          </w:hyperlink>
        </w:p>
        <w:p w:rsidR="00261D78" w:rsidRDefault="002E0F86">
          <w:pPr>
            <w:pStyle w:val="TOC1"/>
            <w:rPr>
              <w:rFonts w:asciiTheme="minorHAnsi" w:eastAsiaTheme="minorEastAsia" w:hAnsiTheme="minorHAnsi"/>
              <w:b w:val="0"/>
              <w:color w:val="auto"/>
              <w:sz w:val="22"/>
              <w:lang w:val="en-AU" w:eastAsia="en-AU"/>
            </w:rPr>
          </w:pPr>
          <w:hyperlink w:anchor="_Toc417658672" w:history="1">
            <w:r w:rsidR="00261D78" w:rsidRPr="00D775AD">
              <w:rPr>
                <w:rStyle w:val="Hyperlink"/>
              </w:rPr>
              <w:t>Contents</w:t>
            </w:r>
            <w:r w:rsidR="00261D78">
              <w:rPr>
                <w:webHidden/>
              </w:rPr>
              <w:tab/>
            </w:r>
            <w:r w:rsidR="00603935">
              <w:rPr>
                <w:webHidden/>
              </w:rPr>
              <w:t>15-</w:t>
            </w:r>
            <w:r w:rsidR="00261D78">
              <w:rPr>
                <w:webHidden/>
              </w:rPr>
              <w:fldChar w:fldCharType="begin"/>
            </w:r>
            <w:r w:rsidR="00261D78">
              <w:rPr>
                <w:webHidden/>
              </w:rPr>
              <w:instrText xml:space="preserve"> PAGEREF _Toc417658672 \h </w:instrText>
            </w:r>
            <w:r w:rsidR="00261D78">
              <w:rPr>
                <w:webHidden/>
              </w:rPr>
            </w:r>
            <w:r w:rsidR="00261D78">
              <w:rPr>
                <w:webHidden/>
              </w:rPr>
              <w:fldChar w:fldCharType="separate"/>
            </w:r>
            <w:r w:rsidR="00261D78">
              <w:rPr>
                <w:webHidden/>
              </w:rPr>
              <w:t>3</w:t>
            </w:r>
            <w:r w:rsidR="00261D78">
              <w:rPr>
                <w:webHidden/>
              </w:rPr>
              <w:fldChar w:fldCharType="end"/>
            </w:r>
          </w:hyperlink>
        </w:p>
        <w:p w:rsidR="00261D78" w:rsidRDefault="002E0F86">
          <w:pPr>
            <w:pStyle w:val="TOC1"/>
            <w:rPr>
              <w:rFonts w:asciiTheme="minorHAnsi" w:eastAsiaTheme="minorEastAsia" w:hAnsiTheme="minorHAnsi"/>
              <w:b w:val="0"/>
              <w:color w:val="auto"/>
              <w:sz w:val="22"/>
              <w:lang w:val="en-AU" w:eastAsia="en-AU"/>
            </w:rPr>
          </w:pPr>
          <w:hyperlink w:anchor="_Toc417658673" w:history="1">
            <w:r w:rsidR="00261D78" w:rsidRPr="00D775AD">
              <w:rPr>
                <w:rStyle w:val="Hyperlink"/>
              </w:rPr>
              <w:t>Shortened forms</w:t>
            </w:r>
            <w:r w:rsidR="00261D78">
              <w:rPr>
                <w:webHidden/>
              </w:rPr>
              <w:tab/>
            </w:r>
            <w:r w:rsidR="00603935">
              <w:rPr>
                <w:webHidden/>
              </w:rPr>
              <w:t>15-</w:t>
            </w:r>
            <w:r w:rsidR="00261D78">
              <w:rPr>
                <w:webHidden/>
              </w:rPr>
              <w:fldChar w:fldCharType="begin"/>
            </w:r>
            <w:r w:rsidR="00261D78">
              <w:rPr>
                <w:webHidden/>
              </w:rPr>
              <w:instrText xml:space="preserve"> PAGEREF _Toc417658673 \h </w:instrText>
            </w:r>
            <w:r w:rsidR="00261D78">
              <w:rPr>
                <w:webHidden/>
              </w:rPr>
            </w:r>
            <w:r w:rsidR="00261D78">
              <w:rPr>
                <w:webHidden/>
              </w:rPr>
              <w:fldChar w:fldCharType="separate"/>
            </w:r>
            <w:r w:rsidR="00261D78">
              <w:rPr>
                <w:webHidden/>
              </w:rPr>
              <w:t>4</w:t>
            </w:r>
            <w:r w:rsidR="00261D78">
              <w:rPr>
                <w:webHidden/>
              </w:rPr>
              <w:fldChar w:fldCharType="end"/>
            </w:r>
          </w:hyperlink>
        </w:p>
        <w:p w:rsidR="00261D78" w:rsidRDefault="002E0F86">
          <w:pPr>
            <w:pStyle w:val="TOC1"/>
            <w:rPr>
              <w:rFonts w:asciiTheme="minorHAnsi" w:eastAsiaTheme="minorEastAsia" w:hAnsiTheme="minorHAnsi"/>
              <w:b w:val="0"/>
              <w:color w:val="auto"/>
              <w:sz w:val="22"/>
              <w:lang w:val="en-AU" w:eastAsia="en-AU"/>
            </w:rPr>
          </w:pPr>
          <w:hyperlink w:anchor="_Toc417658674" w:history="1">
            <w:r w:rsidR="00261D78" w:rsidRPr="00D775AD">
              <w:rPr>
                <w:rStyle w:val="Hyperlink"/>
              </w:rPr>
              <w:t>15</w:t>
            </w:r>
            <w:r w:rsidR="00261D78">
              <w:rPr>
                <w:rFonts w:asciiTheme="minorHAnsi" w:eastAsiaTheme="minorEastAsia" w:hAnsiTheme="minorHAnsi"/>
                <w:b w:val="0"/>
                <w:color w:val="auto"/>
                <w:sz w:val="22"/>
                <w:lang w:val="en-AU" w:eastAsia="en-AU"/>
              </w:rPr>
              <w:tab/>
            </w:r>
            <w:r w:rsidR="00261D78" w:rsidRPr="00D775AD">
              <w:rPr>
                <w:rStyle w:val="Hyperlink"/>
              </w:rPr>
              <w:t>Pass through events</w:t>
            </w:r>
            <w:r w:rsidR="00261D78">
              <w:rPr>
                <w:webHidden/>
              </w:rPr>
              <w:tab/>
            </w:r>
            <w:r w:rsidR="00603935">
              <w:rPr>
                <w:webHidden/>
              </w:rPr>
              <w:t>15-</w:t>
            </w:r>
            <w:r w:rsidR="00261D78">
              <w:rPr>
                <w:webHidden/>
              </w:rPr>
              <w:fldChar w:fldCharType="begin"/>
            </w:r>
            <w:r w:rsidR="00261D78">
              <w:rPr>
                <w:webHidden/>
              </w:rPr>
              <w:instrText xml:space="preserve"> PAGEREF _Toc417658674 \h </w:instrText>
            </w:r>
            <w:r w:rsidR="00261D78">
              <w:rPr>
                <w:webHidden/>
              </w:rPr>
            </w:r>
            <w:r w:rsidR="00261D78">
              <w:rPr>
                <w:webHidden/>
              </w:rPr>
              <w:fldChar w:fldCharType="separate"/>
            </w:r>
            <w:r w:rsidR="00261D78">
              <w:rPr>
                <w:webHidden/>
              </w:rPr>
              <w:t>6</w:t>
            </w:r>
            <w:r w:rsidR="00261D78">
              <w:rPr>
                <w:webHidden/>
              </w:rPr>
              <w:fldChar w:fldCharType="end"/>
            </w:r>
          </w:hyperlink>
        </w:p>
        <w:p w:rsidR="00261D78" w:rsidRDefault="002E0F86">
          <w:pPr>
            <w:pStyle w:val="TOC2"/>
            <w:tabs>
              <w:tab w:val="left" w:pos="1276"/>
            </w:tabs>
            <w:rPr>
              <w:rFonts w:asciiTheme="minorHAnsi" w:eastAsiaTheme="minorEastAsia" w:hAnsiTheme="minorHAnsi"/>
              <w:b w:val="0"/>
              <w:color w:val="auto"/>
              <w:sz w:val="22"/>
              <w:lang w:eastAsia="en-AU"/>
            </w:rPr>
          </w:pPr>
          <w:hyperlink w:anchor="_Toc417658675" w:history="1">
            <w:r w:rsidR="00261D78" w:rsidRPr="00D775AD">
              <w:rPr>
                <w:rStyle w:val="Hyperlink"/>
              </w:rPr>
              <w:t>15.1</w:t>
            </w:r>
            <w:r w:rsidR="00261D78">
              <w:rPr>
                <w:rFonts w:asciiTheme="minorHAnsi" w:eastAsiaTheme="minorEastAsia" w:hAnsiTheme="minorHAnsi"/>
                <w:b w:val="0"/>
                <w:color w:val="auto"/>
                <w:sz w:val="22"/>
                <w:lang w:eastAsia="en-AU"/>
              </w:rPr>
              <w:tab/>
            </w:r>
            <w:r w:rsidR="00261D78" w:rsidRPr="00D775AD">
              <w:rPr>
                <w:rStyle w:val="Hyperlink"/>
              </w:rPr>
              <w:t>Preliminary decision</w:t>
            </w:r>
            <w:r w:rsidR="00261D78">
              <w:rPr>
                <w:webHidden/>
              </w:rPr>
              <w:tab/>
            </w:r>
            <w:r w:rsidR="00603935">
              <w:rPr>
                <w:webHidden/>
              </w:rPr>
              <w:t>15-</w:t>
            </w:r>
            <w:r w:rsidR="00261D78">
              <w:rPr>
                <w:webHidden/>
              </w:rPr>
              <w:fldChar w:fldCharType="begin"/>
            </w:r>
            <w:r w:rsidR="00261D78">
              <w:rPr>
                <w:webHidden/>
              </w:rPr>
              <w:instrText xml:space="preserve"> PAGEREF _Toc417658675 \h </w:instrText>
            </w:r>
            <w:r w:rsidR="00261D78">
              <w:rPr>
                <w:webHidden/>
              </w:rPr>
            </w:r>
            <w:r w:rsidR="00261D78">
              <w:rPr>
                <w:webHidden/>
              </w:rPr>
              <w:fldChar w:fldCharType="separate"/>
            </w:r>
            <w:r w:rsidR="00261D78">
              <w:rPr>
                <w:webHidden/>
              </w:rPr>
              <w:t>6</w:t>
            </w:r>
            <w:r w:rsidR="00261D78">
              <w:rPr>
                <w:webHidden/>
              </w:rPr>
              <w:fldChar w:fldCharType="end"/>
            </w:r>
          </w:hyperlink>
        </w:p>
        <w:p w:rsidR="00261D78" w:rsidRDefault="002E0F86">
          <w:pPr>
            <w:pStyle w:val="TOC2"/>
            <w:tabs>
              <w:tab w:val="left" w:pos="1276"/>
            </w:tabs>
            <w:rPr>
              <w:rFonts w:asciiTheme="minorHAnsi" w:eastAsiaTheme="minorEastAsia" w:hAnsiTheme="minorHAnsi"/>
              <w:b w:val="0"/>
              <w:color w:val="auto"/>
              <w:sz w:val="22"/>
              <w:lang w:eastAsia="en-AU"/>
            </w:rPr>
          </w:pPr>
          <w:hyperlink w:anchor="_Toc417658676" w:history="1">
            <w:r w:rsidR="00261D78" w:rsidRPr="00D775AD">
              <w:rPr>
                <w:rStyle w:val="Hyperlink"/>
              </w:rPr>
              <w:t>15.2</w:t>
            </w:r>
            <w:r w:rsidR="00261D78">
              <w:rPr>
                <w:rFonts w:asciiTheme="minorHAnsi" w:eastAsiaTheme="minorEastAsia" w:hAnsiTheme="minorHAnsi"/>
                <w:b w:val="0"/>
                <w:color w:val="auto"/>
                <w:sz w:val="22"/>
                <w:lang w:eastAsia="en-AU"/>
              </w:rPr>
              <w:tab/>
            </w:r>
            <w:r w:rsidR="00261D78" w:rsidRPr="00D775AD">
              <w:rPr>
                <w:rStyle w:val="Hyperlink"/>
              </w:rPr>
              <w:t>SA Power Networks’ proposal</w:t>
            </w:r>
            <w:r w:rsidR="00261D78">
              <w:rPr>
                <w:webHidden/>
              </w:rPr>
              <w:tab/>
            </w:r>
            <w:r w:rsidR="00603935">
              <w:rPr>
                <w:webHidden/>
              </w:rPr>
              <w:t>15-</w:t>
            </w:r>
            <w:r w:rsidR="00261D78">
              <w:rPr>
                <w:webHidden/>
              </w:rPr>
              <w:fldChar w:fldCharType="begin"/>
            </w:r>
            <w:r w:rsidR="00261D78">
              <w:rPr>
                <w:webHidden/>
              </w:rPr>
              <w:instrText xml:space="preserve"> PAGEREF _Toc417658676 \h </w:instrText>
            </w:r>
            <w:r w:rsidR="00261D78">
              <w:rPr>
                <w:webHidden/>
              </w:rPr>
            </w:r>
            <w:r w:rsidR="00261D78">
              <w:rPr>
                <w:webHidden/>
              </w:rPr>
              <w:fldChar w:fldCharType="separate"/>
            </w:r>
            <w:r w:rsidR="00261D78">
              <w:rPr>
                <w:webHidden/>
              </w:rPr>
              <w:t>6</w:t>
            </w:r>
            <w:r w:rsidR="00261D78">
              <w:rPr>
                <w:webHidden/>
              </w:rPr>
              <w:fldChar w:fldCharType="end"/>
            </w:r>
          </w:hyperlink>
        </w:p>
        <w:p w:rsidR="00261D78" w:rsidRDefault="002E0F86">
          <w:pPr>
            <w:pStyle w:val="TOC2"/>
            <w:tabs>
              <w:tab w:val="left" w:pos="1276"/>
            </w:tabs>
            <w:rPr>
              <w:rFonts w:asciiTheme="minorHAnsi" w:eastAsiaTheme="minorEastAsia" w:hAnsiTheme="minorHAnsi"/>
              <w:b w:val="0"/>
              <w:color w:val="auto"/>
              <w:sz w:val="22"/>
              <w:lang w:eastAsia="en-AU"/>
            </w:rPr>
          </w:pPr>
          <w:hyperlink w:anchor="_Toc417658677" w:history="1">
            <w:r w:rsidR="00261D78" w:rsidRPr="00D775AD">
              <w:rPr>
                <w:rStyle w:val="Hyperlink"/>
              </w:rPr>
              <w:t>15.3</w:t>
            </w:r>
            <w:r w:rsidR="00261D78">
              <w:rPr>
                <w:rFonts w:asciiTheme="minorHAnsi" w:eastAsiaTheme="minorEastAsia" w:hAnsiTheme="minorHAnsi"/>
                <w:b w:val="0"/>
                <w:color w:val="auto"/>
                <w:sz w:val="22"/>
                <w:lang w:eastAsia="en-AU"/>
              </w:rPr>
              <w:tab/>
            </w:r>
            <w:r w:rsidR="00261D78" w:rsidRPr="00D775AD">
              <w:rPr>
                <w:rStyle w:val="Hyperlink"/>
              </w:rPr>
              <w:t>AER’s assessment approach</w:t>
            </w:r>
            <w:r w:rsidR="00261D78">
              <w:rPr>
                <w:webHidden/>
              </w:rPr>
              <w:tab/>
            </w:r>
            <w:r w:rsidR="00603935">
              <w:rPr>
                <w:webHidden/>
              </w:rPr>
              <w:t>15-</w:t>
            </w:r>
            <w:r w:rsidR="00261D78">
              <w:rPr>
                <w:webHidden/>
              </w:rPr>
              <w:fldChar w:fldCharType="begin"/>
            </w:r>
            <w:r w:rsidR="00261D78">
              <w:rPr>
                <w:webHidden/>
              </w:rPr>
              <w:instrText xml:space="preserve"> PAGEREF _Toc417658677 \h </w:instrText>
            </w:r>
            <w:r w:rsidR="00261D78">
              <w:rPr>
                <w:webHidden/>
              </w:rPr>
            </w:r>
            <w:r w:rsidR="00261D78">
              <w:rPr>
                <w:webHidden/>
              </w:rPr>
              <w:fldChar w:fldCharType="separate"/>
            </w:r>
            <w:r w:rsidR="00261D78">
              <w:rPr>
                <w:webHidden/>
              </w:rPr>
              <w:t>8</w:t>
            </w:r>
            <w:r w:rsidR="00261D78">
              <w:rPr>
                <w:webHidden/>
              </w:rPr>
              <w:fldChar w:fldCharType="end"/>
            </w:r>
          </w:hyperlink>
        </w:p>
        <w:p w:rsidR="00261D78" w:rsidRDefault="002E0F86">
          <w:pPr>
            <w:pStyle w:val="TOC3"/>
            <w:rPr>
              <w:rFonts w:asciiTheme="minorHAnsi" w:eastAsiaTheme="minorEastAsia" w:hAnsiTheme="minorHAnsi"/>
              <w:lang w:eastAsia="en-AU"/>
            </w:rPr>
          </w:pPr>
          <w:hyperlink w:anchor="_Toc417658678" w:history="1">
            <w:r w:rsidR="00261D78" w:rsidRPr="00D775AD">
              <w:rPr>
                <w:rStyle w:val="Hyperlink"/>
              </w:rPr>
              <w:t>15.3.1</w:t>
            </w:r>
            <w:r w:rsidR="00261D78">
              <w:rPr>
                <w:rFonts w:asciiTheme="minorHAnsi" w:eastAsiaTheme="minorEastAsia" w:hAnsiTheme="minorHAnsi"/>
                <w:lang w:eastAsia="en-AU"/>
              </w:rPr>
              <w:tab/>
            </w:r>
            <w:r w:rsidR="00261D78" w:rsidRPr="00D775AD">
              <w:rPr>
                <w:rStyle w:val="Hyperlink"/>
              </w:rPr>
              <w:t>Interrelationships</w:t>
            </w:r>
            <w:r w:rsidR="00261D78">
              <w:rPr>
                <w:webHidden/>
              </w:rPr>
              <w:tab/>
            </w:r>
            <w:r w:rsidR="00603935">
              <w:rPr>
                <w:webHidden/>
              </w:rPr>
              <w:t>15-</w:t>
            </w:r>
            <w:r w:rsidR="00261D78">
              <w:rPr>
                <w:webHidden/>
              </w:rPr>
              <w:fldChar w:fldCharType="begin"/>
            </w:r>
            <w:r w:rsidR="00261D78">
              <w:rPr>
                <w:webHidden/>
              </w:rPr>
              <w:instrText xml:space="preserve"> PAGEREF _Toc417658678 \h </w:instrText>
            </w:r>
            <w:r w:rsidR="00261D78">
              <w:rPr>
                <w:webHidden/>
              </w:rPr>
            </w:r>
            <w:r w:rsidR="00261D78">
              <w:rPr>
                <w:webHidden/>
              </w:rPr>
              <w:fldChar w:fldCharType="separate"/>
            </w:r>
            <w:r w:rsidR="00261D78">
              <w:rPr>
                <w:webHidden/>
              </w:rPr>
              <w:t>10</w:t>
            </w:r>
            <w:r w:rsidR="00261D78">
              <w:rPr>
                <w:webHidden/>
              </w:rPr>
              <w:fldChar w:fldCharType="end"/>
            </w:r>
          </w:hyperlink>
        </w:p>
        <w:p w:rsidR="00261D78" w:rsidRDefault="002E0F86">
          <w:pPr>
            <w:pStyle w:val="TOC2"/>
            <w:tabs>
              <w:tab w:val="left" w:pos="1276"/>
            </w:tabs>
            <w:rPr>
              <w:rFonts w:asciiTheme="minorHAnsi" w:eastAsiaTheme="minorEastAsia" w:hAnsiTheme="minorHAnsi"/>
              <w:b w:val="0"/>
              <w:color w:val="auto"/>
              <w:sz w:val="22"/>
              <w:lang w:eastAsia="en-AU"/>
            </w:rPr>
          </w:pPr>
          <w:hyperlink w:anchor="_Toc417658679" w:history="1">
            <w:r w:rsidR="00261D78" w:rsidRPr="00D775AD">
              <w:rPr>
                <w:rStyle w:val="Hyperlink"/>
              </w:rPr>
              <w:t>15.4</w:t>
            </w:r>
            <w:r w:rsidR="00261D78">
              <w:rPr>
                <w:rFonts w:asciiTheme="minorHAnsi" w:eastAsiaTheme="minorEastAsia" w:hAnsiTheme="minorHAnsi"/>
                <w:b w:val="0"/>
                <w:color w:val="auto"/>
                <w:sz w:val="22"/>
                <w:lang w:eastAsia="en-AU"/>
              </w:rPr>
              <w:tab/>
            </w:r>
            <w:r w:rsidR="00261D78" w:rsidRPr="00D775AD">
              <w:rPr>
                <w:rStyle w:val="Hyperlink"/>
              </w:rPr>
              <w:t>Reasons for preliminary decision</w:t>
            </w:r>
            <w:r w:rsidR="00261D78">
              <w:rPr>
                <w:webHidden/>
              </w:rPr>
              <w:tab/>
            </w:r>
            <w:r w:rsidR="00603935">
              <w:rPr>
                <w:webHidden/>
              </w:rPr>
              <w:t>15-</w:t>
            </w:r>
            <w:r w:rsidR="00261D78">
              <w:rPr>
                <w:webHidden/>
              </w:rPr>
              <w:fldChar w:fldCharType="begin"/>
            </w:r>
            <w:r w:rsidR="00261D78">
              <w:rPr>
                <w:webHidden/>
              </w:rPr>
              <w:instrText xml:space="preserve"> PAGEREF _Toc417658679 \h </w:instrText>
            </w:r>
            <w:r w:rsidR="00261D78">
              <w:rPr>
                <w:webHidden/>
              </w:rPr>
            </w:r>
            <w:r w:rsidR="00261D78">
              <w:rPr>
                <w:webHidden/>
              </w:rPr>
              <w:fldChar w:fldCharType="separate"/>
            </w:r>
            <w:r w:rsidR="00261D78">
              <w:rPr>
                <w:webHidden/>
              </w:rPr>
              <w:t>10</w:t>
            </w:r>
            <w:r w:rsidR="00261D78">
              <w:rPr>
                <w:webHidden/>
              </w:rPr>
              <w:fldChar w:fldCharType="end"/>
            </w:r>
          </w:hyperlink>
        </w:p>
        <w:p w:rsidR="00261D78" w:rsidRDefault="002E0F86">
          <w:pPr>
            <w:pStyle w:val="TOC3"/>
            <w:rPr>
              <w:rFonts w:asciiTheme="minorHAnsi" w:eastAsiaTheme="minorEastAsia" w:hAnsiTheme="minorHAnsi"/>
              <w:lang w:eastAsia="en-AU"/>
            </w:rPr>
          </w:pPr>
          <w:hyperlink w:anchor="_Toc417658680" w:history="1">
            <w:r w:rsidR="00261D78" w:rsidRPr="00D775AD">
              <w:rPr>
                <w:rStyle w:val="Hyperlink"/>
              </w:rPr>
              <w:t>15.4.1</w:t>
            </w:r>
            <w:r w:rsidR="00261D78">
              <w:rPr>
                <w:rFonts w:asciiTheme="minorHAnsi" w:eastAsiaTheme="minorEastAsia" w:hAnsiTheme="minorHAnsi"/>
                <w:lang w:eastAsia="en-AU"/>
              </w:rPr>
              <w:tab/>
            </w:r>
            <w:r w:rsidR="00261D78" w:rsidRPr="00D775AD">
              <w:rPr>
                <w:rStyle w:val="Hyperlink"/>
              </w:rPr>
              <w:t>Liability above insurance cap event</w:t>
            </w:r>
            <w:r w:rsidR="00261D78">
              <w:rPr>
                <w:webHidden/>
              </w:rPr>
              <w:tab/>
            </w:r>
            <w:r w:rsidR="00603935">
              <w:rPr>
                <w:webHidden/>
              </w:rPr>
              <w:t>15-</w:t>
            </w:r>
            <w:r w:rsidR="00261D78">
              <w:rPr>
                <w:webHidden/>
              </w:rPr>
              <w:fldChar w:fldCharType="begin"/>
            </w:r>
            <w:r w:rsidR="00261D78">
              <w:rPr>
                <w:webHidden/>
              </w:rPr>
              <w:instrText xml:space="preserve"> PAGEREF _Toc417658680 \h </w:instrText>
            </w:r>
            <w:r w:rsidR="00261D78">
              <w:rPr>
                <w:webHidden/>
              </w:rPr>
            </w:r>
            <w:r w:rsidR="00261D78">
              <w:rPr>
                <w:webHidden/>
              </w:rPr>
              <w:fldChar w:fldCharType="separate"/>
            </w:r>
            <w:r w:rsidR="00261D78">
              <w:rPr>
                <w:webHidden/>
              </w:rPr>
              <w:t>10</w:t>
            </w:r>
            <w:r w:rsidR="00261D78">
              <w:rPr>
                <w:webHidden/>
              </w:rPr>
              <w:fldChar w:fldCharType="end"/>
            </w:r>
          </w:hyperlink>
        </w:p>
        <w:p w:rsidR="00261D78" w:rsidRDefault="002E0F86">
          <w:pPr>
            <w:pStyle w:val="TOC3"/>
            <w:rPr>
              <w:rFonts w:asciiTheme="minorHAnsi" w:eastAsiaTheme="minorEastAsia" w:hAnsiTheme="minorHAnsi"/>
              <w:lang w:eastAsia="en-AU"/>
            </w:rPr>
          </w:pPr>
          <w:hyperlink w:anchor="_Toc417658681" w:history="1">
            <w:r w:rsidR="00261D78" w:rsidRPr="00D775AD">
              <w:rPr>
                <w:rStyle w:val="Hyperlink"/>
              </w:rPr>
              <w:t>15.4.2</w:t>
            </w:r>
            <w:r w:rsidR="00261D78">
              <w:rPr>
                <w:rFonts w:asciiTheme="minorHAnsi" w:eastAsiaTheme="minorEastAsia" w:hAnsiTheme="minorHAnsi"/>
                <w:lang w:eastAsia="en-AU"/>
              </w:rPr>
              <w:tab/>
            </w:r>
            <w:r w:rsidR="00261D78" w:rsidRPr="00D775AD">
              <w:rPr>
                <w:rStyle w:val="Hyperlink"/>
              </w:rPr>
              <w:t>Natural disaster event</w:t>
            </w:r>
            <w:r w:rsidR="00261D78">
              <w:rPr>
                <w:webHidden/>
              </w:rPr>
              <w:tab/>
            </w:r>
            <w:r w:rsidR="00603935">
              <w:rPr>
                <w:webHidden/>
              </w:rPr>
              <w:t>15-</w:t>
            </w:r>
            <w:r w:rsidR="00261D78">
              <w:rPr>
                <w:webHidden/>
              </w:rPr>
              <w:fldChar w:fldCharType="begin"/>
            </w:r>
            <w:r w:rsidR="00261D78">
              <w:rPr>
                <w:webHidden/>
              </w:rPr>
              <w:instrText xml:space="preserve"> PAGEREF _Toc417658681 \h </w:instrText>
            </w:r>
            <w:r w:rsidR="00261D78">
              <w:rPr>
                <w:webHidden/>
              </w:rPr>
            </w:r>
            <w:r w:rsidR="00261D78">
              <w:rPr>
                <w:webHidden/>
              </w:rPr>
              <w:fldChar w:fldCharType="separate"/>
            </w:r>
            <w:r w:rsidR="00261D78">
              <w:rPr>
                <w:webHidden/>
              </w:rPr>
              <w:t>12</w:t>
            </w:r>
            <w:r w:rsidR="00261D78">
              <w:rPr>
                <w:webHidden/>
              </w:rPr>
              <w:fldChar w:fldCharType="end"/>
            </w:r>
          </w:hyperlink>
        </w:p>
        <w:p w:rsidR="00261D78" w:rsidRDefault="002E0F86">
          <w:pPr>
            <w:pStyle w:val="TOC3"/>
            <w:rPr>
              <w:rFonts w:asciiTheme="minorHAnsi" w:eastAsiaTheme="minorEastAsia" w:hAnsiTheme="minorHAnsi"/>
              <w:lang w:eastAsia="en-AU"/>
            </w:rPr>
          </w:pPr>
          <w:hyperlink w:anchor="_Toc417658682" w:history="1">
            <w:r w:rsidR="00261D78" w:rsidRPr="00D775AD">
              <w:rPr>
                <w:rStyle w:val="Hyperlink"/>
              </w:rPr>
              <w:t>15.4.3</w:t>
            </w:r>
            <w:r w:rsidR="00261D78">
              <w:rPr>
                <w:rFonts w:asciiTheme="minorHAnsi" w:eastAsiaTheme="minorEastAsia" w:hAnsiTheme="minorHAnsi"/>
                <w:lang w:eastAsia="en-AU"/>
              </w:rPr>
              <w:tab/>
            </w:r>
            <w:r w:rsidR="00261D78" w:rsidRPr="00D775AD">
              <w:rPr>
                <w:rStyle w:val="Hyperlink"/>
              </w:rPr>
              <w:t>Insurer credit risk</w:t>
            </w:r>
            <w:r w:rsidR="00261D78">
              <w:rPr>
                <w:webHidden/>
              </w:rPr>
              <w:tab/>
            </w:r>
            <w:r w:rsidR="00603935">
              <w:rPr>
                <w:webHidden/>
              </w:rPr>
              <w:t>15-</w:t>
            </w:r>
            <w:r w:rsidR="00261D78">
              <w:rPr>
                <w:webHidden/>
              </w:rPr>
              <w:fldChar w:fldCharType="begin"/>
            </w:r>
            <w:r w:rsidR="00261D78">
              <w:rPr>
                <w:webHidden/>
              </w:rPr>
              <w:instrText xml:space="preserve"> PAGEREF _Toc417658682 \h </w:instrText>
            </w:r>
            <w:r w:rsidR="00261D78">
              <w:rPr>
                <w:webHidden/>
              </w:rPr>
            </w:r>
            <w:r w:rsidR="00261D78">
              <w:rPr>
                <w:webHidden/>
              </w:rPr>
              <w:fldChar w:fldCharType="separate"/>
            </w:r>
            <w:r w:rsidR="00261D78">
              <w:rPr>
                <w:webHidden/>
              </w:rPr>
              <w:t>14</w:t>
            </w:r>
            <w:r w:rsidR="00261D78">
              <w:rPr>
                <w:webHidden/>
              </w:rPr>
              <w:fldChar w:fldCharType="end"/>
            </w:r>
          </w:hyperlink>
        </w:p>
        <w:p w:rsidR="00261D78" w:rsidRDefault="002E0F86">
          <w:pPr>
            <w:pStyle w:val="TOC3"/>
            <w:rPr>
              <w:rFonts w:asciiTheme="minorHAnsi" w:eastAsiaTheme="minorEastAsia" w:hAnsiTheme="minorHAnsi"/>
              <w:lang w:eastAsia="en-AU"/>
            </w:rPr>
          </w:pPr>
          <w:hyperlink w:anchor="_Toc417658683" w:history="1">
            <w:r w:rsidR="00261D78" w:rsidRPr="00D775AD">
              <w:rPr>
                <w:rStyle w:val="Hyperlink"/>
              </w:rPr>
              <w:t>15.4.4</w:t>
            </w:r>
            <w:r w:rsidR="00261D78">
              <w:rPr>
                <w:rFonts w:asciiTheme="minorHAnsi" w:eastAsiaTheme="minorEastAsia" w:hAnsiTheme="minorHAnsi"/>
                <w:lang w:eastAsia="en-AU"/>
              </w:rPr>
              <w:tab/>
            </w:r>
            <w:r w:rsidR="00261D78" w:rsidRPr="00D775AD">
              <w:rPr>
                <w:rStyle w:val="Hyperlink"/>
              </w:rPr>
              <w:t>General nominated pass through event</w:t>
            </w:r>
            <w:r w:rsidR="00261D78">
              <w:rPr>
                <w:webHidden/>
              </w:rPr>
              <w:tab/>
            </w:r>
            <w:r w:rsidR="00603935">
              <w:rPr>
                <w:webHidden/>
              </w:rPr>
              <w:t>15-</w:t>
            </w:r>
            <w:r w:rsidR="00261D78">
              <w:rPr>
                <w:webHidden/>
              </w:rPr>
              <w:fldChar w:fldCharType="begin"/>
            </w:r>
            <w:r w:rsidR="00261D78">
              <w:rPr>
                <w:webHidden/>
              </w:rPr>
              <w:instrText xml:space="preserve"> PAGEREF _Toc417658683 \h </w:instrText>
            </w:r>
            <w:r w:rsidR="00261D78">
              <w:rPr>
                <w:webHidden/>
              </w:rPr>
            </w:r>
            <w:r w:rsidR="00261D78">
              <w:rPr>
                <w:webHidden/>
              </w:rPr>
              <w:fldChar w:fldCharType="separate"/>
            </w:r>
            <w:r w:rsidR="00261D78">
              <w:rPr>
                <w:webHidden/>
              </w:rPr>
              <w:t>16</w:t>
            </w:r>
            <w:r w:rsidR="00261D78">
              <w:rPr>
                <w:webHidden/>
              </w:rPr>
              <w:fldChar w:fldCharType="end"/>
            </w:r>
          </w:hyperlink>
        </w:p>
        <w:p w:rsidR="00261D78" w:rsidRDefault="002E0F86">
          <w:pPr>
            <w:pStyle w:val="TOC3"/>
            <w:rPr>
              <w:rFonts w:asciiTheme="minorHAnsi" w:eastAsiaTheme="minorEastAsia" w:hAnsiTheme="minorHAnsi"/>
              <w:lang w:eastAsia="en-AU"/>
            </w:rPr>
          </w:pPr>
          <w:hyperlink w:anchor="_Toc417658684" w:history="1">
            <w:r w:rsidR="00261D78" w:rsidRPr="00D775AD">
              <w:rPr>
                <w:rStyle w:val="Hyperlink"/>
              </w:rPr>
              <w:t>15.4.5</w:t>
            </w:r>
            <w:r w:rsidR="00261D78">
              <w:rPr>
                <w:rFonts w:asciiTheme="minorHAnsi" w:eastAsiaTheme="minorEastAsia" w:hAnsiTheme="minorHAnsi"/>
                <w:lang w:eastAsia="en-AU"/>
              </w:rPr>
              <w:tab/>
            </w:r>
            <w:r w:rsidR="00261D78" w:rsidRPr="00D775AD">
              <w:rPr>
                <w:rStyle w:val="Hyperlink"/>
              </w:rPr>
              <w:t>Kangaroo Island cable failure event</w:t>
            </w:r>
            <w:r w:rsidR="00261D78">
              <w:rPr>
                <w:webHidden/>
              </w:rPr>
              <w:tab/>
            </w:r>
            <w:r w:rsidR="00603935">
              <w:rPr>
                <w:webHidden/>
              </w:rPr>
              <w:t>15-</w:t>
            </w:r>
            <w:r w:rsidR="00261D78">
              <w:rPr>
                <w:webHidden/>
              </w:rPr>
              <w:fldChar w:fldCharType="begin"/>
            </w:r>
            <w:r w:rsidR="00261D78">
              <w:rPr>
                <w:webHidden/>
              </w:rPr>
              <w:instrText xml:space="preserve"> PAGEREF _Toc417658684 \h </w:instrText>
            </w:r>
            <w:r w:rsidR="00261D78">
              <w:rPr>
                <w:webHidden/>
              </w:rPr>
            </w:r>
            <w:r w:rsidR="00261D78">
              <w:rPr>
                <w:webHidden/>
              </w:rPr>
              <w:fldChar w:fldCharType="separate"/>
            </w:r>
            <w:r w:rsidR="00261D78">
              <w:rPr>
                <w:webHidden/>
              </w:rPr>
              <w:t>17</w:t>
            </w:r>
            <w:r w:rsidR="00261D78">
              <w:rPr>
                <w:webHidden/>
              </w:rPr>
              <w:fldChar w:fldCharType="end"/>
            </w:r>
          </w:hyperlink>
        </w:p>
        <w:p w:rsidR="00261D78" w:rsidRDefault="002E0F86">
          <w:pPr>
            <w:pStyle w:val="TOC3"/>
            <w:rPr>
              <w:rFonts w:asciiTheme="minorHAnsi" w:eastAsiaTheme="minorEastAsia" w:hAnsiTheme="minorHAnsi"/>
              <w:lang w:eastAsia="en-AU"/>
            </w:rPr>
          </w:pPr>
          <w:hyperlink w:anchor="_Toc417658685" w:history="1">
            <w:r w:rsidR="00261D78" w:rsidRPr="00D775AD">
              <w:rPr>
                <w:rStyle w:val="Hyperlink"/>
              </w:rPr>
              <w:t>15.4.6</w:t>
            </w:r>
            <w:r w:rsidR="00261D78">
              <w:rPr>
                <w:rFonts w:asciiTheme="minorHAnsi" w:eastAsiaTheme="minorEastAsia" w:hAnsiTheme="minorHAnsi"/>
                <w:lang w:eastAsia="en-AU"/>
              </w:rPr>
              <w:tab/>
            </w:r>
            <w:r w:rsidR="00261D78" w:rsidRPr="00D775AD">
              <w:rPr>
                <w:rStyle w:val="Hyperlink"/>
              </w:rPr>
              <w:t>Native title event</w:t>
            </w:r>
            <w:r w:rsidR="00261D78">
              <w:rPr>
                <w:webHidden/>
              </w:rPr>
              <w:tab/>
            </w:r>
            <w:r w:rsidR="00603935">
              <w:rPr>
                <w:webHidden/>
              </w:rPr>
              <w:t>15-</w:t>
            </w:r>
            <w:r w:rsidR="00261D78">
              <w:rPr>
                <w:webHidden/>
              </w:rPr>
              <w:fldChar w:fldCharType="begin"/>
            </w:r>
            <w:r w:rsidR="00261D78">
              <w:rPr>
                <w:webHidden/>
              </w:rPr>
              <w:instrText xml:space="preserve"> PAGEREF _Toc417658685 \h </w:instrText>
            </w:r>
            <w:r w:rsidR="00261D78">
              <w:rPr>
                <w:webHidden/>
              </w:rPr>
            </w:r>
            <w:r w:rsidR="00261D78">
              <w:rPr>
                <w:webHidden/>
              </w:rPr>
              <w:fldChar w:fldCharType="separate"/>
            </w:r>
            <w:r w:rsidR="00261D78">
              <w:rPr>
                <w:webHidden/>
              </w:rPr>
              <w:t>17</w:t>
            </w:r>
            <w:r w:rsidR="00261D78">
              <w:rPr>
                <w:webHidden/>
              </w:rPr>
              <w:fldChar w:fldCharType="end"/>
            </w:r>
          </w:hyperlink>
        </w:p>
        <w:p w:rsidR="00DE563D" w:rsidRDefault="00DE563D">
          <w:pPr>
            <w:spacing w:line="240" w:lineRule="auto"/>
          </w:pPr>
          <w:r>
            <w:fldChar w:fldCharType="end"/>
          </w:r>
        </w:p>
      </w:sdtContent>
    </w:sdt>
    <w:p w:rsidR="00DE563D" w:rsidRDefault="00DE563D">
      <w:pPr>
        <w:spacing w:line="240" w:lineRule="auto"/>
      </w:pPr>
    </w:p>
    <w:p w:rsidR="00DE563D" w:rsidRDefault="00DE563D" w:rsidP="00DE563D">
      <w:pPr>
        <w:pStyle w:val="UnnumberedHeading"/>
        <w:numPr>
          <w:ilvl w:val="0"/>
          <w:numId w:val="24"/>
        </w:numPr>
      </w:pPr>
      <w:bookmarkStart w:id="8" w:name="_Toc404700925"/>
      <w:bookmarkStart w:id="9" w:name="_Toc417658673"/>
      <w:r>
        <w:lastRenderedPageBreak/>
        <w:t>Shortened forms</w:t>
      </w:r>
      <w:bookmarkEnd w:id="8"/>
      <w:bookmarkEnd w:id="9"/>
    </w:p>
    <w:tbl>
      <w:tblPr>
        <w:tblStyle w:val="AERtable-numbers"/>
        <w:tblW w:w="0" w:type="auto"/>
        <w:tblLook w:val="04A0" w:firstRow="1" w:lastRow="0" w:firstColumn="1" w:lastColumn="0" w:noHBand="0" w:noVBand="1"/>
      </w:tblPr>
      <w:tblGrid>
        <w:gridCol w:w="4346"/>
        <w:gridCol w:w="4347"/>
      </w:tblGrid>
      <w:tr w:rsidR="00DE563D" w:rsidTr="00D414D8">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4346" w:type="dxa"/>
          </w:tcPr>
          <w:p w:rsidR="00DE563D" w:rsidRDefault="00DE563D" w:rsidP="00DE563D">
            <w:pPr>
              <w:pStyle w:val="AERtabletextleft"/>
            </w:pPr>
            <w:r>
              <w:t>Shortened form</w:t>
            </w:r>
          </w:p>
        </w:tc>
        <w:tc>
          <w:tcPr>
            <w:tcW w:w="4347" w:type="dxa"/>
          </w:tcPr>
          <w:p w:rsidR="00DE563D" w:rsidRDefault="00DE563D" w:rsidP="00DE563D">
            <w:pPr>
              <w:pStyle w:val="AERtabletextleft"/>
              <w:jc w:val="left"/>
              <w:cnfStyle w:val="100000000000" w:firstRow="1" w:lastRow="0" w:firstColumn="0" w:lastColumn="0" w:oddVBand="0" w:evenVBand="0" w:oddHBand="0" w:evenHBand="0" w:firstRowFirstColumn="0" w:firstRowLastColumn="0" w:lastRowFirstColumn="0" w:lastRowLastColumn="0"/>
            </w:pPr>
            <w:r>
              <w:t>Extended form</w:t>
            </w:r>
          </w:p>
        </w:tc>
      </w:tr>
      <w:tr w:rsidR="00DE563D" w:rsidTr="00D414D8">
        <w:tc>
          <w:tcPr>
            <w:cnfStyle w:val="001000000000" w:firstRow="0" w:lastRow="0" w:firstColumn="1" w:lastColumn="0" w:oddVBand="0" w:evenVBand="0" w:oddHBand="0" w:evenHBand="0" w:firstRowFirstColumn="0" w:firstRowLastColumn="0" w:lastRowFirstColumn="0" w:lastRowLastColumn="0"/>
            <w:tcW w:w="4346" w:type="dxa"/>
          </w:tcPr>
          <w:p w:rsidR="00DE563D" w:rsidRDefault="00DE563D" w:rsidP="00DE563D">
            <w:pPr>
              <w:pStyle w:val="AERtabletextleft"/>
            </w:pPr>
            <w:r>
              <w:t>AEMC</w:t>
            </w:r>
          </w:p>
        </w:tc>
        <w:tc>
          <w:tcPr>
            <w:tcW w:w="4347" w:type="dxa"/>
          </w:tcPr>
          <w:p w:rsidR="00DE563D"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pPr>
            <w:r>
              <w:t>Australian Energy Market Commission</w:t>
            </w:r>
          </w:p>
        </w:tc>
      </w:tr>
      <w:tr w:rsidR="00DE563D" w:rsidTr="00D414D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6" w:type="dxa"/>
          </w:tcPr>
          <w:p w:rsidR="00DE563D" w:rsidRDefault="00DE563D" w:rsidP="00DE563D">
            <w:pPr>
              <w:pStyle w:val="AERtabletextleft"/>
            </w:pPr>
            <w:r>
              <w:t>AEMO</w:t>
            </w:r>
          </w:p>
        </w:tc>
        <w:tc>
          <w:tcPr>
            <w:tcW w:w="4347" w:type="dxa"/>
          </w:tcPr>
          <w:p w:rsidR="00DE563D" w:rsidRDefault="00DE563D" w:rsidP="00DE563D">
            <w:pPr>
              <w:pStyle w:val="AERtabletextleft"/>
              <w:jc w:val="left"/>
              <w:cnfStyle w:val="000000010000" w:firstRow="0" w:lastRow="0" w:firstColumn="0" w:lastColumn="0" w:oddVBand="0" w:evenVBand="0" w:oddHBand="0" w:evenHBand="1" w:firstRowFirstColumn="0" w:firstRowLastColumn="0" w:lastRowFirstColumn="0" w:lastRowLastColumn="0"/>
            </w:pPr>
            <w:r>
              <w:t>Australian Energy Market Operator</w:t>
            </w:r>
          </w:p>
        </w:tc>
      </w:tr>
      <w:tr w:rsidR="00DE563D" w:rsidTr="00D414D8">
        <w:tc>
          <w:tcPr>
            <w:cnfStyle w:val="001000000000" w:firstRow="0" w:lastRow="0" w:firstColumn="1" w:lastColumn="0" w:oddVBand="0" w:evenVBand="0" w:oddHBand="0" w:evenHBand="0" w:firstRowFirstColumn="0" w:firstRowLastColumn="0" w:lastRowFirstColumn="0" w:lastRowLastColumn="0"/>
            <w:tcW w:w="4346" w:type="dxa"/>
          </w:tcPr>
          <w:p w:rsidR="00DE563D" w:rsidRDefault="00DE563D" w:rsidP="00DE563D">
            <w:pPr>
              <w:pStyle w:val="AERtabletextleft"/>
            </w:pPr>
            <w:r>
              <w:t>AER</w:t>
            </w:r>
          </w:p>
        </w:tc>
        <w:tc>
          <w:tcPr>
            <w:tcW w:w="4347" w:type="dxa"/>
          </w:tcPr>
          <w:p w:rsidR="00DE563D"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pPr>
            <w:r>
              <w:t>Australian Energy Regulator</w:t>
            </w:r>
          </w:p>
        </w:tc>
      </w:tr>
      <w:tr w:rsidR="00DE563D" w:rsidTr="00D414D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6" w:type="dxa"/>
          </w:tcPr>
          <w:p w:rsidR="00DE563D" w:rsidRDefault="00DE563D" w:rsidP="00DE563D">
            <w:pPr>
              <w:pStyle w:val="AERtabletextleft"/>
            </w:pPr>
            <w:r>
              <w:t>augex</w:t>
            </w:r>
          </w:p>
        </w:tc>
        <w:tc>
          <w:tcPr>
            <w:tcW w:w="4347" w:type="dxa"/>
          </w:tcPr>
          <w:p w:rsidR="00DE563D" w:rsidRDefault="00DE563D" w:rsidP="00DE563D">
            <w:pPr>
              <w:pStyle w:val="AERtabletextleft"/>
              <w:jc w:val="left"/>
              <w:cnfStyle w:val="000000010000" w:firstRow="0" w:lastRow="0" w:firstColumn="0" w:lastColumn="0" w:oddVBand="0" w:evenVBand="0" w:oddHBand="0" w:evenHBand="1" w:firstRowFirstColumn="0" w:firstRowLastColumn="0" w:lastRowFirstColumn="0" w:lastRowLastColumn="0"/>
            </w:pPr>
            <w:r>
              <w:t>augmentation expenditure</w:t>
            </w:r>
          </w:p>
        </w:tc>
      </w:tr>
      <w:tr w:rsidR="00DE563D" w:rsidTr="00D414D8">
        <w:tc>
          <w:tcPr>
            <w:cnfStyle w:val="001000000000" w:firstRow="0" w:lastRow="0" w:firstColumn="1" w:lastColumn="0" w:oddVBand="0" w:evenVBand="0" w:oddHBand="0" w:evenHBand="0" w:firstRowFirstColumn="0" w:firstRowLastColumn="0" w:lastRowFirstColumn="0" w:lastRowLastColumn="0"/>
            <w:tcW w:w="4346" w:type="dxa"/>
          </w:tcPr>
          <w:p w:rsidR="00DE563D" w:rsidRDefault="00DE563D" w:rsidP="00DE563D">
            <w:pPr>
              <w:pStyle w:val="AERtabletextleft"/>
            </w:pPr>
            <w:r>
              <w:t>capex</w:t>
            </w:r>
          </w:p>
        </w:tc>
        <w:tc>
          <w:tcPr>
            <w:tcW w:w="4347" w:type="dxa"/>
          </w:tcPr>
          <w:p w:rsidR="00DE563D"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pPr>
            <w:r>
              <w:t>capital expenditure</w:t>
            </w:r>
          </w:p>
        </w:tc>
      </w:tr>
      <w:tr w:rsidR="00DE563D" w:rsidTr="00D414D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6" w:type="dxa"/>
          </w:tcPr>
          <w:p w:rsidR="00DE563D" w:rsidRDefault="00DE563D" w:rsidP="00DE563D">
            <w:pPr>
              <w:pStyle w:val="AERtabletextleft"/>
            </w:pPr>
            <w:r>
              <w:t>CCP</w:t>
            </w:r>
          </w:p>
        </w:tc>
        <w:tc>
          <w:tcPr>
            <w:tcW w:w="4347" w:type="dxa"/>
          </w:tcPr>
          <w:p w:rsidR="00DE563D" w:rsidRDefault="00DE563D" w:rsidP="00DE563D">
            <w:pPr>
              <w:pStyle w:val="AERtabletextleft"/>
              <w:jc w:val="left"/>
              <w:cnfStyle w:val="000000010000" w:firstRow="0" w:lastRow="0" w:firstColumn="0" w:lastColumn="0" w:oddVBand="0" w:evenVBand="0" w:oddHBand="0" w:evenHBand="1" w:firstRowFirstColumn="0" w:firstRowLastColumn="0" w:lastRowFirstColumn="0" w:lastRowLastColumn="0"/>
            </w:pPr>
            <w:r>
              <w:t>Consumer Challenge Panel</w:t>
            </w:r>
          </w:p>
        </w:tc>
      </w:tr>
      <w:tr w:rsidR="00DE563D" w:rsidTr="00D414D8">
        <w:tc>
          <w:tcPr>
            <w:cnfStyle w:val="001000000000" w:firstRow="0" w:lastRow="0" w:firstColumn="1" w:lastColumn="0" w:oddVBand="0" w:evenVBand="0" w:oddHBand="0" w:evenHBand="0" w:firstRowFirstColumn="0" w:firstRowLastColumn="0" w:lastRowFirstColumn="0" w:lastRowLastColumn="0"/>
            <w:tcW w:w="4346" w:type="dxa"/>
          </w:tcPr>
          <w:p w:rsidR="00DE563D" w:rsidRDefault="00DE563D" w:rsidP="00DE563D">
            <w:pPr>
              <w:pStyle w:val="AERtabletextleft"/>
            </w:pPr>
            <w:r>
              <w:t>CESS</w:t>
            </w:r>
          </w:p>
        </w:tc>
        <w:tc>
          <w:tcPr>
            <w:tcW w:w="4347" w:type="dxa"/>
          </w:tcPr>
          <w:p w:rsidR="00DE563D"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pPr>
            <w:r>
              <w:t>capital expenditure sharing scheme</w:t>
            </w:r>
          </w:p>
        </w:tc>
      </w:tr>
      <w:tr w:rsidR="00DE563D" w:rsidTr="00D414D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6" w:type="dxa"/>
          </w:tcPr>
          <w:p w:rsidR="00DE563D" w:rsidRDefault="00DE563D" w:rsidP="00DE563D">
            <w:pPr>
              <w:pStyle w:val="AERtabletextleft"/>
            </w:pPr>
            <w:r>
              <w:t>CPI</w:t>
            </w:r>
          </w:p>
        </w:tc>
        <w:tc>
          <w:tcPr>
            <w:tcW w:w="4347" w:type="dxa"/>
          </w:tcPr>
          <w:p w:rsidR="00DE563D" w:rsidRDefault="00DE563D" w:rsidP="00DE563D">
            <w:pPr>
              <w:pStyle w:val="AERtabletextleft"/>
              <w:jc w:val="left"/>
              <w:cnfStyle w:val="000000010000" w:firstRow="0" w:lastRow="0" w:firstColumn="0" w:lastColumn="0" w:oddVBand="0" w:evenVBand="0" w:oddHBand="0" w:evenHBand="1" w:firstRowFirstColumn="0" w:firstRowLastColumn="0" w:lastRowFirstColumn="0" w:lastRowLastColumn="0"/>
            </w:pPr>
            <w:r>
              <w:t>consumer price index</w:t>
            </w:r>
          </w:p>
        </w:tc>
      </w:tr>
      <w:tr w:rsidR="00DE563D" w:rsidTr="00D414D8">
        <w:tc>
          <w:tcPr>
            <w:cnfStyle w:val="001000000000" w:firstRow="0" w:lastRow="0" w:firstColumn="1" w:lastColumn="0" w:oddVBand="0" w:evenVBand="0" w:oddHBand="0" w:evenHBand="0" w:firstRowFirstColumn="0" w:firstRowLastColumn="0" w:lastRowFirstColumn="0" w:lastRowLastColumn="0"/>
            <w:tcW w:w="4346" w:type="dxa"/>
          </w:tcPr>
          <w:p w:rsidR="00DE563D" w:rsidRDefault="00DE563D" w:rsidP="00DE563D">
            <w:pPr>
              <w:pStyle w:val="AERtabletextleft"/>
            </w:pPr>
            <w:r>
              <w:t>DRP</w:t>
            </w:r>
          </w:p>
        </w:tc>
        <w:tc>
          <w:tcPr>
            <w:tcW w:w="4347" w:type="dxa"/>
          </w:tcPr>
          <w:p w:rsidR="00DE563D"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pPr>
            <w:r>
              <w:t>debt risk premium</w:t>
            </w:r>
          </w:p>
        </w:tc>
      </w:tr>
      <w:tr w:rsidR="00DE563D" w:rsidTr="00D414D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6" w:type="dxa"/>
          </w:tcPr>
          <w:p w:rsidR="00DE563D" w:rsidRDefault="00DE563D" w:rsidP="00DE563D">
            <w:pPr>
              <w:pStyle w:val="AERtabletextleft"/>
            </w:pPr>
            <w:r>
              <w:t>DMIA</w:t>
            </w:r>
          </w:p>
        </w:tc>
        <w:tc>
          <w:tcPr>
            <w:tcW w:w="4347" w:type="dxa"/>
          </w:tcPr>
          <w:p w:rsidR="00DE563D" w:rsidRDefault="00DE563D" w:rsidP="00DE563D">
            <w:pPr>
              <w:pStyle w:val="AERtabletextleft"/>
              <w:jc w:val="left"/>
              <w:cnfStyle w:val="000000010000" w:firstRow="0" w:lastRow="0" w:firstColumn="0" w:lastColumn="0" w:oddVBand="0" w:evenVBand="0" w:oddHBand="0" w:evenHBand="1" w:firstRowFirstColumn="0" w:firstRowLastColumn="0" w:lastRowFirstColumn="0" w:lastRowLastColumn="0"/>
            </w:pPr>
            <w:r>
              <w:t>demand management innovation allowance</w:t>
            </w:r>
          </w:p>
        </w:tc>
      </w:tr>
      <w:tr w:rsidR="00DE563D" w:rsidTr="00D414D8">
        <w:tc>
          <w:tcPr>
            <w:cnfStyle w:val="001000000000" w:firstRow="0" w:lastRow="0" w:firstColumn="1" w:lastColumn="0" w:oddVBand="0" w:evenVBand="0" w:oddHBand="0" w:evenHBand="0" w:firstRowFirstColumn="0" w:firstRowLastColumn="0" w:lastRowFirstColumn="0" w:lastRowLastColumn="0"/>
            <w:tcW w:w="4346" w:type="dxa"/>
          </w:tcPr>
          <w:p w:rsidR="00DE563D" w:rsidRDefault="00DE563D" w:rsidP="00DE563D">
            <w:pPr>
              <w:pStyle w:val="AERtabletextleft"/>
            </w:pPr>
            <w:r>
              <w:t>DMIS</w:t>
            </w:r>
          </w:p>
        </w:tc>
        <w:tc>
          <w:tcPr>
            <w:tcW w:w="4347" w:type="dxa"/>
          </w:tcPr>
          <w:p w:rsidR="00DE563D"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pPr>
            <w:r>
              <w:t>demand management incentive scheme</w:t>
            </w:r>
          </w:p>
        </w:tc>
      </w:tr>
      <w:tr w:rsidR="00DE563D" w:rsidTr="00D414D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6" w:type="dxa"/>
          </w:tcPr>
          <w:p w:rsidR="00DE563D" w:rsidRDefault="00DE563D" w:rsidP="00DE563D">
            <w:pPr>
              <w:pStyle w:val="AERtabletextleft"/>
            </w:pPr>
            <w:r>
              <w:t>distributor</w:t>
            </w:r>
          </w:p>
        </w:tc>
        <w:tc>
          <w:tcPr>
            <w:tcW w:w="4347" w:type="dxa"/>
          </w:tcPr>
          <w:p w:rsidR="00DE563D" w:rsidRDefault="00DE563D" w:rsidP="00DE563D">
            <w:pPr>
              <w:pStyle w:val="AERtabletextleft"/>
              <w:jc w:val="left"/>
              <w:cnfStyle w:val="000000010000" w:firstRow="0" w:lastRow="0" w:firstColumn="0" w:lastColumn="0" w:oddVBand="0" w:evenVBand="0" w:oddHBand="0" w:evenHBand="1" w:firstRowFirstColumn="0" w:firstRowLastColumn="0" w:lastRowFirstColumn="0" w:lastRowLastColumn="0"/>
            </w:pPr>
            <w:r>
              <w:t>distribution network service provider</w:t>
            </w:r>
          </w:p>
        </w:tc>
      </w:tr>
      <w:tr w:rsidR="00DE563D" w:rsidTr="00D414D8">
        <w:tc>
          <w:tcPr>
            <w:cnfStyle w:val="001000000000" w:firstRow="0" w:lastRow="0" w:firstColumn="1" w:lastColumn="0" w:oddVBand="0" w:evenVBand="0" w:oddHBand="0" w:evenHBand="0" w:firstRowFirstColumn="0" w:firstRowLastColumn="0" w:lastRowFirstColumn="0" w:lastRowLastColumn="0"/>
            <w:tcW w:w="4346" w:type="dxa"/>
          </w:tcPr>
          <w:p w:rsidR="00DE563D" w:rsidRDefault="00DE563D" w:rsidP="00DE563D">
            <w:pPr>
              <w:pStyle w:val="AERtabletextleft"/>
            </w:pPr>
            <w:r>
              <w:t>DUoS</w:t>
            </w:r>
          </w:p>
        </w:tc>
        <w:tc>
          <w:tcPr>
            <w:tcW w:w="4347" w:type="dxa"/>
          </w:tcPr>
          <w:p w:rsidR="00DE563D"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pPr>
            <w:r>
              <w:t>distribution use of system</w:t>
            </w:r>
          </w:p>
        </w:tc>
      </w:tr>
      <w:tr w:rsidR="00DE563D" w:rsidTr="00D414D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6" w:type="dxa"/>
          </w:tcPr>
          <w:p w:rsidR="00DE563D" w:rsidRDefault="00DE563D" w:rsidP="00DE563D">
            <w:pPr>
              <w:pStyle w:val="AERtabletextleft"/>
            </w:pPr>
            <w:r>
              <w:t>EBSS</w:t>
            </w:r>
          </w:p>
        </w:tc>
        <w:tc>
          <w:tcPr>
            <w:tcW w:w="4347" w:type="dxa"/>
          </w:tcPr>
          <w:p w:rsidR="00DE563D" w:rsidRDefault="00DE563D" w:rsidP="00DE563D">
            <w:pPr>
              <w:pStyle w:val="AERtabletextleft"/>
              <w:jc w:val="left"/>
              <w:cnfStyle w:val="000000010000" w:firstRow="0" w:lastRow="0" w:firstColumn="0" w:lastColumn="0" w:oddVBand="0" w:evenVBand="0" w:oddHBand="0" w:evenHBand="1" w:firstRowFirstColumn="0" w:firstRowLastColumn="0" w:lastRowFirstColumn="0" w:lastRowLastColumn="0"/>
            </w:pPr>
            <w:r>
              <w:t>efficiency benefit sharing scheme</w:t>
            </w:r>
          </w:p>
        </w:tc>
      </w:tr>
      <w:tr w:rsidR="00DE563D" w:rsidTr="00D414D8">
        <w:tc>
          <w:tcPr>
            <w:cnfStyle w:val="001000000000" w:firstRow="0" w:lastRow="0" w:firstColumn="1" w:lastColumn="0" w:oddVBand="0" w:evenVBand="0" w:oddHBand="0" w:evenHBand="0" w:firstRowFirstColumn="0" w:firstRowLastColumn="0" w:lastRowFirstColumn="0" w:lastRowLastColumn="0"/>
            <w:tcW w:w="4346" w:type="dxa"/>
          </w:tcPr>
          <w:p w:rsidR="00DE563D" w:rsidRDefault="00DE563D" w:rsidP="00DE563D">
            <w:pPr>
              <w:pStyle w:val="AERtabletextleft"/>
            </w:pPr>
            <w:r>
              <w:t>ERP</w:t>
            </w:r>
          </w:p>
        </w:tc>
        <w:tc>
          <w:tcPr>
            <w:tcW w:w="4347" w:type="dxa"/>
          </w:tcPr>
          <w:p w:rsidR="00DE563D"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pPr>
            <w:r>
              <w:t>equity risk premium</w:t>
            </w:r>
          </w:p>
        </w:tc>
      </w:tr>
      <w:tr w:rsidR="00DE563D" w:rsidTr="00D414D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6" w:type="dxa"/>
          </w:tcPr>
          <w:p w:rsidR="00DE563D" w:rsidRDefault="006570C6" w:rsidP="00DE563D">
            <w:pPr>
              <w:pStyle w:val="AERtabletextleft"/>
            </w:pPr>
            <w:r>
              <w:t>E</w:t>
            </w:r>
            <w:r w:rsidR="00DE563D">
              <w:t xml:space="preserve">xpenditure </w:t>
            </w:r>
            <w:r>
              <w:t>A</w:t>
            </w:r>
            <w:r w:rsidR="00DE563D">
              <w:t xml:space="preserve">ssessment </w:t>
            </w:r>
            <w:r>
              <w:t>G</w:t>
            </w:r>
            <w:r w:rsidR="00DE563D">
              <w:t>uideline</w:t>
            </w:r>
          </w:p>
        </w:tc>
        <w:tc>
          <w:tcPr>
            <w:tcW w:w="4347" w:type="dxa"/>
          </w:tcPr>
          <w:p w:rsidR="00DE563D" w:rsidRDefault="00603935" w:rsidP="00603935">
            <w:pPr>
              <w:pStyle w:val="AERtabletextleft"/>
              <w:jc w:val="left"/>
              <w:cnfStyle w:val="000000010000" w:firstRow="0" w:lastRow="0" w:firstColumn="0" w:lastColumn="0" w:oddVBand="0" w:evenVBand="0" w:oddHBand="0" w:evenHBand="1" w:firstRowFirstColumn="0" w:firstRowLastColumn="0" w:lastRowFirstColumn="0" w:lastRowLastColumn="0"/>
            </w:pPr>
            <w:r>
              <w:t>E</w:t>
            </w:r>
            <w:r w:rsidR="00DE563D">
              <w:t xml:space="preserve">xpenditure </w:t>
            </w:r>
            <w:r>
              <w:t>F</w:t>
            </w:r>
            <w:r w:rsidR="00DE563D">
              <w:t xml:space="preserve">orecast </w:t>
            </w:r>
            <w:r>
              <w:t>A</w:t>
            </w:r>
            <w:r w:rsidR="00DE563D">
              <w:t xml:space="preserve">ssessment </w:t>
            </w:r>
            <w:r w:rsidR="006570C6">
              <w:t>G</w:t>
            </w:r>
            <w:r w:rsidR="00DE563D">
              <w:t>uideline for electricity distribution</w:t>
            </w:r>
          </w:p>
        </w:tc>
      </w:tr>
      <w:tr w:rsidR="00DE563D" w:rsidTr="00D414D8">
        <w:tc>
          <w:tcPr>
            <w:cnfStyle w:val="001000000000" w:firstRow="0" w:lastRow="0" w:firstColumn="1" w:lastColumn="0" w:oddVBand="0" w:evenVBand="0" w:oddHBand="0" w:evenHBand="0" w:firstRowFirstColumn="0" w:firstRowLastColumn="0" w:lastRowFirstColumn="0" w:lastRowLastColumn="0"/>
            <w:tcW w:w="4346" w:type="dxa"/>
          </w:tcPr>
          <w:p w:rsidR="00DE563D" w:rsidRDefault="00DE563D" w:rsidP="00DE563D">
            <w:pPr>
              <w:pStyle w:val="AERtabletextleft"/>
            </w:pPr>
            <w:r>
              <w:t>F&amp;A</w:t>
            </w:r>
          </w:p>
        </w:tc>
        <w:tc>
          <w:tcPr>
            <w:tcW w:w="4347" w:type="dxa"/>
          </w:tcPr>
          <w:p w:rsidR="00DE563D"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pPr>
            <w:r>
              <w:t>framework and approach</w:t>
            </w:r>
          </w:p>
        </w:tc>
      </w:tr>
      <w:tr w:rsidR="00DE563D" w:rsidTr="00D414D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6" w:type="dxa"/>
          </w:tcPr>
          <w:p w:rsidR="00DE563D" w:rsidRDefault="00DE563D" w:rsidP="00DE563D">
            <w:pPr>
              <w:pStyle w:val="AERtabletextleft"/>
            </w:pPr>
            <w:r>
              <w:t>MRP</w:t>
            </w:r>
          </w:p>
        </w:tc>
        <w:tc>
          <w:tcPr>
            <w:tcW w:w="4347" w:type="dxa"/>
          </w:tcPr>
          <w:p w:rsidR="00DE563D" w:rsidRDefault="00DE563D" w:rsidP="00DE563D">
            <w:pPr>
              <w:pStyle w:val="AERtabletextleft"/>
              <w:jc w:val="left"/>
              <w:cnfStyle w:val="000000010000" w:firstRow="0" w:lastRow="0" w:firstColumn="0" w:lastColumn="0" w:oddVBand="0" w:evenVBand="0" w:oddHBand="0" w:evenHBand="1" w:firstRowFirstColumn="0" w:firstRowLastColumn="0" w:lastRowFirstColumn="0" w:lastRowLastColumn="0"/>
            </w:pPr>
            <w:r>
              <w:t>market risk premium</w:t>
            </w:r>
          </w:p>
        </w:tc>
      </w:tr>
      <w:tr w:rsidR="00DE563D" w:rsidTr="00D414D8">
        <w:tc>
          <w:tcPr>
            <w:cnfStyle w:val="001000000000" w:firstRow="0" w:lastRow="0" w:firstColumn="1" w:lastColumn="0" w:oddVBand="0" w:evenVBand="0" w:oddHBand="0" w:evenHBand="0" w:firstRowFirstColumn="0" w:firstRowLastColumn="0" w:lastRowFirstColumn="0" w:lastRowLastColumn="0"/>
            <w:tcW w:w="4346" w:type="dxa"/>
          </w:tcPr>
          <w:p w:rsidR="00DE563D" w:rsidRDefault="00DE563D" w:rsidP="00DE563D">
            <w:pPr>
              <w:pStyle w:val="AERtabletextleft"/>
            </w:pPr>
            <w:r>
              <w:t>NEL</w:t>
            </w:r>
          </w:p>
        </w:tc>
        <w:tc>
          <w:tcPr>
            <w:tcW w:w="4347" w:type="dxa"/>
          </w:tcPr>
          <w:p w:rsidR="00DE563D"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pPr>
            <w:r>
              <w:t>national electricity law</w:t>
            </w:r>
          </w:p>
        </w:tc>
      </w:tr>
      <w:tr w:rsidR="00DE563D" w:rsidTr="00D414D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6" w:type="dxa"/>
          </w:tcPr>
          <w:p w:rsidR="00DE563D" w:rsidRDefault="00DE563D" w:rsidP="00DE563D">
            <w:pPr>
              <w:pStyle w:val="AERtabletextleft"/>
            </w:pPr>
            <w:r>
              <w:t>NEM</w:t>
            </w:r>
          </w:p>
        </w:tc>
        <w:tc>
          <w:tcPr>
            <w:tcW w:w="4347" w:type="dxa"/>
          </w:tcPr>
          <w:p w:rsidR="00DE563D" w:rsidRDefault="00DE563D" w:rsidP="00DE563D">
            <w:pPr>
              <w:pStyle w:val="AERtabletextleft"/>
              <w:jc w:val="left"/>
              <w:cnfStyle w:val="000000010000" w:firstRow="0" w:lastRow="0" w:firstColumn="0" w:lastColumn="0" w:oddVBand="0" w:evenVBand="0" w:oddHBand="0" w:evenHBand="1" w:firstRowFirstColumn="0" w:firstRowLastColumn="0" w:lastRowFirstColumn="0" w:lastRowLastColumn="0"/>
            </w:pPr>
            <w:r>
              <w:t>national electricity market</w:t>
            </w:r>
          </w:p>
        </w:tc>
      </w:tr>
      <w:tr w:rsidR="00DE563D" w:rsidTr="00D414D8">
        <w:tc>
          <w:tcPr>
            <w:cnfStyle w:val="001000000000" w:firstRow="0" w:lastRow="0" w:firstColumn="1" w:lastColumn="0" w:oddVBand="0" w:evenVBand="0" w:oddHBand="0" w:evenHBand="0" w:firstRowFirstColumn="0" w:firstRowLastColumn="0" w:lastRowFirstColumn="0" w:lastRowLastColumn="0"/>
            <w:tcW w:w="4346" w:type="dxa"/>
          </w:tcPr>
          <w:p w:rsidR="00DE563D" w:rsidRDefault="00DE563D" w:rsidP="00DE563D">
            <w:pPr>
              <w:pStyle w:val="AERtabletextleft"/>
            </w:pPr>
            <w:r>
              <w:t>NEO</w:t>
            </w:r>
          </w:p>
        </w:tc>
        <w:tc>
          <w:tcPr>
            <w:tcW w:w="4347" w:type="dxa"/>
          </w:tcPr>
          <w:p w:rsidR="00DE563D"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pPr>
            <w:r>
              <w:t>national electricity objective</w:t>
            </w:r>
          </w:p>
        </w:tc>
      </w:tr>
      <w:tr w:rsidR="00DE563D" w:rsidTr="00D414D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6" w:type="dxa"/>
          </w:tcPr>
          <w:p w:rsidR="00DE563D" w:rsidRDefault="00DE563D" w:rsidP="00DE563D">
            <w:pPr>
              <w:pStyle w:val="AERtabletextleft"/>
            </w:pPr>
            <w:r>
              <w:t>NER</w:t>
            </w:r>
          </w:p>
        </w:tc>
        <w:tc>
          <w:tcPr>
            <w:tcW w:w="4347" w:type="dxa"/>
          </w:tcPr>
          <w:p w:rsidR="00DE563D" w:rsidRDefault="00DE563D" w:rsidP="00DE563D">
            <w:pPr>
              <w:pStyle w:val="AERtabletextleft"/>
              <w:jc w:val="left"/>
              <w:cnfStyle w:val="000000010000" w:firstRow="0" w:lastRow="0" w:firstColumn="0" w:lastColumn="0" w:oddVBand="0" w:evenVBand="0" w:oddHBand="0" w:evenHBand="1" w:firstRowFirstColumn="0" w:firstRowLastColumn="0" w:lastRowFirstColumn="0" w:lastRowLastColumn="0"/>
            </w:pPr>
            <w:r>
              <w:t>national electricity rules</w:t>
            </w:r>
          </w:p>
        </w:tc>
      </w:tr>
      <w:tr w:rsidR="00DE563D" w:rsidTr="00D414D8">
        <w:tc>
          <w:tcPr>
            <w:cnfStyle w:val="001000000000" w:firstRow="0" w:lastRow="0" w:firstColumn="1" w:lastColumn="0" w:oddVBand="0" w:evenVBand="0" w:oddHBand="0" w:evenHBand="0" w:firstRowFirstColumn="0" w:firstRowLastColumn="0" w:lastRowFirstColumn="0" w:lastRowLastColumn="0"/>
            <w:tcW w:w="4346" w:type="dxa"/>
          </w:tcPr>
          <w:p w:rsidR="00DE563D" w:rsidRDefault="00DE563D" w:rsidP="00DE563D">
            <w:pPr>
              <w:pStyle w:val="AERtabletextleft"/>
            </w:pPr>
            <w:r>
              <w:t>NSP</w:t>
            </w:r>
          </w:p>
        </w:tc>
        <w:tc>
          <w:tcPr>
            <w:tcW w:w="4347" w:type="dxa"/>
          </w:tcPr>
          <w:p w:rsidR="00DE563D"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pPr>
            <w:r>
              <w:t>network service provider</w:t>
            </w:r>
          </w:p>
        </w:tc>
      </w:tr>
      <w:tr w:rsidR="00DE563D" w:rsidTr="00D414D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6" w:type="dxa"/>
          </w:tcPr>
          <w:p w:rsidR="00DE563D" w:rsidRDefault="00DE563D" w:rsidP="00DE563D">
            <w:pPr>
              <w:pStyle w:val="AERtabletextleft"/>
            </w:pPr>
            <w:r>
              <w:t>opex</w:t>
            </w:r>
          </w:p>
        </w:tc>
        <w:tc>
          <w:tcPr>
            <w:tcW w:w="4347" w:type="dxa"/>
          </w:tcPr>
          <w:p w:rsidR="00DE563D" w:rsidRDefault="00DE563D" w:rsidP="00DE563D">
            <w:pPr>
              <w:pStyle w:val="AERtabletextleft"/>
              <w:jc w:val="left"/>
              <w:cnfStyle w:val="000000010000" w:firstRow="0" w:lastRow="0" w:firstColumn="0" w:lastColumn="0" w:oddVBand="0" w:evenVBand="0" w:oddHBand="0" w:evenHBand="1" w:firstRowFirstColumn="0" w:firstRowLastColumn="0" w:lastRowFirstColumn="0" w:lastRowLastColumn="0"/>
            </w:pPr>
            <w:r>
              <w:t>operating expenditure</w:t>
            </w:r>
          </w:p>
        </w:tc>
      </w:tr>
      <w:tr w:rsidR="00DE563D" w:rsidTr="00D414D8">
        <w:tc>
          <w:tcPr>
            <w:cnfStyle w:val="001000000000" w:firstRow="0" w:lastRow="0" w:firstColumn="1" w:lastColumn="0" w:oddVBand="0" w:evenVBand="0" w:oddHBand="0" w:evenHBand="0" w:firstRowFirstColumn="0" w:firstRowLastColumn="0" w:lastRowFirstColumn="0" w:lastRowLastColumn="0"/>
            <w:tcW w:w="4346" w:type="dxa"/>
          </w:tcPr>
          <w:p w:rsidR="00DE563D" w:rsidRDefault="00DE563D" w:rsidP="00DE563D">
            <w:pPr>
              <w:pStyle w:val="AERtabletextleft"/>
            </w:pPr>
            <w:r>
              <w:t>PPI</w:t>
            </w:r>
          </w:p>
        </w:tc>
        <w:tc>
          <w:tcPr>
            <w:tcW w:w="4347" w:type="dxa"/>
          </w:tcPr>
          <w:p w:rsidR="00DE563D"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pPr>
            <w:r>
              <w:t>partial performance indicators</w:t>
            </w:r>
          </w:p>
        </w:tc>
      </w:tr>
      <w:tr w:rsidR="00DE563D" w:rsidTr="00D414D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6" w:type="dxa"/>
          </w:tcPr>
          <w:p w:rsidR="00DE563D" w:rsidRDefault="00DE563D" w:rsidP="00DE563D">
            <w:pPr>
              <w:pStyle w:val="AERtabletextleft"/>
            </w:pPr>
            <w:r>
              <w:lastRenderedPageBreak/>
              <w:t>PTRM</w:t>
            </w:r>
          </w:p>
        </w:tc>
        <w:tc>
          <w:tcPr>
            <w:tcW w:w="4347" w:type="dxa"/>
          </w:tcPr>
          <w:p w:rsidR="00DE563D" w:rsidRDefault="00DE563D" w:rsidP="00DE563D">
            <w:pPr>
              <w:pStyle w:val="AERtabletextleft"/>
              <w:jc w:val="left"/>
              <w:cnfStyle w:val="000000010000" w:firstRow="0" w:lastRow="0" w:firstColumn="0" w:lastColumn="0" w:oddVBand="0" w:evenVBand="0" w:oddHBand="0" w:evenHBand="1" w:firstRowFirstColumn="0" w:firstRowLastColumn="0" w:lastRowFirstColumn="0" w:lastRowLastColumn="0"/>
            </w:pPr>
            <w:r>
              <w:t>post-tax revenue model</w:t>
            </w:r>
          </w:p>
        </w:tc>
      </w:tr>
      <w:tr w:rsidR="00DE563D" w:rsidTr="00D414D8">
        <w:tc>
          <w:tcPr>
            <w:cnfStyle w:val="001000000000" w:firstRow="0" w:lastRow="0" w:firstColumn="1" w:lastColumn="0" w:oddVBand="0" w:evenVBand="0" w:oddHBand="0" w:evenHBand="0" w:firstRowFirstColumn="0" w:firstRowLastColumn="0" w:lastRowFirstColumn="0" w:lastRowLastColumn="0"/>
            <w:tcW w:w="4346" w:type="dxa"/>
          </w:tcPr>
          <w:p w:rsidR="00DE563D" w:rsidRDefault="00DE563D" w:rsidP="00DE563D">
            <w:pPr>
              <w:pStyle w:val="AERtabletextleft"/>
            </w:pPr>
            <w:r>
              <w:t>RAB</w:t>
            </w:r>
          </w:p>
        </w:tc>
        <w:tc>
          <w:tcPr>
            <w:tcW w:w="4347" w:type="dxa"/>
          </w:tcPr>
          <w:p w:rsidR="00DE563D"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pPr>
            <w:r>
              <w:t>regulatory asset base</w:t>
            </w:r>
          </w:p>
        </w:tc>
      </w:tr>
      <w:tr w:rsidR="00DE563D" w:rsidTr="00D414D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6" w:type="dxa"/>
          </w:tcPr>
          <w:p w:rsidR="00DE563D" w:rsidRDefault="00DE563D" w:rsidP="00DE563D">
            <w:pPr>
              <w:pStyle w:val="AERtabletextleft"/>
            </w:pPr>
            <w:r>
              <w:t>RBA</w:t>
            </w:r>
          </w:p>
        </w:tc>
        <w:tc>
          <w:tcPr>
            <w:tcW w:w="4347" w:type="dxa"/>
          </w:tcPr>
          <w:p w:rsidR="00DE563D" w:rsidRDefault="00DE563D" w:rsidP="00DE563D">
            <w:pPr>
              <w:pStyle w:val="AERtabletextleft"/>
              <w:jc w:val="left"/>
              <w:cnfStyle w:val="000000010000" w:firstRow="0" w:lastRow="0" w:firstColumn="0" w:lastColumn="0" w:oddVBand="0" w:evenVBand="0" w:oddHBand="0" w:evenHBand="1" w:firstRowFirstColumn="0" w:firstRowLastColumn="0" w:lastRowFirstColumn="0" w:lastRowLastColumn="0"/>
            </w:pPr>
            <w:r>
              <w:t>Reserve Bank of Australia</w:t>
            </w:r>
          </w:p>
        </w:tc>
      </w:tr>
      <w:tr w:rsidR="00DE563D" w:rsidTr="00D414D8">
        <w:tc>
          <w:tcPr>
            <w:cnfStyle w:val="001000000000" w:firstRow="0" w:lastRow="0" w:firstColumn="1" w:lastColumn="0" w:oddVBand="0" w:evenVBand="0" w:oddHBand="0" w:evenHBand="0" w:firstRowFirstColumn="0" w:firstRowLastColumn="0" w:lastRowFirstColumn="0" w:lastRowLastColumn="0"/>
            <w:tcW w:w="4346" w:type="dxa"/>
          </w:tcPr>
          <w:p w:rsidR="00DE563D" w:rsidRDefault="00DE563D" w:rsidP="00DE563D">
            <w:pPr>
              <w:pStyle w:val="AERtabletextleft"/>
            </w:pPr>
            <w:r>
              <w:t>repex</w:t>
            </w:r>
          </w:p>
        </w:tc>
        <w:tc>
          <w:tcPr>
            <w:tcW w:w="4347" w:type="dxa"/>
          </w:tcPr>
          <w:p w:rsidR="00DE563D"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pPr>
            <w:r>
              <w:t>replacement expenditure</w:t>
            </w:r>
          </w:p>
        </w:tc>
      </w:tr>
      <w:tr w:rsidR="00DE563D" w:rsidTr="00D414D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6" w:type="dxa"/>
          </w:tcPr>
          <w:p w:rsidR="00DE563D" w:rsidRDefault="00DE563D" w:rsidP="00DE563D">
            <w:pPr>
              <w:pStyle w:val="AERtabletextleft"/>
            </w:pPr>
            <w:r>
              <w:t>RFM</w:t>
            </w:r>
          </w:p>
        </w:tc>
        <w:tc>
          <w:tcPr>
            <w:tcW w:w="4347" w:type="dxa"/>
          </w:tcPr>
          <w:p w:rsidR="00DE563D" w:rsidRDefault="00DE563D" w:rsidP="00DE563D">
            <w:pPr>
              <w:pStyle w:val="AERtabletextleft"/>
              <w:jc w:val="left"/>
              <w:cnfStyle w:val="000000010000" w:firstRow="0" w:lastRow="0" w:firstColumn="0" w:lastColumn="0" w:oddVBand="0" w:evenVBand="0" w:oddHBand="0" w:evenHBand="1" w:firstRowFirstColumn="0" w:firstRowLastColumn="0" w:lastRowFirstColumn="0" w:lastRowLastColumn="0"/>
            </w:pPr>
            <w:r>
              <w:t>roll forward model</w:t>
            </w:r>
          </w:p>
        </w:tc>
      </w:tr>
      <w:tr w:rsidR="00DE563D" w:rsidTr="00D414D8">
        <w:tc>
          <w:tcPr>
            <w:cnfStyle w:val="001000000000" w:firstRow="0" w:lastRow="0" w:firstColumn="1" w:lastColumn="0" w:oddVBand="0" w:evenVBand="0" w:oddHBand="0" w:evenHBand="0" w:firstRowFirstColumn="0" w:firstRowLastColumn="0" w:lastRowFirstColumn="0" w:lastRowLastColumn="0"/>
            <w:tcW w:w="4346" w:type="dxa"/>
          </w:tcPr>
          <w:p w:rsidR="00DE563D" w:rsidRDefault="00DE563D" w:rsidP="00DE563D">
            <w:pPr>
              <w:pStyle w:val="AERtabletextleft"/>
            </w:pPr>
            <w:r>
              <w:t>RIN</w:t>
            </w:r>
          </w:p>
        </w:tc>
        <w:tc>
          <w:tcPr>
            <w:tcW w:w="4347" w:type="dxa"/>
          </w:tcPr>
          <w:p w:rsidR="00DE563D"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pPr>
            <w:r>
              <w:t>regulatory information notice</w:t>
            </w:r>
          </w:p>
        </w:tc>
      </w:tr>
      <w:tr w:rsidR="00DE563D" w:rsidTr="00D414D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6" w:type="dxa"/>
          </w:tcPr>
          <w:p w:rsidR="00DE563D" w:rsidRDefault="00DE563D" w:rsidP="00DE563D">
            <w:pPr>
              <w:pStyle w:val="AERtabletextleft"/>
            </w:pPr>
            <w:r>
              <w:t>RPP</w:t>
            </w:r>
          </w:p>
        </w:tc>
        <w:tc>
          <w:tcPr>
            <w:tcW w:w="4347" w:type="dxa"/>
          </w:tcPr>
          <w:p w:rsidR="00DE563D" w:rsidRDefault="00DE563D" w:rsidP="00DE563D">
            <w:pPr>
              <w:pStyle w:val="AERtabletextleft"/>
              <w:jc w:val="left"/>
              <w:cnfStyle w:val="000000010000" w:firstRow="0" w:lastRow="0" w:firstColumn="0" w:lastColumn="0" w:oddVBand="0" w:evenVBand="0" w:oddHBand="0" w:evenHBand="1" w:firstRowFirstColumn="0" w:firstRowLastColumn="0" w:lastRowFirstColumn="0" w:lastRowLastColumn="0"/>
            </w:pPr>
            <w:r>
              <w:t xml:space="preserve">revenue </w:t>
            </w:r>
            <w:r w:rsidR="00D448B6">
              <w:t xml:space="preserve">and </w:t>
            </w:r>
            <w:r>
              <w:t>pricing principles</w:t>
            </w:r>
          </w:p>
        </w:tc>
      </w:tr>
      <w:tr w:rsidR="00DE563D" w:rsidTr="00D414D8">
        <w:tc>
          <w:tcPr>
            <w:cnfStyle w:val="001000000000" w:firstRow="0" w:lastRow="0" w:firstColumn="1" w:lastColumn="0" w:oddVBand="0" w:evenVBand="0" w:oddHBand="0" w:evenHBand="0" w:firstRowFirstColumn="0" w:firstRowLastColumn="0" w:lastRowFirstColumn="0" w:lastRowLastColumn="0"/>
            <w:tcW w:w="4346" w:type="dxa"/>
          </w:tcPr>
          <w:p w:rsidR="00DE563D" w:rsidRDefault="00DE563D" w:rsidP="00DE563D">
            <w:pPr>
              <w:pStyle w:val="AERtabletextleft"/>
            </w:pPr>
            <w:r>
              <w:t>SAIDI</w:t>
            </w:r>
          </w:p>
        </w:tc>
        <w:tc>
          <w:tcPr>
            <w:tcW w:w="4347" w:type="dxa"/>
          </w:tcPr>
          <w:p w:rsidR="00DE563D"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pPr>
            <w:r>
              <w:t>system average interruption duration index</w:t>
            </w:r>
          </w:p>
        </w:tc>
      </w:tr>
      <w:tr w:rsidR="00DE563D" w:rsidTr="00D414D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6" w:type="dxa"/>
          </w:tcPr>
          <w:p w:rsidR="00DE563D" w:rsidRDefault="00DE563D" w:rsidP="00DE563D">
            <w:pPr>
              <w:pStyle w:val="AERtabletextleft"/>
            </w:pPr>
            <w:r>
              <w:t>SAIFI</w:t>
            </w:r>
          </w:p>
        </w:tc>
        <w:tc>
          <w:tcPr>
            <w:tcW w:w="4347" w:type="dxa"/>
          </w:tcPr>
          <w:p w:rsidR="00DE563D" w:rsidRDefault="00DE563D" w:rsidP="00DE563D">
            <w:pPr>
              <w:pStyle w:val="AERtabletextleft"/>
              <w:jc w:val="center"/>
              <w:cnfStyle w:val="000000010000" w:firstRow="0" w:lastRow="0" w:firstColumn="0" w:lastColumn="0" w:oddVBand="0" w:evenVBand="0" w:oddHBand="0" w:evenHBand="1" w:firstRowFirstColumn="0" w:firstRowLastColumn="0" w:lastRowFirstColumn="0" w:lastRowLastColumn="0"/>
            </w:pPr>
            <w:r>
              <w:t>system average interruption frequency index</w:t>
            </w:r>
          </w:p>
        </w:tc>
      </w:tr>
      <w:tr w:rsidR="00DE563D" w:rsidTr="00D414D8">
        <w:tc>
          <w:tcPr>
            <w:cnfStyle w:val="001000000000" w:firstRow="0" w:lastRow="0" w:firstColumn="1" w:lastColumn="0" w:oddVBand="0" w:evenVBand="0" w:oddHBand="0" w:evenHBand="0" w:firstRowFirstColumn="0" w:firstRowLastColumn="0" w:lastRowFirstColumn="0" w:lastRowLastColumn="0"/>
            <w:tcW w:w="4346" w:type="dxa"/>
          </w:tcPr>
          <w:p w:rsidR="00DE563D" w:rsidRDefault="00DE563D" w:rsidP="00DE563D">
            <w:pPr>
              <w:pStyle w:val="AERtabletextleft"/>
            </w:pPr>
            <w:r>
              <w:t>SLCAPM</w:t>
            </w:r>
          </w:p>
        </w:tc>
        <w:tc>
          <w:tcPr>
            <w:tcW w:w="4347" w:type="dxa"/>
          </w:tcPr>
          <w:p w:rsidR="00DE563D"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pPr>
            <w:r>
              <w:t>Sharpe-Lintner capital asset pricing model</w:t>
            </w:r>
          </w:p>
        </w:tc>
      </w:tr>
      <w:tr w:rsidR="00DE563D" w:rsidTr="00D414D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6" w:type="dxa"/>
          </w:tcPr>
          <w:p w:rsidR="00DE563D" w:rsidRDefault="00DE563D" w:rsidP="00DE563D">
            <w:pPr>
              <w:pStyle w:val="AERtabletextleft"/>
            </w:pPr>
            <w:r>
              <w:t>STPIS</w:t>
            </w:r>
          </w:p>
        </w:tc>
        <w:tc>
          <w:tcPr>
            <w:tcW w:w="4347" w:type="dxa"/>
          </w:tcPr>
          <w:p w:rsidR="00DE563D" w:rsidRDefault="00DE563D" w:rsidP="00DE563D">
            <w:pPr>
              <w:pStyle w:val="AERtabletextleft"/>
              <w:jc w:val="center"/>
              <w:cnfStyle w:val="000000010000" w:firstRow="0" w:lastRow="0" w:firstColumn="0" w:lastColumn="0" w:oddVBand="0" w:evenVBand="0" w:oddHBand="0" w:evenHBand="1" w:firstRowFirstColumn="0" w:firstRowLastColumn="0" w:lastRowFirstColumn="0" w:lastRowLastColumn="0"/>
            </w:pPr>
            <w:r>
              <w:t>service target performance incentive scheme</w:t>
            </w:r>
          </w:p>
        </w:tc>
      </w:tr>
      <w:tr w:rsidR="00DE563D" w:rsidTr="00D414D8">
        <w:tc>
          <w:tcPr>
            <w:cnfStyle w:val="001000000000" w:firstRow="0" w:lastRow="0" w:firstColumn="1" w:lastColumn="0" w:oddVBand="0" w:evenVBand="0" w:oddHBand="0" w:evenHBand="0" w:firstRowFirstColumn="0" w:firstRowLastColumn="0" w:lastRowFirstColumn="0" w:lastRowLastColumn="0"/>
            <w:tcW w:w="4346" w:type="dxa"/>
          </w:tcPr>
          <w:p w:rsidR="00DE563D" w:rsidRDefault="00DE563D" w:rsidP="00DE563D">
            <w:pPr>
              <w:pStyle w:val="AERtabletextleft"/>
            </w:pPr>
            <w:r>
              <w:t>WACC</w:t>
            </w:r>
          </w:p>
        </w:tc>
        <w:tc>
          <w:tcPr>
            <w:tcW w:w="4347" w:type="dxa"/>
          </w:tcPr>
          <w:p w:rsidR="00DE563D"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pPr>
            <w:r>
              <w:t>weighted average cost of capital</w:t>
            </w:r>
          </w:p>
        </w:tc>
      </w:tr>
    </w:tbl>
    <w:p w:rsidR="00DE563D" w:rsidRPr="00271F7C" w:rsidRDefault="00DE563D" w:rsidP="00DE563D">
      <w:pPr>
        <w:numPr>
          <w:ilvl w:val="0"/>
          <w:numId w:val="25"/>
        </w:numPr>
      </w:pPr>
    </w:p>
    <w:p w:rsidR="00DE563D" w:rsidRPr="00436A39" w:rsidRDefault="00DE563D" w:rsidP="00DE563D">
      <w:pPr>
        <w:numPr>
          <w:ilvl w:val="0"/>
          <w:numId w:val="25"/>
        </w:numPr>
      </w:pPr>
    </w:p>
    <w:p w:rsidR="00DE563D" w:rsidRDefault="00DE563D" w:rsidP="00DE563D"/>
    <w:p w:rsidR="00DE563D" w:rsidRPr="004E080E" w:rsidRDefault="007E5F5D" w:rsidP="004E080E">
      <w:pPr>
        <w:pStyle w:val="Heading1"/>
      </w:pPr>
      <w:bookmarkStart w:id="10" w:name="_Toc417658674"/>
      <w:r w:rsidRPr="004E080E">
        <w:lastRenderedPageBreak/>
        <w:t>Pass through events</w:t>
      </w:r>
      <w:bookmarkEnd w:id="10"/>
    </w:p>
    <w:p w:rsidR="00380C1D" w:rsidRDefault="00380C1D" w:rsidP="00380C1D">
      <w:pPr>
        <w:numPr>
          <w:ilvl w:val="0"/>
          <w:numId w:val="25"/>
        </w:numPr>
      </w:pPr>
      <w:r w:rsidRPr="00CE0422">
        <w:t xml:space="preserve">The pass through mechanism of the NER recognises that a </w:t>
      </w:r>
      <w:r>
        <w:t>distributor</w:t>
      </w:r>
      <w:r w:rsidRPr="00CE0422">
        <w:t xml:space="preserve"> can be exposed to risks beyond its control, which may have a material impact on its costs. A cost pass through enables a </w:t>
      </w:r>
      <w:r>
        <w:t>distributor</w:t>
      </w:r>
      <w:r w:rsidRPr="00CE0422">
        <w:t xml:space="preserve"> to recover (or pass through) the costs of defined unpredictable, high cost events that are not built into </w:t>
      </w:r>
      <w:r>
        <w:t>our distribution</w:t>
      </w:r>
      <w:r w:rsidRPr="00CE0422">
        <w:t xml:space="preserve"> determination. </w:t>
      </w:r>
      <w:r>
        <w:t xml:space="preserve">The NER includes the following prescribed pass through events for all </w:t>
      </w:r>
      <w:r w:rsidR="00D448B6">
        <w:t>distributors</w:t>
      </w:r>
      <w:r>
        <w:t>:</w:t>
      </w:r>
    </w:p>
    <w:p w:rsidR="00380C1D" w:rsidRPr="00380C1D" w:rsidRDefault="00380C1D" w:rsidP="00380C1D">
      <w:pPr>
        <w:pStyle w:val="AERbulletlistfirststyle"/>
      </w:pPr>
      <w:r>
        <w:t>a regulatory change event</w:t>
      </w:r>
    </w:p>
    <w:p w:rsidR="00380C1D" w:rsidRPr="00380C1D" w:rsidRDefault="00380C1D" w:rsidP="00380C1D">
      <w:pPr>
        <w:pStyle w:val="AERbulletlistfirststyle"/>
      </w:pPr>
      <w:r w:rsidRPr="00931313">
        <w:t>a service sta</w:t>
      </w:r>
      <w:r w:rsidRPr="00380C1D">
        <w:t>ndard event</w:t>
      </w:r>
    </w:p>
    <w:p w:rsidR="00380C1D" w:rsidRPr="00380C1D" w:rsidRDefault="00380C1D" w:rsidP="00380C1D">
      <w:pPr>
        <w:pStyle w:val="AERbulletlistfirststyle"/>
      </w:pPr>
      <w:r>
        <w:t>a tax change event</w:t>
      </w:r>
    </w:p>
    <w:p w:rsidR="00380C1D" w:rsidRPr="00380C1D" w:rsidRDefault="00380C1D" w:rsidP="00380C1D">
      <w:pPr>
        <w:pStyle w:val="AERbulletlistfirststyle"/>
      </w:pPr>
      <w:r>
        <w:t>a retailer insolvency event</w:t>
      </w:r>
    </w:p>
    <w:p w:rsidR="00380C1D" w:rsidRPr="00380C1D" w:rsidRDefault="00380C1D" w:rsidP="00380C1D">
      <w:pPr>
        <w:pStyle w:val="AERbulletlistfirststyle"/>
      </w:pPr>
      <w:r w:rsidRPr="00385F8C">
        <w:t>in addition to those defined events, an event specified in a determination for a</w:t>
      </w:r>
      <w:r w:rsidRPr="00380C1D">
        <w:t xml:space="preserve"> regulatory control period (nominated pass through event).</w:t>
      </w:r>
      <w:r w:rsidRPr="00380C1D">
        <w:rPr>
          <w:rStyle w:val="FootnoteReference"/>
        </w:rPr>
        <w:footnoteReference w:id="1"/>
      </w:r>
      <w:r w:rsidRPr="00380C1D">
        <w:t xml:space="preserve"> </w:t>
      </w:r>
    </w:p>
    <w:p w:rsidR="00380C1D" w:rsidRDefault="00380C1D" w:rsidP="00380C1D">
      <w:pPr>
        <w:numPr>
          <w:ilvl w:val="0"/>
          <w:numId w:val="25"/>
        </w:numPr>
      </w:pPr>
      <w:r w:rsidRPr="00B4429B">
        <w:t xml:space="preserve">This </w:t>
      </w:r>
      <w:r w:rsidR="006C1C81">
        <w:t>attachment</w:t>
      </w:r>
      <w:r w:rsidR="006C1C81" w:rsidRPr="00B4429B">
        <w:t xml:space="preserve"> </w:t>
      </w:r>
      <w:r w:rsidRPr="00B4429B">
        <w:t xml:space="preserve">sets out </w:t>
      </w:r>
      <w:r>
        <w:t>our</w:t>
      </w:r>
      <w:r w:rsidRPr="00B4429B">
        <w:t xml:space="preserve"> </w:t>
      </w:r>
      <w:r w:rsidR="004E323B">
        <w:t>preliminary</w:t>
      </w:r>
      <w:r w:rsidRPr="00B4429B">
        <w:t xml:space="preserve"> decision </w:t>
      </w:r>
      <w:r w:rsidR="006C1C81">
        <w:t xml:space="preserve">on the </w:t>
      </w:r>
      <w:r w:rsidRPr="00B4429B">
        <w:t>additional pass through event</w:t>
      </w:r>
      <w:r w:rsidR="00D448B6">
        <w:t>s</w:t>
      </w:r>
      <w:r w:rsidRPr="00B4429B">
        <w:t xml:space="preserve"> </w:t>
      </w:r>
      <w:r w:rsidR="006C1C81">
        <w:t xml:space="preserve">that will apply to SA Power Networks </w:t>
      </w:r>
      <w:r w:rsidRPr="00B4429B">
        <w:t>for the</w:t>
      </w:r>
      <w:r w:rsidR="006C1C81">
        <w:t xml:space="preserve"> 2015–20</w:t>
      </w:r>
      <w:r w:rsidRPr="00B4429B">
        <w:t xml:space="preserve"> regulatory control period.</w:t>
      </w:r>
    </w:p>
    <w:p w:rsidR="00380C1D" w:rsidRPr="004E080E" w:rsidRDefault="00380C1D" w:rsidP="004E080E">
      <w:pPr>
        <w:pStyle w:val="Heading2"/>
      </w:pPr>
      <w:bookmarkStart w:id="11" w:name="_Toc409076203"/>
      <w:bookmarkStart w:id="12" w:name="_Toc417658675"/>
      <w:r w:rsidRPr="004E080E">
        <w:t>Preliminary decision</w:t>
      </w:r>
      <w:bookmarkEnd w:id="11"/>
      <w:bookmarkEnd w:id="12"/>
    </w:p>
    <w:p w:rsidR="00FD55CA" w:rsidRDefault="00FD55CA" w:rsidP="00FD55CA">
      <w:pPr>
        <w:numPr>
          <w:ilvl w:val="0"/>
          <w:numId w:val="25"/>
        </w:numPr>
      </w:pPr>
      <w:r>
        <w:t>We do</w:t>
      </w:r>
      <w:r w:rsidRPr="00BB1F95">
        <w:t xml:space="preserve"> not accept the</w:t>
      </w:r>
      <w:r>
        <w:t xml:space="preserve"> following </w:t>
      </w:r>
      <w:r w:rsidRPr="00BB1F95">
        <w:t xml:space="preserve">nominated pass through events as drafted by </w:t>
      </w:r>
      <w:r>
        <w:t>SA Power Networks, but have</w:t>
      </w:r>
      <w:r w:rsidRPr="00BB1F95">
        <w:t xml:space="preserve"> </w:t>
      </w:r>
      <w:r>
        <w:t xml:space="preserve">proposed </w:t>
      </w:r>
      <w:r w:rsidR="001324C2">
        <w:t xml:space="preserve">the following </w:t>
      </w:r>
      <w:r>
        <w:t>alternative</w:t>
      </w:r>
      <w:r w:rsidRPr="00BB1F95">
        <w:t xml:space="preserve"> definitions</w:t>
      </w:r>
      <w:r>
        <w:t>:</w:t>
      </w:r>
    </w:p>
    <w:p w:rsidR="00380C1D" w:rsidRPr="00380C1D" w:rsidRDefault="00380C1D" w:rsidP="00380C1D">
      <w:pPr>
        <w:pStyle w:val="AERbulletlistfirststyle"/>
      </w:pPr>
      <w:r>
        <w:t>l</w:t>
      </w:r>
      <w:r w:rsidRPr="00380C1D">
        <w:t>iability above insurance cap event</w:t>
      </w:r>
    </w:p>
    <w:p w:rsidR="00380C1D" w:rsidRDefault="00380C1D" w:rsidP="00380C1D">
      <w:pPr>
        <w:pStyle w:val="AERbulletlistfirststyle"/>
      </w:pPr>
      <w:r>
        <w:t>n</w:t>
      </w:r>
      <w:r w:rsidR="006753E7">
        <w:t>atural disaster event</w:t>
      </w:r>
    </w:p>
    <w:p w:rsidR="006753E7" w:rsidRPr="00380C1D" w:rsidRDefault="006753E7" w:rsidP="006753E7">
      <w:pPr>
        <w:pStyle w:val="AERbulletlistfirststyle"/>
      </w:pPr>
      <w:r>
        <w:t>insurer</w:t>
      </w:r>
      <w:r w:rsidRPr="00380C1D">
        <w:t xml:space="preserve"> credit risk event</w:t>
      </w:r>
      <w:r>
        <w:t>.</w:t>
      </w:r>
    </w:p>
    <w:p w:rsidR="00380C1D" w:rsidRDefault="00380C1D" w:rsidP="00380C1D">
      <w:r>
        <w:t>We do not accept the following proposed pass through events:</w:t>
      </w:r>
    </w:p>
    <w:p w:rsidR="00380C1D" w:rsidRPr="00380C1D" w:rsidRDefault="00380C1D" w:rsidP="00380C1D">
      <w:pPr>
        <w:pStyle w:val="AERbulletlistfirststyle"/>
      </w:pPr>
      <w:r>
        <w:t>general nominated pass through event</w:t>
      </w:r>
    </w:p>
    <w:p w:rsidR="00380C1D" w:rsidRPr="00380C1D" w:rsidRDefault="00380C1D" w:rsidP="00380C1D">
      <w:pPr>
        <w:pStyle w:val="AERbulletlistfirststyle"/>
      </w:pPr>
      <w:r>
        <w:t>Kangaroo Island cable failure event</w:t>
      </w:r>
    </w:p>
    <w:p w:rsidR="00380C1D" w:rsidRPr="00380C1D" w:rsidRDefault="00380C1D" w:rsidP="00380C1D">
      <w:pPr>
        <w:pStyle w:val="AERbulletlistfirststyle"/>
      </w:pPr>
      <w:r>
        <w:t>native title event.</w:t>
      </w:r>
    </w:p>
    <w:p w:rsidR="00380C1D" w:rsidRPr="004E080E" w:rsidRDefault="00380C1D" w:rsidP="004E080E">
      <w:pPr>
        <w:pStyle w:val="Heading2"/>
      </w:pPr>
      <w:bookmarkStart w:id="13" w:name="_Toc409076204"/>
      <w:bookmarkStart w:id="14" w:name="_Toc417658676"/>
      <w:r w:rsidRPr="004E080E">
        <w:t>SA Power Networks’ proposal</w:t>
      </w:r>
      <w:bookmarkEnd w:id="13"/>
      <w:bookmarkEnd w:id="14"/>
    </w:p>
    <w:p w:rsidR="00805B38" w:rsidRDefault="00380C1D" w:rsidP="00380C1D">
      <w:pPr>
        <w:numPr>
          <w:ilvl w:val="0"/>
          <w:numId w:val="25"/>
        </w:numPr>
        <w:rPr>
          <w:rStyle w:val="AERbody"/>
        </w:rPr>
      </w:pPr>
      <w:r>
        <w:rPr>
          <w:rStyle w:val="AERbody"/>
        </w:rPr>
        <w:t>SA Power Networks'</w:t>
      </w:r>
      <w:r w:rsidRPr="004536AF">
        <w:rPr>
          <w:rStyle w:val="AERbody"/>
        </w:rPr>
        <w:t xml:space="preserve"> proposed </w:t>
      </w:r>
      <w:r>
        <w:rPr>
          <w:rStyle w:val="AERbody"/>
        </w:rPr>
        <w:t xml:space="preserve">nominated </w:t>
      </w:r>
      <w:r w:rsidRPr="004536AF">
        <w:rPr>
          <w:rStyle w:val="AERbody"/>
        </w:rPr>
        <w:t xml:space="preserve">pass through events and definitions are set out </w:t>
      </w:r>
      <w:r>
        <w:rPr>
          <w:rStyle w:val="AERbody"/>
        </w:rPr>
        <w:t>in</w:t>
      </w:r>
      <w:r w:rsidRPr="004536AF">
        <w:rPr>
          <w:rStyle w:val="AERbody"/>
        </w:rPr>
        <w:t xml:space="preserve"> </w:t>
      </w:r>
      <w:r>
        <w:rPr>
          <w:rStyle w:val="AERbody"/>
        </w:rPr>
        <w:fldChar w:fldCharType="begin"/>
      </w:r>
      <w:r>
        <w:rPr>
          <w:rStyle w:val="AERbody"/>
        </w:rPr>
        <w:instrText xml:space="preserve"> REF _Ref396745719 \h </w:instrText>
      </w:r>
      <w:r>
        <w:rPr>
          <w:rStyle w:val="AERbody"/>
        </w:rPr>
      </w:r>
      <w:r>
        <w:rPr>
          <w:rStyle w:val="AERbody"/>
        </w:rPr>
        <w:fldChar w:fldCharType="separate"/>
      </w:r>
      <w:r w:rsidR="00603935">
        <w:t>t</w:t>
      </w:r>
      <w:r>
        <w:t xml:space="preserve">able </w:t>
      </w:r>
      <w:r w:rsidRPr="003D7AD5">
        <w:t>15</w:t>
      </w:r>
      <w:r w:rsidR="00603935">
        <w:t>.</w:t>
      </w:r>
      <w:r w:rsidRPr="003D7AD5">
        <w:t>1</w:t>
      </w:r>
      <w:r>
        <w:rPr>
          <w:rStyle w:val="AERbody"/>
        </w:rPr>
        <w:fldChar w:fldCharType="end"/>
      </w:r>
      <w:r w:rsidRPr="004536AF">
        <w:rPr>
          <w:rStyle w:val="AERbody"/>
        </w:rPr>
        <w:t>.</w:t>
      </w:r>
    </w:p>
    <w:p w:rsidR="00603935" w:rsidRPr="004536AF" w:rsidRDefault="00603935" w:rsidP="00380C1D">
      <w:pPr>
        <w:numPr>
          <w:ilvl w:val="0"/>
          <w:numId w:val="25"/>
        </w:numPr>
        <w:rPr>
          <w:rStyle w:val="AERbody"/>
        </w:rPr>
      </w:pPr>
    </w:p>
    <w:p w:rsidR="00380C1D" w:rsidRPr="003D7AD5" w:rsidRDefault="00380C1D" w:rsidP="00380C1D">
      <w:pPr>
        <w:pStyle w:val="Caption"/>
      </w:pPr>
      <w:bookmarkStart w:id="15" w:name="_Ref396745719"/>
      <w:r w:rsidRPr="003D7AD5">
        <w:lastRenderedPageBreak/>
        <w:t xml:space="preserve">Table </w:t>
      </w:r>
      <w:fldSimple w:instr=" STYLEREF 1 \s ">
        <w:r w:rsidRPr="003D7AD5">
          <w:t>15</w:t>
        </w:r>
      </w:fldSimple>
      <w:r w:rsidR="00603935">
        <w:t>.</w:t>
      </w:r>
      <w:fldSimple w:instr=" SEQ Table \* ARABIC \s 1 ">
        <w:r w:rsidRPr="003D7AD5">
          <w:t>1</w:t>
        </w:r>
      </w:fldSimple>
      <w:bookmarkEnd w:id="15"/>
      <w:r w:rsidRPr="003D7AD5">
        <w:tab/>
      </w:r>
      <w:r>
        <w:t>SA Power Networks'</w:t>
      </w:r>
      <w:r w:rsidRPr="003D7AD5">
        <w:t xml:space="preserve"> proposed pass through events</w:t>
      </w:r>
    </w:p>
    <w:tbl>
      <w:tblPr>
        <w:tblStyle w:val="AERtable-text0"/>
        <w:tblW w:w="0" w:type="auto"/>
        <w:tblLook w:val="04A0" w:firstRow="1" w:lastRow="0" w:firstColumn="1" w:lastColumn="0" w:noHBand="0" w:noVBand="1"/>
      </w:tblPr>
      <w:tblGrid>
        <w:gridCol w:w="2264"/>
        <w:gridCol w:w="6429"/>
      </w:tblGrid>
      <w:tr w:rsidR="00380C1D" w:rsidTr="00603935">
        <w:trPr>
          <w:cnfStyle w:val="100000000000" w:firstRow="1" w:lastRow="0" w:firstColumn="0" w:lastColumn="0" w:oddVBand="0" w:evenVBand="0" w:oddHBand="0" w:evenHBand="0" w:firstRowFirstColumn="0" w:firstRowLastColumn="0" w:lastRowFirstColumn="0" w:lastRowLastColumn="0"/>
          <w:tblHeader/>
        </w:trPr>
        <w:tc>
          <w:tcPr>
            <w:tcW w:w="2376" w:type="dxa"/>
          </w:tcPr>
          <w:p w:rsidR="00380C1D" w:rsidRPr="00380C1D" w:rsidRDefault="00380C1D" w:rsidP="00380C1D">
            <w:pPr>
              <w:pStyle w:val="AERtabletextleft"/>
            </w:pPr>
            <w:r>
              <w:t>Proposed event</w:t>
            </w:r>
          </w:p>
        </w:tc>
        <w:tc>
          <w:tcPr>
            <w:tcW w:w="6866" w:type="dxa"/>
          </w:tcPr>
          <w:p w:rsidR="00380C1D" w:rsidRPr="00380C1D" w:rsidRDefault="00380C1D" w:rsidP="00380C1D">
            <w:pPr>
              <w:pStyle w:val="AERtabletextleft"/>
            </w:pPr>
            <w:r>
              <w:t>Proposed definition</w:t>
            </w:r>
          </w:p>
        </w:tc>
      </w:tr>
      <w:tr w:rsidR="00380C1D" w:rsidTr="006753E7">
        <w:tc>
          <w:tcPr>
            <w:tcW w:w="2376" w:type="dxa"/>
          </w:tcPr>
          <w:p w:rsidR="00380C1D" w:rsidRPr="00380C1D" w:rsidRDefault="00380C1D" w:rsidP="00380C1D">
            <w:pPr>
              <w:pStyle w:val="AERtabletextleft"/>
            </w:pPr>
            <w:r>
              <w:t>Liability above i</w:t>
            </w:r>
            <w:r w:rsidRPr="00380C1D">
              <w:t>nsurance cap event</w:t>
            </w:r>
          </w:p>
        </w:tc>
        <w:tc>
          <w:tcPr>
            <w:tcW w:w="6866" w:type="dxa"/>
          </w:tcPr>
          <w:p w:rsidR="00380C1D" w:rsidRPr="00630376" w:rsidRDefault="00380C1D" w:rsidP="00380C1D">
            <w:pPr>
              <w:pStyle w:val="AERtabletextleft"/>
              <w:rPr>
                <w:rStyle w:val="AERtextsize8"/>
              </w:rPr>
            </w:pPr>
            <w:r w:rsidRPr="00630376">
              <w:rPr>
                <w:rStyle w:val="AERtextsize8"/>
              </w:rPr>
              <w:t>A Liability above insurance cap event occurs if:</w:t>
            </w:r>
          </w:p>
          <w:p w:rsidR="00380C1D" w:rsidRPr="00380C1D" w:rsidRDefault="00380C1D" w:rsidP="00380C1D">
            <w:pPr>
              <w:pStyle w:val="AERbulletlistsecondstyle"/>
            </w:pPr>
            <w:r w:rsidRPr="00CE0B17">
              <w:t>SA Power Networks makes a claim or claims and</w:t>
            </w:r>
            <w:r w:rsidRPr="00380C1D">
              <w:t xml:space="preserve"> receives the benefit of a payment or payments under a relevant insurance policy,</w:t>
            </w:r>
          </w:p>
          <w:p w:rsidR="00380C1D" w:rsidRPr="00380C1D" w:rsidRDefault="00380C1D" w:rsidP="00380C1D">
            <w:pPr>
              <w:pStyle w:val="AERbulletlistsecondstyle"/>
            </w:pPr>
            <w:r w:rsidRPr="00CE0B17">
              <w:t>SA Power Networks incurs costs beyond the relevant</w:t>
            </w:r>
            <w:r w:rsidRPr="00380C1D">
              <w:t xml:space="preserve"> policy limit, and</w:t>
            </w:r>
          </w:p>
          <w:p w:rsidR="00380C1D" w:rsidRPr="00380C1D" w:rsidRDefault="00380C1D" w:rsidP="00380C1D">
            <w:pPr>
              <w:pStyle w:val="AERbulletlistsecondstyle"/>
            </w:pPr>
            <w:r w:rsidRPr="00CE0B17">
              <w:t>the costs beyond the relevant policy limit materially</w:t>
            </w:r>
            <w:r w:rsidRPr="00380C1D">
              <w:t xml:space="preserve"> increase the costs to SA Power Networks in providing direct control services.</w:t>
            </w:r>
          </w:p>
          <w:p w:rsidR="00380C1D" w:rsidRPr="00380C1D" w:rsidRDefault="00380C1D" w:rsidP="00380C1D">
            <w:pPr>
              <w:pStyle w:val="AERbulletlistfirststyle"/>
            </w:pPr>
            <w:r w:rsidRPr="00CE0B17">
              <w:t>For this insurance cap</w:t>
            </w:r>
            <w:r w:rsidRPr="00380C1D">
              <w:t xml:space="preserve"> event the relevant policy limit is the greater of:</w:t>
            </w:r>
          </w:p>
          <w:p w:rsidR="00380C1D" w:rsidRPr="00380C1D" w:rsidRDefault="00380C1D" w:rsidP="00380C1D">
            <w:pPr>
              <w:pStyle w:val="AERbulletlistsecondstyle"/>
            </w:pPr>
            <w:r w:rsidRPr="00CE0B17">
              <w:t>SA Power Networks’ actual policy limit at the time of the</w:t>
            </w:r>
            <w:r w:rsidRPr="00380C1D">
              <w:t xml:space="preserve"> event that gives, or would have given rise to a claim, and</w:t>
            </w:r>
          </w:p>
          <w:p w:rsidR="00380C1D" w:rsidRPr="00380C1D" w:rsidRDefault="00380C1D" w:rsidP="00380C1D">
            <w:pPr>
              <w:pStyle w:val="AERbulletlistsecondstyle"/>
            </w:pPr>
            <w:r w:rsidRPr="00CE0B17">
              <w:t>the policy limit that is explicitly or implicitly</w:t>
            </w:r>
            <w:r w:rsidRPr="00380C1D">
              <w:t xml:space="preserve"> commensurate with the allowance for insurance premiums that is included in the forecast operating expenditure allowance approved in the AER’s final decision for the regulatory control period in which the insurance policy is issued.</w:t>
            </w:r>
          </w:p>
          <w:p w:rsidR="00380C1D" w:rsidRPr="00380C1D" w:rsidRDefault="00380C1D" w:rsidP="00380C1D">
            <w:pPr>
              <w:pStyle w:val="AERbulletlistsecondstyle"/>
            </w:pPr>
            <w:r w:rsidRPr="00CE0B17">
              <w:t>a relevant insurance policy is an insurance policy held</w:t>
            </w:r>
            <w:r w:rsidRPr="00380C1D">
              <w:t xml:space="preserve"> during the 2015–20 regulatory control period or a previous regulatory control period in which SA Power Networks was regulated.</w:t>
            </w:r>
          </w:p>
          <w:p w:rsidR="00380C1D" w:rsidRPr="00380C1D" w:rsidRDefault="00380C1D" w:rsidP="00380C1D">
            <w:pPr>
              <w:pStyle w:val="AERbulletlistfirststyle"/>
            </w:pPr>
            <w:r w:rsidRPr="00CE0B17">
              <w:t>Note for the avoidance of doubt, in assessing a Liability</w:t>
            </w:r>
            <w:r w:rsidRPr="00380C1D">
              <w:t xml:space="preserve"> above insurance cap event cost pass through application under rule 6.6.1(j), the AER will have regard to:</w:t>
            </w:r>
          </w:p>
          <w:p w:rsidR="00380C1D" w:rsidRPr="00380C1D" w:rsidRDefault="00380C1D" w:rsidP="00380C1D">
            <w:pPr>
              <w:pStyle w:val="AERbulletlistsecondstyle"/>
            </w:pPr>
            <w:r w:rsidRPr="00CE0B17">
              <w:t>the insurance premium Proposal submitted by SA Power</w:t>
            </w:r>
            <w:r w:rsidRPr="00380C1D">
              <w:t xml:space="preserve"> Networks in its regulatory Proposal;</w:t>
            </w:r>
          </w:p>
          <w:p w:rsidR="00380C1D" w:rsidRPr="00380C1D" w:rsidRDefault="00380C1D" w:rsidP="00380C1D">
            <w:pPr>
              <w:pStyle w:val="AERbulletlistsecondstyle"/>
            </w:pPr>
            <w:r w:rsidRPr="00CE0B17">
              <w:t>the forecast operating expenditure allowance approved</w:t>
            </w:r>
            <w:r w:rsidRPr="00380C1D">
              <w:t xml:space="preserve"> in the AER’s final decision; and</w:t>
            </w:r>
          </w:p>
          <w:p w:rsidR="00380C1D" w:rsidRPr="00380C1D" w:rsidRDefault="00380C1D" w:rsidP="00380C1D">
            <w:pPr>
              <w:pStyle w:val="AERbulletlistsecondstyle"/>
            </w:pPr>
            <w:r w:rsidRPr="00CE0B17">
              <w:t>the reasons for that decision.</w:t>
            </w:r>
          </w:p>
        </w:tc>
      </w:tr>
      <w:tr w:rsidR="00380C1D" w:rsidTr="006753E7">
        <w:trPr>
          <w:cnfStyle w:val="000000010000" w:firstRow="0" w:lastRow="0" w:firstColumn="0" w:lastColumn="0" w:oddVBand="0" w:evenVBand="0" w:oddHBand="0" w:evenHBand="1" w:firstRowFirstColumn="0" w:firstRowLastColumn="0" w:lastRowFirstColumn="0" w:lastRowLastColumn="0"/>
        </w:trPr>
        <w:tc>
          <w:tcPr>
            <w:tcW w:w="2376" w:type="dxa"/>
          </w:tcPr>
          <w:p w:rsidR="00380C1D" w:rsidRPr="00380C1D" w:rsidRDefault="00380C1D" w:rsidP="00380C1D">
            <w:pPr>
              <w:pStyle w:val="AERtabletextleft"/>
            </w:pPr>
            <w:r>
              <w:t>I</w:t>
            </w:r>
            <w:r w:rsidRPr="00380C1D">
              <w:t>nsurer credit risk event</w:t>
            </w:r>
          </w:p>
        </w:tc>
        <w:tc>
          <w:tcPr>
            <w:tcW w:w="6866" w:type="dxa"/>
          </w:tcPr>
          <w:p w:rsidR="00380C1D" w:rsidRPr="00630376" w:rsidRDefault="00380C1D" w:rsidP="00380C1D">
            <w:pPr>
              <w:pStyle w:val="AERtabletextleft"/>
              <w:rPr>
                <w:rStyle w:val="AERtextsize8"/>
              </w:rPr>
            </w:pPr>
            <w:r w:rsidRPr="00630376">
              <w:rPr>
                <w:rStyle w:val="AERtextsize8"/>
              </w:rPr>
              <w:t>The insolvency of a nominated insurer of SA Power Networks, as a result of which SA Power Networks:</w:t>
            </w:r>
          </w:p>
          <w:p w:rsidR="00380C1D" w:rsidRPr="00630376" w:rsidRDefault="00380C1D" w:rsidP="00380C1D">
            <w:pPr>
              <w:pStyle w:val="AERtabletextleft"/>
              <w:rPr>
                <w:rStyle w:val="AERtextsize8"/>
              </w:rPr>
            </w:pPr>
            <w:r w:rsidRPr="00630376">
              <w:rPr>
                <w:rStyle w:val="AERtextsize8"/>
              </w:rPr>
              <w:t>(i) incurs materially higher or lower costs for insurance premiums than those allowed for in the Distribution Determination; or</w:t>
            </w:r>
          </w:p>
          <w:p w:rsidR="00380C1D" w:rsidRPr="00380C1D" w:rsidRDefault="00380C1D" w:rsidP="00380C1D">
            <w:pPr>
              <w:pStyle w:val="AERtabletextleft"/>
            </w:pPr>
            <w:r w:rsidRPr="00630376">
              <w:rPr>
                <w:rStyle w:val="AERtextsize8"/>
              </w:rPr>
              <w:t>(ii) in respect of a claim for a risk that would have been insured by SA Power Networks’ insurers, is subject to a materially higher or lower claims limit or a materially higher or lower deductible than would have applied under that policy.</w:t>
            </w:r>
          </w:p>
        </w:tc>
      </w:tr>
      <w:tr w:rsidR="00380C1D" w:rsidTr="006753E7">
        <w:tc>
          <w:tcPr>
            <w:tcW w:w="2376" w:type="dxa"/>
          </w:tcPr>
          <w:p w:rsidR="00380C1D" w:rsidRPr="00380C1D" w:rsidRDefault="00380C1D" w:rsidP="00380C1D">
            <w:pPr>
              <w:pStyle w:val="AERtabletextleft"/>
            </w:pPr>
            <w:r>
              <w:t>N</w:t>
            </w:r>
            <w:r w:rsidRPr="00380C1D">
              <w:t>atural disaster event</w:t>
            </w:r>
          </w:p>
        </w:tc>
        <w:tc>
          <w:tcPr>
            <w:tcW w:w="6866" w:type="dxa"/>
          </w:tcPr>
          <w:p w:rsidR="00380C1D" w:rsidRPr="00630376" w:rsidRDefault="00380C1D" w:rsidP="00380C1D">
            <w:pPr>
              <w:pStyle w:val="AERtabletextleft"/>
              <w:rPr>
                <w:rStyle w:val="AERtextsize8"/>
              </w:rPr>
            </w:pPr>
            <w:r w:rsidRPr="00630376">
              <w:rPr>
                <w:rStyle w:val="AERtextsize8"/>
              </w:rPr>
              <w:t>Any major fire, storm, flood, earthquake, or other natural disaster beyond the control of SA Power Networks that occurs during the Regulatory Control Period and materially increases the costs to SA Power Networks of providing Direct Control Services.</w:t>
            </w:r>
          </w:p>
        </w:tc>
      </w:tr>
      <w:tr w:rsidR="00380C1D" w:rsidTr="006753E7">
        <w:trPr>
          <w:cnfStyle w:val="000000010000" w:firstRow="0" w:lastRow="0" w:firstColumn="0" w:lastColumn="0" w:oddVBand="0" w:evenVBand="0" w:oddHBand="0" w:evenHBand="1" w:firstRowFirstColumn="0" w:firstRowLastColumn="0" w:lastRowFirstColumn="0" w:lastRowLastColumn="0"/>
        </w:trPr>
        <w:tc>
          <w:tcPr>
            <w:tcW w:w="2376" w:type="dxa"/>
          </w:tcPr>
          <w:p w:rsidR="00380C1D" w:rsidRPr="00380C1D" w:rsidRDefault="00380C1D" w:rsidP="00380C1D">
            <w:pPr>
              <w:pStyle w:val="AERtabletextleft"/>
            </w:pPr>
            <w:r>
              <w:t>General nominated pass through event</w:t>
            </w:r>
          </w:p>
        </w:tc>
        <w:tc>
          <w:tcPr>
            <w:tcW w:w="6866" w:type="dxa"/>
          </w:tcPr>
          <w:p w:rsidR="00380C1D" w:rsidRPr="00630376" w:rsidRDefault="00380C1D" w:rsidP="00380C1D">
            <w:pPr>
              <w:pStyle w:val="AERtabletextleft"/>
              <w:rPr>
                <w:rStyle w:val="AERtextsize8"/>
              </w:rPr>
            </w:pPr>
            <w:r w:rsidRPr="00630376">
              <w:rPr>
                <w:rStyle w:val="AERtextsize8"/>
              </w:rPr>
              <w:t>A general nominated pass through event occurs in the following circumstances:</w:t>
            </w:r>
          </w:p>
          <w:p w:rsidR="00380C1D" w:rsidRPr="00630376" w:rsidRDefault="00380C1D" w:rsidP="00380C1D">
            <w:pPr>
              <w:pStyle w:val="AERtabletextleft"/>
              <w:rPr>
                <w:rStyle w:val="AERtextsize8"/>
              </w:rPr>
            </w:pPr>
            <w:r w:rsidRPr="00630376">
              <w:rPr>
                <w:rStyle w:val="AERtextsize8"/>
              </w:rPr>
              <w:t>1. An uncontrollable and unexpected event occurs during the next regulatory control period, the effect of which could not have been prevented or mitigated by prudent operation risk management.</w:t>
            </w:r>
          </w:p>
          <w:p w:rsidR="00380C1D" w:rsidRPr="00630376" w:rsidRDefault="00380C1D" w:rsidP="00380C1D">
            <w:pPr>
              <w:pStyle w:val="AERtabletextleft"/>
              <w:rPr>
                <w:rStyle w:val="AERtextsize8"/>
              </w:rPr>
            </w:pPr>
            <w:r w:rsidRPr="00630376">
              <w:rPr>
                <w:rStyle w:val="AERtextsize8"/>
              </w:rPr>
              <w:t>2. The change in costs of providing distribution services as a result of the event is material.</w:t>
            </w:r>
          </w:p>
          <w:p w:rsidR="00380C1D" w:rsidRPr="00630376" w:rsidRDefault="00380C1D" w:rsidP="00380C1D">
            <w:pPr>
              <w:pStyle w:val="AERtabletextleft"/>
              <w:rPr>
                <w:rStyle w:val="AERtextsize8"/>
              </w:rPr>
            </w:pPr>
            <w:r w:rsidRPr="00630376">
              <w:rPr>
                <w:rStyle w:val="AERtextsize8"/>
              </w:rPr>
              <w:t>3. The event does not fall into any of the following definitions:</w:t>
            </w:r>
          </w:p>
          <w:p w:rsidR="00380C1D" w:rsidRPr="00380C1D" w:rsidRDefault="00380C1D" w:rsidP="00380C1D">
            <w:pPr>
              <w:pStyle w:val="AERbulletlistfirststyle"/>
            </w:pPr>
            <w:r w:rsidRPr="00CE0B17">
              <w:t>a ‘regulatory change event’ in the NER (read as if</w:t>
            </w:r>
            <w:r w:rsidRPr="00380C1D">
              <w:t xml:space="preserve"> paragraph (a) of the definition was not part of the definition) </w:t>
            </w:r>
          </w:p>
          <w:p w:rsidR="00380C1D" w:rsidRPr="00380C1D" w:rsidRDefault="00380C1D" w:rsidP="00380C1D">
            <w:pPr>
              <w:pStyle w:val="AERbulletlistfirststyle"/>
            </w:pPr>
            <w:r w:rsidRPr="00CE0B17">
              <w:t>a ‘service standard event’;</w:t>
            </w:r>
          </w:p>
          <w:p w:rsidR="00380C1D" w:rsidRPr="00380C1D" w:rsidRDefault="00380C1D" w:rsidP="00380C1D">
            <w:pPr>
              <w:pStyle w:val="AERbulletlistfirststyle"/>
            </w:pPr>
            <w:r w:rsidRPr="00CE0B17">
              <w:t>a ‘tax change event’;</w:t>
            </w:r>
          </w:p>
          <w:p w:rsidR="00380C1D" w:rsidRPr="00380C1D" w:rsidRDefault="00380C1D" w:rsidP="00380C1D">
            <w:pPr>
              <w:pStyle w:val="AERbulletlistfirststyle"/>
            </w:pPr>
            <w:r w:rsidRPr="00CE0B17">
              <w:t>a ‘retailer insolvency event’; and</w:t>
            </w:r>
          </w:p>
          <w:p w:rsidR="00380C1D" w:rsidRPr="00380C1D" w:rsidRDefault="00380C1D" w:rsidP="00380C1D">
            <w:pPr>
              <w:pStyle w:val="AERbulletlistfirststyle"/>
            </w:pPr>
            <w:r w:rsidRPr="00CE0B17">
              <w:lastRenderedPageBreak/>
              <w:t>any other ev</w:t>
            </w:r>
            <w:r w:rsidRPr="00380C1D">
              <w:t>ent specified in a distribution determination as a pass through event for the determination.</w:t>
            </w:r>
          </w:p>
        </w:tc>
      </w:tr>
      <w:tr w:rsidR="00380C1D" w:rsidTr="006753E7">
        <w:tc>
          <w:tcPr>
            <w:tcW w:w="2376" w:type="dxa"/>
          </w:tcPr>
          <w:p w:rsidR="00380C1D" w:rsidRPr="00380C1D" w:rsidRDefault="00380C1D" w:rsidP="00380C1D">
            <w:pPr>
              <w:pStyle w:val="AERtabletextleft"/>
            </w:pPr>
            <w:r>
              <w:lastRenderedPageBreak/>
              <w:t>Kangaroo Island cable failure event</w:t>
            </w:r>
          </w:p>
        </w:tc>
        <w:tc>
          <w:tcPr>
            <w:tcW w:w="6866" w:type="dxa"/>
          </w:tcPr>
          <w:p w:rsidR="00380C1D" w:rsidRPr="00630376" w:rsidRDefault="00380C1D" w:rsidP="00380C1D">
            <w:pPr>
              <w:pStyle w:val="AERtabletextleft"/>
              <w:rPr>
                <w:rStyle w:val="AERtextsize8"/>
              </w:rPr>
            </w:pPr>
            <w:r w:rsidRPr="00630376">
              <w:rPr>
                <w:rStyle w:val="AERtextsize8"/>
              </w:rPr>
              <w:t>Any failure of the SA Power Networks 33kV undersea cable supplying Kangaroo Island which is beyond the control of SA Power Networks that occurs during the Regulatory Control Period and materially increases the costs to SA Power Networks of providing Direct Control Services.</w:t>
            </w:r>
          </w:p>
        </w:tc>
      </w:tr>
      <w:tr w:rsidR="00380C1D" w:rsidTr="006753E7">
        <w:trPr>
          <w:cnfStyle w:val="000000010000" w:firstRow="0" w:lastRow="0" w:firstColumn="0" w:lastColumn="0" w:oddVBand="0" w:evenVBand="0" w:oddHBand="0" w:evenHBand="1" w:firstRowFirstColumn="0" w:firstRowLastColumn="0" w:lastRowFirstColumn="0" w:lastRowLastColumn="0"/>
        </w:trPr>
        <w:tc>
          <w:tcPr>
            <w:tcW w:w="2376" w:type="dxa"/>
          </w:tcPr>
          <w:p w:rsidR="00380C1D" w:rsidRPr="00380C1D" w:rsidRDefault="00380C1D" w:rsidP="00380C1D">
            <w:pPr>
              <w:pStyle w:val="AERtabletextleft"/>
            </w:pPr>
            <w:r>
              <w:t>Native title event</w:t>
            </w:r>
          </w:p>
        </w:tc>
        <w:tc>
          <w:tcPr>
            <w:tcW w:w="6866" w:type="dxa"/>
          </w:tcPr>
          <w:p w:rsidR="00380C1D" w:rsidRPr="00630376" w:rsidRDefault="00380C1D" w:rsidP="00380C1D">
            <w:pPr>
              <w:pStyle w:val="AERtabletextleft"/>
              <w:rPr>
                <w:rStyle w:val="AERtextsize8"/>
              </w:rPr>
            </w:pPr>
            <w:r w:rsidRPr="00630376">
              <w:rPr>
                <w:rStyle w:val="AERtextsize8"/>
              </w:rPr>
              <w:t>“An event whereby, as the result of a native title claim, SA Power Networks incurs material costs constituting:</w:t>
            </w:r>
          </w:p>
          <w:p w:rsidR="00380C1D" w:rsidRPr="00380C1D" w:rsidRDefault="00380C1D" w:rsidP="00380C1D">
            <w:pPr>
              <w:pStyle w:val="AERbulletlistfirststyle"/>
            </w:pPr>
            <w:r w:rsidRPr="00945879">
              <w:t>any compensation or damages payable by SA Power</w:t>
            </w:r>
            <w:r w:rsidRPr="00380C1D">
              <w:t xml:space="preserve"> Networks, for example as a result of a registered Indigenous Land Use Agreement (ILUA), a consent determination or a decision of a Court; and/or</w:t>
            </w:r>
          </w:p>
          <w:p w:rsidR="00380C1D" w:rsidRPr="00380C1D" w:rsidRDefault="00380C1D" w:rsidP="00380C1D">
            <w:pPr>
              <w:pStyle w:val="AERbulletlistfirststyle"/>
            </w:pPr>
            <w:r w:rsidRPr="00945879">
              <w:t>legal fees and disbursements associated with negotiation</w:t>
            </w:r>
            <w:r w:rsidRPr="00380C1D">
              <w:t xml:space="preserve"> and litigation in relation to native title claims.</w:t>
            </w:r>
          </w:p>
        </w:tc>
      </w:tr>
    </w:tbl>
    <w:p w:rsidR="00380C1D" w:rsidRPr="003D7AD5" w:rsidRDefault="00380C1D" w:rsidP="00380C1D">
      <w:pPr>
        <w:pStyle w:val="AERtablesource"/>
      </w:pPr>
      <w:r>
        <w:t>Source:</w:t>
      </w:r>
      <w:r>
        <w:tab/>
        <w:t>SA Power Networks</w:t>
      </w:r>
      <w:r w:rsidRPr="003D7AD5">
        <w:t xml:space="preserve">, </w:t>
      </w:r>
      <w:r>
        <w:rPr>
          <w:rStyle w:val="AERtextitalic"/>
        </w:rPr>
        <w:t>Regulatory proposal</w:t>
      </w:r>
      <w:r w:rsidRPr="003D7AD5">
        <w:rPr>
          <w:rStyle w:val="AERtextitalic"/>
        </w:rPr>
        <w:t xml:space="preserve"> 201</w:t>
      </w:r>
      <w:r>
        <w:rPr>
          <w:rStyle w:val="AERtextitalic"/>
        </w:rPr>
        <w:t>5</w:t>
      </w:r>
      <w:r w:rsidRPr="003D7AD5">
        <w:rPr>
          <w:rStyle w:val="AERtextitalic"/>
        </w:rPr>
        <w:t>–20</w:t>
      </w:r>
      <w:r>
        <w:rPr>
          <w:rStyle w:val="AERtextitalic"/>
        </w:rPr>
        <w:t>20</w:t>
      </w:r>
      <w:r w:rsidRPr="003D7AD5">
        <w:t xml:space="preserve">, </w:t>
      </w:r>
      <w:r>
        <w:t xml:space="preserve">October 2014, </w:t>
      </w:r>
      <w:r w:rsidRPr="003D7AD5">
        <w:t>pp. </w:t>
      </w:r>
      <w:r>
        <w:t>273</w:t>
      </w:r>
      <w:r w:rsidRPr="003D7AD5">
        <w:t>–</w:t>
      </w:r>
      <w:r>
        <w:t>277</w:t>
      </w:r>
      <w:r w:rsidRPr="003D7AD5">
        <w:t>.</w:t>
      </w:r>
    </w:p>
    <w:p w:rsidR="00380C1D" w:rsidRPr="004E080E" w:rsidRDefault="00380C1D" w:rsidP="004E080E">
      <w:pPr>
        <w:pStyle w:val="Heading2"/>
      </w:pPr>
      <w:bookmarkStart w:id="16" w:name="_Ref406764882"/>
      <w:bookmarkStart w:id="17" w:name="_Ref406764952"/>
      <w:bookmarkStart w:id="18" w:name="_Ref406765418"/>
      <w:bookmarkStart w:id="19" w:name="_Toc409076205"/>
      <w:bookmarkStart w:id="20" w:name="_Toc417658677"/>
      <w:r w:rsidRPr="004E080E">
        <w:t>AER’s assessment approach</w:t>
      </w:r>
      <w:bookmarkEnd w:id="16"/>
      <w:bookmarkEnd w:id="17"/>
      <w:bookmarkEnd w:id="18"/>
      <w:bookmarkEnd w:id="19"/>
      <w:bookmarkEnd w:id="20"/>
    </w:p>
    <w:p w:rsidR="00380C1D" w:rsidRPr="002B285B" w:rsidRDefault="00380C1D" w:rsidP="00380C1D">
      <w:r w:rsidRPr="002B285B">
        <w:t xml:space="preserve">We must decide which of </w:t>
      </w:r>
      <w:r>
        <w:t>SA Power Networks'</w:t>
      </w:r>
      <w:r w:rsidRPr="002B285B">
        <w:t xml:space="preserve"> proposed nominated pass through events will apply for the 2015</w:t>
      </w:r>
      <w:r>
        <w:t>–20</w:t>
      </w:r>
      <w:r w:rsidRPr="002B285B">
        <w:t xml:space="preserve"> regulatory control period. Pass through events transfer financial risks from the NSPs to consumers. If one of the nominated events occurs, the costs of the event that we assess as meeting the factors set out in the NER are passed through to consumers and network charges increase.</w:t>
      </w:r>
      <w:r w:rsidRPr="002B285B">
        <w:rPr>
          <w:rStyle w:val="AERsuperscript"/>
        </w:rPr>
        <w:footnoteReference w:id="2"/>
      </w:r>
    </w:p>
    <w:p w:rsidR="00380C1D" w:rsidRPr="002B285B" w:rsidRDefault="00380C1D" w:rsidP="00380C1D">
      <w:r w:rsidRPr="002B285B">
        <w:t>Our approach has been guided by the National Electricity Objective (NEO) and the Revenue and Pricing Principles. It provides the NSP with a reasonable opportunity to recover at least the efficient costs the operator incurs,</w:t>
      </w:r>
      <w:r w:rsidRPr="002B285B">
        <w:rPr>
          <w:rStyle w:val="AERsuperscript"/>
        </w:rPr>
        <w:footnoteReference w:id="3"/>
      </w:r>
      <w:r w:rsidRPr="002B285B">
        <w:t xml:space="preserve"> while also providing effective incentives to promote economic efficiency.</w:t>
      </w:r>
      <w:r w:rsidRPr="002B285B">
        <w:rPr>
          <w:rStyle w:val="AERsuperscript"/>
        </w:rPr>
        <w:footnoteReference w:id="4"/>
      </w:r>
      <w:r w:rsidRPr="002B285B">
        <w:rPr>
          <w:rStyle w:val="AERsuperscript"/>
        </w:rPr>
        <w:t xml:space="preserve"> </w:t>
      </w:r>
      <w:r w:rsidRPr="002B285B">
        <w:t>It promotes a balance between the economic costs and risks for promoting efficient investment.</w:t>
      </w:r>
      <w:r w:rsidRPr="002B285B">
        <w:rPr>
          <w:rStyle w:val="AERsuperscript"/>
        </w:rPr>
        <w:footnoteReference w:id="5"/>
      </w:r>
      <w:r w:rsidRPr="002B285B">
        <w:t xml:space="preserve"> </w:t>
      </w:r>
    </w:p>
    <w:p w:rsidR="00380C1D" w:rsidRPr="002B285B" w:rsidRDefault="00380C1D" w:rsidP="00380C1D">
      <w:r w:rsidRPr="002B285B">
        <w:t>The NER include the following nominated pass through event considerations which we must have regard to when assessing nominated pass through events.</w:t>
      </w:r>
      <w:r w:rsidRPr="002B285B">
        <w:rPr>
          <w:rStyle w:val="AERsuperscript"/>
        </w:rPr>
        <w:footnoteReference w:id="6"/>
      </w:r>
      <w:r w:rsidRPr="002B285B">
        <w:t xml:space="preserve"> </w:t>
      </w:r>
    </w:p>
    <w:p w:rsidR="00380C1D" w:rsidRPr="002B285B" w:rsidRDefault="00380C1D" w:rsidP="00380C1D">
      <w:pPr>
        <w:pStyle w:val="AERquote"/>
      </w:pPr>
      <w:r w:rsidRPr="002B285B">
        <w:t xml:space="preserve">The </w:t>
      </w:r>
      <w:r w:rsidRPr="002B285B">
        <w:rPr>
          <w:rStyle w:val="AERtextitalic"/>
        </w:rPr>
        <w:t>nominated pass through event considerations</w:t>
      </w:r>
      <w:r w:rsidRPr="002B285B">
        <w:t xml:space="preserve"> are:</w:t>
      </w:r>
    </w:p>
    <w:p w:rsidR="00380C1D" w:rsidRPr="002B285B" w:rsidRDefault="00380C1D" w:rsidP="00380C1D">
      <w:pPr>
        <w:pStyle w:val="AERquoteindent1"/>
      </w:pPr>
      <w:r w:rsidRPr="002B285B">
        <w:t xml:space="preserve">(a) whether the event proposed is an event covered by a category of </w:t>
      </w:r>
      <w:r w:rsidRPr="002B285B">
        <w:rPr>
          <w:rStyle w:val="AERtextitalic"/>
        </w:rPr>
        <w:t>pass through event</w:t>
      </w:r>
      <w:r w:rsidRPr="002B285B">
        <w:t xml:space="preserve"> specified in clause 6.6.1(a1)(1) to</w:t>
      </w:r>
      <w:r>
        <w:t xml:space="preserve"> </w:t>
      </w:r>
      <w:r w:rsidRPr="002B285B">
        <w:t xml:space="preserve">(4) (in the case of a distribution determination) or clause 6A.7.3(a1)(1) to(4) (in the case of a </w:t>
      </w:r>
      <w:r w:rsidRPr="002B285B">
        <w:rPr>
          <w:rStyle w:val="AERtextitalic"/>
        </w:rPr>
        <w:t>transmission determination</w:t>
      </w:r>
      <w:r w:rsidRPr="002B285B">
        <w:t>);</w:t>
      </w:r>
    </w:p>
    <w:p w:rsidR="00380C1D" w:rsidRPr="002B285B" w:rsidRDefault="00380C1D" w:rsidP="00380C1D">
      <w:pPr>
        <w:pStyle w:val="AERquoteindent1"/>
      </w:pPr>
      <w:r w:rsidRPr="002B285B">
        <w:t>(b) whether the nature or type of event can be clearly identified at the time the determination is made for the service provider;</w:t>
      </w:r>
    </w:p>
    <w:p w:rsidR="00380C1D" w:rsidRPr="002B285B" w:rsidRDefault="00380C1D" w:rsidP="00380C1D">
      <w:pPr>
        <w:pStyle w:val="AERquoteindent1"/>
      </w:pPr>
      <w:r w:rsidRPr="002B285B">
        <w:lastRenderedPageBreak/>
        <w:t>(c) whether a prudent service provider could reasonably prevent an event of that nature or type from occurring or substantially mitigate the cost impact of such an event;</w:t>
      </w:r>
    </w:p>
    <w:p w:rsidR="00380C1D" w:rsidRPr="002B285B" w:rsidRDefault="00380C1D" w:rsidP="00380C1D">
      <w:pPr>
        <w:pStyle w:val="AERquoteindent1"/>
      </w:pPr>
      <w:r w:rsidRPr="002B285B">
        <w:t>(d) whether the relevant service provider could insure against the event, having regard to:</w:t>
      </w:r>
    </w:p>
    <w:p w:rsidR="00380C1D" w:rsidRPr="002B285B" w:rsidRDefault="00380C1D" w:rsidP="00380C1D">
      <w:pPr>
        <w:pStyle w:val="AERquoteindent2"/>
      </w:pPr>
      <w:r w:rsidRPr="002B285B">
        <w:t>(1) the availability (including the extent of availability in terms of liability limits) of insurance against the event on reasonable commercial terms; or</w:t>
      </w:r>
    </w:p>
    <w:p w:rsidR="00380C1D" w:rsidRPr="002B285B" w:rsidRDefault="00380C1D" w:rsidP="00380C1D">
      <w:pPr>
        <w:pStyle w:val="AERquoteindent2"/>
      </w:pPr>
      <w:r w:rsidRPr="002B285B">
        <w:t>(2) whether the event can be self-insured on the basis that:</w:t>
      </w:r>
    </w:p>
    <w:p w:rsidR="00380C1D" w:rsidRPr="002B285B" w:rsidRDefault="00380C1D" w:rsidP="00380C1D">
      <w:pPr>
        <w:pStyle w:val="AERquoteindent3"/>
      </w:pPr>
      <w:r w:rsidRPr="002B285B">
        <w:t>(i) it is possible to calculate the self-insurance premium; and</w:t>
      </w:r>
    </w:p>
    <w:p w:rsidR="00380C1D" w:rsidRPr="002B285B" w:rsidRDefault="00380C1D" w:rsidP="00380C1D">
      <w:pPr>
        <w:pStyle w:val="AERquoteindent3"/>
      </w:pPr>
      <w:r w:rsidRPr="002B285B">
        <w:t xml:space="preserve">(ii) the potential cost to the relevant service provider would not have a significant impact on the service provider’s ability to provide </w:t>
      </w:r>
      <w:r w:rsidRPr="002B285B">
        <w:rPr>
          <w:rStyle w:val="AERtextitalic"/>
        </w:rPr>
        <w:t>network services</w:t>
      </w:r>
      <w:r w:rsidRPr="002B285B">
        <w:t>; and.</w:t>
      </w:r>
    </w:p>
    <w:p w:rsidR="00380C1D" w:rsidRPr="002B285B" w:rsidRDefault="00380C1D" w:rsidP="00380C1D">
      <w:pPr>
        <w:pStyle w:val="AERquoteindent1"/>
      </w:pPr>
      <w:r w:rsidRPr="002B285B">
        <w:t xml:space="preserve">(e) any other matter the </w:t>
      </w:r>
      <w:r w:rsidRPr="002B285B">
        <w:rPr>
          <w:rStyle w:val="AERtextitalic"/>
        </w:rPr>
        <w:t xml:space="preserve">AER </w:t>
      </w:r>
      <w:r w:rsidRPr="002B285B">
        <w:t xml:space="preserve">considers relevant and which the </w:t>
      </w:r>
      <w:r w:rsidRPr="002B285B">
        <w:rPr>
          <w:rStyle w:val="AERtextitalic"/>
        </w:rPr>
        <w:t xml:space="preserve">AER </w:t>
      </w:r>
      <w:r w:rsidRPr="002B285B">
        <w:t xml:space="preserve">has notified </w:t>
      </w:r>
      <w:r w:rsidRPr="002B285B">
        <w:rPr>
          <w:rStyle w:val="AERtextitalic"/>
        </w:rPr>
        <w:t>Network Service Providers</w:t>
      </w:r>
      <w:r w:rsidRPr="002B285B">
        <w:t xml:space="preserve"> is a nominated pass through event consideration.</w:t>
      </w:r>
    </w:p>
    <w:p w:rsidR="00380C1D" w:rsidRPr="002B285B" w:rsidRDefault="00380C1D" w:rsidP="00380C1D">
      <w:r w:rsidRPr="002B285B">
        <w:t xml:space="preserve">These considerations involve an assessment of the incentives on NSPs to manage their risks efficiently. </w:t>
      </w:r>
    </w:p>
    <w:p w:rsidR="00380C1D" w:rsidRPr="002B285B" w:rsidRDefault="00380C1D" w:rsidP="00380C1D">
      <w:r w:rsidRPr="002B285B">
        <w:t>For systemic risks, NSPs are compensated through the allowed rate of return. NSPs also face business-specific, or residual, risks. These activities are generally compensated through the opex and capex allowances. Beyond this</w:t>
      </w:r>
      <w:r>
        <w:t>,</w:t>
      </w:r>
      <w:r w:rsidRPr="002B285B">
        <w:t xml:space="preserve"> an NSP may manage other risks through a number of other strategies, including:</w:t>
      </w:r>
    </w:p>
    <w:p w:rsidR="00380C1D" w:rsidRPr="00380C1D" w:rsidRDefault="00380C1D" w:rsidP="00380C1D">
      <w:pPr>
        <w:pStyle w:val="AERbulletlistfirststyle"/>
      </w:pPr>
      <w:r w:rsidRPr="002B285B">
        <w:t>prevention (avoiding the risk)</w:t>
      </w:r>
    </w:p>
    <w:p w:rsidR="00380C1D" w:rsidRPr="00380C1D" w:rsidRDefault="00380C1D" w:rsidP="00380C1D">
      <w:pPr>
        <w:pStyle w:val="AERbulletlistfirststyle"/>
      </w:pPr>
      <w:r w:rsidRPr="002B285B">
        <w:t>mitigation (reducing the negative effect or probability of the risk)</w:t>
      </w:r>
    </w:p>
    <w:p w:rsidR="00380C1D" w:rsidRPr="00380C1D" w:rsidRDefault="00380C1D" w:rsidP="00380C1D">
      <w:pPr>
        <w:pStyle w:val="AERbulletlistfirststyle"/>
      </w:pPr>
      <w:r w:rsidRPr="002B285B">
        <w:t>insurance (transferring the risk to another party)</w:t>
      </w:r>
    </w:p>
    <w:p w:rsidR="00380C1D" w:rsidRPr="00380C1D" w:rsidRDefault="00380C1D" w:rsidP="00380C1D">
      <w:pPr>
        <w:pStyle w:val="AERbulletlistfirststyle"/>
      </w:pPr>
      <w:r w:rsidRPr="002B285B">
        <w:t>self-insurance (putting aside funds to manage the likely costs associated with a risky event).</w:t>
      </w:r>
    </w:p>
    <w:p w:rsidR="00380C1D" w:rsidRPr="002B285B" w:rsidRDefault="00380C1D" w:rsidP="00380C1D">
      <w:r w:rsidRPr="002B285B">
        <w:t xml:space="preserve">An efficient business will manage its risk by employing the most cost effective combination of these strategies. For example, if a cost is reasonably predictable a business should factor it into its </w:t>
      </w:r>
      <w:r w:rsidR="00225658">
        <w:t xml:space="preserve">proposed </w:t>
      </w:r>
      <w:r w:rsidRPr="002B285B">
        <w:t>opex and capex. In addition, an NSP may invest in its networks to mitigate the impact of certain events occurring. Alternatively, if the probability of events occurring can be readily estimated then the event should be insurable.</w:t>
      </w:r>
    </w:p>
    <w:p w:rsidR="00380C1D" w:rsidRPr="002B285B" w:rsidRDefault="00380C1D" w:rsidP="00380C1D">
      <w:r w:rsidRPr="002B285B">
        <w:t>Pass through events cover those limited circumstances for which the risks cannot be managed efficiently in these ways and for which the NSP should be able to recover its efficient costs.</w:t>
      </w:r>
      <w:r w:rsidRPr="002B285B" w:rsidDel="00790D9A">
        <w:t xml:space="preserve"> </w:t>
      </w:r>
    </w:p>
    <w:p w:rsidR="00380C1D" w:rsidRPr="002B285B" w:rsidRDefault="00380C1D" w:rsidP="00380C1D">
      <w:r w:rsidRPr="002B285B">
        <w:t>A factor for us to consider, which is reflected in the pass through event considerations, is who is best placed to manage risk. Generally</w:t>
      </w:r>
      <w:r>
        <w:t>,</w:t>
      </w:r>
      <w:r w:rsidRPr="002B285B">
        <w:t xml:space="preserve"> the party who is in the best position to manage the risk should bear the risk. If the NSP</w:t>
      </w:r>
      <w:r>
        <w:t>, or customers, are</w:t>
      </w:r>
      <w:r w:rsidRPr="002B285B">
        <w:t xml:space="preserve"> fully exposed to a risk</w:t>
      </w:r>
      <w:r>
        <w:t>,</w:t>
      </w:r>
      <w:r w:rsidRPr="002B285B">
        <w:t xml:space="preserve"> this may lead to adverse outcomes. </w:t>
      </w:r>
    </w:p>
    <w:p w:rsidR="00380C1D" w:rsidRPr="002B285B" w:rsidRDefault="00380C1D" w:rsidP="00380C1D">
      <w:r w:rsidRPr="002B285B">
        <w:lastRenderedPageBreak/>
        <w:t xml:space="preserve">For example, where it is not possible for an NSP to insure against a risk, NSPs may need to share that risk with customers, to ensure that the service can continue to be provided if the event happens. The uninsurable risk may be outside the control of the NSP and have a low probability of occurring, but it might also have a significant cost impact. The most efficient and prudent solution to manage that type of risk may be to require customers to accept some of the burden of that risk, by allowing a pass through in the unlikely event that the risk eventuates. On the other hand, if the NSP is able to pass through all the costs of such an event, this may reduce the NSP's incentive to take prudent actions to prevent or mitigate the potential cost impact of the risk. Accordingly, while customers may need to accept some of the burden of the risk, the NSP will need to share some of the risk too. That might be achieved, for example, by making a pass through conditional on the NSP demonstrating that it has acted prudently and efficiently in managing the potential impact of the event. </w:t>
      </w:r>
    </w:p>
    <w:p w:rsidR="00380C1D" w:rsidRPr="002B285B" w:rsidRDefault="00380C1D" w:rsidP="00380C1D">
      <w:r w:rsidRPr="002B285B">
        <w:t>We consider all of these issues when assessing a nominated pass through event with the aim of achieving the right balance, in the long term interests of consumers, in accordance with the nominated pass through event considerations.</w:t>
      </w:r>
    </w:p>
    <w:p w:rsidR="00380C1D" w:rsidRPr="002B285B" w:rsidRDefault="00380C1D" w:rsidP="00380C1D">
      <w:r w:rsidRPr="002B285B">
        <w:t>As a matter of good regulatory practice, an additional factor we take into account is consistency</w:t>
      </w:r>
      <w:r>
        <w:t xml:space="preserve"> in our approach to assessing nominated pass through events</w:t>
      </w:r>
      <w:r w:rsidRPr="002B285B">
        <w:t xml:space="preserve"> across our determinations.</w:t>
      </w:r>
    </w:p>
    <w:p w:rsidR="00380C1D" w:rsidRPr="004E080E" w:rsidRDefault="00380C1D" w:rsidP="004E080E">
      <w:pPr>
        <w:pStyle w:val="Heading3"/>
      </w:pPr>
      <w:bookmarkStart w:id="21" w:name="_Toc409076206"/>
      <w:bookmarkStart w:id="22" w:name="_Toc417658678"/>
      <w:r w:rsidRPr="004E080E">
        <w:t>Interrelationships</w:t>
      </w:r>
      <w:bookmarkEnd w:id="21"/>
      <w:bookmarkEnd w:id="22"/>
    </w:p>
    <w:p w:rsidR="00380C1D" w:rsidRDefault="00380C1D" w:rsidP="00380C1D">
      <w:r>
        <w:t xml:space="preserve">As we mentioned above, pass through events are not the only mechanism in this determination by which SA Power Networks can manage its risks. </w:t>
      </w:r>
      <w:r w:rsidRPr="00C623D6">
        <w:t xml:space="preserve">The nominated pass through events are interrelated with other parts of this determination, in particular with the proposed opex and capex allowances and the rate of return. These interrelationships require the AER to balance the incentives in the various parts of its decision. </w:t>
      </w:r>
    </w:p>
    <w:p w:rsidR="00380C1D" w:rsidRPr="004E080E" w:rsidRDefault="00380C1D" w:rsidP="004E080E">
      <w:pPr>
        <w:pStyle w:val="Heading2"/>
      </w:pPr>
      <w:bookmarkStart w:id="23" w:name="_Toc409076207"/>
      <w:bookmarkStart w:id="24" w:name="_Toc417658679"/>
      <w:r w:rsidRPr="004E080E">
        <w:t>Reasons for preliminary decision</w:t>
      </w:r>
      <w:bookmarkEnd w:id="23"/>
      <w:bookmarkEnd w:id="24"/>
      <w:r w:rsidRPr="004E080E">
        <w:t xml:space="preserve"> </w:t>
      </w:r>
    </w:p>
    <w:p w:rsidR="00380C1D" w:rsidRPr="00437B15" w:rsidRDefault="00D448B6" w:rsidP="00380C1D">
      <w:r>
        <w:t xml:space="preserve">In this section we set out the reasons for our preliminary decisions on each of </w:t>
      </w:r>
      <w:r w:rsidR="008F2E5F" w:rsidRPr="008F2E5F">
        <w:t>SA Power Networks</w:t>
      </w:r>
      <w:r w:rsidR="008F2E5F">
        <w:t>'</w:t>
      </w:r>
      <w:r>
        <w:t xml:space="preserve"> proposed pass through events. We have:</w:t>
      </w:r>
      <w:r w:rsidR="00380C1D" w:rsidRPr="00437B15">
        <w:t xml:space="preserve"> </w:t>
      </w:r>
    </w:p>
    <w:p w:rsidR="00380C1D" w:rsidRPr="00380C1D" w:rsidRDefault="00D448B6" w:rsidP="00380C1D">
      <w:pPr>
        <w:pStyle w:val="AERbulletlistfirststyle"/>
      </w:pPr>
      <w:r>
        <w:t>P</w:t>
      </w:r>
      <w:r w:rsidR="00380C1D">
        <w:t>ropos</w:t>
      </w:r>
      <w:r>
        <w:t xml:space="preserve">ed alternative definitions for </w:t>
      </w:r>
      <w:r w:rsidR="008F2E5F">
        <w:t>SA Power Networks'</w:t>
      </w:r>
      <w:r>
        <w:t xml:space="preserve"> proposed </w:t>
      </w:r>
      <w:r w:rsidR="00380C1D" w:rsidRPr="00380C1D">
        <w:t>liability above insurance cap event</w:t>
      </w:r>
      <w:r>
        <w:t>,</w:t>
      </w:r>
      <w:r w:rsidR="00380C1D" w:rsidRPr="00380C1D">
        <w:t xml:space="preserve"> </w:t>
      </w:r>
      <w:r w:rsidRPr="006862AE">
        <w:t>insurer credit risk event</w:t>
      </w:r>
      <w:r w:rsidRPr="00380C1D">
        <w:t xml:space="preserve"> </w:t>
      </w:r>
      <w:r w:rsidR="00380C1D" w:rsidRPr="00380C1D">
        <w:t>and natural disaster event</w:t>
      </w:r>
      <w:r w:rsidR="00225658">
        <w:t>.</w:t>
      </w:r>
    </w:p>
    <w:p w:rsidR="00380C1D" w:rsidRPr="00380C1D" w:rsidRDefault="00D448B6" w:rsidP="00380C1D">
      <w:pPr>
        <w:pStyle w:val="AERbulletlistfirststyle"/>
        <w:rPr>
          <w:rStyle w:val="AERbody"/>
        </w:rPr>
      </w:pPr>
      <w:r>
        <w:t>N</w:t>
      </w:r>
      <w:r w:rsidRPr="006862AE">
        <w:t>ot accep</w:t>
      </w:r>
      <w:r>
        <w:t>ted</w:t>
      </w:r>
      <w:r w:rsidRPr="006862AE">
        <w:t xml:space="preserve"> </w:t>
      </w:r>
      <w:r w:rsidR="008F2E5F">
        <w:t>SA Power Networks'</w:t>
      </w:r>
      <w:r>
        <w:t xml:space="preserve"> proposed</w:t>
      </w:r>
      <w:r w:rsidR="00380C1D" w:rsidRPr="006862AE">
        <w:t xml:space="preserve"> general nominated pass through event, Kangaroo Island cable failure event, or native title event.</w:t>
      </w:r>
    </w:p>
    <w:p w:rsidR="00380C1D" w:rsidRPr="007C529F" w:rsidRDefault="00380C1D" w:rsidP="00E4320E">
      <w:pPr>
        <w:pStyle w:val="Heading3"/>
        <w:keepNext/>
      </w:pPr>
      <w:bookmarkStart w:id="25" w:name="_Toc417658680"/>
      <w:r w:rsidRPr="007C529F">
        <w:lastRenderedPageBreak/>
        <w:t>Liability above insurance cap</w:t>
      </w:r>
      <w:r w:rsidR="00D448B6" w:rsidRPr="007C529F">
        <w:t xml:space="preserve"> event</w:t>
      </w:r>
      <w:bookmarkEnd w:id="25"/>
    </w:p>
    <w:p w:rsidR="00757C0C" w:rsidRDefault="00D448B6" w:rsidP="00D448B6">
      <w:pPr>
        <w:numPr>
          <w:ilvl w:val="0"/>
          <w:numId w:val="25"/>
        </w:numPr>
      </w:pPr>
      <w:r>
        <w:t>The liability above insurance cap event would allow SA Power Networks to recover material costs incurred which exceed its insurance claim limit.</w:t>
      </w:r>
      <w:r>
        <w:rPr>
          <w:rStyle w:val="FootnoteReference"/>
        </w:rPr>
        <w:footnoteReference w:id="7"/>
      </w:r>
      <w:r>
        <w:t xml:space="preserve"> </w:t>
      </w:r>
    </w:p>
    <w:p w:rsidR="00757C0C" w:rsidRDefault="00757C0C" w:rsidP="00757C0C">
      <w:pPr>
        <w:numPr>
          <w:ilvl w:val="0"/>
          <w:numId w:val="25"/>
        </w:numPr>
      </w:pPr>
      <w:r w:rsidRPr="00B94A65">
        <w:t xml:space="preserve">We accept that </w:t>
      </w:r>
      <w:r>
        <w:t>a liability above insurance cap</w:t>
      </w:r>
      <w:r w:rsidRPr="00B94A65">
        <w:t xml:space="preserve"> event can be consistent with the nominated pass through considerations, if appropriately defined.</w:t>
      </w:r>
      <w:r>
        <w:t xml:space="preserve"> We </w:t>
      </w:r>
      <w:r w:rsidRPr="00284695">
        <w:t xml:space="preserve">do not accept the </w:t>
      </w:r>
      <w:r>
        <w:t>proposed definition of the liability above insurance cap</w:t>
      </w:r>
      <w:r w:rsidRPr="00B94A65">
        <w:t xml:space="preserve"> event</w:t>
      </w:r>
      <w:r w:rsidRPr="003D1765">
        <w:t>.</w:t>
      </w:r>
      <w:r>
        <w:t xml:space="preserve"> </w:t>
      </w:r>
      <w:r w:rsidR="00B61B9F">
        <w:t xml:space="preserve">To this end </w:t>
      </w:r>
      <w:r w:rsidRPr="00B94A65">
        <w:t xml:space="preserve">we have </w:t>
      </w:r>
      <w:r>
        <w:t xml:space="preserve">amended </w:t>
      </w:r>
      <w:r w:rsidR="008F2E5F">
        <w:t>SA Power Networks'</w:t>
      </w:r>
      <w:r w:rsidRPr="00B94A65">
        <w:t xml:space="preserve"> proposed definition of this pass through event </w:t>
      </w:r>
      <w:r>
        <w:t>to reflect</w:t>
      </w:r>
      <w:r w:rsidRPr="00B94A65">
        <w:t xml:space="preserve"> matters that we will have regard to in assessing an event.</w:t>
      </w:r>
    </w:p>
    <w:p w:rsidR="00D448B6" w:rsidRDefault="00D448B6" w:rsidP="00D448B6">
      <w:pPr>
        <w:numPr>
          <w:ilvl w:val="0"/>
          <w:numId w:val="25"/>
        </w:numPr>
      </w:pPr>
      <w:r>
        <w:t xml:space="preserve">SA Power Networks is funded through its opex allowance to obtain an appropriate level of insurance for these types of risks. </w:t>
      </w:r>
      <w:r w:rsidR="00C90AE7">
        <w:t>Subject to the comments below, w</w:t>
      </w:r>
      <w:r>
        <w:t xml:space="preserve">e accept that </w:t>
      </w:r>
      <w:r w:rsidR="00C90AE7">
        <w:t>an</w:t>
      </w:r>
      <w:r>
        <w:t xml:space="preserve"> insurance cap event would protect it from high cost impact events which would be uneconomic to insure against. We consider consumers </w:t>
      </w:r>
      <w:r w:rsidR="00C90AE7">
        <w:t xml:space="preserve">can </w:t>
      </w:r>
      <w:r>
        <w:t xml:space="preserve">benefit </w:t>
      </w:r>
      <w:r w:rsidR="00C90AE7">
        <w:t xml:space="preserve">from the inclusion of such an event </w:t>
      </w:r>
      <w:r>
        <w:t>because they are not required to fund excessive premiums where insurance, if available, would be uneconomic. Consumers then only bear the risk should</w:t>
      </w:r>
      <w:r w:rsidRPr="0083768C">
        <w:t xml:space="preserve"> a</w:t>
      </w:r>
      <w:r>
        <w:t>n insurance cap event occur.</w:t>
      </w:r>
    </w:p>
    <w:p w:rsidR="00D448B6" w:rsidRPr="003D1765" w:rsidRDefault="00D448B6" w:rsidP="00D448B6">
      <w:pPr>
        <w:numPr>
          <w:ilvl w:val="0"/>
          <w:numId w:val="25"/>
        </w:numPr>
      </w:pPr>
      <w:r w:rsidRPr="003D1765">
        <w:t xml:space="preserve">We expect that </w:t>
      </w:r>
      <w:r>
        <w:t>SA Power Networks</w:t>
      </w:r>
      <w:r w:rsidRPr="003D1765">
        <w:t xml:space="preserve"> will obtain efficient levels of insurance cover commensurate with its business risk </w:t>
      </w:r>
      <w:r>
        <w:t>as reflected in its opex allowance. We also note the following:</w:t>
      </w:r>
    </w:p>
    <w:p w:rsidR="00D448B6" w:rsidRPr="00380C1D" w:rsidRDefault="00D448B6" w:rsidP="00D448B6">
      <w:pPr>
        <w:pStyle w:val="AERbulletlistfirststyle"/>
      </w:pPr>
      <w:r>
        <w:t>t</w:t>
      </w:r>
      <w:r w:rsidRPr="00380C1D">
        <w:t>he extent to which SA Power Networks is able to reasonably prevent costs being incurred which exceed its insurance cap, or take steps to mitigate incurring costs above the cap, is limited</w:t>
      </w:r>
    </w:p>
    <w:p w:rsidR="00D448B6" w:rsidRPr="00380C1D" w:rsidRDefault="00D448B6" w:rsidP="00D448B6">
      <w:pPr>
        <w:pStyle w:val="AERbulletlistfirststyle"/>
      </w:pPr>
      <w:r>
        <w:t>t</w:t>
      </w:r>
      <w:r w:rsidRPr="00380C1D">
        <w:t>he coverage of insurance should be capped at a level beyond which it is unable or uneconomic to insure, having regard to the cost of premiums and the likelihood of the event.</w:t>
      </w:r>
    </w:p>
    <w:p w:rsidR="00151660" w:rsidRDefault="00D448B6" w:rsidP="00151660">
      <w:pPr>
        <w:numPr>
          <w:ilvl w:val="0"/>
          <w:numId w:val="25"/>
        </w:numPr>
      </w:pPr>
      <w:r>
        <w:t>However, w</w:t>
      </w:r>
      <w:r w:rsidR="00380C1D" w:rsidRPr="00AF4478">
        <w:t xml:space="preserve">e </w:t>
      </w:r>
      <w:r w:rsidR="008841F2">
        <w:t>consider</w:t>
      </w:r>
      <w:r w:rsidR="00C90AE7">
        <w:t xml:space="preserve"> </w:t>
      </w:r>
      <w:r w:rsidR="008F2E5F">
        <w:t>SA Power Networks'</w:t>
      </w:r>
      <w:r w:rsidRPr="00284695">
        <w:t xml:space="preserve"> </w:t>
      </w:r>
      <w:r w:rsidR="0042139D">
        <w:t>proposed definition of a liability above</w:t>
      </w:r>
      <w:r w:rsidR="00380C1D">
        <w:t xml:space="preserve"> insurance cap</w:t>
      </w:r>
      <w:r w:rsidR="00380C1D" w:rsidRPr="00284695">
        <w:t xml:space="preserve"> even</w:t>
      </w:r>
      <w:r w:rsidR="00380C1D">
        <w:t>t</w:t>
      </w:r>
      <w:r w:rsidR="00C90AE7">
        <w:t xml:space="preserve"> is </w:t>
      </w:r>
      <w:r w:rsidR="008841F2">
        <w:t xml:space="preserve">not </w:t>
      </w:r>
      <w:r w:rsidR="00C90AE7">
        <w:t>sufficiently clear to satisfy the nominated pass through event considerations</w:t>
      </w:r>
      <w:r w:rsidR="00380C1D" w:rsidRPr="003D1765">
        <w:t>.</w:t>
      </w:r>
      <w:r w:rsidR="00380C1D" w:rsidRPr="00284695">
        <w:t xml:space="preserve"> </w:t>
      </w:r>
      <w:r w:rsidR="00380C1D">
        <w:t>W</w:t>
      </w:r>
      <w:r w:rsidR="00380C1D" w:rsidRPr="00284695">
        <w:t xml:space="preserve">e have </w:t>
      </w:r>
      <w:r w:rsidR="00C90AE7">
        <w:t xml:space="preserve">therefore </w:t>
      </w:r>
      <w:r w:rsidR="00380C1D" w:rsidRPr="00284695">
        <w:t xml:space="preserve">amended the proposed definition to </w:t>
      </w:r>
      <w:r w:rsidR="00C90AE7">
        <w:t xml:space="preserve">make the operation of this event more transparent, by </w:t>
      </w:r>
      <w:r w:rsidR="00380C1D" w:rsidRPr="00284695">
        <w:t>incorporat</w:t>
      </w:r>
      <w:r w:rsidR="00C90AE7">
        <w:t>ing</w:t>
      </w:r>
      <w:r w:rsidR="00380C1D" w:rsidRPr="00284695">
        <w:t xml:space="preserve"> factor</w:t>
      </w:r>
      <w:r w:rsidR="00380C1D">
        <w:t xml:space="preserve">s that we will have regard to when assessing a </w:t>
      </w:r>
      <w:r w:rsidR="008841F2">
        <w:t>pass through application under this event</w:t>
      </w:r>
      <w:r w:rsidR="00380C1D">
        <w:t>.</w:t>
      </w:r>
      <w:r w:rsidR="00380C1D" w:rsidRPr="00284695">
        <w:t xml:space="preserve"> </w:t>
      </w:r>
      <w:r w:rsidR="00151660">
        <w:t xml:space="preserve">If a pass through event of this kind were to occur, in assessing </w:t>
      </w:r>
      <w:r w:rsidR="00FB2C6B">
        <w:t>SA Power Networks'</w:t>
      </w:r>
      <w:r w:rsidR="00151660">
        <w:t xml:space="preserve"> application to pass through costs</w:t>
      </w:r>
      <w:r w:rsidR="00151660" w:rsidRPr="003D1765">
        <w:t>, we will consider the efficiency</w:t>
      </w:r>
      <w:r w:rsidR="00151660">
        <w:t xml:space="preserve"> </w:t>
      </w:r>
      <w:r w:rsidR="00151660" w:rsidRPr="003D1765">
        <w:t xml:space="preserve">of </w:t>
      </w:r>
      <w:r w:rsidR="00FB2C6B">
        <w:t>SA Power Networks</w:t>
      </w:r>
      <w:r w:rsidR="00151660">
        <w:t>'</w:t>
      </w:r>
      <w:r w:rsidR="00151660" w:rsidRPr="003D1765">
        <w:t xml:space="preserve"> decisions and actions</w:t>
      </w:r>
      <w:r w:rsidR="00151660">
        <w:t>. We would consider whether it failed to take reasonable action to reduce the magnitude of the amount being claimed and whether any act or omission it took in response to the event increased the magnitude of the amount claimed</w:t>
      </w:r>
      <w:r w:rsidR="00151660" w:rsidRPr="003D1765">
        <w:t>.</w:t>
      </w:r>
      <w:r w:rsidR="00151660" w:rsidRPr="003D1765">
        <w:rPr>
          <w:rStyle w:val="FootnoteReference"/>
        </w:rPr>
        <w:footnoteReference w:id="8"/>
      </w:r>
      <w:r w:rsidR="00151660" w:rsidRPr="003D1765">
        <w:t xml:space="preserve"> This gives </w:t>
      </w:r>
      <w:r w:rsidR="00FB2C6B">
        <w:t>SA Power Networks</w:t>
      </w:r>
      <w:r w:rsidR="00151660" w:rsidRPr="003D1765">
        <w:t xml:space="preserve"> an incentive to mitigate </w:t>
      </w:r>
      <w:r w:rsidR="00151660">
        <w:t xml:space="preserve">the risks associated with the event. This may </w:t>
      </w:r>
      <w:r w:rsidR="00151660">
        <w:lastRenderedPageBreak/>
        <w:t xml:space="preserve">include acquiring an </w:t>
      </w:r>
      <w:r w:rsidR="00151660" w:rsidRPr="003D1765">
        <w:t>appropriate</w:t>
      </w:r>
      <w:r w:rsidR="00151660">
        <w:t xml:space="preserve"> level of</w:t>
      </w:r>
      <w:r w:rsidR="00151660" w:rsidRPr="003D1765">
        <w:t xml:space="preserve"> insurance </w:t>
      </w:r>
      <w:r w:rsidR="00151660">
        <w:t>and implementing other practical risk minimisation strategies in its operations.</w:t>
      </w:r>
      <w:r w:rsidR="00151660">
        <w:rPr>
          <w:rStyle w:val="FootnoteReference"/>
        </w:rPr>
        <w:footnoteReference w:id="9"/>
      </w:r>
    </w:p>
    <w:p w:rsidR="006C1C81" w:rsidRDefault="00DF2E73" w:rsidP="008F2E5F">
      <w:pPr>
        <w:numPr>
          <w:ilvl w:val="0"/>
          <w:numId w:val="25"/>
        </w:numPr>
      </w:pPr>
      <w:r>
        <w:t xml:space="preserve">As set out </w:t>
      </w:r>
      <w:r w:rsidR="00AD335C">
        <w:t>below</w:t>
      </w:r>
      <w:r>
        <w:t>, i</w:t>
      </w:r>
      <w:r w:rsidR="00F579C7">
        <w:t xml:space="preserve">n our proposed definition for </w:t>
      </w:r>
      <w:r w:rsidR="008F2E5F" w:rsidRPr="008F2E5F">
        <w:t>SA Power Networks</w:t>
      </w:r>
      <w:r w:rsidR="008F2E5F">
        <w:t xml:space="preserve"> </w:t>
      </w:r>
      <w:r w:rsidR="00F579C7">
        <w:t>w</w:t>
      </w:r>
      <w:r w:rsidR="006C1C81">
        <w:t>e have:</w:t>
      </w:r>
    </w:p>
    <w:p w:rsidR="006C1C81" w:rsidRDefault="00F579C7" w:rsidP="00630376">
      <w:pPr>
        <w:pStyle w:val="AERbulletlistfirststyle"/>
      </w:pPr>
      <w:r>
        <w:t>included the term, 'relevant insurance policy', to use consistent terminology throughout our definition.</w:t>
      </w:r>
    </w:p>
    <w:p w:rsidR="00F579C7" w:rsidRDefault="00F579C7" w:rsidP="00630376">
      <w:pPr>
        <w:pStyle w:val="AERbulletlistfirststyle"/>
      </w:pPr>
      <w:r>
        <w:t>Removed the reference to the 'forecast opex allowance</w:t>
      </w:r>
      <w:r w:rsidR="006A3E80">
        <w:t xml:space="preserve"> approved in the </w:t>
      </w:r>
      <w:r>
        <w:t xml:space="preserve">AER's final decision' and replaced it instead with 'the level of insurance that an efficient and prudent NSP would obtain in respect of the event'. We consider that clause 6.6.1(j) of the NER would require us to consider the opex allowance and how </w:t>
      </w:r>
      <w:r w:rsidR="008F2E5F" w:rsidRPr="008F2E5F">
        <w:t>SA Power Networks</w:t>
      </w:r>
      <w:r w:rsidR="008F2E5F">
        <w:t xml:space="preserve"> </w:t>
      </w:r>
      <w:r>
        <w:t>has sought to mitigate the risks of the event occurring.</w:t>
      </w:r>
    </w:p>
    <w:p w:rsidR="00E0082F" w:rsidRDefault="00E0082F" w:rsidP="00E0082F">
      <w:pPr>
        <w:pStyle w:val="AERbulletlistfirststyle"/>
      </w:pPr>
      <w:r>
        <w:t xml:space="preserve">Removed the term, 'the reasons for that decision' in the final dot point as it </w:t>
      </w:r>
      <w:r w:rsidRPr="00397AC7">
        <w:t xml:space="preserve">duplicates clause 6.6.1(j)(3) of the </w:t>
      </w:r>
      <w:r>
        <w:t>NER.</w:t>
      </w:r>
    </w:p>
    <w:p w:rsidR="00235F54" w:rsidRDefault="00235F54" w:rsidP="00235F54">
      <w:pPr>
        <w:pStyle w:val="AERbulletlistfirststyle"/>
      </w:pPr>
      <w:r w:rsidRPr="00235F54">
        <w:t>For consistency with other determinations made at this time we have referred</w:t>
      </w:r>
      <w:r>
        <w:t xml:space="preserve"> to this event as the 'insurance cap</w:t>
      </w:r>
      <w:r w:rsidRPr="00235F54">
        <w:t xml:space="preserve"> event'</w:t>
      </w:r>
      <w:r w:rsidR="00630376">
        <w:t>.</w:t>
      </w:r>
    </w:p>
    <w:p w:rsidR="00AD335C" w:rsidRPr="002B16C9" w:rsidRDefault="00AD335C" w:rsidP="00AD335C">
      <w:pPr>
        <w:pStyle w:val="AERquote"/>
      </w:pPr>
      <w:r w:rsidRPr="002B16C9">
        <w:t>An insurance cap event occurs if:</w:t>
      </w:r>
    </w:p>
    <w:p w:rsidR="00AD335C" w:rsidRPr="002B16C9" w:rsidRDefault="00AD335C" w:rsidP="00AD335C">
      <w:pPr>
        <w:pStyle w:val="AERquoteindent2"/>
      </w:pPr>
      <w:r w:rsidRPr="002B16C9">
        <w:t xml:space="preserve">1. </w:t>
      </w:r>
      <w:r>
        <w:t>SA Power Networks</w:t>
      </w:r>
      <w:r w:rsidRPr="002B16C9">
        <w:t xml:space="preserve"> makes a claim or claims and receives the benefit of a payment or payments under a relevant insurance policy,</w:t>
      </w:r>
    </w:p>
    <w:p w:rsidR="00AD335C" w:rsidRPr="002B16C9" w:rsidRDefault="00AD335C" w:rsidP="00AD335C">
      <w:pPr>
        <w:pStyle w:val="AERquoteindent2"/>
      </w:pPr>
      <w:r>
        <w:t>2. SA Power Networks</w:t>
      </w:r>
      <w:r w:rsidRPr="002B16C9">
        <w:t xml:space="preserve"> incurs costs beyond the relevant policy limit, and</w:t>
      </w:r>
    </w:p>
    <w:p w:rsidR="00AD335C" w:rsidRPr="002B16C9" w:rsidRDefault="00AD335C" w:rsidP="00AD335C">
      <w:pPr>
        <w:pStyle w:val="AERquoteindent2"/>
      </w:pPr>
      <w:r w:rsidRPr="002B16C9">
        <w:t xml:space="preserve">3. the costs beyond the relevant policy limit materially increase the costs to </w:t>
      </w:r>
      <w:r>
        <w:t>SA Power Networks</w:t>
      </w:r>
      <w:r w:rsidRPr="002B16C9">
        <w:t xml:space="preserve"> in providing direct control</w:t>
      </w:r>
      <w:r>
        <w:t xml:space="preserve"> services</w:t>
      </w:r>
    </w:p>
    <w:p w:rsidR="00AD335C" w:rsidRPr="005E03A4" w:rsidRDefault="00AD335C" w:rsidP="00AD335C">
      <w:pPr>
        <w:pStyle w:val="AERquoteindent1"/>
      </w:pPr>
      <w:r w:rsidRPr="005E03A4">
        <w:t>For this insurance cap event:</w:t>
      </w:r>
    </w:p>
    <w:p w:rsidR="00AD335C" w:rsidRPr="008E5CF0" w:rsidRDefault="00AD335C" w:rsidP="00AD335C">
      <w:pPr>
        <w:pStyle w:val="AERquoteindent2"/>
      </w:pPr>
      <w:r w:rsidRPr="008E5CF0">
        <w:t>4. the relevant policy limit is the greater of:</w:t>
      </w:r>
    </w:p>
    <w:p w:rsidR="00AD335C" w:rsidRPr="008E5CF0" w:rsidRDefault="00AD335C" w:rsidP="00AD335C">
      <w:pPr>
        <w:pStyle w:val="AERquoteindent3"/>
      </w:pPr>
      <w:r w:rsidRPr="008E5CF0">
        <w:t xml:space="preserve">a. </w:t>
      </w:r>
      <w:r>
        <w:t>SA Power Network</w:t>
      </w:r>
      <w:r w:rsidRPr="008E5CF0">
        <w:t>s actual policy limit at the time of the event that gives, or would have given rise to a claim, and</w:t>
      </w:r>
    </w:p>
    <w:p w:rsidR="00AD335C" w:rsidRPr="008E5CF0" w:rsidRDefault="00AD335C" w:rsidP="00AD335C">
      <w:pPr>
        <w:pStyle w:val="AERquoteindent3"/>
      </w:pPr>
      <w:r w:rsidRPr="008E5CF0">
        <w:t>b. the policy limit that is explicitly or implicitly commensurate with the allowance for insurance premiums that is included in the forecast operating expenditure allowance approved in the AER’s final decision for the regulatory control period in which the insurance policy is issued.</w:t>
      </w:r>
    </w:p>
    <w:p w:rsidR="00AD335C" w:rsidRPr="008E5CF0" w:rsidRDefault="00AD335C" w:rsidP="00AD335C">
      <w:pPr>
        <w:pStyle w:val="AERquoteindent2"/>
      </w:pPr>
      <w:r w:rsidRPr="008E5CF0">
        <w:t>5. A relevant insurance policy is an insurance policy held during the 2015-</w:t>
      </w:r>
      <w:r>
        <w:t>20</w:t>
      </w:r>
      <w:r w:rsidRPr="008E5CF0">
        <w:t xml:space="preserve"> regulatory control period or a previous regulatory control period in which </w:t>
      </w:r>
      <w:r>
        <w:t>SA Power Networks</w:t>
      </w:r>
      <w:r w:rsidRPr="008E5CF0">
        <w:t xml:space="preserve"> was regulated.</w:t>
      </w:r>
    </w:p>
    <w:p w:rsidR="00AD335C" w:rsidRPr="008E5CF0" w:rsidRDefault="00AD335C" w:rsidP="00AD335C">
      <w:pPr>
        <w:pStyle w:val="AERquoteindent1"/>
      </w:pPr>
      <w:r w:rsidRPr="008E5CF0">
        <w:lastRenderedPageBreak/>
        <w:t>Note for the avoidance of doubt, in assessing an insurance cap event cost pass through application under rule 6</w:t>
      </w:r>
      <w:r>
        <w:t>.6.1(j)</w:t>
      </w:r>
      <w:r w:rsidRPr="008E5CF0">
        <w:t xml:space="preserve"> the AER will have regard to:</w:t>
      </w:r>
    </w:p>
    <w:p w:rsidR="00AD335C" w:rsidRPr="008E5CF0" w:rsidRDefault="00AD335C" w:rsidP="00AD335C">
      <w:pPr>
        <w:pStyle w:val="AERquoteindent3"/>
      </w:pPr>
      <w:r w:rsidRPr="008E5CF0">
        <w:t>i. the</w:t>
      </w:r>
      <w:r>
        <w:t xml:space="preserve"> relevant</w:t>
      </w:r>
      <w:r w:rsidRPr="008E5CF0">
        <w:t xml:space="preserve"> insurance policy for the event,</w:t>
      </w:r>
      <w:r>
        <w:t xml:space="preserve"> and</w:t>
      </w:r>
    </w:p>
    <w:p w:rsidR="00AD335C" w:rsidRPr="008E5CF0" w:rsidRDefault="00AD335C" w:rsidP="00AD335C">
      <w:pPr>
        <w:pStyle w:val="AERquoteindent3"/>
      </w:pPr>
      <w:r w:rsidRPr="008E5CF0">
        <w:t>ii. the level of insurance that an efficient and prudent NSP would obtain in res</w:t>
      </w:r>
      <w:r>
        <w:t>pect of the event.</w:t>
      </w:r>
    </w:p>
    <w:p w:rsidR="00380C1D" w:rsidRPr="007C529F" w:rsidRDefault="00380C1D" w:rsidP="007C529F">
      <w:pPr>
        <w:pStyle w:val="Heading3"/>
      </w:pPr>
      <w:bookmarkStart w:id="26" w:name="_Toc417658681"/>
      <w:r w:rsidRPr="007C529F">
        <w:t>Natural disaster event</w:t>
      </w:r>
      <w:bookmarkEnd w:id="26"/>
    </w:p>
    <w:p w:rsidR="00757C0C" w:rsidRDefault="00C90AE7" w:rsidP="008F2E5F">
      <w:pPr>
        <w:numPr>
          <w:ilvl w:val="0"/>
          <w:numId w:val="25"/>
        </w:numPr>
      </w:pPr>
      <w:r>
        <w:t xml:space="preserve">This event </w:t>
      </w:r>
      <w:r w:rsidR="00F579C7">
        <w:t xml:space="preserve">will allow </w:t>
      </w:r>
      <w:r w:rsidR="008F2E5F" w:rsidRPr="008F2E5F">
        <w:t>SA Power Networks</w:t>
      </w:r>
      <w:r w:rsidR="008F2E5F">
        <w:t xml:space="preserve"> </w:t>
      </w:r>
      <w:r w:rsidR="00F579C7">
        <w:t xml:space="preserve">to pass through the costs associated with </w:t>
      </w:r>
      <w:r w:rsidR="00C26147">
        <w:t>natural disasters</w:t>
      </w:r>
      <w:r>
        <w:t>.</w:t>
      </w:r>
      <w:r w:rsidR="000B14B2">
        <w:t xml:space="preserve"> </w:t>
      </w:r>
      <w:r w:rsidR="00757C0C" w:rsidRPr="00B94A65">
        <w:t xml:space="preserve">We accept that </w:t>
      </w:r>
      <w:r w:rsidR="00757C0C">
        <w:t>a natural disaster</w:t>
      </w:r>
      <w:r w:rsidR="00757C0C" w:rsidRPr="00B94A65">
        <w:t xml:space="preserve"> event can be consistent with the nominated pass through considerations, if appropriately defined.</w:t>
      </w:r>
      <w:r w:rsidR="00757C0C">
        <w:t xml:space="preserve"> We </w:t>
      </w:r>
      <w:r w:rsidR="00757C0C" w:rsidRPr="00284695">
        <w:t xml:space="preserve">do not accept the </w:t>
      </w:r>
      <w:r w:rsidR="00757C0C">
        <w:t>proposed definition</w:t>
      </w:r>
      <w:r w:rsidR="00757C0C" w:rsidRPr="003D1765">
        <w:t>.</w:t>
      </w:r>
      <w:r w:rsidR="00757C0C">
        <w:t xml:space="preserve"> </w:t>
      </w:r>
      <w:r w:rsidR="00B61B9F">
        <w:t>To this end,</w:t>
      </w:r>
      <w:r w:rsidR="00757C0C" w:rsidRPr="00B94A65">
        <w:t xml:space="preserve"> we have </w:t>
      </w:r>
      <w:r w:rsidR="00757C0C">
        <w:t xml:space="preserve">amended </w:t>
      </w:r>
      <w:r w:rsidR="008F2E5F">
        <w:t>SA Power Networks'</w:t>
      </w:r>
      <w:r w:rsidR="00757C0C" w:rsidRPr="00B94A65">
        <w:t xml:space="preserve"> proposed definition of this pass through event </w:t>
      </w:r>
      <w:r w:rsidR="00757C0C">
        <w:t>to reflect</w:t>
      </w:r>
      <w:r w:rsidR="00757C0C" w:rsidRPr="00B94A65">
        <w:t xml:space="preserve"> matters that we will have regard to in assessing an event.</w:t>
      </w:r>
    </w:p>
    <w:p w:rsidR="00C90AE7" w:rsidRDefault="00C90AE7" w:rsidP="008F2E5F">
      <w:pPr>
        <w:numPr>
          <w:ilvl w:val="0"/>
          <w:numId w:val="25"/>
        </w:numPr>
      </w:pPr>
      <w:r>
        <w:t xml:space="preserve">We consider that there may be some overlap between an insurance cap event and a natural disaster event, but, subject to the comments below, accept that there may be merit in approving both events </w:t>
      </w:r>
      <w:r w:rsidRPr="00354A8E">
        <w:t xml:space="preserve">because </w:t>
      </w:r>
      <w:r>
        <w:t>the</w:t>
      </w:r>
      <w:r w:rsidRPr="00354A8E">
        <w:t xml:space="preserve"> </w:t>
      </w:r>
      <w:r w:rsidR="008F2E5F" w:rsidRPr="008F2E5F">
        <w:t>SA Power Networks</w:t>
      </w:r>
      <w:r w:rsidR="008F2E5F">
        <w:t xml:space="preserve"> </w:t>
      </w:r>
      <w:r w:rsidRPr="00354A8E">
        <w:t xml:space="preserve">may incur costs </w:t>
      </w:r>
      <w:r>
        <w:t xml:space="preserve">in a natural disaster event </w:t>
      </w:r>
      <w:r w:rsidRPr="00354A8E">
        <w:t>which an insurance policy would not ordinarily cover.</w:t>
      </w:r>
      <w:r>
        <w:t xml:space="preserve"> </w:t>
      </w:r>
    </w:p>
    <w:p w:rsidR="00C90AE7" w:rsidRDefault="00C90AE7" w:rsidP="00C90AE7">
      <w:pPr>
        <w:numPr>
          <w:ilvl w:val="0"/>
          <w:numId w:val="25"/>
        </w:numPr>
      </w:pPr>
      <w:r w:rsidRPr="003D1765">
        <w:t xml:space="preserve">In </w:t>
      </w:r>
      <w:r>
        <w:t>relation to this event, we note</w:t>
      </w:r>
      <w:r w:rsidRPr="00C03EA4">
        <w:t>:</w:t>
      </w:r>
    </w:p>
    <w:p w:rsidR="00C90AE7" w:rsidRPr="00380C1D" w:rsidRDefault="00C90AE7" w:rsidP="00C90AE7">
      <w:pPr>
        <w:pStyle w:val="AERbulletlistfirststyle"/>
      </w:pPr>
      <w:r>
        <w:t>SA Power Networks</w:t>
      </w:r>
      <w:r w:rsidRPr="00380C1D">
        <w:t xml:space="preserve"> has a range of measures in place to mitigate the impacts of an event, should one occur.</w:t>
      </w:r>
      <w:r w:rsidRPr="00380C1D">
        <w:rPr>
          <w:rStyle w:val="FootnoteReference"/>
        </w:rPr>
        <w:footnoteReference w:id="10"/>
      </w:r>
      <w:r w:rsidRPr="00380C1D">
        <w:t xml:space="preserve"> </w:t>
      </w:r>
      <w:r w:rsidR="000B14B2">
        <w:rPr>
          <w:rStyle w:val="FootnoteReference"/>
        </w:rPr>
        <w:footnoteReference w:id="11"/>
      </w:r>
    </w:p>
    <w:p w:rsidR="00C90AE7" w:rsidRPr="00380C1D" w:rsidRDefault="00C90AE7" w:rsidP="00C90AE7">
      <w:pPr>
        <w:pStyle w:val="AERbulletlistfirststyle"/>
      </w:pPr>
      <w:r>
        <w:t>SA Power Networks</w:t>
      </w:r>
      <w:r w:rsidRPr="00380C1D">
        <w:t xml:space="preserve"> currently has some commercial insurance for natural disasters.</w:t>
      </w:r>
      <w:r w:rsidRPr="00380C1D">
        <w:rPr>
          <w:rStyle w:val="FootnoteReference"/>
        </w:rPr>
        <w:footnoteReference w:id="12"/>
      </w:r>
      <w:r w:rsidRPr="00380C1D">
        <w:t xml:space="preserve"> This would not likely cover all the costs associated with a natural disaster event, however taking out further insurance would likely be inefficient and result in an unnecessary cost increase to customers.</w:t>
      </w:r>
      <w:r w:rsidRPr="00380C1D">
        <w:rPr>
          <w:rStyle w:val="FootnoteReference"/>
        </w:rPr>
        <w:footnoteReference w:id="13"/>
      </w:r>
    </w:p>
    <w:p w:rsidR="00E0082F" w:rsidRDefault="00E0082F" w:rsidP="00E0082F">
      <w:pPr>
        <w:pStyle w:val="ListParagraph"/>
        <w:numPr>
          <w:ilvl w:val="0"/>
          <w:numId w:val="25"/>
        </w:numPr>
      </w:pPr>
      <w:r w:rsidRPr="00E0082F">
        <w:t xml:space="preserve">These events are largely beyond the control of </w:t>
      </w:r>
      <w:r>
        <w:t>SA Power Networks</w:t>
      </w:r>
      <w:r w:rsidRPr="00E0082F">
        <w:t xml:space="preserve"> but potentially could have a high cost impact. As noted above, we consider that </w:t>
      </w:r>
      <w:r>
        <w:t>SA Power Networks</w:t>
      </w:r>
      <w:r w:rsidRPr="00E0082F">
        <w:t xml:space="preserve"> has taken prudent actions to mitigate the risks of these events occurring and the likely costs to the network if they do occur. Based on our assessment approach these should therefore be included as nominated pass through events.</w:t>
      </w:r>
    </w:p>
    <w:p w:rsidR="00540EAC" w:rsidRDefault="00B93F56" w:rsidP="008F2E5F">
      <w:pPr>
        <w:numPr>
          <w:ilvl w:val="0"/>
          <w:numId w:val="25"/>
        </w:numPr>
      </w:pPr>
      <w:r>
        <w:t>However, w</w:t>
      </w:r>
      <w:r w:rsidR="00380C1D" w:rsidRPr="00AF4478">
        <w:t xml:space="preserve">e </w:t>
      </w:r>
      <w:r w:rsidR="00380C1D" w:rsidRPr="00284695">
        <w:t xml:space="preserve">do not accept </w:t>
      </w:r>
      <w:r w:rsidR="008F2E5F">
        <w:t>SA Power Networks'</w:t>
      </w:r>
      <w:r w:rsidRPr="00284695">
        <w:t xml:space="preserve"> </w:t>
      </w:r>
      <w:r w:rsidR="00380C1D">
        <w:t xml:space="preserve">proposed definition of </w:t>
      </w:r>
      <w:r>
        <w:t xml:space="preserve">the </w:t>
      </w:r>
      <w:r w:rsidR="00380C1D" w:rsidRPr="00284695">
        <w:t>natural disaster event</w:t>
      </w:r>
      <w:r>
        <w:t xml:space="preserve">. </w:t>
      </w:r>
      <w:r w:rsidR="00380C1D">
        <w:t xml:space="preserve">SA Power Networks' </w:t>
      </w:r>
      <w:r w:rsidR="00380C1D" w:rsidRPr="00524277">
        <w:t xml:space="preserve">opex allowance includes funding for insurance yet </w:t>
      </w:r>
      <w:r w:rsidR="00380C1D">
        <w:t>it</w:t>
      </w:r>
      <w:r w:rsidR="00380C1D" w:rsidRPr="00524277">
        <w:t xml:space="preserve"> may have an incentive to keep that allowance (and not insure the risk) while managing this risk through the pass through mechanism. We consider that this incentive </w:t>
      </w:r>
      <w:r w:rsidR="00540EAC">
        <w:t xml:space="preserve">can be balanced if the definition of the </w:t>
      </w:r>
      <w:r w:rsidR="008841F2">
        <w:t xml:space="preserve">natural disaster </w:t>
      </w:r>
      <w:r w:rsidR="00540EAC">
        <w:t>event recognises that</w:t>
      </w:r>
      <w:r w:rsidR="008841F2">
        <w:t xml:space="preserve">, in assessing a pass through application under this event, we will have regard to </w:t>
      </w:r>
      <w:r w:rsidR="008841F2">
        <w:lastRenderedPageBreak/>
        <w:t xml:space="preserve">whether </w:t>
      </w:r>
      <w:r w:rsidR="008F2E5F" w:rsidRPr="008F2E5F">
        <w:t>SA Power Networks</w:t>
      </w:r>
      <w:r w:rsidR="008F2E5F">
        <w:t xml:space="preserve"> </w:t>
      </w:r>
      <w:r w:rsidR="008841F2">
        <w:t>has taken</w:t>
      </w:r>
      <w:r w:rsidR="00540EAC">
        <w:t xml:space="preserve"> prudent and efficient steps to</w:t>
      </w:r>
      <w:r w:rsidR="00540EAC" w:rsidRPr="003D1765">
        <w:t xml:space="preserve"> insure against the event.</w:t>
      </w:r>
      <w:r w:rsidR="00540EAC">
        <w:rPr>
          <w:rStyle w:val="FootnoteReference"/>
        </w:rPr>
        <w:footnoteReference w:id="14"/>
      </w:r>
      <w:r w:rsidR="00540EAC" w:rsidRPr="00284695">
        <w:t xml:space="preserve"> </w:t>
      </w:r>
    </w:p>
    <w:p w:rsidR="00F55612" w:rsidRDefault="00F55612" w:rsidP="00F55612">
      <w:pPr>
        <w:pStyle w:val="ListParagraph"/>
        <w:numPr>
          <w:ilvl w:val="0"/>
          <w:numId w:val="25"/>
        </w:numPr>
      </w:pPr>
      <w:r w:rsidRPr="00F55612">
        <w:t xml:space="preserve">Whether a relevant government authority has made a relevant declaration in respect of these pass through events is a factor that we would have regard to in considering whether to approve such a pass through event. We consider that this adds clarity around the purpose of this nominated pass through event and when it is likely to be considered to have occurred. We therefore </w:t>
      </w:r>
      <w:r>
        <w:t>have included this as a factor that we will have regard to</w:t>
      </w:r>
      <w:r w:rsidRPr="00F55612">
        <w:t>.</w:t>
      </w:r>
    </w:p>
    <w:p w:rsidR="005B5142" w:rsidRDefault="005B5142" w:rsidP="00540EAC">
      <w:pPr>
        <w:numPr>
          <w:ilvl w:val="0"/>
          <w:numId w:val="25"/>
        </w:numPr>
      </w:pPr>
      <w:r>
        <w:t>We do not agree with the inclusion of the term, 'storm'</w:t>
      </w:r>
      <w:r w:rsidR="008944A8">
        <w:t>, in the natural disaster event definition. We accept that some storms may constitute a natural disaster and</w:t>
      </w:r>
      <w:r w:rsidR="00717C68">
        <w:t>, thereby,</w:t>
      </w:r>
      <w:r w:rsidR="008944A8">
        <w:t xml:space="preserve"> may give rise to a pass through event. However, the term</w:t>
      </w:r>
      <w:r w:rsidR="00717C68">
        <w:t>, 'storm'</w:t>
      </w:r>
      <w:r w:rsidR="008944A8">
        <w:t xml:space="preserve"> is not sufficiently clear so as indicate when such a pass through would apply. If a major storm does occur, then it would likely fall within 'or other natural disaster </w:t>
      </w:r>
      <w:r w:rsidR="00225658">
        <w:t>…</w:t>
      </w:r>
      <w:r w:rsidR="008944A8">
        <w:t>'.</w:t>
      </w:r>
    </w:p>
    <w:p w:rsidR="00C26147" w:rsidRPr="00C26147" w:rsidRDefault="00C26147" w:rsidP="008F2E5F">
      <w:pPr>
        <w:numPr>
          <w:ilvl w:val="0"/>
          <w:numId w:val="25"/>
        </w:numPr>
      </w:pPr>
      <w:r w:rsidRPr="00C26147">
        <w:t xml:space="preserve">In our proposed definition for </w:t>
      </w:r>
      <w:r w:rsidR="008F2E5F" w:rsidRPr="008F2E5F">
        <w:t>SA Power Networks</w:t>
      </w:r>
      <w:r w:rsidR="008F2E5F">
        <w:t xml:space="preserve"> </w:t>
      </w:r>
      <w:r w:rsidRPr="00C26147">
        <w:t>we have:</w:t>
      </w:r>
    </w:p>
    <w:p w:rsidR="008944A8" w:rsidRDefault="00B93F56" w:rsidP="00E0082F">
      <w:pPr>
        <w:pStyle w:val="AERbulletlistfirststyle"/>
      </w:pPr>
      <w:r w:rsidRPr="00284695">
        <w:t xml:space="preserve">amended </w:t>
      </w:r>
      <w:r w:rsidR="00B61B9F">
        <w:t>the</w:t>
      </w:r>
      <w:r w:rsidR="00B61B9F" w:rsidRPr="00284695">
        <w:t xml:space="preserve"> </w:t>
      </w:r>
      <w:r w:rsidRPr="00284695">
        <w:t>proposed definition to incorporate factor</w:t>
      </w:r>
      <w:r>
        <w:t xml:space="preserve">s that we will have regard to when assessing a </w:t>
      </w:r>
      <w:r w:rsidR="008841F2">
        <w:t>pass through application</w:t>
      </w:r>
    </w:p>
    <w:p w:rsidR="0030758A" w:rsidRDefault="008944A8" w:rsidP="008F2E5F">
      <w:pPr>
        <w:pStyle w:val="AERbulletlistfirststyle"/>
      </w:pPr>
      <w:r>
        <w:t xml:space="preserve">removed the word 'storm' from </w:t>
      </w:r>
      <w:r w:rsidR="008F2E5F" w:rsidRPr="008F2E5F">
        <w:t>SA Power Networks</w:t>
      </w:r>
      <w:r w:rsidR="00225658">
        <w:t>’</w:t>
      </w:r>
      <w:r w:rsidR="008F2E5F">
        <w:t xml:space="preserve"> </w:t>
      </w:r>
      <w:r>
        <w:t>proposed definition.</w:t>
      </w:r>
    </w:p>
    <w:p w:rsidR="00E4320E" w:rsidRDefault="00E4320E" w:rsidP="0030758A">
      <w:r>
        <w:t>Accordingly, we have proposed the following new definition.</w:t>
      </w:r>
    </w:p>
    <w:p w:rsidR="00E4320E" w:rsidRPr="00235F54" w:rsidRDefault="00E4320E" w:rsidP="00E4320E">
      <w:pPr>
        <w:pStyle w:val="AERquoteindent1"/>
      </w:pPr>
      <w:r w:rsidRPr="00235F54">
        <w:t>A natural disaster event occurs if:</w:t>
      </w:r>
    </w:p>
    <w:p w:rsidR="00E4320E" w:rsidRPr="00AF0BEB" w:rsidRDefault="00E4320E" w:rsidP="00E4320E">
      <w:pPr>
        <w:pStyle w:val="AERquoteindent2"/>
      </w:pPr>
      <w:r w:rsidRPr="00243359">
        <w:t>Any major fire, flood, earthquake or other natural disaster occurs duri</w:t>
      </w:r>
      <w:r w:rsidR="00B15986">
        <w:t>ng the 2015-20</w:t>
      </w:r>
      <w:r w:rsidRPr="00243359">
        <w:t xml:space="preserve"> regulatory control period and </w:t>
      </w:r>
      <w:r w:rsidRPr="00AF0BEB">
        <w:t xml:space="preserve">materially increases the costs to </w:t>
      </w:r>
      <w:r>
        <w:t>SA Power Networks</w:t>
      </w:r>
      <w:r w:rsidRPr="00AF0BEB">
        <w:t xml:space="preserve"> in providing direct control services, provided the fire, flood or other event was not a consequence of the acts or omissions of the service provider</w:t>
      </w:r>
    </w:p>
    <w:p w:rsidR="00E4320E" w:rsidRPr="00AF0BEB" w:rsidRDefault="00E4320E" w:rsidP="00E4320E">
      <w:pPr>
        <w:pStyle w:val="AERquoteindent2"/>
      </w:pPr>
      <w:r w:rsidRPr="00243359">
        <w:t xml:space="preserve">The term ‘major’ in the above paragraph means an event that is serious and significant. It does not mean </w:t>
      </w:r>
      <w:r w:rsidRPr="00AF0BEB">
        <w:t xml:space="preserve">material as that term is defined in the Rules (that is 1 per cent of the </w:t>
      </w:r>
      <w:r>
        <w:t>distributor</w:t>
      </w:r>
      <w:r w:rsidRPr="00AF0BEB">
        <w:t>’s annual revenue requirement for that regulatory year).</w:t>
      </w:r>
    </w:p>
    <w:p w:rsidR="00E4320E" w:rsidRPr="00AF0BEB" w:rsidRDefault="00E4320E" w:rsidP="00E4320E">
      <w:pPr>
        <w:pStyle w:val="AERquoteindent2"/>
      </w:pPr>
      <w:r w:rsidRPr="00243359">
        <w:t>Note: In assessing a natural disaster event pass through application, the AER will have regard to, amongst other things:</w:t>
      </w:r>
    </w:p>
    <w:p w:rsidR="00E4320E" w:rsidRPr="00AF0BEB" w:rsidRDefault="00E4320E" w:rsidP="00E4320E">
      <w:pPr>
        <w:pStyle w:val="AERquoteindent3"/>
      </w:pPr>
      <w:r w:rsidRPr="00243359">
        <w:t xml:space="preserve">i. whether </w:t>
      </w:r>
      <w:r>
        <w:t>SA Power Networks</w:t>
      </w:r>
      <w:r w:rsidRPr="00243359">
        <w:t xml:space="preserve"> has insurance against the event, </w:t>
      </w:r>
    </w:p>
    <w:p w:rsidR="00E4320E" w:rsidRPr="00AF0BEB" w:rsidRDefault="00E4320E" w:rsidP="00E4320E">
      <w:pPr>
        <w:pStyle w:val="AERquoteindent3"/>
      </w:pPr>
      <w:r w:rsidRPr="00243359">
        <w:t xml:space="preserve">ii. the level of insurance that an efficient and prudent NSP would obtain in respect of the event, </w:t>
      </w:r>
      <w:r>
        <w:t>and</w:t>
      </w:r>
    </w:p>
    <w:p w:rsidR="00E4320E" w:rsidRDefault="00E4320E" w:rsidP="00E4320E">
      <w:pPr>
        <w:pStyle w:val="AERquoteindent3"/>
      </w:pPr>
      <w:r w:rsidRPr="00235F54">
        <w:t>iii. whether a relevant government authority has made a declaration that a natural disaster has occurred</w:t>
      </w:r>
      <w:r>
        <w:t>.</w:t>
      </w:r>
    </w:p>
    <w:p w:rsidR="00380C1D" w:rsidRPr="007C529F" w:rsidRDefault="00380C1D" w:rsidP="00E4320E">
      <w:pPr>
        <w:pStyle w:val="Heading3"/>
        <w:keepNext/>
      </w:pPr>
      <w:bookmarkStart w:id="27" w:name="_Toc417658682"/>
      <w:r w:rsidRPr="007C529F">
        <w:lastRenderedPageBreak/>
        <w:t>Insurer credit risk</w:t>
      </w:r>
      <w:bookmarkEnd w:id="27"/>
    </w:p>
    <w:p w:rsidR="00717C68" w:rsidRDefault="00717C68" w:rsidP="008F2E5F">
      <w:pPr>
        <w:numPr>
          <w:ilvl w:val="0"/>
          <w:numId w:val="25"/>
        </w:numPr>
      </w:pPr>
      <w:r w:rsidRPr="00717C68">
        <w:t xml:space="preserve">The insurer credit risk event is intended to provide for circumstances </w:t>
      </w:r>
      <w:r w:rsidR="006A3E80">
        <w:t>in which an insurance claim would be s</w:t>
      </w:r>
      <w:r w:rsidRPr="00717C68">
        <w:t xml:space="preserve">uccessful, but </w:t>
      </w:r>
      <w:r w:rsidR="008F2E5F" w:rsidRPr="008F2E5F">
        <w:t>SA Power Networks</w:t>
      </w:r>
      <w:r w:rsidR="008F2E5F">
        <w:t xml:space="preserve"> </w:t>
      </w:r>
      <w:r w:rsidRPr="00717C68">
        <w:t>is unable to recover outstanding insurance claims as a result of the insolvency of an insurance provider.</w:t>
      </w:r>
    </w:p>
    <w:p w:rsidR="00B94A65" w:rsidRPr="00B94A65" w:rsidRDefault="00B94A65" w:rsidP="00B61B9F">
      <w:pPr>
        <w:numPr>
          <w:ilvl w:val="0"/>
          <w:numId w:val="25"/>
        </w:numPr>
      </w:pPr>
      <w:r w:rsidRPr="00B94A65">
        <w:t xml:space="preserve">We accept that an insurer credit risk event can be consistent with the nominated pass through considerations, if appropriately defined. </w:t>
      </w:r>
      <w:r w:rsidR="00492CAC" w:rsidRPr="00AF4478">
        <w:t xml:space="preserve">We </w:t>
      </w:r>
      <w:r w:rsidR="00492CAC" w:rsidRPr="00284695">
        <w:t xml:space="preserve">do not accept the </w:t>
      </w:r>
      <w:r w:rsidR="00492CAC">
        <w:t xml:space="preserve">proposed definition of an insurer credit risk </w:t>
      </w:r>
      <w:r w:rsidR="00492CAC" w:rsidRPr="00284695">
        <w:t>even</w:t>
      </w:r>
      <w:r w:rsidR="00492CAC">
        <w:t>t</w:t>
      </w:r>
      <w:r w:rsidR="00B61B9F">
        <w:t xml:space="preserve"> because we do not consider that it provides sufficient clarity around when we would accept an event</w:t>
      </w:r>
      <w:r w:rsidR="00492CAC" w:rsidRPr="003D1765">
        <w:t>.</w:t>
      </w:r>
      <w:r w:rsidR="00757C0C">
        <w:t xml:space="preserve"> </w:t>
      </w:r>
      <w:r w:rsidR="00B61B9F">
        <w:t xml:space="preserve">We also do not accept the element of the definition which would allow the NSP to recover the costs associated with variations to the insurance premium. </w:t>
      </w:r>
      <w:r w:rsidRPr="00B94A65">
        <w:t xml:space="preserve">To this end, we have </w:t>
      </w:r>
      <w:r>
        <w:t xml:space="preserve">amended </w:t>
      </w:r>
      <w:r w:rsidR="008F2E5F">
        <w:t>SA Power Networks'</w:t>
      </w:r>
      <w:r w:rsidRPr="00B94A65">
        <w:t xml:space="preserve"> proposed definition of this pass through event </w:t>
      </w:r>
      <w:r>
        <w:t>to reflect</w:t>
      </w:r>
      <w:r w:rsidRPr="00B94A65">
        <w:t xml:space="preserve"> matters that we will have regard to in assessing an event.</w:t>
      </w:r>
    </w:p>
    <w:p w:rsidR="00B94A65" w:rsidRDefault="00757C0C" w:rsidP="00B94A65">
      <w:pPr>
        <w:numPr>
          <w:ilvl w:val="0"/>
          <w:numId w:val="25"/>
        </w:numPr>
      </w:pPr>
      <w:r>
        <w:t>An</w:t>
      </w:r>
      <w:r w:rsidR="00B94A65" w:rsidRPr="00B94A65">
        <w:t xml:space="preserve"> NSP may suffer a significant loss as a consequence of an insurer becoming insolvent and thereby unable to satisfy all insurance claims. NSPs are also limited in the extent to which they can avoid such losses, short of taking out multiple insurance policies to cover the same risks. We accept that the options available to NSPs to manage these risks are limited and, given the rarity of such events, may in fact result in greater expenditure on insurance than is prudent or efficient.</w:t>
      </w:r>
    </w:p>
    <w:p w:rsidR="006A3E80" w:rsidRDefault="006A3E80" w:rsidP="00630376">
      <w:pPr>
        <w:pStyle w:val="ListParagraph"/>
        <w:numPr>
          <w:ilvl w:val="0"/>
          <w:numId w:val="25"/>
        </w:numPr>
      </w:pPr>
      <w:r w:rsidRPr="006A3E80">
        <w:t xml:space="preserve">We therefore accept that an insurer credit risk event can be consistent with the nominated pass through considerations, if appropriately defined. </w:t>
      </w:r>
      <w:r>
        <w:t>We consulted with SA Power Networks</w:t>
      </w:r>
      <w:r w:rsidRPr="006A3E80">
        <w:t xml:space="preserve"> and others on an appropriate definition for this event.</w:t>
      </w:r>
      <w:r w:rsidR="00630376">
        <w:rPr>
          <w:rStyle w:val="FootnoteReference"/>
        </w:rPr>
        <w:footnoteReference w:id="15"/>
      </w:r>
      <w:r w:rsidRPr="006A3E80">
        <w:t xml:space="preserve"> As a result of this consultation, we have clarified that we may allow NSPs to pass through claims that would have been made immediately after the insurer became insolvent and before the NSP had a reasonable opportunity to acquire new insurance for those risks. This amendment maintains an incentive on NSPs to acquire new insurance as soon as reasonably possible after an insurance provider becomes insolvent. We have also defined this pass through event to include the matters that we will have regard to in assessing an event. </w:t>
      </w:r>
    </w:p>
    <w:p w:rsidR="00B94A65" w:rsidRPr="00B94A65" w:rsidRDefault="00B94A65" w:rsidP="00B94A65">
      <w:pPr>
        <w:pStyle w:val="ListParagraph"/>
        <w:numPr>
          <w:ilvl w:val="0"/>
          <w:numId w:val="25"/>
        </w:numPr>
      </w:pPr>
      <w:r w:rsidRPr="00B94A65">
        <w:t>In its definition for this event, SA Power Networks sought to pass through the costs associated with material changes to insurance premiums as a result of an insurer becoming insolvent. Insurance premiums are a typical business expense. They are subject to ordinary market factors of the economy. We consider this is a risk that businesses are best placed to bear rather than customers. We therefore do not consider it appropriate to allow this element of the nominated pass through event.</w:t>
      </w:r>
    </w:p>
    <w:p w:rsidR="00492CAC" w:rsidRDefault="00DF2E73" w:rsidP="00F55612">
      <w:r>
        <w:t xml:space="preserve">As set </w:t>
      </w:r>
      <w:r w:rsidR="00AD335C">
        <w:t>below</w:t>
      </w:r>
      <w:r>
        <w:t>, w</w:t>
      </w:r>
      <w:r w:rsidR="00492CAC" w:rsidRPr="00284695">
        <w:t xml:space="preserve">e have </w:t>
      </w:r>
      <w:r w:rsidR="002B4150">
        <w:t>proposed an alternative</w:t>
      </w:r>
      <w:r w:rsidR="002B4150" w:rsidRPr="00284695">
        <w:t xml:space="preserve"> </w:t>
      </w:r>
      <w:r w:rsidR="00492CAC" w:rsidRPr="00284695">
        <w:t>definition to incorporate factor</w:t>
      </w:r>
      <w:r w:rsidR="00492CAC">
        <w:t>s that we will have regard to when assessing a claim for a pass through.</w:t>
      </w:r>
      <w:r w:rsidR="00492CAC" w:rsidRPr="00284695">
        <w:t xml:space="preserve"> </w:t>
      </w:r>
      <w:r w:rsidR="00B61B9F">
        <w:t>We have also removed the element which would allow pass throughs for changes to insurance premiums.</w:t>
      </w:r>
      <w:r w:rsidR="00F55612">
        <w:t xml:space="preserve"> For consistency with other determinations made at this time we have referred to this event as the 'insurer's credit risk event'.</w:t>
      </w:r>
    </w:p>
    <w:p w:rsidR="00AD335C" w:rsidRPr="00F55612" w:rsidRDefault="00AD335C" w:rsidP="00AD335C">
      <w:pPr>
        <w:pStyle w:val="AERquote"/>
      </w:pPr>
      <w:r w:rsidRPr="00687020">
        <w:lastRenderedPageBreak/>
        <w:t>An insurer’s credit risk event occurs if:</w:t>
      </w:r>
    </w:p>
    <w:p w:rsidR="00AD335C" w:rsidRPr="00F55612" w:rsidRDefault="00AD335C" w:rsidP="00AD335C">
      <w:pPr>
        <w:pStyle w:val="AERquoteindent2"/>
      </w:pPr>
      <w:r w:rsidRPr="00687020">
        <w:t xml:space="preserve">A nominated insurer of </w:t>
      </w:r>
      <w:r>
        <w:t>SA Power Networks</w:t>
      </w:r>
      <w:r w:rsidRPr="00687020">
        <w:t xml:space="preserve"> becomes insolvent, and as a result, in respect of a</w:t>
      </w:r>
      <w:r w:rsidRPr="00F55612">
        <w:t xml:space="preserve">n existing or potential insurance claim for a risk that was insured by the insolvent insurer, </w:t>
      </w:r>
      <w:r>
        <w:t>SA Power Networks</w:t>
      </w:r>
      <w:r w:rsidRPr="00F55612">
        <w:t>:</w:t>
      </w:r>
    </w:p>
    <w:p w:rsidR="00AD335C" w:rsidRPr="00F55612" w:rsidRDefault="00AD335C" w:rsidP="00AD335C">
      <w:pPr>
        <w:pStyle w:val="AERquoteindent3"/>
      </w:pPr>
      <w:r>
        <w:t xml:space="preserve">1. </w:t>
      </w:r>
      <w:r w:rsidRPr="00687020">
        <w:t xml:space="preserve">is subject to a </w:t>
      </w:r>
      <w:r w:rsidRPr="00F55612">
        <w:t>higher or lower claim limit or a higher or lower deductible than would have otherwise applied under the insolvent insurer’s policy; or</w:t>
      </w:r>
    </w:p>
    <w:p w:rsidR="00AD335C" w:rsidRPr="00F55612" w:rsidRDefault="00AD335C" w:rsidP="00AD335C">
      <w:pPr>
        <w:pStyle w:val="AERquoteindent3"/>
      </w:pPr>
      <w:r>
        <w:t>2. i</w:t>
      </w:r>
      <w:r w:rsidRPr="00F55612">
        <w:t>ncurs additional costs associated with funding an insurance claim, which would otherwise have been covered by the insolvent insurer.</w:t>
      </w:r>
    </w:p>
    <w:p w:rsidR="00AD335C" w:rsidRPr="00F55612" w:rsidRDefault="00AD335C" w:rsidP="00AD335C">
      <w:pPr>
        <w:pStyle w:val="AERquote"/>
      </w:pPr>
      <w:r>
        <w:t xml:space="preserve">Note: In assessing an insurer's credit risk event </w:t>
      </w:r>
      <w:r w:rsidRPr="00F55612">
        <w:t>pass through application, the AER will have regard to, amongst other things,</w:t>
      </w:r>
    </w:p>
    <w:p w:rsidR="00AD335C" w:rsidRPr="00F55612" w:rsidRDefault="00AD335C" w:rsidP="00AD335C">
      <w:pPr>
        <w:pStyle w:val="AERquoteindent3"/>
      </w:pPr>
      <w:r>
        <w:t>i. SA Power Networks</w:t>
      </w:r>
      <w:r w:rsidR="008672AD">
        <w:t>’</w:t>
      </w:r>
      <w:r w:rsidRPr="00F55612">
        <w:t xml:space="preserve"> attempts to mitigate and prevent the event from occurring by reviewing and considering the insurer’s track record, size, credit rating and reputation.</w:t>
      </w:r>
    </w:p>
    <w:p w:rsidR="00AD335C" w:rsidRPr="00B42D62" w:rsidRDefault="00AD335C" w:rsidP="00AD335C">
      <w:pPr>
        <w:pStyle w:val="AERquoteindent3"/>
      </w:pPr>
      <w:r>
        <w:t xml:space="preserve">ii. </w:t>
      </w:r>
      <w:r w:rsidRPr="00E07322">
        <w:t xml:space="preserve">In the event that a claim would have been made after the insurance provider became insolvent, whether </w:t>
      </w:r>
      <w:r>
        <w:t>SA Power Networks</w:t>
      </w:r>
      <w:r w:rsidRPr="00E07322">
        <w:t xml:space="preserve"> had reasonable opportunity to insure the risk with a different provider.</w:t>
      </w:r>
    </w:p>
    <w:p w:rsidR="00380C1D" w:rsidRPr="007C529F" w:rsidRDefault="00380C1D" w:rsidP="001324C2">
      <w:pPr>
        <w:pStyle w:val="Heading3"/>
        <w:keepNext/>
      </w:pPr>
      <w:bookmarkStart w:id="28" w:name="_Toc417658683"/>
      <w:r w:rsidRPr="007C529F">
        <w:t>General nominated pass through event</w:t>
      </w:r>
      <w:bookmarkEnd w:id="28"/>
    </w:p>
    <w:p w:rsidR="00380C1D" w:rsidRPr="00380C1D" w:rsidRDefault="00540EAC" w:rsidP="00B61B9F">
      <w:r>
        <w:t xml:space="preserve">This </w:t>
      </w:r>
      <w:r w:rsidR="00757C0C">
        <w:t xml:space="preserve">general nominated </w:t>
      </w:r>
      <w:r>
        <w:t xml:space="preserve">event </w:t>
      </w:r>
      <w:r w:rsidR="00757C0C">
        <w:t xml:space="preserve">allows </w:t>
      </w:r>
      <w:r w:rsidR="008F2E5F" w:rsidRPr="008F2E5F">
        <w:t>SA Power Networks</w:t>
      </w:r>
      <w:r w:rsidR="008F2E5F">
        <w:t xml:space="preserve"> </w:t>
      </w:r>
      <w:r w:rsidR="00757C0C">
        <w:t>to recover the costs of uncontrollable and unexpected events.</w:t>
      </w:r>
      <w:r w:rsidR="00F55612">
        <w:t xml:space="preserve"> </w:t>
      </w:r>
      <w:r w:rsidR="00380C1D">
        <w:t xml:space="preserve">We do not accept </w:t>
      </w:r>
      <w:r w:rsidR="00380C1D" w:rsidRPr="00CC242E">
        <w:t xml:space="preserve">the </w:t>
      </w:r>
      <w:r w:rsidR="00380C1D">
        <w:t>general</w:t>
      </w:r>
      <w:r w:rsidR="00380C1D" w:rsidRPr="00CC242E">
        <w:t xml:space="preserve"> </w:t>
      </w:r>
      <w:r w:rsidR="00380C1D">
        <w:t xml:space="preserve">nominated </w:t>
      </w:r>
      <w:r w:rsidR="00380C1D" w:rsidRPr="00CC242E">
        <w:t xml:space="preserve">event as a pass through event in our </w:t>
      </w:r>
      <w:r w:rsidR="003658AA">
        <w:t xml:space="preserve">preliminary decision </w:t>
      </w:r>
      <w:r w:rsidR="00225658">
        <w:t xml:space="preserve">because </w:t>
      </w:r>
      <w:r w:rsidR="00B61B9F">
        <w:t>t</w:t>
      </w:r>
      <w:r w:rsidR="00380C1D">
        <w:t>he event cannot be clearly identified at the time the determination is made.</w:t>
      </w:r>
      <w:r w:rsidR="00380C1D" w:rsidRPr="00380C1D">
        <w:rPr>
          <w:rStyle w:val="FootnoteReference"/>
        </w:rPr>
        <w:footnoteReference w:id="16"/>
      </w:r>
      <w:r w:rsidR="00380C1D" w:rsidRPr="00380C1D">
        <w:t xml:space="preserve"> </w:t>
      </w:r>
      <w:r w:rsidR="003658AA">
        <w:t>We also cannot say if it is in</w:t>
      </w:r>
      <w:r w:rsidR="00B61B9F">
        <w:t>s</w:t>
      </w:r>
      <w:r w:rsidR="003658AA">
        <w:t xml:space="preserve">urable. </w:t>
      </w:r>
      <w:r w:rsidR="00380C1D" w:rsidRPr="00380C1D">
        <w:t>SA Power Networks stated that the 'nature of this type of event can be clearly identified'.</w:t>
      </w:r>
      <w:r w:rsidR="00380C1D" w:rsidRPr="00380C1D">
        <w:rPr>
          <w:rStyle w:val="FootnoteReference"/>
        </w:rPr>
        <w:footnoteReference w:id="17"/>
      </w:r>
      <w:r w:rsidR="00380C1D" w:rsidRPr="00380C1D">
        <w:t xml:space="preserve"> </w:t>
      </w:r>
      <w:r w:rsidR="00E21C23">
        <w:t>It</w:t>
      </w:r>
      <w:r w:rsidRPr="00540EAC">
        <w:t xml:space="preserve"> sought to make the general pass through event specific by excluding the prescribed pass through events and events where SA Power Networks could mitigate the cost impact of events or the likelihood of the event occurring. </w:t>
      </w:r>
      <w:r>
        <w:t xml:space="preserve">However, we do not consider its proposed definition, which could </w:t>
      </w:r>
      <w:r w:rsidR="00E21C23">
        <w:t xml:space="preserve">still </w:t>
      </w:r>
      <w:r>
        <w:t>be triggered in a broad range of situations, satisfies this requirement</w:t>
      </w:r>
      <w:r w:rsidR="00380C1D" w:rsidRPr="00380C1D">
        <w:t>.</w:t>
      </w:r>
      <w:r>
        <w:t xml:space="preserve"> </w:t>
      </w:r>
      <w:r w:rsidR="00672B0D">
        <w:t xml:space="preserve">The lack of clarity as to </w:t>
      </w:r>
      <w:r w:rsidR="00E21C23">
        <w:t>what</w:t>
      </w:r>
      <w:r w:rsidR="00672B0D">
        <w:t xml:space="preserve"> this event </w:t>
      </w:r>
      <w:r w:rsidR="00E21C23">
        <w:t>may cover</w:t>
      </w:r>
      <w:r w:rsidR="00672B0D">
        <w:t xml:space="preserve"> also means that we cannot be satisfied that </w:t>
      </w:r>
      <w:r w:rsidR="008F2E5F" w:rsidRPr="008F2E5F">
        <w:t>SA Power Networks</w:t>
      </w:r>
      <w:r w:rsidR="008F2E5F">
        <w:t xml:space="preserve"> </w:t>
      </w:r>
      <w:r w:rsidR="00672B0D">
        <w:t xml:space="preserve">is unable to </w:t>
      </w:r>
      <w:r w:rsidR="00380C1D" w:rsidRPr="00380C1D">
        <w:t>insure against the event</w:t>
      </w:r>
      <w:r w:rsidR="00E21C23">
        <w:t xml:space="preserve"> or reliably measure the steps it has taken to explore alternative risk management options</w:t>
      </w:r>
      <w:r w:rsidR="00380C1D" w:rsidRPr="00380C1D">
        <w:t>.</w:t>
      </w:r>
      <w:r w:rsidR="00380C1D" w:rsidRPr="00380C1D">
        <w:rPr>
          <w:rStyle w:val="FootnoteReference"/>
        </w:rPr>
        <w:footnoteReference w:id="18"/>
      </w:r>
      <w:r w:rsidR="00380C1D" w:rsidRPr="00380C1D">
        <w:t xml:space="preserve"> </w:t>
      </w:r>
    </w:p>
    <w:p w:rsidR="00380C1D" w:rsidRDefault="00380C1D" w:rsidP="00380C1D">
      <w:r>
        <w:t xml:space="preserve">SA Power Networks noted that we </w:t>
      </w:r>
      <w:r w:rsidR="00E21C23">
        <w:t>i</w:t>
      </w:r>
      <w:r>
        <w:t xml:space="preserve">ncluded a general pass through event in </w:t>
      </w:r>
      <w:r w:rsidR="00672B0D">
        <w:t xml:space="preserve">its </w:t>
      </w:r>
      <w:r>
        <w:t>2010–15 distribution determination</w:t>
      </w:r>
      <w:r w:rsidR="00225658">
        <w:t>,</w:t>
      </w:r>
      <w:r>
        <w:rPr>
          <w:rStyle w:val="FootnoteReference"/>
        </w:rPr>
        <w:footnoteReference w:id="19"/>
      </w:r>
      <w:r w:rsidR="00E21C23">
        <w:t xml:space="preserve"> and </w:t>
      </w:r>
      <w:r>
        <w:t xml:space="preserve">that in 2013 we </w:t>
      </w:r>
      <w:r w:rsidR="00672B0D">
        <w:t xml:space="preserve">approved a pass through application under this </w:t>
      </w:r>
      <w:r>
        <w:t>general nominated pass through event.</w:t>
      </w:r>
      <w:r>
        <w:rPr>
          <w:rStyle w:val="FootnoteReference"/>
        </w:rPr>
        <w:footnoteReference w:id="20"/>
      </w:r>
    </w:p>
    <w:p w:rsidR="00672B0D" w:rsidRDefault="00672B0D" w:rsidP="00672B0D">
      <w:r>
        <w:lastRenderedPageBreak/>
        <w:t xml:space="preserve">SA Power Networks also referred to </w:t>
      </w:r>
      <w:r w:rsidR="00E21C23">
        <w:t>s</w:t>
      </w:r>
      <w:r>
        <w:t>ection 7A of the NEL and stated,</w:t>
      </w:r>
      <w:r>
        <w:rPr>
          <w:rStyle w:val="FootnoteReference"/>
        </w:rPr>
        <w:footnoteReference w:id="21"/>
      </w:r>
    </w:p>
    <w:p w:rsidR="00672B0D" w:rsidRDefault="00672B0D" w:rsidP="00672B0D">
      <w:pPr>
        <w:pStyle w:val="AERquote"/>
      </w:pPr>
      <w:r w:rsidRPr="00664381">
        <w:t>In the absence of a gener</w:t>
      </w:r>
      <w:r>
        <w:t xml:space="preserve">al nominated pass through event </w:t>
      </w:r>
      <w:r w:rsidRPr="00664381">
        <w:t>being available, if a simila</w:t>
      </w:r>
      <w:r>
        <w:t xml:space="preserve">r event was to occur during the </w:t>
      </w:r>
      <w:r w:rsidRPr="00664381">
        <w:t>next RCP, we would b</w:t>
      </w:r>
      <w:r>
        <w:t xml:space="preserve">e prevented from recovering the </w:t>
      </w:r>
      <w:r w:rsidRPr="00664381">
        <w:t>additional costs of complying with</w:t>
      </w:r>
      <w:r>
        <w:t xml:space="preserve"> our obligations.</w:t>
      </w:r>
    </w:p>
    <w:p w:rsidR="00380C1D" w:rsidRDefault="00E21C23" w:rsidP="00380C1D">
      <w:r>
        <w:t>T</w:t>
      </w:r>
      <w:r w:rsidR="00380C1D">
        <w:t>he NER ha</w:t>
      </w:r>
      <w:r w:rsidR="00672B0D">
        <w:t>ve</w:t>
      </w:r>
      <w:r w:rsidR="00380C1D">
        <w:t xml:space="preserve"> changed significantly</w:t>
      </w:r>
      <w:r>
        <w:t xml:space="preserve"> since our determination for the 2010–15 regulatory control period</w:t>
      </w:r>
      <w:r w:rsidR="00380C1D">
        <w:t>. In particular, t</w:t>
      </w:r>
      <w:r w:rsidR="00380C1D" w:rsidRPr="001E632F">
        <w:t xml:space="preserve">he NER </w:t>
      </w:r>
      <w:r w:rsidR="00CA4FEA">
        <w:t xml:space="preserve">now </w:t>
      </w:r>
      <w:r w:rsidR="00380C1D" w:rsidRPr="001E632F">
        <w:t>include nominated pass through event considerations which we must have regard to when assessing nominated pass through events</w:t>
      </w:r>
      <w:r w:rsidR="00380C1D">
        <w:t>. For the reasons set out above we do not consider that the proposed general nominated pass through event is consistent with the nominated pass through event considerations. This is also consistent with our recent decisions where NSPs have proposed a general nominated pass through event.</w:t>
      </w:r>
      <w:r w:rsidR="00B42D62">
        <w:rPr>
          <w:rStyle w:val="FootnoteReference"/>
        </w:rPr>
        <w:footnoteReference w:id="22"/>
      </w:r>
    </w:p>
    <w:p w:rsidR="00380C1D" w:rsidRDefault="00380C1D" w:rsidP="00B61B9F">
      <w:r>
        <w:t xml:space="preserve">As noted in section </w:t>
      </w:r>
      <w:r>
        <w:fldChar w:fldCharType="begin"/>
      </w:r>
      <w:r>
        <w:instrText xml:space="preserve"> REF _Ref406764952 \r \h </w:instrText>
      </w:r>
      <w:r>
        <w:fldChar w:fldCharType="separate"/>
      </w:r>
      <w:r>
        <w:t>15.3</w:t>
      </w:r>
      <w:r>
        <w:fldChar w:fldCharType="end"/>
      </w:r>
      <w:r>
        <w:t>, we have only allowed the nominated pass through events</w:t>
      </w:r>
      <w:r w:rsidRPr="00FE1773">
        <w:t xml:space="preserve"> that we are satisfied meet the </w:t>
      </w:r>
      <w:r>
        <w:t xml:space="preserve">NEO </w:t>
      </w:r>
      <w:r w:rsidRPr="002B285B">
        <w:t>and the Revenue and Pricing Principles</w:t>
      </w:r>
      <w:r w:rsidR="00225658">
        <w:t>. Under the Revenue and Pricing P</w:t>
      </w:r>
      <w:r>
        <w:t xml:space="preserve">rinciples the NSPs should be provided with a reasonable opportunity to recover their efficient costs of providing direct control services and complying with a regulatory obligation. NSPs should also be provided with effective incentives to promote economic efficiency. We do not consider this means that NSPs should be allowed a general pass through event which covers any event which is not prescribed and which the NSPs cannot prevent from occurring or mitigate the costs. </w:t>
      </w:r>
    </w:p>
    <w:p w:rsidR="00380C1D" w:rsidRDefault="00380C1D" w:rsidP="00380C1D">
      <w:pPr>
        <w:numPr>
          <w:ilvl w:val="0"/>
          <w:numId w:val="25"/>
        </w:numPr>
      </w:pPr>
      <w:r w:rsidRPr="00A17017">
        <w:t xml:space="preserve">Accordingly, we </w:t>
      </w:r>
      <w:r>
        <w:t>are not satisfied that</w:t>
      </w:r>
      <w:r w:rsidRPr="00A17017">
        <w:t xml:space="preserve"> </w:t>
      </w:r>
      <w:r>
        <w:t xml:space="preserve">a general pass </w:t>
      </w:r>
      <w:r w:rsidRPr="00A17017">
        <w:t>through event</w:t>
      </w:r>
      <w:r>
        <w:t xml:space="preserve"> should be included in our </w:t>
      </w:r>
      <w:r w:rsidR="004E323B">
        <w:t>preliminary</w:t>
      </w:r>
      <w:r w:rsidR="004E323B" w:rsidRPr="00B4429B">
        <w:t xml:space="preserve"> </w:t>
      </w:r>
      <w:r w:rsidR="004E323B">
        <w:t xml:space="preserve">decision </w:t>
      </w:r>
      <w:r>
        <w:t>for SA Power Networks</w:t>
      </w:r>
      <w:r w:rsidRPr="00A17017">
        <w:t>.</w:t>
      </w:r>
    </w:p>
    <w:p w:rsidR="00380C1D" w:rsidRPr="007C529F" w:rsidRDefault="00380C1D" w:rsidP="007C529F">
      <w:pPr>
        <w:pStyle w:val="Heading3"/>
      </w:pPr>
      <w:bookmarkStart w:id="29" w:name="_Toc417658684"/>
      <w:r w:rsidRPr="007C529F">
        <w:t>Kangaroo Island cable failure event</w:t>
      </w:r>
      <w:bookmarkEnd w:id="29"/>
    </w:p>
    <w:p w:rsidR="00672B0D" w:rsidRPr="007C529F" w:rsidRDefault="00672B0D" w:rsidP="007C529F">
      <w:r w:rsidRPr="007C529F">
        <w:t xml:space="preserve">This event </w:t>
      </w:r>
      <w:r w:rsidR="003658AA" w:rsidRPr="007C529F">
        <w:t xml:space="preserve">would allow </w:t>
      </w:r>
      <w:r w:rsidR="008F2E5F" w:rsidRPr="007C529F">
        <w:t xml:space="preserve">SA Power Networks </w:t>
      </w:r>
      <w:r w:rsidR="003658AA" w:rsidRPr="007C529F">
        <w:t>to recover the costs it would incur in maintaining power on Kangaroo Island and repairing the undersea cable</w:t>
      </w:r>
      <w:r w:rsidR="00B61B9F" w:rsidRPr="007C529F">
        <w:t xml:space="preserve"> in the event that it were to fail and cause widespread loss of power for customers on Kangaroo Island</w:t>
      </w:r>
      <w:r w:rsidR="003658AA" w:rsidRPr="007C529F">
        <w:t>.</w:t>
      </w:r>
    </w:p>
    <w:p w:rsidR="00380C1D" w:rsidRDefault="00380C1D" w:rsidP="00380C1D">
      <w:pPr>
        <w:rPr>
          <w:rStyle w:val="AERbody"/>
        </w:rPr>
      </w:pPr>
      <w:r>
        <w:rPr>
          <w:rStyle w:val="AERbody"/>
        </w:rPr>
        <w:t xml:space="preserve">We do not accept the Kangaroo Island cable failure event as a pass through event because </w:t>
      </w:r>
      <w:r w:rsidR="00C90AE7">
        <w:rPr>
          <w:rStyle w:val="AERbody"/>
        </w:rPr>
        <w:t xml:space="preserve">we consider that </w:t>
      </w:r>
      <w:r>
        <w:rPr>
          <w:rStyle w:val="AERbody"/>
        </w:rPr>
        <w:t>a prudent service provider could reasonably prevent an event of this type from occurring.</w:t>
      </w:r>
      <w:r>
        <w:rPr>
          <w:rStyle w:val="FootnoteReference"/>
        </w:rPr>
        <w:footnoteReference w:id="23"/>
      </w:r>
      <w:r w:rsidR="00C90AE7">
        <w:rPr>
          <w:rStyle w:val="AERbody"/>
        </w:rPr>
        <w:t xml:space="preserve"> </w:t>
      </w:r>
    </w:p>
    <w:p w:rsidR="00FB2C6B" w:rsidRDefault="00FB2C6B" w:rsidP="00FB2C6B">
      <w:pPr>
        <w:rPr>
          <w:rStyle w:val="AERbody"/>
        </w:rPr>
      </w:pPr>
      <w:r>
        <w:rPr>
          <w:rStyle w:val="AERbody"/>
        </w:rPr>
        <w:t>As discussed in Attachment 6, o</w:t>
      </w:r>
      <w:r w:rsidRPr="00FB2C6B">
        <w:rPr>
          <w:rStyle w:val="AERbody"/>
        </w:rPr>
        <w:t>ur preliminary decisi</w:t>
      </w:r>
      <w:r>
        <w:rPr>
          <w:rStyle w:val="AERbody"/>
        </w:rPr>
        <w:t>on includes a forecast of $47.2 </w:t>
      </w:r>
      <w:r w:rsidRPr="00FB2C6B">
        <w:rPr>
          <w:rStyle w:val="AERbody"/>
        </w:rPr>
        <w:t>million ($2014–15) in our alternative estimate of required capex for the 2015–2020 period to install a second undersea cable to Kangaroo Island</w:t>
      </w:r>
      <w:r>
        <w:rPr>
          <w:rStyle w:val="AERbody"/>
        </w:rPr>
        <w:t>.</w:t>
      </w:r>
    </w:p>
    <w:p w:rsidR="00380C1D" w:rsidRDefault="00B11994" w:rsidP="00380C1D">
      <w:pPr>
        <w:rPr>
          <w:rStyle w:val="AERbody"/>
        </w:rPr>
      </w:pPr>
      <w:r>
        <w:rPr>
          <w:rStyle w:val="AERbody"/>
        </w:rPr>
        <w:t xml:space="preserve">Under our assessment approach to nominated pass through events we have regard to who is best placed to bear the risk of the event occurring. </w:t>
      </w:r>
      <w:r w:rsidR="00380C1D">
        <w:rPr>
          <w:rStyle w:val="AERbody"/>
        </w:rPr>
        <w:t>All network service providers</w:t>
      </w:r>
      <w:r w:rsidR="00380C1D" w:rsidRPr="001A05E4">
        <w:rPr>
          <w:rStyle w:val="AERbody"/>
        </w:rPr>
        <w:t xml:space="preserve"> </w:t>
      </w:r>
      <w:r w:rsidR="00380C1D">
        <w:rPr>
          <w:rStyle w:val="AERbody"/>
        </w:rPr>
        <w:t>face risks associated with feeder cables failing</w:t>
      </w:r>
      <w:r w:rsidR="00380C1D" w:rsidRPr="001A05E4">
        <w:rPr>
          <w:rStyle w:val="AERbody"/>
        </w:rPr>
        <w:t>.</w:t>
      </w:r>
      <w:r w:rsidR="00380C1D">
        <w:rPr>
          <w:rStyle w:val="AERbody"/>
        </w:rPr>
        <w:t xml:space="preserve"> </w:t>
      </w:r>
      <w:r w:rsidR="00380C1D" w:rsidRPr="00D163E5">
        <w:rPr>
          <w:rStyle w:val="AERbody"/>
        </w:rPr>
        <w:t xml:space="preserve">In our view, </w:t>
      </w:r>
      <w:r w:rsidR="00380C1D">
        <w:rPr>
          <w:rStyle w:val="AERbody"/>
        </w:rPr>
        <w:t>SA Power Networks</w:t>
      </w:r>
      <w:r w:rsidR="00380C1D" w:rsidRPr="00D163E5">
        <w:rPr>
          <w:rStyle w:val="AERbody"/>
        </w:rPr>
        <w:t xml:space="preserve"> is in a </w:t>
      </w:r>
      <w:r w:rsidR="00380C1D" w:rsidRPr="00D163E5">
        <w:rPr>
          <w:rStyle w:val="AERbody"/>
        </w:rPr>
        <w:lastRenderedPageBreak/>
        <w:t xml:space="preserve">better position than consumers to bear the risk of this type of event. </w:t>
      </w:r>
      <w:r w:rsidR="00380C1D">
        <w:t xml:space="preserve">As noted in section </w:t>
      </w:r>
      <w:r w:rsidR="00380C1D">
        <w:fldChar w:fldCharType="begin"/>
      </w:r>
      <w:r w:rsidR="00380C1D">
        <w:instrText xml:space="preserve"> REF _Ref406764882 \r \h </w:instrText>
      </w:r>
      <w:r w:rsidR="00380C1D">
        <w:fldChar w:fldCharType="separate"/>
      </w:r>
      <w:r w:rsidR="00380C1D">
        <w:t>15.3</w:t>
      </w:r>
      <w:r w:rsidR="00380C1D">
        <w:fldChar w:fldCharType="end"/>
      </w:r>
      <w:r w:rsidR="00380C1D">
        <w:t>, i</w:t>
      </w:r>
      <w:r w:rsidR="00380C1D" w:rsidRPr="00D62E08">
        <w:t xml:space="preserve">f the NSP has a degree of control, </w:t>
      </w:r>
      <w:r w:rsidR="00C90AE7">
        <w:t xml:space="preserve">the availability of </w:t>
      </w:r>
      <w:r w:rsidR="00380C1D" w:rsidRPr="00D62E08">
        <w:t>a pass through</w:t>
      </w:r>
      <w:r w:rsidR="00C90AE7">
        <w:t xml:space="preserve"> event</w:t>
      </w:r>
      <w:r w:rsidR="00380C1D" w:rsidRPr="00D62E08">
        <w:t xml:space="preserve"> can remove or dilute the incentive to manage the risk.</w:t>
      </w:r>
      <w:r w:rsidR="00380C1D" w:rsidRPr="00D163E5">
        <w:t xml:space="preserve"> </w:t>
      </w:r>
      <w:r>
        <w:rPr>
          <w:rStyle w:val="AERbody"/>
        </w:rPr>
        <w:t xml:space="preserve">We consider that allowing this event as a nominated pass through event may remove incentives on </w:t>
      </w:r>
      <w:r w:rsidR="008F2E5F" w:rsidRPr="008F2E5F">
        <w:rPr>
          <w:rStyle w:val="AERbody"/>
        </w:rPr>
        <w:t>SA Power Networks</w:t>
      </w:r>
      <w:r w:rsidR="008F2E5F">
        <w:rPr>
          <w:rStyle w:val="AERbody"/>
        </w:rPr>
        <w:t xml:space="preserve"> </w:t>
      </w:r>
      <w:r>
        <w:rPr>
          <w:rStyle w:val="AERbody"/>
        </w:rPr>
        <w:t xml:space="preserve">to take adequate precautions in maintaining this cable. It is therefore inappropriate to transfer the risk of such an event to </w:t>
      </w:r>
      <w:r w:rsidR="008F2E5F">
        <w:rPr>
          <w:rStyle w:val="AERbody"/>
        </w:rPr>
        <w:t>SA Power Networks'</w:t>
      </w:r>
      <w:r>
        <w:rPr>
          <w:rStyle w:val="AERbody"/>
        </w:rPr>
        <w:t xml:space="preserve"> customers.</w:t>
      </w:r>
      <w:r w:rsidR="00B61B9F">
        <w:rPr>
          <w:rStyle w:val="AERbody"/>
        </w:rPr>
        <w:t xml:space="preserve"> </w:t>
      </w:r>
    </w:p>
    <w:p w:rsidR="00380C1D" w:rsidRDefault="00380C1D" w:rsidP="00380C1D">
      <w:pPr>
        <w:rPr>
          <w:rStyle w:val="AERbody"/>
        </w:rPr>
      </w:pPr>
      <w:r>
        <w:rPr>
          <w:rStyle w:val="AERbody"/>
        </w:rPr>
        <w:t xml:space="preserve">Accordingly, </w:t>
      </w:r>
      <w:r w:rsidRPr="00A17017">
        <w:t xml:space="preserve">we </w:t>
      </w:r>
      <w:r>
        <w:t>are not satisfied that</w:t>
      </w:r>
      <w:r w:rsidRPr="00A17017">
        <w:t xml:space="preserve"> </w:t>
      </w:r>
      <w:r>
        <w:t>the Kangaroo Island cable failure e</w:t>
      </w:r>
      <w:r w:rsidRPr="00A17017">
        <w:t>vent</w:t>
      </w:r>
      <w:r>
        <w:t xml:space="preserve"> should be included in our </w:t>
      </w:r>
      <w:r w:rsidR="004E323B">
        <w:t>preliminary</w:t>
      </w:r>
      <w:r w:rsidR="004E323B" w:rsidRPr="00B4429B">
        <w:t xml:space="preserve"> </w:t>
      </w:r>
      <w:r w:rsidR="004E323B">
        <w:t xml:space="preserve">decision </w:t>
      </w:r>
      <w:r>
        <w:t>for SA Power Networks</w:t>
      </w:r>
      <w:r w:rsidRPr="00A17017">
        <w:t>.</w:t>
      </w:r>
    </w:p>
    <w:p w:rsidR="00380C1D" w:rsidRPr="007C529F" w:rsidRDefault="00380C1D" w:rsidP="007C529F">
      <w:pPr>
        <w:pStyle w:val="Heading3"/>
      </w:pPr>
      <w:bookmarkStart w:id="30" w:name="_Toc417658685"/>
      <w:r w:rsidRPr="007C529F">
        <w:t>Native title event</w:t>
      </w:r>
      <w:bookmarkEnd w:id="30"/>
    </w:p>
    <w:p w:rsidR="00672B0D" w:rsidRDefault="00672B0D" w:rsidP="00380C1D">
      <w:r>
        <w:t xml:space="preserve">This event </w:t>
      </w:r>
      <w:r w:rsidR="00B11994">
        <w:t xml:space="preserve">allows </w:t>
      </w:r>
      <w:r w:rsidR="008F2E5F" w:rsidRPr="008F2E5F">
        <w:t>SA Power Networks</w:t>
      </w:r>
      <w:r w:rsidR="008F2E5F">
        <w:t xml:space="preserve"> </w:t>
      </w:r>
      <w:r w:rsidR="00B11994">
        <w:t>to pass through the costs of compensation or damages</w:t>
      </w:r>
      <w:r w:rsidR="00DA400A">
        <w:t xml:space="preserve"> arising from</w:t>
      </w:r>
      <w:r w:rsidR="00B11994">
        <w:t xml:space="preserve"> a native title claim</w:t>
      </w:r>
      <w:r>
        <w:t>.</w:t>
      </w:r>
    </w:p>
    <w:p w:rsidR="00380C1D" w:rsidRDefault="00380C1D" w:rsidP="00380C1D">
      <w:r w:rsidRPr="00A54EBB">
        <w:t xml:space="preserve">We do not accept the </w:t>
      </w:r>
      <w:r>
        <w:t>native title ev</w:t>
      </w:r>
      <w:r w:rsidRPr="00A54EBB">
        <w:t xml:space="preserve">ent as a pass through event in our </w:t>
      </w:r>
      <w:r w:rsidR="004E323B">
        <w:t>preliminary</w:t>
      </w:r>
      <w:r w:rsidR="004E323B" w:rsidRPr="00B4429B">
        <w:t xml:space="preserve"> </w:t>
      </w:r>
      <w:r w:rsidR="004E323B">
        <w:t xml:space="preserve">decision </w:t>
      </w:r>
      <w:r w:rsidRPr="00A54EBB">
        <w:t>because</w:t>
      </w:r>
      <w:r>
        <w:t xml:space="preserve"> SA Power Networks</w:t>
      </w:r>
      <w:r w:rsidRPr="00080BC5">
        <w:t xml:space="preserve"> </w:t>
      </w:r>
      <w:r>
        <w:t>is in a position to</w:t>
      </w:r>
      <w:r w:rsidRPr="00080BC5">
        <w:t xml:space="preserve"> mitigate </w:t>
      </w:r>
      <w:r>
        <w:t xml:space="preserve">the costs of </w:t>
      </w:r>
      <w:r w:rsidRPr="00080BC5">
        <w:t>such an event occurring</w:t>
      </w:r>
      <w:r w:rsidRPr="00BE1C9E">
        <w:t>.</w:t>
      </w:r>
      <w:r>
        <w:rPr>
          <w:rStyle w:val="FootnoteReference"/>
        </w:rPr>
        <w:footnoteReference w:id="24"/>
      </w:r>
      <w:r w:rsidRPr="00BE1C9E">
        <w:t xml:space="preserve"> </w:t>
      </w:r>
    </w:p>
    <w:p w:rsidR="00380C1D" w:rsidRDefault="00380C1D" w:rsidP="00380C1D">
      <w:pPr>
        <w:numPr>
          <w:ilvl w:val="0"/>
          <w:numId w:val="25"/>
        </w:numPr>
      </w:pPr>
      <w:r>
        <w:rPr>
          <w:rStyle w:val="AERbody"/>
        </w:rPr>
        <w:t>SA Power Networks noted that it is currently involved in 10 native title matters and that it intends to resolve these on the basis of timetables set by the Federal Court.</w:t>
      </w:r>
      <w:r>
        <w:rPr>
          <w:rStyle w:val="FootnoteReference"/>
        </w:rPr>
        <w:footnoteReference w:id="25"/>
      </w:r>
      <w:r>
        <w:rPr>
          <w:rStyle w:val="AERbody"/>
        </w:rPr>
        <w:t xml:space="preserve"> SA Power Networks </w:t>
      </w:r>
      <w:r w:rsidR="00672B0D">
        <w:rPr>
          <w:rStyle w:val="AERbody"/>
        </w:rPr>
        <w:t xml:space="preserve">currently </w:t>
      </w:r>
      <w:r>
        <w:rPr>
          <w:rStyle w:val="AERbody"/>
        </w:rPr>
        <w:t xml:space="preserve">has an incentive to mitigate the </w:t>
      </w:r>
      <w:r w:rsidR="00672B0D">
        <w:rPr>
          <w:rStyle w:val="AERbody"/>
        </w:rPr>
        <w:t>impact any settlement will have on its customer</w:t>
      </w:r>
      <w:r>
        <w:rPr>
          <w:rStyle w:val="AERbody"/>
        </w:rPr>
        <w:t>s. If SA Power Networks is able to pass through the costs of any agreement to customers then this dilutes the incentive on SA Power Networks to negotiate an outcome that is favourable to its customers. We therefore do not consider that a pass through would be an efficient outcome.</w:t>
      </w:r>
    </w:p>
    <w:p w:rsidR="00380C1D" w:rsidRPr="006862AE" w:rsidRDefault="00380C1D" w:rsidP="00380C1D">
      <w:pPr>
        <w:rPr>
          <w:rStyle w:val="AERbody"/>
        </w:rPr>
      </w:pPr>
      <w:r>
        <w:rPr>
          <w:rStyle w:val="AERbody"/>
        </w:rPr>
        <w:t xml:space="preserve">Accordingly, </w:t>
      </w:r>
      <w:r w:rsidRPr="00A17017">
        <w:t xml:space="preserve">we </w:t>
      </w:r>
      <w:r>
        <w:t>are not satisfied that</w:t>
      </w:r>
      <w:r w:rsidRPr="00A17017">
        <w:t xml:space="preserve"> </w:t>
      </w:r>
      <w:r w:rsidR="00225658">
        <w:t>the n</w:t>
      </w:r>
      <w:r>
        <w:t>ative title e</w:t>
      </w:r>
      <w:r w:rsidRPr="00A17017">
        <w:t>vent</w:t>
      </w:r>
      <w:r>
        <w:t xml:space="preserve"> should be included in our </w:t>
      </w:r>
      <w:r w:rsidR="004E323B">
        <w:t>preliminary</w:t>
      </w:r>
      <w:r w:rsidR="004E323B" w:rsidRPr="00B4429B">
        <w:t xml:space="preserve"> </w:t>
      </w:r>
      <w:r w:rsidR="004E323B">
        <w:t xml:space="preserve">decision </w:t>
      </w:r>
      <w:r>
        <w:t>for SA Power Networks.</w:t>
      </w:r>
    </w:p>
    <w:p w:rsidR="00380C1D" w:rsidRDefault="00380C1D" w:rsidP="00380C1D"/>
    <w:sectPr w:rsidR="00380C1D" w:rsidSect="00DE563D">
      <w:pgSz w:w="11906" w:h="16838" w:code="9"/>
      <w:pgMar w:top="1440" w:right="1700" w:bottom="1582" w:left="1729" w:header="720" w:footer="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30376" w:rsidRPr="00290C63" w:rsidRDefault="00630376" w:rsidP="00290C63">
      <w:r>
        <w:separator/>
      </w:r>
    </w:p>
    <w:p w:rsidR="00630376" w:rsidRDefault="00630376"/>
  </w:endnote>
  <w:endnote w:type="continuationSeparator" w:id="0">
    <w:p w:rsidR="00630376" w:rsidRPr="00290C63" w:rsidRDefault="00630376" w:rsidP="00290C63">
      <w:r>
        <w:continuationSeparator/>
      </w:r>
    </w:p>
    <w:p w:rsidR="00630376" w:rsidRDefault="0063037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Gautami">
    <w:panose1 w:val="020B0502040204020203"/>
    <w:charset w:val="01"/>
    <w:family w:val="roman"/>
    <w:notTrueType/>
    <w:pitch w:val="variable"/>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0376" w:rsidRPr="00290C63" w:rsidRDefault="00630376" w:rsidP="00290C63">
    <w:pPr>
      <w:rPr>
        <w:rStyle w:val="PageNumber"/>
      </w:rPr>
    </w:pPr>
    <w:r w:rsidRPr="00290C63">
      <w:rPr>
        <w:rStyle w:val="PageNumber"/>
      </w:rPr>
      <w:fldChar w:fldCharType="begin"/>
    </w:r>
    <w:r w:rsidRPr="00290C63">
      <w:rPr>
        <w:rStyle w:val="PageNumber"/>
      </w:rPr>
      <w:instrText xml:space="preserve"> PAGE   \* MERGEFORMAT </w:instrText>
    </w:r>
    <w:r w:rsidRPr="00290C63">
      <w:rPr>
        <w:rStyle w:val="PageNumber"/>
      </w:rPr>
      <w:fldChar w:fldCharType="separate"/>
    </w:r>
    <w:r w:rsidRPr="00290C63">
      <w:rPr>
        <w:rStyle w:val="PageNumber"/>
      </w:rPr>
      <w:t>2</w:t>
    </w:r>
    <w:r w:rsidRPr="00290C63">
      <w:rPr>
        <w:rStyle w:val="PageNumber"/>
      </w:rPr>
      <w:fldChar w:fldCharType="end"/>
    </w:r>
    <w:r w:rsidRPr="00290C63">
      <w:rPr>
        <w:rStyle w:val="PageNumber"/>
      </w:rPr>
      <w:tab/>
      <w:t>Xxx report—month/year</w:t>
    </w:r>
  </w:p>
  <w:p w:rsidR="00630376" w:rsidRDefault="00630376"/>
  <w:p w:rsidR="00630376" w:rsidRDefault="00630376"/>
  <w:p w:rsidR="00630376" w:rsidRDefault="00630376"/>
  <w:p w:rsidR="00630376" w:rsidRDefault="00630376"/>
  <w:p w:rsidR="00630376" w:rsidRDefault="00630376"/>
  <w:p w:rsidR="00630376" w:rsidRDefault="00630376"/>
  <w:p w:rsidR="00630376" w:rsidRDefault="00630376"/>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53655474"/>
      <w:docPartObj>
        <w:docPartGallery w:val="Page Numbers (Bottom of Page)"/>
        <w:docPartUnique/>
      </w:docPartObj>
    </w:sdtPr>
    <w:sdtEndPr>
      <w:rPr>
        <w:noProof/>
      </w:rPr>
    </w:sdtEndPr>
    <w:sdtContent>
      <w:p w:rsidR="00630376" w:rsidRDefault="00630376">
        <w:pPr>
          <w:pStyle w:val="Footer"/>
        </w:pPr>
        <w:r>
          <w:t>15-</w:t>
        </w:r>
        <w:r>
          <w:fldChar w:fldCharType="begin"/>
        </w:r>
        <w:r>
          <w:instrText xml:space="preserve"> PAGE   \* MERGEFORMAT </w:instrText>
        </w:r>
        <w:r>
          <w:fldChar w:fldCharType="separate"/>
        </w:r>
        <w:r w:rsidR="002E0F86">
          <w:rPr>
            <w:noProof/>
          </w:rPr>
          <w:t>18</w:t>
        </w:r>
        <w:r>
          <w:rPr>
            <w:noProof/>
          </w:rPr>
          <w:fldChar w:fldCharType="end"/>
        </w:r>
        <w:r>
          <w:rPr>
            <w:noProof/>
          </w:rPr>
          <w:t xml:space="preserve">      </w:t>
        </w:r>
        <w:r>
          <w:t xml:space="preserve">           </w:t>
        </w:r>
        <w:r>
          <w:rPr>
            <w:noProof/>
          </w:rPr>
          <w:t xml:space="preserve">  Attachment 1</w:t>
        </w:r>
        <w:r>
          <w:t>5</w:t>
        </w:r>
        <w:r>
          <w:rPr>
            <w:noProof/>
          </w:rPr>
          <w:t xml:space="preserve"> </w:t>
        </w:r>
        <w:r>
          <w:rPr>
            <w:rFonts w:cs="Gautami"/>
            <w:noProof/>
          </w:rPr>
          <w:t xml:space="preserve">– </w:t>
        </w:r>
        <w:r>
          <w:t>Pass through events</w:t>
        </w:r>
        <w:r>
          <w:rPr>
            <w:rFonts w:cs="Gautami"/>
            <w:noProof/>
          </w:rPr>
          <w:t xml:space="preserve"> | </w:t>
        </w:r>
        <w:r>
          <w:t>SA Power Networks'</w:t>
        </w:r>
        <w:r>
          <w:rPr>
            <w:rFonts w:cs="Gautami"/>
            <w:noProof/>
          </w:rPr>
          <w:t xml:space="preserve"> determination 2015–20</w:t>
        </w:r>
      </w:p>
    </w:sdtContent>
  </w:sdt>
  <w:p w:rsidR="00630376" w:rsidRDefault="00630376">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0376" w:rsidRPr="00290C63" w:rsidRDefault="00630376" w:rsidP="00290C63">
    <w:pPr>
      <w:pStyle w:val="Footer"/>
    </w:pPr>
    <w:r>
      <w:t>Name of Report</w:t>
    </w:r>
    <w:r>
      <w:tab/>
    </w:r>
    <w:r>
      <w:tab/>
    </w:r>
    <w:r w:rsidRPr="00290C63">
      <w:fldChar w:fldCharType="begin"/>
    </w:r>
    <w:r w:rsidRPr="00290C63">
      <w:instrText xml:space="preserve"> PAGE   \* MERGEFORMAT </w:instrText>
    </w:r>
    <w:r w:rsidRPr="00290C63">
      <w:fldChar w:fldCharType="separate"/>
    </w:r>
    <w:r w:rsidRPr="00290C63">
      <w:t>1</w:t>
    </w:r>
    <w:r w:rsidRPr="00290C63">
      <w:fldChar w:fldCharType="end"/>
    </w:r>
  </w:p>
  <w:p w:rsidR="00630376" w:rsidRDefault="00630376">
    <w:pPr>
      <w:pStyle w:val="Footer"/>
    </w:pPr>
  </w:p>
  <w:p w:rsidR="00630376" w:rsidRDefault="00630376"/>
  <w:p w:rsidR="00630376" w:rsidRDefault="00630376"/>
  <w:p w:rsidR="00630376" w:rsidRDefault="00630376"/>
  <w:p w:rsidR="00630376" w:rsidRDefault="00630376"/>
  <w:p w:rsidR="00630376" w:rsidRDefault="00630376"/>
  <w:p w:rsidR="00630376" w:rsidRDefault="00630376"/>
  <w:p w:rsidR="00630376" w:rsidRDefault="00630376"/>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30376" w:rsidRPr="00290C63" w:rsidRDefault="00630376" w:rsidP="00290C63">
      <w:r>
        <w:separator/>
      </w:r>
    </w:p>
    <w:p w:rsidR="00630376" w:rsidRDefault="00630376"/>
  </w:footnote>
  <w:footnote w:type="continuationSeparator" w:id="0">
    <w:p w:rsidR="00630376" w:rsidRPr="00290C63" w:rsidRDefault="00630376" w:rsidP="00290C63">
      <w:r>
        <w:continuationSeparator/>
      </w:r>
    </w:p>
    <w:p w:rsidR="00630376" w:rsidRDefault="00630376"/>
  </w:footnote>
  <w:footnote w:id="1">
    <w:p w:rsidR="00630376" w:rsidRDefault="00630376" w:rsidP="00380C1D">
      <w:pPr>
        <w:pStyle w:val="FootnoteText"/>
      </w:pPr>
      <w:r>
        <w:rPr>
          <w:rStyle w:val="FootnoteReference"/>
        </w:rPr>
        <w:footnoteRef/>
      </w:r>
      <w:r>
        <w:t xml:space="preserve"> </w:t>
      </w:r>
      <w:r>
        <w:tab/>
      </w:r>
      <w:r w:rsidRPr="007379AF">
        <w:t>NER</w:t>
      </w:r>
      <w:r w:rsidR="00603935">
        <w:t>, cl.</w:t>
      </w:r>
      <w:r>
        <w:t xml:space="preserve"> 6.5.10.</w:t>
      </w:r>
    </w:p>
  </w:footnote>
  <w:footnote w:id="2">
    <w:p w:rsidR="00630376" w:rsidRDefault="00630376" w:rsidP="00380C1D">
      <w:pPr>
        <w:pStyle w:val="FootnoteText"/>
      </w:pPr>
      <w:r>
        <w:rPr>
          <w:rStyle w:val="FootnoteReference"/>
        </w:rPr>
        <w:footnoteRef/>
      </w:r>
      <w:r w:rsidR="00603935">
        <w:t xml:space="preserve"> </w:t>
      </w:r>
      <w:r w:rsidR="00603935">
        <w:tab/>
        <w:t>NER, cl.</w:t>
      </w:r>
      <w:r>
        <w:t xml:space="preserve"> 6.6.1(d),(g) and (j).</w:t>
      </w:r>
    </w:p>
  </w:footnote>
  <w:footnote w:id="3">
    <w:p w:rsidR="00630376" w:rsidRDefault="00630376" w:rsidP="00380C1D">
      <w:pPr>
        <w:pStyle w:val="FootnoteText"/>
      </w:pPr>
      <w:r>
        <w:rPr>
          <w:rStyle w:val="FootnoteReference"/>
        </w:rPr>
        <w:footnoteRef/>
      </w:r>
      <w:r>
        <w:t xml:space="preserve"> </w:t>
      </w:r>
      <w:r>
        <w:tab/>
      </w:r>
      <w:r w:rsidR="00603935">
        <w:t xml:space="preserve">NEL, </w:t>
      </w:r>
      <w:r>
        <w:t>s</w:t>
      </w:r>
      <w:r w:rsidR="00603935">
        <w:t>.7A(2).</w:t>
      </w:r>
    </w:p>
  </w:footnote>
  <w:footnote w:id="4">
    <w:p w:rsidR="00630376" w:rsidRDefault="00630376" w:rsidP="00380C1D">
      <w:pPr>
        <w:pStyle w:val="FootnoteText"/>
      </w:pPr>
      <w:r>
        <w:rPr>
          <w:rStyle w:val="FootnoteReference"/>
        </w:rPr>
        <w:footnoteRef/>
      </w:r>
      <w:r>
        <w:t xml:space="preserve"> </w:t>
      </w:r>
      <w:r>
        <w:tab/>
      </w:r>
      <w:r w:rsidR="00603935">
        <w:t xml:space="preserve">NEL, </w:t>
      </w:r>
      <w:r>
        <w:t>s</w:t>
      </w:r>
      <w:r w:rsidR="00603935">
        <w:t>.7A(3).</w:t>
      </w:r>
    </w:p>
  </w:footnote>
  <w:footnote w:id="5">
    <w:p w:rsidR="00630376" w:rsidRDefault="00630376" w:rsidP="00380C1D">
      <w:pPr>
        <w:pStyle w:val="FootnoteText"/>
      </w:pPr>
      <w:r>
        <w:rPr>
          <w:rStyle w:val="FootnoteReference"/>
        </w:rPr>
        <w:footnoteRef/>
      </w:r>
      <w:r>
        <w:t xml:space="preserve"> </w:t>
      </w:r>
      <w:r>
        <w:tab/>
      </w:r>
      <w:r w:rsidR="00603935">
        <w:t xml:space="preserve">NEL, </w:t>
      </w:r>
      <w:r>
        <w:t>s</w:t>
      </w:r>
      <w:r w:rsidR="00603935">
        <w:t>.7A(6).</w:t>
      </w:r>
    </w:p>
  </w:footnote>
  <w:footnote w:id="6">
    <w:p w:rsidR="00630376" w:rsidRDefault="00630376" w:rsidP="00380C1D">
      <w:pPr>
        <w:pStyle w:val="FootnoteText"/>
      </w:pPr>
      <w:r>
        <w:rPr>
          <w:rStyle w:val="FootnoteReference"/>
        </w:rPr>
        <w:footnoteRef/>
      </w:r>
      <w:r w:rsidR="00603935">
        <w:t xml:space="preserve"> </w:t>
      </w:r>
      <w:r w:rsidR="00603935">
        <w:tab/>
        <w:t>NER, cl.</w:t>
      </w:r>
      <w:r>
        <w:t xml:space="preserve"> 6.5.10(b); NER</w:t>
      </w:r>
      <w:r w:rsidRPr="00BB5472">
        <w:t xml:space="preserve"> </w:t>
      </w:r>
      <w:r w:rsidRPr="005D0FD3">
        <w:t>glossary, definition of 'nominated pass through event considerations'.</w:t>
      </w:r>
    </w:p>
  </w:footnote>
  <w:footnote w:id="7">
    <w:p w:rsidR="00630376" w:rsidRDefault="00630376" w:rsidP="00D448B6">
      <w:pPr>
        <w:pStyle w:val="FootnoteText"/>
      </w:pPr>
      <w:r>
        <w:rPr>
          <w:rStyle w:val="FootnoteReference"/>
        </w:rPr>
        <w:footnoteRef/>
      </w:r>
      <w:r>
        <w:t xml:space="preserve"> </w:t>
      </w:r>
      <w:r>
        <w:tab/>
      </w:r>
      <w:r w:rsidRPr="001724CE">
        <w:t xml:space="preserve">SA Power Networks, </w:t>
      </w:r>
      <w:r w:rsidRPr="001724CE">
        <w:rPr>
          <w:rStyle w:val="AERtextitalic"/>
        </w:rPr>
        <w:t>Regulatory proposal 2015–2020</w:t>
      </w:r>
      <w:r>
        <w:t>, p</w:t>
      </w:r>
      <w:r w:rsidRPr="001724CE">
        <w:t>. 27</w:t>
      </w:r>
      <w:r>
        <w:t>5.</w:t>
      </w:r>
    </w:p>
  </w:footnote>
  <w:footnote w:id="8">
    <w:p w:rsidR="00630376" w:rsidRDefault="00630376" w:rsidP="00151660">
      <w:pPr>
        <w:pStyle w:val="FootnoteText"/>
      </w:pPr>
      <w:r>
        <w:rPr>
          <w:rStyle w:val="FootnoteReference"/>
        </w:rPr>
        <w:footnoteRef/>
      </w:r>
      <w:r w:rsidR="00603935">
        <w:tab/>
        <w:t>NER, cl.</w:t>
      </w:r>
      <w:r>
        <w:t xml:space="preserve"> 6.6.1(j)(3).</w:t>
      </w:r>
    </w:p>
  </w:footnote>
  <w:footnote w:id="9">
    <w:p w:rsidR="00630376" w:rsidRDefault="00630376" w:rsidP="00151660">
      <w:pPr>
        <w:pStyle w:val="FootnoteText"/>
      </w:pPr>
      <w:r>
        <w:rPr>
          <w:rStyle w:val="FootnoteReference"/>
        </w:rPr>
        <w:footnoteRef/>
      </w:r>
      <w:r>
        <w:t xml:space="preserve"> </w:t>
      </w:r>
      <w:r>
        <w:tab/>
        <w:t xml:space="preserve">We note that we have not explicitly excluded insurance cap events that arise due to a finding of negligence. </w:t>
      </w:r>
      <w:r w:rsidRPr="00A973ED">
        <w:t>Negligence suggests the NSP may have some control over the event or some opportunity to limit the magnitude of the event. This may be a factor that we would have regard to in assessing s</w:t>
      </w:r>
      <w:r>
        <w:t xml:space="preserve">uch a pass through application. </w:t>
      </w:r>
      <w:r w:rsidRPr="00A973ED">
        <w:t>However, we do not consider it would be appropriate to exclude all events where the suggestion of negligence on behalf of the business has been raised.</w:t>
      </w:r>
      <w:r>
        <w:t xml:space="preserve"> </w:t>
      </w:r>
      <w:r w:rsidRPr="00A973ED">
        <w:t xml:space="preserve">We further note that unlawful conduct and gross negligence would not be covered by an insurer and that acts or omissions resulting from such unlawful conduct or gross negligence would </w:t>
      </w:r>
      <w:r>
        <w:t>be relevant considerations when assessing a pass through event application</w:t>
      </w:r>
      <w:r w:rsidRPr="00A973ED">
        <w:t>, having regard to the relevant factors set out in the NER.</w:t>
      </w:r>
    </w:p>
  </w:footnote>
  <w:footnote w:id="10">
    <w:p w:rsidR="00630376" w:rsidRDefault="00630376" w:rsidP="00C90AE7">
      <w:pPr>
        <w:pStyle w:val="FootnoteText"/>
      </w:pPr>
      <w:r>
        <w:rPr>
          <w:rStyle w:val="FootnoteReference"/>
        </w:rPr>
        <w:footnoteRef/>
      </w:r>
      <w:r>
        <w:t xml:space="preserve"> </w:t>
      </w:r>
      <w:r>
        <w:tab/>
      </w:r>
      <w:r w:rsidRPr="000C2B24">
        <w:t>NER, glossary, definition of 'nominated pass through event considerations'</w:t>
      </w:r>
      <w:r>
        <w:t>, paragraph (c).</w:t>
      </w:r>
    </w:p>
  </w:footnote>
  <w:footnote w:id="11">
    <w:p w:rsidR="00630376" w:rsidRDefault="00630376" w:rsidP="000B14B2">
      <w:pPr>
        <w:pStyle w:val="FootnoteText"/>
      </w:pPr>
      <w:r>
        <w:rPr>
          <w:rStyle w:val="FootnoteReference"/>
        </w:rPr>
        <w:footnoteRef/>
      </w:r>
      <w:r>
        <w:t xml:space="preserve"> </w:t>
      </w:r>
      <w:r>
        <w:tab/>
      </w:r>
      <w:r w:rsidRPr="000B14B2">
        <w:t>SA P</w:t>
      </w:r>
      <w:r>
        <w:t xml:space="preserve">ower Networks, Attachment 20.50; </w:t>
      </w:r>
      <w:r w:rsidRPr="000B14B2">
        <w:t>SA Power Networks: Bushfire Mitigation Summary, November 2014.</w:t>
      </w:r>
    </w:p>
  </w:footnote>
  <w:footnote w:id="12">
    <w:p w:rsidR="00630376" w:rsidRDefault="00630376" w:rsidP="00C90AE7">
      <w:pPr>
        <w:pStyle w:val="FootnoteText"/>
      </w:pPr>
      <w:r>
        <w:rPr>
          <w:rStyle w:val="FootnoteReference"/>
        </w:rPr>
        <w:footnoteRef/>
      </w:r>
      <w:r>
        <w:t xml:space="preserve"> </w:t>
      </w:r>
      <w:r>
        <w:tab/>
      </w:r>
      <w:r w:rsidRPr="000C2B24">
        <w:t>NER, glossary, definition of 'nominated pass through event consi</w:t>
      </w:r>
      <w:r>
        <w:t>derations', paragraph (d</w:t>
      </w:r>
      <w:r w:rsidRPr="000C2B24">
        <w:t>)</w:t>
      </w:r>
      <w:r>
        <w:t>(1)</w:t>
      </w:r>
      <w:r w:rsidRPr="000C2B24">
        <w:t>.</w:t>
      </w:r>
    </w:p>
  </w:footnote>
  <w:footnote w:id="13">
    <w:p w:rsidR="00630376" w:rsidRDefault="00630376" w:rsidP="00C90AE7">
      <w:pPr>
        <w:pStyle w:val="FootnoteText"/>
      </w:pPr>
      <w:r>
        <w:rPr>
          <w:rStyle w:val="FootnoteReference"/>
        </w:rPr>
        <w:footnoteRef/>
      </w:r>
      <w:r>
        <w:t xml:space="preserve"> </w:t>
      </w:r>
      <w:r>
        <w:tab/>
        <w:t xml:space="preserve">SA Power Networks, </w:t>
      </w:r>
      <w:r>
        <w:rPr>
          <w:rStyle w:val="AERtextitalic"/>
        </w:rPr>
        <w:t>Regulatory proposal</w:t>
      </w:r>
      <w:r>
        <w:t>, October 2014, p. 275.</w:t>
      </w:r>
    </w:p>
  </w:footnote>
  <w:footnote w:id="14">
    <w:p w:rsidR="00630376" w:rsidRDefault="00630376" w:rsidP="00540EAC">
      <w:pPr>
        <w:pStyle w:val="FootnoteText"/>
      </w:pPr>
      <w:r>
        <w:rPr>
          <w:rStyle w:val="FootnoteReference"/>
        </w:rPr>
        <w:footnoteRef/>
      </w:r>
      <w:r>
        <w:t xml:space="preserve"> </w:t>
      </w:r>
      <w:r>
        <w:tab/>
      </w:r>
      <w:r w:rsidRPr="000C2B24">
        <w:t>NER, glossary, definition of 'nominated pass through event considerations'</w:t>
      </w:r>
      <w:r>
        <w:t>, paragraph (d).</w:t>
      </w:r>
    </w:p>
  </w:footnote>
  <w:footnote w:id="15">
    <w:p w:rsidR="00630376" w:rsidRDefault="00630376">
      <w:pPr>
        <w:pStyle w:val="FootnoteText"/>
      </w:pPr>
      <w:r>
        <w:rPr>
          <w:rStyle w:val="FootnoteReference"/>
        </w:rPr>
        <w:footnoteRef/>
      </w:r>
      <w:r>
        <w:t xml:space="preserve"> </w:t>
      </w:r>
      <w:r>
        <w:tab/>
        <w:t>Information request and response 043, 30 March 2015.</w:t>
      </w:r>
    </w:p>
  </w:footnote>
  <w:footnote w:id="16">
    <w:p w:rsidR="00630376" w:rsidRDefault="00630376" w:rsidP="00380C1D">
      <w:pPr>
        <w:pStyle w:val="FootnoteText"/>
      </w:pPr>
      <w:r>
        <w:rPr>
          <w:rStyle w:val="FootnoteReference"/>
        </w:rPr>
        <w:footnoteRef/>
      </w:r>
      <w:r>
        <w:t xml:space="preserve"> </w:t>
      </w:r>
      <w:r>
        <w:tab/>
      </w:r>
      <w:r w:rsidRPr="000C2B24">
        <w:t>NER, glossary, definition of 'nominated pass through event considerations'</w:t>
      </w:r>
      <w:r>
        <w:t>, paragraph (b).</w:t>
      </w:r>
    </w:p>
  </w:footnote>
  <w:footnote w:id="17">
    <w:p w:rsidR="00630376" w:rsidRDefault="00630376" w:rsidP="00380C1D">
      <w:pPr>
        <w:pStyle w:val="FootnoteText"/>
      </w:pPr>
      <w:r>
        <w:rPr>
          <w:rStyle w:val="FootnoteReference"/>
        </w:rPr>
        <w:footnoteRef/>
      </w:r>
      <w:r>
        <w:t xml:space="preserve"> </w:t>
      </w:r>
      <w:r>
        <w:tab/>
      </w:r>
      <w:r w:rsidRPr="009F6A61">
        <w:t xml:space="preserve">SA Power Networks, </w:t>
      </w:r>
      <w:r w:rsidRPr="009F6A61">
        <w:rPr>
          <w:rStyle w:val="AERtextitalic"/>
        </w:rPr>
        <w:t>Regulatory proposal,</w:t>
      </w:r>
      <w:r w:rsidRPr="009F6A61">
        <w:t xml:space="preserve"> p. </w:t>
      </w:r>
      <w:r>
        <w:t>277</w:t>
      </w:r>
      <w:r w:rsidRPr="009F6A61">
        <w:t>.</w:t>
      </w:r>
    </w:p>
  </w:footnote>
  <w:footnote w:id="18">
    <w:p w:rsidR="00630376" w:rsidRDefault="00630376" w:rsidP="00380C1D">
      <w:pPr>
        <w:pStyle w:val="FootnoteText"/>
      </w:pPr>
      <w:r>
        <w:rPr>
          <w:rStyle w:val="FootnoteReference"/>
        </w:rPr>
        <w:footnoteRef/>
      </w:r>
      <w:r>
        <w:t xml:space="preserve"> </w:t>
      </w:r>
      <w:r>
        <w:tab/>
      </w:r>
      <w:r w:rsidRPr="000C2B24">
        <w:t>NER, glossary, definition of 'nominated pass through event considerations'</w:t>
      </w:r>
      <w:r>
        <w:t>, paragraph (d).</w:t>
      </w:r>
    </w:p>
  </w:footnote>
  <w:footnote w:id="19">
    <w:p w:rsidR="00630376" w:rsidRDefault="00630376" w:rsidP="00380C1D">
      <w:pPr>
        <w:pStyle w:val="FootnoteText"/>
      </w:pPr>
      <w:r>
        <w:rPr>
          <w:rStyle w:val="FootnoteReference"/>
        </w:rPr>
        <w:footnoteRef/>
      </w:r>
      <w:r>
        <w:t xml:space="preserve"> </w:t>
      </w:r>
      <w:r>
        <w:tab/>
        <w:t xml:space="preserve">SA Power Networks, </w:t>
      </w:r>
      <w:r w:rsidRPr="00664381">
        <w:rPr>
          <w:rStyle w:val="AERtextitalic"/>
        </w:rPr>
        <w:t>Regulatory proposal</w:t>
      </w:r>
      <w:r>
        <w:t>, p. 277.</w:t>
      </w:r>
    </w:p>
  </w:footnote>
  <w:footnote w:id="20">
    <w:p w:rsidR="00630376" w:rsidRDefault="00630376" w:rsidP="00380C1D">
      <w:pPr>
        <w:pStyle w:val="FootnoteText"/>
      </w:pPr>
      <w:r>
        <w:rPr>
          <w:rStyle w:val="FootnoteReference"/>
        </w:rPr>
        <w:footnoteRef/>
      </w:r>
      <w:r>
        <w:t xml:space="preserve"> </w:t>
      </w:r>
      <w:r>
        <w:tab/>
        <w:t xml:space="preserve">SA Power Networks, </w:t>
      </w:r>
      <w:r w:rsidRPr="00664381">
        <w:rPr>
          <w:rStyle w:val="AERtextitalic"/>
        </w:rPr>
        <w:t>Regulatory proposal</w:t>
      </w:r>
      <w:r>
        <w:t xml:space="preserve">, p. 277. See AER, </w:t>
      </w:r>
      <w:r w:rsidRPr="001E632F">
        <w:rPr>
          <w:rStyle w:val="AERtextitalic"/>
        </w:rPr>
        <w:t>Final Decision SA Power Networks cost pass through application for Vegetation management costs arising from an unexpected increase in vegetation growth rates</w:t>
      </w:r>
      <w:r>
        <w:t>, July 2013, p. 32. The AER allowed a cost pass through of $35.1 million ($2009–10) under the general nominated pass through event in relation to SA Power Networks' vegetation management costs.</w:t>
      </w:r>
    </w:p>
  </w:footnote>
  <w:footnote w:id="21">
    <w:p w:rsidR="00630376" w:rsidRDefault="00630376" w:rsidP="00672B0D">
      <w:pPr>
        <w:pStyle w:val="FootnoteText"/>
      </w:pPr>
      <w:r>
        <w:rPr>
          <w:rStyle w:val="FootnoteReference"/>
        </w:rPr>
        <w:footnoteRef/>
      </w:r>
      <w:r>
        <w:t xml:space="preserve"> </w:t>
      </w:r>
      <w:r>
        <w:tab/>
        <w:t xml:space="preserve">SA Power Networks, </w:t>
      </w:r>
      <w:r w:rsidRPr="00664381">
        <w:rPr>
          <w:rStyle w:val="AERtextitalic"/>
        </w:rPr>
        <w:t>Regulatory proposal</w:t>
      </w:r>
      <w:r>
        <w:t>, p. 277.</w:t>
      </w:r>
    </w:p>
  </w:footnote>
  <w:footnote w:id="22">
    <w:p w:rsidR="00630376" w:rsidRDefault="00630376">
      <w:pPr>
        <w:pStyle w:val="FootnoteText"/>
      </w:pPr>
      <w:r>
        <w:rPr>
          <w:rStyle w:val="FootnoteReference"/>
        </w:rPr>
        <w:footnoteRef/>
      </w:r>
      <w:r>
        <w:t xml:space="preserve"> </w:t>
      </w:r>
      <w:r>
        <w:tab/>
        <w:t xml:space="preserve">AER, </w:t>
      </w:r>
      <w:r w:rsidRPr="00E4320E">
        <w:rPr>
          <w:rStyle w:val="AERtextitalic"/>
        </w:rPr>
        <w:t>ActewAGL draft decision, Attachment 15</w:t>
      </w:r>
      <w:r>
        <w:t>, pp. 12</w:t>
      </w:r>
      <w:r w:rsidRPr="008E6FD4">
        <w:t>–13</w:t>
      </w:r>
      <w:r>
        <w:t>.</w:t>
      </w:r>
    </w:p>
  </w:footnote>
  <w:footnote w:id="23">
    <w:p w:rsidR="00630376" w:rsidRDefault="00630376" w:rsidP="00380C1D">
      <w:pPr>
        <w:pStyle w:val="FootnoteText"/>
      </w:pPr>
      <w:r>
        <w:rPr>
          <w:rStyle w:val="FootnoteReference"/>
        </w:rPr>
        <w:footnoteRef/>
      </w:r>
      <w:r>
        <w:t xml:space="preserve"> </w:t>
      </w:r>
      <w:r w:rsidR="00FB2C6B">
        <w:tab/>
      </w:r>
      <w:r w:rsidR="00FB2C6B" w:rsidRPr="000C2B24">
        <w:t>NER, glossary, definition of 'nominated pass through event considerations'</w:t>
      </w:r>
      <w:r w:rsidR="00FB2C6B">
        <w:t>, paragraph (c).</w:t>
      </w:r>
    </w:p>
  </w:footnote>
  <w:footnote w:id="24">
    <w:p w:rsidR="00630376" w:rsidRDefault="00630376" w:rsidP="00380C1D">
      <w:pPr>
        <w:pStyle w:val="FootnoteText"/>
      </w:pPr>
      <w:r>
        <w:rPr>
          <w:rStyle w:val="FootnoteReference"/>
        </w:rPr>
        <w:footnoteRef/>
      </w:r>
      <w:r>
        <w:t xml:space="preserve"> </w:t>
      </w:r>
      <w:r>
        <w:tab/>
        <w:t>NER</w:t>
      </w:r>
      <w:r w:rsidRPr="00BB5472">
        <w:t xml:space="preserve"> </w:t>
      </w:r>
      <w:r w:rsidRPr="005D0FD3">
        <w:t xml:space="preserve">Chapter 10 </w:t>
      </w:r>
      <w:r>
        <w:t>(</w:t>
      </w:r>
      <w:r w:rsidRPr="005D0FD3">
        <w:t>glossary</w:t>
      </w:r>
      <w:r>
        <w:t>)</w:t>
      </w:r>
      <w:r w:rsidRPr="000C2B24">
        <w:t xml:space="preserve">, definition of 'nominated pass through event </w:t>
      </w:r>
      <w:r>
        <w:t>considerations', paragraph (c).</w:t>
      </w:r>
    </w:p>
  </w:footnote>
  <w:footnote w:id="25">
    <w:p w:rsidR="00630376" w:rsidRDefault="00630376" w:rsidP="00380C1D">
      <w:pPr>
        <w:pStyle w:val="FootnoteText"/>
      </w:pPr>
      <w:r>
        <w:rPr>
          <w:rStyle w:val="FootnoteReference"/>
        </w:rPr>
        <w:footnoteRef/>
      </w:r>
      <w:r>
        <w:t xml:space="preserve"> </w:t>
      </w:r>
      <w:r>
        <w:tab/>
        <w:t xml:space="preserve">SA Power Networks, </w:t>
      </w:r>
      <w:r w:rsidRPr="006B67BF">
        <w:rPr>
          <w:rStyle w:val="AERtextitalic"/>
        </w:rPr>
        <w:t>Regulatory Proposal</w:t>
      </w:r>
      <w:r>
        <w:t>, p. 276.</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0E8D0B0"/>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756075BE"/>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7D84C18C"/>
    <w:lvl w:ilvl="0">
      <w:start w:val="1"/>
      <w:numFmt w:val="decimal"/>
      <w:pStyle w:val="ListNumber3"/>
      <w:lvlText w:val="%1."/>
      <w:lvlJc w:val="left"/>
      <w:pPr>
        <w:tabs>
          <w:tab w:val="num" w:pos="1021"/>
        </w:tabs>
        <w:ind w:left="1021" w:hanging="341"/>
      </w:pPr>
      <w:rPr>
        <w:rFonts w:hint="default"/>
      </w:rPr>
    </w:lvl>
  </w:abstractNum>
  <w:abstractNum w:abstractNumId="3">
    <w:nsid w:val="FFFFFF7F"/>
    <w:multiLevelType w:val="singleLevel"/>
    <w:tmpl w:val="C9043968"/>
    <w:lvl w:ilvl="0">
      <w:start w:val="1"/>
      <w:numFmt w:val="decimal"/>
      <w:pStyle w:val="ListNumber2"/>
      <w:lvlText w:val="%1."/>
      <w:lvlJc w:val="left"/>
      <w:pPr>
        <w:ind w:left="700" w:hanging="360"/>
      </w:pPr>
    </w:lvl>
  </w:abstractNum>
  <w:abstractNum w:abstractNumId="4">
    <w:nsid w:val="FFFFFF80"/>
    <w:multiLevelType w:val="singleLevel"/>
    <w:tmpl w:val="E38619F2"/>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93BE8B6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C6AE9A80"/>
    <w:lvl w:ilvl="0">
      <w:start w:val="1"/>
      <w:numFmt w:val="upperLetter"/>
      <w:pStyle w:val="ListBullet3"/>
      <w:lvlText w:val="(%1)"/>
      <w:lvlJc w:val="left"/>
      <w:pPr>
        <w:ind w:left="720" w:hanging="360"/>
      </w:pPr>
      <w:rPr>
        <w:rFonts w:hint="default"/>
      </w:rPr>
    </w:lvl>
  </w:abstractNum>
  <w:abstractNum w:abstractNumId="7">
    <w:nsid w:val="FFFFFF83"/>
    <w:multiLevelType w:val="singleLevel"/>
    <w:tmpl w:val="72802F94"/>
    <w:lvl w:ilvl="0">
      <w:start w:val="1"/>
      <w:numFmt w:val="lowerLetter"/>
      <w:pStyle w:val="ListBullet2"/>
      <w:lvlText w:val="(%1)"/>
      <w:lvlJc w:val="left"/>
      <w:pPr>
        <w:ind w:left="700" w:hanging="360"/>
      </w:pPr>
      <w:rPr>
        <w:rFonts w:hint="default"/>
      </w:rPr>
    </w:lvl>
  </w:abstractNum>
  <w:abstractNum w:abstractNumId="8">
    <w:nsid w:val="FFFFFF88"/>
    <w:multiLevelType w:val="singleLevel"/>
    <w:tmpl w:val="F0E083E8"/>
    <w:lvl w:ilvl="0">
      <w:start w:val="1"/>
      <w:numFmt w:val="decimal"/>
      <w:pStyle w:val="ListNumber"/>
      <w:lvlText w:val="%1."/>
      <w:lvlJc w:val="left"/>
      <w:pPr>
        <w:tabs>
          <w:tab w:val="num" w:pos="360"/>
        </w:tabs>
        <w:ind w:left="360" w:hanging="360"/>
      </w:pPr>
    </w:lvl>
  </w:abstractNum>
  <w:abstractNum w:abstractNumId="9">
    <w:nsid w:val="031C7FA6"/>
    <w:multiLevelType w:val="hybridMultilevel"/>
    <w:tmpl w:val="1A7E9E04"/>
    <w:lvl w:ilvl="0" w:tplc="A356B254">
      <w:start w:val="1"/>
      <w:numFmt w:val="bullet"/>
      <w:lvlText w:val=""/>
      <w:lvlJc w:val="left"/>
      <w:pPr>
        <w:ind w:left="1077" w:hanging="360"/>
      </w:pPr>
      <w:rPr>
        <w:rFonts w:ascii="Wingdings" w:hAnsi="Wingdings"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10">
    <w:nsid w:val="0C4312B0"/>
    <w:multiLevelType w:val="hybridMultilevel"/>
    <w:tmpl w:val="C1266B52"/>
    <w:lvl w:ilvl="0" w:tplc="990A9FAA">
      <w:start w:val="1"/>
      <w:numFmt w:val="lowerLetter"/>
      <w:pStyle w:val="Listalphabet"/>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1">
    <w:nsid w:val="0DD2542B"/>
    <w:multiLevelType w:val="hybridMultilevel"/>
    <w:tmpl w:val="60FAC388"/>
    <w:lvl w:ilvl="0" w:tplc="50264BE2">
      <w:start w:val="1"/>
      <w:numFmt w:val="decimal"/>
      <w:pStyle w:val="ListParagraph"/>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nsid w:val="133E73B6"/>
    <w:multiLevelType w:val="hybridMultilevel"/>
    <w:tmpl w:val="80220B84"/>
    <w:lvl w:ilvl="0" w:tplc="F5987420">
      <w:start w:val="1"/>
      <w:numFmt w:val="decimal"/>
      <w:pStyle w:val="Numberedparagraph"/>
      <w:lvlText w:val="%1."/>
      <w:lvlJc w:val="left"/>
      <w:pPr>
        <w:ind w:left="360" w:hanging="360"/>
      </w:pPr>
      <w:rPr>
        <w:rFonts w:hint="default"/>
      </w:rPr>
    </w:lvl>
    <w:lvl w:ilvl="1" w:tplc="A5728FDE" w:tentative="1">
      <w:start w:val="1"/>
      <w:numFmt w:val="bullet"/>
      <w:lvlText w:val="o"/>
      <w:lvlJc w:val="left"/>
      <w:pPr>
        <w:ind w:left="2520" w:hanging="360"/>
      </w:pPr>
      <w:rPr>
        <w:rFonts w:ascii="Courier New" w:hAnsi="Courier New" w:cs="Courier New" w:hint="default"/>
      </w:rPr>
    </w:lvl>
    <w:lvl w:ilvl="2" w:tplc="B6B8266A" w:tentative="1">
      <w:start w:val="1"/>
      <w:numFmt w:val="bullet"/>
      <w:lvlText w:val=""/>
      <w:lvlJc w:val="left"/>
      <w:pPr>
        <w:ind w:left="3240" w:hanging="360"/>
      </w:pPr>
      <w:rPr>
        <w:rFonts w:ascii="Wingdings" w:hAnsi="Wingdings" w:hint="default"/>
      </w:rPr>
    </w:lvl>
    <w:lvl w:ilvl="3" w:tplc="0E067E3E" w:tentative="1">
      <w:start w:val="1"/>
      <w:numFmt w:val="bullet"/>
      <w:lvlText w:val=""/>
      <w:lvlJc w:val="left"/>
      <w:pPr>
        <w:ind w:left="3960" w:hanging="360"/>
      </w:pPr>
      <w:rPr>
        <w:rFonts w:ascii="Symbol" w:hAnsi="Symbol" w:hint="default"/>
      </w:rPr>
    </w:lvl>
    <w:lvl w:ilvl="4" w:tplc="9D8444DE" w:tentative="1">
      <w:start w:val="1"/>
      <w:numFmt w:val="bullet"/>
      <w:lvlText w:val="o"/>
      <w:lvlJc w:val="left"/>
      <w:pPr>
        <w:ind w:left="4680" w:hanging="360"/>
      </w:pPr>
      <w:rPr>
        <w:rFonts w:ascii="Courier New" w:hAnsi="Courier New" w:cs="Courier New" w:hint="default"/>
      </w:rPr>
    </w:lvl>
    <w:lvl w:ilvl="5" w:tplc="47DE7D34" w:tentative="1">
      <w:start w:val="1"/>
      <w:numFmt w:val="bullet"/>
      <w:lvlText w:val=""/>
      <w:lvlJc w:val="left"/>
      <w:pPr>
        <w:ind w:left="5400" w:hanging="360"/>
      </w:pPr>
      <w:rPr>
        <w:rFonts w:ascii="Wingdings" w:hAnsi="Wingdings" w:hint="default"/>
      </w:rPr>
    </w:lvl>
    <w:lvl w:ilvl="6" w:tplc="9D0AFFEA" w:tentative="1">
      <w:start w:val="1"/>
      <w:numFmt w:val="bullet"/>
      <w:lvlText w:val=""/>
      <w:lvlJc w:val="left"/>
      <w:pPr>
        <w:ind w:left="6120" w:hanging="360"/>
      </w:pPr>
      <w:rPr>
        <w:rFonts w:ascii="Symbol" w:hAnsi="Symbol" w:hint="default"/>
      </w:rPr>
    </w:lvl>
    <w:lvl w:ilvl="7" w:tplc="663EE25A" w:tentative="1">
      <w:start w:val="1"/>
      <w:numFmt w:val="bullet"/>
      <w:lvlText w:val="o"/>
      <w:lvlJc w:val="left"/>
      <w:pPr>
        <w:ind w:left="6840" w:hanging="360"/>
      </w:pPr>
      <w:rPr>
        <w:rFonts w:ascii="Courier New" w:hAnsi="Courier New" w:cs="Courier New" w:hint="default"/>
      </w:rPr>
    </w:lvl>
    <w:lvl w:ilvl="8" w:tplc="2DD24F62" w:tentative="1">
      <w:start w:val="1"/>
      <w:numFmt w:val="bullet"/>
      <w:lvlText w:val=""/>
      <w:lvlJc w:val="left"/>
      <w:pPr>
        <w:ind w:left="7560" w:hanging="360"/>
      </w:pPr>
      <w:rPr>
        <w:rFonts w:ascii="Wingdings" w:hAnsi="Wingdings" w:hint="default"/>
      </w:rPr>
    </w:lvl>
  </w:abstractNum>
  <w:abstractNum w:abstractNumId="13">
    <w:nsid w:val="1CF519CE"/>
    <w:multiLevelType w:val="multilevel"/>
    <w:tmpl w:val="FDC07CAE"/>
    <w:lvl w:ilvl="0">
      <w:start w:val="1"/>
      <w:numFmt w:val="decimal"/>
      <w:pStyle w:val="Numbered1111111"/>
      <w:lvlText w:val="%1."/>
      <w:lvlJc w:val="left"/>
      <w:pPr>
        <w:ind w:left="360" w:hanging="360"/>
      </w:pPr>
    </w:lvl>
    <w:lvl w:ilvl="1">
      <w:start w:val="1"/>
      <w:numFmt w:val="decimal"/>
      <w:pStyle w:val="Numberedparagraph11"/>
      <w:lvlText w:val="%1.%2."/>
      <w:lvlJc w:val="left"/>
      <w:pPr>
        <w:ind w:left="792" w:hanging="432"/>
      </w:pPr>
    </w:lvl>
    <w:lvl w:ilvl="2">
      <w:start w:val="1"/>
      <w:numFmt w:val="decimal"/>
      <w:pStyle w:val="Numbered111111111"/>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pStyle w:val="Numbered1111111"/>
      <w:lvlText w:val="%1.%2.%3.%4.%5.%6.%7."/>
      <w:lvlJc w:val="left"/>
      <w:pPr>
        <w:ind w:left="3240" w:hanging="1080"/>
      </w:pPr>
    </w:lvl>
    <w:lvl w:ilvl="7">
      <w:start w:val="1"/>
      <w:numFmt w:val="decimal"/>
      <w:lvlText w:val="%1.%2.%3.%4.%5.%6.%7.%8."/>
      <w:lvlJc w:val="left"/>
      <w:pPr>
        <w:ind w:left="3744" w:hanging="1224"/>
      </w:pPr>
    </w:lvl>
    <w:lvl w:ilvl="8">
      <w:start w:val="1"/>
      <w:numFmt w:val="decimal"/>
      <w:pStyle w:val="Numbered111111111"/>
      <w:lvlText w:val="%1.%2.%3.%4.%5.%6.%7.%8.%9."/>
      <w:lvlJc w:val="left"/>
      <w:pPr>
        <w:ind w:left="4320" w:hanging="1440"/>
      </w:pPr>
    </w:lvl>
  </w:abstractNum>
  <w:abstractNum w:abstractNumId="14">
    <w:nsid w:val="1F6066C2"/>
    <w:multiLevelType w:val="hybridMultilevel"/>
    <w:tmpl w:val="2F5E7F54"/>
    <w:lvl w:ilvl="0" w:tplc="C5FCFD8A">
      <w:start w:val="1"/>
      <w:numFmt w:val="decimal"/>
      <w:lvlText w:val="1.%1"/>
      <w:lvlJc w:val="left"/>
      <w:pPr>
        <w:ind w:left="36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nsid w:val="241317C6"/>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nsid w:val="26AA0DA7"/>
    <w:multiLevelType w:val="multilevel"/>
    <w:tmpl w:val="F49485A8"/>
    <w:lvl w:ilvl="0">
      <w:start w:val="1"/>
      <w:numFmt w:val="upperLetter"/>
      <w:pStyle w:val="Heading7"/>
      <w:lvlText w:val="%1"/>
      <w:lvlJc w:val="left"/>
      <w:pPr>
        <w:ind w:left="340" w:hanging="340"/>
      </w:pPr>
      <w:rPr>
        <w:rFonts w:hint="default"/>
      </w:rPr>
    </w:lvl>
    <w:lvl w:ilvl="1">
      <w:start w:val="1"/>
      <w:numFmt w:val="decimal"/>
      <w:lvlRestart w:val="0"/>
      <w:pStyle w:val="Heading8"/>
      <w:lvlText w:val="%1.%2"/>
      <w:lvlJc w:val="left"/>
      <w:pPr>
        <w:tabs>
          <w:tab w:val="num" w:pos="1021"/>
        </w:tabs>
        <w:ind w:left="1021" w:hanging="1021"/>
      </w:pPr>
      <w:rPr>
        <w:rFonts w:hint="default"/>
      </w:rPr>
    </w:lvl>
    <w:lvl w:ilvl="2">
      <w:start w:val="1"/>
      <w:numFmt w:val="decimal"/>
      <w:pStyle w:val="Heading9"/>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7">
    <w:nsid w:val="28865DF8"/>
    <w:multiLevelType w:val="hybridMultilevel"/>
    <w:tmpl w:val="EC0E5568"/>
    <w:lvl w:ilvl="0" w:tplc="D90E7D7A">
      <w:start w:val="1"/>
      <w:numFmt w:val="lowerLetter"/>
      <w:pStyle w:val="AERnumberedlistsecondstyle"/>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8">
    <w:nsid w:val="2A7A4051"/>
    <w:multiLevelType w:val="multilevel"/>
    <w:tmpl w:val="C04EFA60"/>
    <w:lvl w:ilvl="0">
      <w:start w:val="1"/>
      <w:numFmt w:val="upperLetter"/>
      <w:lvlText w:val="%1"/>
      <w:lvlJc w:val="left"/>
      <w:pPr>
        <w:ind w:left="340" w:hanging="340"/>
      </w:pPr>
      <w:rPr>
        <w:rFonts w:hint="default"/>
      </w:rPr>
    </w:lvl>
    <w:lvl w:ilvl="1">
      <w:start w:val="1"/>
      <w:numFmt w:val="decimal"/>
      <w:lvlRestart w:val="0"/>
      <w:lvlText w:val="%1.%2"/>
      <w:lvlJc w:val="left"/>
      <w:pPr>
        <w:tabs>
          <w:tab w:val="num" w:pos="1021"/>
        </w:tabs>
        <w:ind w:left="1021" w:hanging="1021"/>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9">
    <w:nsid w:val="2FB612CC"/>
    <w:multiLevelType w:val="multilevel"/>
    <w:tmpl w:val="950A1C52"/>
    <w:styleLink w:val="AERHeadings"/>
    <w:lvl w:ilvl="0">
      <w:start w:val="1"/>
      <w:numFmt w:val="none"/>
      <w:lvlText w:val="%1"/>
      <w:lvlJc w:val="left"/>
      <w:pPr>
        <w:tabs>
          <w:tab w:val="num" w:pos="0"/>
        </w:tabs>
        <w:ind w:left="0" w:firstLine="0"/>
      </w:pPr>
      <w:rPr>
        <w:rFonts w:hint="default"/>
      </w:rPr>
    </w:lvl>
    <w:lvl w:ilvl="1">
      <w:start w:val="15"/>
      <w:numFmt w:val="decimal"/>
      <w:lvlText w:val="%1%2"/>
      <w:lvlJc w:val="left"/>
      <w:pPr>
        <w:tabs>
          <w:tab w:val="num" w:pos="0"/>
        </w:tabs>
        <w:ind w:left="0" w:hanging="851"/>
      </w:pPr>
      <w:rPr>
        <w:rFonts w:hint="default"/>
      </w:rPr>
    </w:lvl>
    <w:lvl w:ilvl="2">
      <w:start w:val="1"/>
      <w:numFmt w:val="decimal"/>
      <w:lvlText w:val="%1%2.%3"/>
      <w:lvlJc w:val="left"/>
      <w:pPr>
        <w:tabs>
          <w:tab w:val="num" w:pos="0"/>
        </w:tabs>
        <w:ind w:left="0" w:hanging="851"/>
      </w:pPr>
      <w:rPr>
        <w:rFonts w:hint="default"/>
      </w:rPr>
    </w:lvl>
    <w:lvl w:ilvl="3">
      <w:start w:val="1"/>
      <w:numFmt w:val="decimal"/>
      <w:lvlText w:val="%2.%3.%4"/>
      <w:lvlJc w:val="left"/>
      <w:pPr>
        <w:tabs>
          <w:tab w:val="num" w:pos="0"/>
        </w:tabs>
        <w:ind w:left="0" w:hanging="851"/>
      </w:pPr>
      <w:rPr>
        <w:rFonts w:hint="default"/>
      </w:rPr>
    </w:lvl>
    <w:lvl w:ilvl="4">
      <w:start w:val="1"/>
      <w:numFmt w:val="upperLetter"/>
      <w:lvlRestart w:val="1"/>
      <w:lvlText w:val="%5"/>
      <w:lvlJc w:val="left"/>
      <w:pPr>
        <w:tabs>
          <w:tab w:val="num" w:pos="0"/>
        </w:tabs>
        <w:ind w:left="0" w:hanging="851"/>
      </w:pPr>
      <w:rPr>
        <w:rFonts w:hint="default"/>
      </w:rPr>
    </w:lvl>
    <w:lvl w:ilvl="5">
      <w:start w:val="1"/>
      <w:numFmt w:val="decimal"/>
      <w:lvlText w:val="%5.%6"/>
      <w:lvlJc w:val="left"/>
      <w:pPr>
        <w:tabs>
          <w:tab w:val="num" w:pos="0"/>
        </w:tabs>
        <w:ind w:left="0" w:hanging="851"/>
      </w:pPr>
      <w:rPr>
        <w:rFonts w:hint="default"/>
      </w:rPr>
    </w:lvl>
    <w:lvl w:ilvl="6">
      <w:start w:val="1"/>
      <w:numFmt w:val="decimal"/>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20">
    <w:nsid w:val="31AA058E"/>
    <w:multiLevelType w:val="hybridMultilevel"/>
    <w:tmpl w:val="3C70101E"/>
    <w:lvl w:ilvl="0" w:tplc="B336B1FC">
      <w:start w:val="1"/>
      <w:numFmt w:val="bullet"/>
      <w:lvlText w:val=""/>
      <w:lvlJc w:val="left"/>
      <w:pPr>
        <w:ind w:left="1077" w:hanging="360"/>
      </w:pPr>
      <w:rPr>
        <w:rFonts w:ascii="Wingdings" w:hAnsi="Wingdings"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21">
    <w:nsid w:val="34AC7051"/>
    <w:multiLevelType w:val="multilevel"/>
    <w:tmpl w:val="265C1DE2"/>
    <w:styleLink w:val="OldAER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none"/>
      <w:lvlText w:val=""/>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nsid w:val="3923347D"/>
    <w:multiLevelType w:val="hybridMultilevel"/>
    <w:tmpl w:val="8E96A9EE"/>
    <w:lvl w:ilvl="0" w:tplc="5E568C86">
      <w:start w:val="1"/>
      <w:numFmt w:val="decimal"/>
      <w:pStyle w:val="ListBullet"/>
      <w:lvlText w:val="(%1)"/>
      <w:lvlJc w:val="left"/>
      <w:pPr>
        <w:ind w:left="360" w:hanging="360"/>
      </w:pPr>
      <w:rPr>
        <w:rFonts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3AF336BC"/>
    <w:multiLevelType w:val="hybridMultilevel"/>
    <w:tmpl w:val="955A02CC"/>
    <w:lvl w:ilvl="0" w:tplc="C90C7928">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nsid w:val="41412A8D"/>
    <w:multiLevelType w:val="multilevel"/>
    <w:tmpl w:val="0C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5">
    <w:nsid w:val="443F74CB"/>
    <w:multiLevelType w:val="hybridMultilevel"/>
    <w:tmpl w:val="5FB40038"/>
    <w:lvl w:ilvl="0" w:tplc="921A7DDA">
      <w:start w:val="1"/>
      <w:numFmt w:val="decimal"/>
      <w:lvlText w:val="%1."/>
      <w:lvlJc w:val="left"/>
      <w:pPr>
        <w:tabs>
          <w:tab w:val="num" w:pos="357"/>
        </w:tabs>
        <w:ind w:left="357" w:hanging="357"/>
      </w:pPr>
      <w:rPr>
        <w:rFonts w:ascii="Gautami" w:hAnsi="Gautami" w:hint="default"/>
        <w:b w:val="0"/>
        <w:i w:val="0"/>
        <w:sz w:val="22"/>
      </w:rPr>
    </w:lvl>
    <w:lvl w:ilvl="1" w:tplc="6A7A61AE">
      <w:start w:val="1"/>
      <w:numFmt w:val="bullet"/>
      <w:lvlText w:val=""/>
      <w:lvlJc w:val="left"/>
      <w:pPr>
        <w:tabs>
          <w:tab w:val="num" w:pos="4498"/>
        </w:tabs>
        <w:ind w:left="4498" w:hanging="358"/>
      </w:pPr>
      <w:rPr>
        <w:rFonts w:ascii="Wingdings" w:hAnsi="Wingdings" w:hint="default"/>
        <w:b w:val="0"/>
        <w:i w:val="0"/>
        <w:sz w:val="22"/>
      </w:rPr>
    </w:lvl>
    <w:lvl w:ilvl="2" w:tplc="0C090005" w:tentative="1">
      <w:start w:val="1"/>
      <w:numFmt w:val="lowerRoman"/>
      <w:lvlText w:val="%3."/>
      <w:lvlJc w:val="right"/>
      <w:pPr>
        <w:tabs>
          <w:tab w:val="num" w:pos="5220"/>
        </w:tabs>
        <w:ind w:left="5220" w:hanging="180"/>
      </w:pPr>
    </w:lvl>
    <w:lvl w:ilvl="3" w:tplc="0C090001" w:tentative="1">
      <w:start w:val="1"/>
      <w:numFmt w:val="decimal"/>
      <w:lvlText w:val="%4."/>
      <w:lvlJc w:val="left"/>
      <w:pPr>
        <w:tabs>
          <w:tab w:val="num" w:pos="5940"/>
        </w:tabs>
        <w:ind w:left="5940" w:hanging="360"/>
      </w:pPr>
    </w:lvl>
    <w:lvl w:ilvl="4" w:tplc="0C090003">
      <w:start w:val="1"/>
      <w:numFmt w:val="lowerLetter"/>
      <w:lvlText w:val="%5."/>
      <w:lvlJc w:val="left"/>
      <w:pPr>
        <w:tabs>
          <w:tab w:val="num" w:pos="6660"/>
        </w:tabs>
        <w:ind w:left="6660" w:hanging="360"/>
      </w:pPr>
    </w:lvl>
    <w:lvl w:ilvl="5" w:tplc="0C090005">
      <w:start w:val="1"/>
      <w:numFmt w:val="lowerRoman"/>
      <w:lvlText w:val="%6."/>
      <w:lvlJc w:val="right"/>
      <w:pPr>
        <w:tabs>
          <w:tab w:val="num" w:pos="7380"/>
        </w:tabs>
        <w:ind w:left="7380" w:hanging="180"/>
      </w:pPr>
    </w:lvl>
    <w:lvl w:ilvl="6" w:tplc="0C090001" w:tentative="1">
      <w:start w:val="1"/>
      <w:numFmt w:val="decimal"/>
      <w:lvlText w:val="%7."/>
      <w:lvlJc w:val="left"/>
      <w:pPr>
        <w:tabs>
          <w:tab w:val="num" w:pos="8100"/>
        </w:tabs>
        <w:ind w:left="8100" w:hanging="360"/>
      </w:pPr>
    </w:lvl>
    <w:lvl w:ilvl="7" w:tplc="0C090003" w:tentative="1">
      <w:start w:val="1"/>
      <w:numFmt w:val="lowerLetter"/>
      <w:lvlText w:val="%8."/>
      <w:lvlJc w:val="left"/>
      <w:pPr>
        <w:tabs>
          <w:tab w:val="num" w:pos="8820"/>
        </w:tabs>
        <w:ind w:left="8820" w:hanging="360"/>
      </w:pPr>
    </w:lvl>
    <w:lvl w:ilvl="8" w:tplc="0C090005" w:tentative="1">
      <w:start w:val="1"/>
      <w:numFmt w:val="lowerRoman"/>
      <w:lvlText w:val="%9."/>
      <w:lvlJc w:val="right"/>
      <w:pPr>
        <w:tabs>
          <w:tab w:val="num" w:pos="9540"/>
        </w:tabs>
        <w:ind w:left="9540" w:hanging="180"/>
      </w:pPr>
    </w:lvl>
  </w:abstractNum>
  <w:abstractNum w:abstractNumId="26">
    <w:nsid w:val="499F124F"/>
    <w:multiLevelType w:val="multilevel"/>
    <w:tmpl w:val="5666D91E"/>
    <w:styleLink w:val="AlphanumericList"/>
    <w:lvl w:ilvl="0">
      <w:start w:val="1"/>
      <w:numFmt w:val="decimal"/>
      <w:lvlText w:val="A.%1"/>
      <w:lvlJc w:val="left"/>
      <w:pPr>
        <w:ind w:left="360" w:hanging="360"/>
      </w:pPr>
      <w:rPr>
        <w:rFonts w:ascii="Arial" w:hAnsi="Arial" w:hint="default"/>
        <w:sz w:val="22"/>
      </w:rPr>
    </w:lvl>
    <w:lvl w:ilvl="1">
      <w:start w:val="1"/>
      <w:numFmt w:val="decimal"/>
      <w:lvlRestart w:val="0"/>
      <w:lvlText w:val="A.%1.%2"/>
      <w:lvlJc w:val="left"/>
      <w:pPr>
        <w:ind w:left="3621" w:hanging="360"/>
      </w:pPr>
      <w:rPr>
        <w:rFonts w:hint="default"/>
      </w:rPr>
    </w:lvl>
    <w:lvl w:ilvl="2">
      <w:start w:val="1"/>
      <w:numFmt w:val="decimal"/>
      <w:lvlRestart w:val="0"/>
      <w:lvlText w:val="A.%1.%2.%3"/>
      <w:lvlJc w:val="left"/>
      <w:pPr>
        <w:ind w:left="1080" w:hanging="360"/>
      </w:pPr>
      <w:rPr>
        <w:rFonts w:hint="default"/>
      </w:rPr>
    </w:lvl>
    <w:lvl w:ilvl="3">
      <w:start w:val="1"/>
      <w:numFmt w:val="none"/>
      <w:lvlText w:val="(1)"/>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nsid w:val="49E52C90"/>
    <w:multiLevelType w:val="hybridMultilevel"/>
    <w:tmpl w:val="8C0ACE80"/>
    <w:lvl w:ilvl="0" w:tplc="9D00B0D8">
      <w:start w:val="1"/>
      <w:numFmt w:val="lowerRoman"/>
      <w:pStyle w:val="ListLegal"/>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nsid w:val="4C6A3DDE"/>
    <w:multiLevelType w:val="hybridMultilevel"/>
    <w:tmpl w:val="F51A789C"/>
    <w:lvl w:ilvl="0" w:tplc="92E84616">
      <w:start w:val="1"/>
      <w:numFmt w:val="bullet"/>
      <w:pStyle w:val="AERquotebullet1"/>
      <w:lvlText w:val=""/>
      <w:lvlJc w:val="left"/>
      <w:pPr>
        <w:ind w:left="1040" w:hanging="360"/>
      </w:pPr>
      <w:rPr>
        <w:rFonts w:ascii="Symbol" w:hAnsi="Symbol" w:hint="default"/>
      </w:rPr>
    </w:lvl>
    <w:lvl w:ilvl="1" w:tplc="0C090003" w:tentative="1">
      <w:start w:val="1"/>
      <w:numFmt w:val="bullet"/>
      <w:lvlText w:val="o"/>
      <w:lvlJc w:val="left"/>
      <w:pPr>
        <w:ind w:left="1760" w:hanging="360"/>
      </w:pPr>
      <w:rPr>
        <w:rFonts w:ascii="Courier New" w:hAnsi="Courier New" w:cs="Courier New" w:hint="default"/>
      </w:rPr>
    </w:lvl>
    <w:lvl w:ilvl="2" w:tplc="0C090005" w:tentative="1">
      <w:start w:val="1"/>
      <w:numFmt w:val="bullet"/>
      <w:lvlText w:val=""/>
      <w:lvlJc w:val="left"/>
      <w:pPr>
        <w:ind w:left="2480" w:hanging="360"/>
      </w:pPr>
      <w:rPr>
        <w:rFonts w:ascii="Wingdings" w:hAnsi="Wingdings" w:hint="default"/>
      </w:rPr>
    </w:lvl>
    <w:lvl w:ilvl="3" w:tplc="0C090001" w:tentative="1">
      <w:start w:val="1"/>
      <w:numFmt w:val="bullet"/>
      <w:lvlText w:val=""/>
      <w:lvlJc w:val="left"/>
      <w:pPr>
        <w:ind w:left="3200" w:hanging="360"/>
      </w:pPr>
      <w:rPr>
        <w:rFonts w:ascii="Symbol" w:hAnsi="Symbol" w:hint="default"/>
      </w:rPr>
    </w:lvl>
    <w:lvl w:ilvl="4" w:tplc="0C090003" w:tentative="1">
      <w:start w:val="1"/>
      <w:numFmt w:val="bullet"/>
      <w:lvlText w:val="o"/>
      <w:lvlJc w:val="left"/>
      <w:pPr>
        <w:ind w:left="3920" w:hanging="360"/>
      </w:pPr>
      <w:rPr>
        <w:rFonts w:ascii="Courier New" w:hAnsi="Courier New" w:cs="Courier New" w:hint="default"/>
      </w:rPr>
    </w:lvl>
    <w:lvl w:ilvl="5" w:tplc="0C090005" w:tentative="1">
      <w:start w:val="1"/>
      <w:numFmt w:val="bullet"/>
      <w:lvlText w:val=""/>
      <w:lvlJc w:val="left"/>
      <w:pPr>
        <w:ind w:left="4640" w:hanging="360"/>
      </w:pPr>
      <w:rPr>
        <w:rFonts w:ascii="Wingdings" w:hAnsi="Wingdings" w:hint="default"/>
      </w:rPr>
    </w:lvl>
    <w:lvl w:ilvl="6" w:tplc="0C090001" w:tentative="1">
      <w:start w:val="1"/>
      <w:numFmt w:val="bullet"/>
      <w:lvlText w:val=""/>
      <w:lvlJc w:val="left"/>
      <w:pPr>
        <w:ind w:left="5360" w:hanging="360"/>
      </w:pPr>
      <w:rPr>
        <w:rFonts w:ascii="Symbol" w:hAnsi="Symbol" w:hint="default"/>
      </w:rPr>
    </w:lvl>
    <w:lvl w:ilvl="7" w:tplc="0C090003" w:tentative="1">
      <w:start w:val="1"/>
      <w:numFmt w:val="bullet"/>
      <w:lvlText w:val="o"/>
      <w:lvlJc w:val="left"/>
      <w:pPr>
        <w:ind w:left="6080" w:hanging="360"/>
      </w:pPr>
      <w:rPr>
        <w:rFonts w:ascii="Courier New" w:hAnsi="Courier New" w:cs="Courier New" w:hint="default"/>
      </w:rPr>
    </w:lvl>
    <w:lvl w:ilvl="8" w:tplc="0C090005" w:tentative="1">
      <w:start w:val="1"/>
      <w:numFmt w:val="bullet"/>
      <w:lvlText w:val=""/>
      <w:lvlJc w:val="left"/>
      <w:pPr>
        <w:ind w:left="6800" w:hanging="360"/>
      </w:pPr>
      <w:rPr>
        <w:rFonts w:ascii="Wingdings" w:hAnsi="Wingdings" w:hint="default"/>
      </w:rPr>
    </w:lvl>
  </w:abstractNum>
  <w:abstractNum w:abstractNumId="29">
    <w:nsid w:val="51487971"/>
    <w:multiLevelType w:val="multilevel"/>
    <w:tmpl w:val="39D4CB02"/>
    <w:styleLink w:val="AERnumberedlist"/>
    <w:lvl w:ilvl="0">
      <w:start w:val="1"/>
      <w:numFmt w:val="none"/>
      <w:lvlText w:val="%1"/>
      <w:lvlJc w:val="left"/>
      <w:pPr>
        <w:tabs>
          <w:tab w:val="num" w:pos="0"/>
        </w:tabs>
        <w:ind w:left="0" w:firstLine="0"/>
      </w:pPr>
      <w:rPr>
        <w:rFonts w:hint="default"/>
      </w:rPr>
    </w:lvl>
    <w:lvl w:ilvl="1">
      <w:start w:val="1"/>
      <w:numFmt w:val="decimal"/>
      <w:lvlText w:val="%2."/>
      <w:lvlJc w:val="left"/>
      <w:pPr>
        <w:tabs>
          <w:tab w:val="num" w:pos="357"/>
        </w:tabs>
        <w:ind w:left="357" w:hanging="357"/>
      </w:pPr>
      <w:rPr>
        <w:rFonts w:hint="default"/>
      </w:rPr>
    </w:lvl>
    <w:lvl w:ilvl="2">
      <w:start w:val="1"/>
      <w:numFmt w:val="lowerLetter"/>
      <w:lvlText w:val="%3."/>
      <w:lvlJc w:val="left"/>
      <w:pPr>
        <w:tabs>
          <w:tab w:val="num" w:pos="720"/>
        </w:tabs>
        <w:ind w:left="720" w:hanging="363"/>
      </w:pPr>
      <w:rPr>
        <w:rFonts w:hint="default"/>
      </w:rPr>
    </w:lvl>
    <w:lvl w:ilvl="3">
      <w:start w:val="1"/>
      <w:numFmt w:val="lowerRoman"/>
      <w:lvlText w:val="%4."/>
      <w:lvlJc w:val="left"/>
      <w:pPr>
        <w:tabs>
          <w:tab w:val="num" w:pos="1077"/>
        </w:tabs>
        <w:ind w:left="1077" w:hanging="357"/>
      </w:pPr>
      <w:rPr>
        <w:rFonts w:hint="default"/>
      </w:rPr>
    </w:lvl>
    <w:lvl w:ilvl="4">
      <w:start w:val="1"/>
      <w:numFmt w:val="decimal"/>
      <w:lvlRestart w:val="1"/>
      <w:lvlText w:val="(%5)"/>
      <w:lvlJc w:val="left"/>
      <w:pPr>
        <w:tabs>
          <w:tab w:val="num" w:pos="454"/>
        </w:tabs>
        <w:ind w:left="454" w:hanging="454"/>
      </w:pPr>
      <w:rPr>
        <w:rFonts w:hint="default"/>
      </w:rPr>
    </w:lvl>
    <w:lvl w:ilvl="5">
      <w:start w:val="1"/>
      <w:numFmt w:val="lowerLetter"/>
      <w:lvlText w:val="(%6)"/>
      <w:lvlJc w:val="left"/>
      <w:pPr>
        <w:tabs>
          <w:tab w:val="num" w:pos="811"/>
        </w:tabs>
        <w:ind w:left="811" w:hanging="357"/>
      </w:pPr>
      <w:rPr>
        <w:rFonts w:hint="default"/>
      </w:rPr>
    </w:lvl>
    <w:lvl w:ilvl="6">
      <w:start w:val="1"/>
      <w:numFmt w:val="lowerRoman"/>
      <w:lvlText w:val="(%7)"/>
      <w:lvlJc w:val="left"/>
      <w:pPr>
        <w:tabs>
          <w:tab w:val="num" w:pos="1446"/>
        </w:tabs>
        <w:ind w:left="1446" w:hanging="635"/>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0">
    <w:nsid w:val="59474DF1"/>
    <w:multiLevelType w:val="multilevel"/>
    <w:tmpl w:val="5BC065FC"/>
    <w:lvl w:ilvl="0">
      <w:start w:val="1"/>
      <w:numFmt w:val="decimal"/>
      <w:pStyle w:val="LegalNumbering"/>
      <w:isLgl/>
      <w:lvlText w:val="%1)"/>
      <w:lvlJc w:val="left"/>
      <w:pPr>
        <w:ind w:left="340" w:hanging="340"/>
      </w:pPr>
      <w:rPr>
        <w:rFonts w:hint="default"/>
      </w:rPr>
    </w:lvl>
    <w:lvl w:ilvl="1">
      <w:start w:val="1"/>
      <w:numFmt w:val="lowerLetter"/>
      <w:lvlText w:val="%2) "/>
      <w:lvlJc w:val="left"/>
      <w:pPr>
        <w:ind w:left="680" w:hanging="340"/>
      </w:pPr>
      <w:rPr>
        <w:rFonts w:hint="default"/>
      </w:rPr>
    </w:lvl>
    <w:lvl w:ilvl="2">
      <w:start w:val="1"/>
      <w:numFmt w:val="lowerRoman"/>
      <w:lvlText w:val="%3)"/>
      <w:lvlJc w:val="left"/>
      <w:pPr>
        <w:tabs>
          <w:tab w:val="num" w:pos="1701"/>
        </w:tabs>
        <w:ind w:left="1021" w:hanging="341"/>
      </w:pPr>
      <w:rPr>
        <w:rFonts w:hint="default"/>
      </w:rPr>
    </w:lvl>
    <w:lvl w:ilvl="3">
      <w:start w:val="1"/>
      <w:numFmt w:val="decimal"/>
      <w:lvlText w:val="(%4) "/>
      <w:lvlJc w:val="left"/>
      <w:pPr>
        <w:tabs>
          <w:tab w:val="num" w:pos="1758"/>
        </w:tabs>
        <w:ind w:left="1361" w:hanging="340"/>
      </w:pPr>
      <w:rPr>
        <w:rFonts w:hint="default"/>
      </w:rPr>
    </w:lvl>
    <w:lvl w:ilvl="4">
      <w:start w:val="1"/>
      <w:numFmt w:val="lowerLetter"/>
      <w:lvlText w:val="(%5)"/>
      <w:lvlJc w:val="left"/>
      <w:pPr>
        <w:ind w:left="1701" w:hanging="340"/>
      </w:pPr>
      <w:rPr>
        <w:rFonts w:hint="default"/>
      </w:rPr>
    </w:lvl>
    <w:lvl w:ilvl="5">
      <w:start w:val="1"/>
      <w:numFmt w:val="lowerRoman"/>
      <w:lvlText w:val="(%6)"/>
      <w:lvlJc w:val="left"/>
      <w:pPr>
        <w:tabs>
          <w:tab w:val="num" w:pos="2608"/>
        </w:tabs>
        <w:ind w:left="2041" w:hanging="340"/>
      </w:pPr>
      <w:rPr>
        <w:rFonts w:hint="default"/>
      </w:rPr>
    </w:lvl>
    <w:lvl w:ilvl="6">
      <w:start w:val="1"/>
      <w:numFmt w:val="decimal"/>
      <w:lvlText w:val="%7."/>
      <w:lvlJc w:val="left"/>
      <w:pPr>
        <w:tabs>
          <w:tab w:val="num" w:pos="3175"/>
        </w:tabs>
        <w:ind w:left="2381" w:hanging="340"/>
      </w:pPr>
      <w:rPr>
        <w:rFonts w:hint="default"/>
      </w:rPr>
    </w:lvl>
    <w:lvl w:ilvl="7">
      <w:start w:val="1"/>
      <w:numFmt w:val="lowerLetter"/>
      <w:lvlText w:val="%8."/>
      <w:lvlJc w:val="left"/>
      <w:pPr>
        <w:tabs>
          <w:tab w:val="num" w:pos="3799"/>
        </w:tabs>
        <w:ind w:left="2722" w:hanging="341"/>
      </w:pPr>
      <w:rPr>
        <w:rFonts w:hint="default"/>
      </w:rPr>
    </w:lvl>
    <w:lvl w:ilvl="8">
      <w:start w:val="1"/>
      <w:numFmt w:val="lowerRoman"/>
      <w:lvlText w:val="%9."/>
      <w:lvlJc w:val="left"/>
      <w:pPr>
        <w:ind w:left="3062" w:hanging="340"/>
      </w:pPr>
      <w:rPr>
        <w:rFonts w:hint="default"/>
      </w:rPr>
    </w:lvl>
  </w:abstractNum>
  <w:abstractNum w:abstractNumId="31">
    <w:nsid w:val="5ECE4384"/>
    <w:multiLevelType w:val="multilevel"/>
    <w:tmpl w:val="B650A4FE"/>
    <w:lvl w:ilvl="0">
      <w:start w:val="15"/>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2">
    <w:nsid w:val="5F367721"/>
    <w:multiLevelType w:val="multilevel"/>
    <w:tmpl w:val="950A1C52"/>
    <w:numStyleLink w:val="AERHeadings"/>
  </w:abstractNum>
  <w:abstractNum w:abstractNumId="33">
    <w:nsid w:val="6726588A"/>
    <w:multiLevelType w:val="hybridMultilevel"/>
    <w:tmpl w:val="6568C8B8"/>
    <w:lvl w:ilvl="0" w:tplc="0C09000F">
      <w:start w:val="1"/>
      <w:numFmt w:val="bullet"/>
      <w:pStyle w:val="AERbulletlistsecondstyle"/>
      <w:lvlText w:val="o"/>
      <w:lvlJc w:val="left"/>
      <w:pPr>
        <w:ind w:left="1081" w:hanging="360"/>
      </w:pPr>
      <w:rPr>
        <w:rFonts w:ascii="Courier New" w:hAnsi="Courier New" w:cs="Courier New" w:hint="default"/>
      </w:rPr>
    </w:lvl>
    <w:lvl w:ilvl="1" w:tplc="0C090019" w:tentative="1">
      <w:start w:val="1"/>
      <w:numFmt w:val="bullet"/>
      <w:lvlText w:val="o"/>
      <w:lvlJc w:val="left"/>
      <w:pPr>
        <w:ind w:left="1801" w:hanging="360"/>
      </w:pPr>
      <w:rPr>
        <w:rFonts w:ascii="Courier New" w:hAnsi="Courier New" w:cs="Courier New" w:hint="default"/>
      </w:rPr>
    </w:lvl>
    <w:lvl w:ilvl="2" w:tplc="C38EC922">
      <w:start w:val="1"/>
      <w:numFmt w:val="bullet"/>
      <w:pStyle w:val="AERbulletlistthirdstyle"/>
      <w:lvlText w:val=""/>
      <w:lvlJc w:val="left"/>
      <w:pPr>
        <w:ind w:left="2521" w:hanging="360"/>
      </w:pPr>
      <w:rPr>
        <w:rFonts w:ascii="Wingdings" w:hAnsi="Wingdings" w:hint="default"/>
      </w:rPr>
    </w:lvl>
    <w:lvl w:ilvl="3" w:tplc="0C09000F" w:tentative="1">
      <w:start w:val="1"/>
      <w:numFmt w:val="bullet"/>
      <w:lvlText w:val=""/>
      <w:lvlJc w:val="left"/>
      <w:pPr>
        <w:ind w:left="3241" w:hanging="360"/>
      </w:pPr>
      <w:rPr>
        <w:rFonts w:ascii="Symbol" w:hAnsi="Symbol" w:hint="default"/>
      </w:rPr>
    </w:lvl>
    <w:lvl w:ilvl="4" w:tplc="0C090019" w:tentative="1">
      <w:start w:val="1"/>
      <w:numFmt w:val="bullet"/>
      <w:lvlText w:val="o"/>
      <w:lvlJc w:val="left"/>
      <w:pPr>
        <w:ind w:left="3961" w:hanging="360"/>
      </w:pPr>
      <w:rPr>
        <w:rFonts w:ascii="Courier New" w:hAnsi="Courier New" w:cs="Courier New" w:hint="default"/>
      </w:rPr>
    </w:lvl>
    <w:lvl w:ilvl="5" w:tplc="0C09001B" w:tentative="1">
      <w:start w:val="1"/>
      <w:numFmt w:val="bullet"/>
      <w:lvlText w:val=""/>
      <w:lvlJc w:val="left"/>
      <w:pPr>
        <w:ind w:left="4681" w:hanging="360"/>
      </w:pPr>
      <w:rPr>
        <w:rFonts w:ascii="Wingdings" w:hAnsi="Wingdings" w:hint="default"/>
      </w:rPr>
    </w:lvl>
    <w:lvl w:ilvl="6" w:tplc="0C09000F" w:tentative="1">
      <w:start w:val="1"/>
      <w:numFmt w:val="bullet"/>
      <w:lvlText w:val=""/>
      <w:lvlJc w:val="left"/>
      <w:pPr>
        <w:ind w:left="5401" w:hanging="360"/>
      </w:pPr>
      <w:rPr>
        <w:rFonts w:ascii="Symbol" w:hAnsi="Symbol" w:hint="default"/>
      </w:rPr>
    </w:lvl>
    <w:lvl w:ilvl="7" w:tplc="0C090019" w:tentative="1">
      <w:start w:val="1"/>
      <w:numFmt w:val="bullet"/>
      <w:lvlText w:val="o"/>
      <w:lvlJc w:val="left"/>
      <w:pPr>
        <w:ind w:left="6121" w:hanging="360"/>
      </w:pPr>
      <w:rPr>
        <w:rFonts w:ascii="Courier New" w:hAnsi="Courier New" w:cs="Courier New" w:hint="default"/>
      </w:rPr>
    </w:lvl>
    <w:lvl w:ilvl="8" w:tplc="0C09001B" w:tentative="1">
      <w:start w:val="1"/>
      <w:numFmt w:val="bullet"/>
      <w:lvlText w:val=""/>
      <w:lvlJc w:val="left"/>
      <w:pPr>
        <w:ind w:left="6841" w:hanging="360"/>
      </w:pPr>
      <w:rPr>
        <w:rFonts w:ascii="Wingdings" w:hAnsi="Wingdings" w:hint="default"/>
      </w:rPr>
    </w:lvl>
  </w:abstractNum>
  <w:abstractNum w:abstractNumId="34">
    <w:nsid w:val="6DE36827"/>
    <w:multiLevelType w:val="multilevel"/>
    <w:tmpl w:val="950A1C52"/>
    <w:numStyleLink w:val="AERHeadings"/>
  </w:abstractNum>
  <w:abstractNum w:abstractNumId="35">
    <w:nsid w:val="71052EFE"/>
    <w:multiLevelType w:val="hybridMultilevel"/>
    <w:tmpl w:val="52FCFAA8"/>
    <w:lvl w:ilvl="0" w:tplc="C846CA5C">
      <w:start w:val="1"/>
      <w:numFmt w:val="lowerRoman"/>
      <w:pStyle w:val="AERnumberedlistthirdstyle"/>
      <w:lvlText w:val="%1."/>
      <w:lvlJc w:val="righ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nsid w:val="71964B06"/>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nsid w:val="7AEA3AE1"/>
    <w:multiLevelType w:val="hybridMultilevel"/>
    <w:tmpl w:val="52969776"/>
    <w:lvl w:ilvl="0" w:tplc="1B665800">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nsid w:val="7E2819EC"/>
    <w:multiLevelType w:val="multilevel"/>
    <w:tmpl w:val="1250F310"/>
    <w:lvl w:ilvl="0">
      <w:start w:val="1"/>
      <w:numFmt w:val="bullet"/>
      <w:pStyle w:val="AERbulletlistfirststyle"/>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2"/>
  </w:num>
  <w:num w:numId="2">
    <w:abstractNumId w:val="38"/>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33"/>
  </w:num>
  <w:num w:numId="13">
    <w:abstractNumId w:val="22"/>
  </w:num>
  <w:num w:numId="14">
    <w:abstractNumId w:val="11"/>
  </w:num>
  <w:num w:numId="15">
    <w:abstractNumId w:val="13"/>
  </w:num>
  <w:num w:numId="16">
    <w:abstractNumId w:val="26"/>
  </w:num>
  <w:num w:numId="17">
    <w:abstractNumId w:val="10"/>
  </w:num>
  <w:num w:numId="18">
    <w:abstractNumId w:val="17"/>
  </w:num>
  <w:num w:numId="19">
    <w:abstractNumId w:val="27"/>
  </w:num>
  <w:num w:numId="20">
    <w:abstractNumId w:val="35"/>
  </w:num>
  <w:num w:numId="21">
    <w:abstractNumId w:val="14"/>
  </w:num>
  <w:num w:numId="22">
    <w:abstractNumId w:val="30"/>
  </w:num>
  <w:num w:numId="23">
    <w:abstractNumId w:val="28"/>
  </w:num>
  <w:num w:numId="24">
    <w:abstractNumId w:val="19"/>
  </w:num>
  <w:num w:numId="25">
    <w:abstractNumId w:val="29"/>
  </w:num>
  <w:num w:numId="26">
    <w:abstractNumId w:val="31"/>
  </w:num>
  <w:num w:numId="27">
    <w:abstractNumId w:val="21"/>
  </w:num>
  <w:num w:numId="28">
    <w:abstractNumId w:val="18"/>
  </w:num>
  <w:num w:numId="29">
    <w:abstractNumId w:val="16"/>
  </w:num>
  <w:num w:numId="30">
    <w:abstractNumId w:val="36"/>
  </w:num>
  <w:num w:numId="31">
    <w:abstractNumId w:val="15"/>
  </w:num>
  <w:num w:numId="32">
    <w:abstractNumId w:val="24"/>
  </w:num>
  <w:num w:numId="33">
    <w:abstractNumId w:val="19"/>
    <w:lvlOverride w:ilvl="0">
      <w:lvl w:ilvl="0">
        <w:start w:val="1"/>
        <w:numFmt w:val="none"/>
        <w:lvlText w:val="%1"/>
        <w:lvlJc w:val="left"/>
        <w:pPr>
          <w:tabs>
            <w:tab w:val="num" w:pos="0"/>
          </w:tabs>
          <w:ind w:left="0" w:firstLine="0"/>
        </w:pPr>
        <w:rPr>
          <w:rFonts w:hint="default"/>
        </w:rPr>
      </w:lvl>
    </w:lvlOverride>
    <w:lvlOverride w:ilvl="1">
      <w:lvl w:ilvl="1">
        <w:start w:val="7"/>
        <w:numFmt w:val="decimal"/>
        <w:lvlText w:val="%2"/>
        <w:lvlJc w:val="left"/>
        <w:pPr>
          <w:tabs>
            <w:tab w:val="num" w:pos="0"/>
          </w:tabs>
          <w:ind w:left="0" w:hanging="851"/>
        </w:pPr>
        <w:rPr>
          <w:rFonts w:ascii="Gautami" w:eastAsia="Times New Roman" w:hAnsi="Gautami" w:cs="Times New Roman"/>
        </w:rPr>
      </w:lvl>
    </w:lvlOverride>
    <w:lvlOverride w:ilvl="2">
      <w:lvl w:ilvl="2">
        <w:start w:val="1"/>
        <w:numFmt w:val="decimal"/>
        <w:lvlText w:val="%1%2.%3"/>
        <w:lvlJc w:val="left"/>
        <w:pPr>
          <w:tabs>
            <w:tab w:val="num" w:pos="0"/>
          </w:tabs>
          <w:ind w:left="0" w:hanging="851"/>
        </w:pPr>
        <w:rPr>
          <w:rFonts w:hint="default"/>
        </w:rPr>
      </w:lvl>
    </w:lvlOverride>
    <w:lvlOverride w:ilvl="3">
      <w:lvl w:ilvl="3">
        <w:start w:val="1"/>
        <w:numFmt w:val="decimal"/>
        <w:lvlText w:val="%2.%3.%4"/>
        <w:lvlJc w:val="left"/>
        <w:pPr>
          <w:tabs>
            <w:tab w:val="num" w:pos="0"/>
          </w:tabs>
          <w:ind w:left="0" w:hanging="851"/>
        </w:pPr>
        <w:rPr>
          <w:rFonts w:hint="default"/>
        </w:rPr>
      </w:lvl>
    </w:lvlOverride>
    <w:lvlOverride w:ilvl="4">
      <w:lvl w:ilvl="4">
        <w:start w:val="1"/>
        <w:numFmt w:val="upperLetter"/>
        <w:lvlRestart w:val="1"/>
        <w:lvlText w:val="%5"/>
        <w:lvlJc w:val="left"/>
        <w:pPr>
          <w:tabs>
            <w:tab w:val="num" w:pos="0"/>
          </w:tabs>
          <w:ind w:left="0" w:hanging="851"/>
        </w:pPr>
        <w:rPr>
          <w:rFonts w:hint="default"/>
        </w:rPr>
      </w:lvl>
    </w:lvlOverride>
    <w:lvlOverride w:ilvl="5">
      <w:lvl w:ilvl="5">
        <w:start w:val="1"/>
        <w:numFmt w:val="decimal"/>
        <w:lvlText w:val="%5.%6"/>
        <w:lvlJc w:val="left"/>
        <w:pPr>
          <w:tabs>
            <w:tab w:val="num" w:pos="0"/>
          </w:tabs>
          <w:ind w:left="0" w:hanging="851"/>
        </w:pPr>
        <w:rPr>
          <w:rFonts w:hint="default"/>
        </w:rPr>
      </w:lvl>
    </w:lvlOverride>
    <w:lvlOverride w:ilvl="6">
      <w:lvl w:ilvl="6">
        <w:start w:val="1"/>
        <w:numFmt w:val="decimal"/>
        <w:lvlText w:val="%5.%6.%7"/>
        <w:lvlJc w:val="left"/>
        <w:pPr>
          <w:tabs>
            <w:tab w:val="num" w:pos="0"/>
          </w:tabs>
          <w:ind w:left="0" w:hanging="851"/>
        </w:pPr>
        <w:rPr>
          <w:rFonts w:hint="default"/>
        </w:rPr>
      </w:lvl>
    </w:lvlOverride>
    <w:lvlOverride w:ilvl="7">
      <w:lvl w:ilvl="7">
        <w:start w:val="1"/>
        <w:numFmt w:val="none"/>
        <w:lvlRestart w:val="0"/>
        <w:lvlText w:val=""/>
        <w:lvlJc w:val="left"/>
        <w:pPr>
          <w:tabs>
            <w:tab w:val="num" w:pos="0"/>
          </w:tabs>
          <w:ind w:left="0" w:firstLine="0"/>
        </w:pPr>
        <w:rPr>
          <w:rFonts w:hint="default"/>
        </w:rPr>
      </w:lvl>
    </w:lvlOverride>
    <w:lvlOverride w:ilvl="8">
      <w:lvl w:ilvl="8">
        <w:start w:val="1"/>
        <w:numFmt w:val="none"/>
        <w:lvlRestart w:val="0"/>
        <w:lvlText w:val=""/>
        <w:lvlJc w:val="left"/>
        <w:pPr>
          <w:ind w:left="0" w:firstLine="0"/>
        </w:pPr>
        <w:rPr>
          <w:rFonts w:hint="default"/>
        </w:rPr>
      </w:lvl>
    </w:lvlOverride>
  </w:num>
  <w:num w:numId="34">
    <w:abstractNumId w:val="19"/>
    <w:lvlOverride w:ilvl="0">
      <w:startOverride w:val="1"/>
      <w:lvl w:ilvl="0">
        <w:start w:val="1"/>
        <w:numFmt w:val="none"/>
        <w:lvlText w:val="%1"/>
        <w:lvlJc w:val="left"/>
        <w:pPr>
          <w:tabs>
            <w:tab w:val="num" w:pos="0"/>
          </w:tabs>
          <w:ind w:left="0" w:firstLine="0"/>
        </w:pPr>
        <w:rPr>
          <w:rFonts w:hint="default"/>
        </w:rPr>
      </w:lvl>
    </w:lvlOverride>
    <w:lvlOverride w:ilvl="1">
      <w:startOverride w:val="16"/>
      <w:lvl w:ilvl="1">
        <w:start w:val="16"/>
        <w:numFmt w:val="decimal"/>
        <w:lvlText w:val="%2"/>
        <w:lvlJc w:val="left"/>
        <w:pPr>
          <w:tabs>
            <w:tab w:val="num" w:pos="0"/>
          </w:tabs>
          <w:ind w:left="0" w:hanging="851"/>
        </w:pPr>
        <w:rPr>
          <w:rFonts w:ascii="Gautami" w:eastAsia="Times New Roman" w:hAnsi="Gautami" w:cs="Times New Roman"/>
        </w:rPr>
      </w:lvl>
    </w:lvlOverride>
  </w:num>
  <w:num w:numId="35">
    <w:abstractNumId w:val="19"/>
    <w:lvlOverride w:ilvl="0">
      <w:startOverride w:val="1"/>
      <w:lvl w:ilvl="0">
        <w:start w:val="1"/>
        <w:numFmt w:val="none"/>
        <w:lvlText w:val="%1"/>
        <w:lvlJc w:val="left"/>
        <w:pPr>
          <w:tabs>
            <w:tab w:val="num" w:pos="0"/>
          </w:tabs>
          <w:ind w:left="0" w:firstLine="0"/>
        </w:pPr>
        <w:rPr>
          <w:rFonts w:hint="default"/>
        </w:rPr>
      </w:lvl>
    </w:lvlOverride>
    <w:lvlOverride w:ilvl="1">
      <w:startOverride w:val="18"/>
      <w:lvl w:ilvl="1">
        <w:start w:val="18"/>
        <w:numFmt w:val="decimal"/>
        <w:lvlText w:val="%2"/>
        <w:lvlJc w:val="left"/>
        <w:pPr>
          <w:tabs>
            <w:tab w:val="num" w:pos="0"/>
          </w:tabs>
          <w:ind w:left="0" w:hanging="851"/>
        </w:pPr>
        <w:rPr>
          <w:rFonts w:ascii="Gautami" w:eastAsia="Times New Roman" w:hAnsi="Gautami" w:cs="Times New Roman"/>
        </w:rPr>
      </w:lvl>
    </w:lvlOverride>
  </w:num>
  <w:num w:numId="36">
    <w:abstractNumId w:val="34"/>
  </w:num>
  <w:num w:numId="37">
    <w:abstractNumId w:val="32"/>
  </w:num>
  <w:num w:numId="38">
    <w:abstractNumId w:val="23"/>
  </w:num>
  <w:num w:numId="39">
    <w:abstractNumId w:val="20"/>
  </w:num>
  <w:num w:numId="40">
    <w:abstractNumId w:val="37"/>
  </w:num>
  <w:num w:numId="41">
    <w:abstractNumId w:val="9"/>
  </w:num>
  <w:num w:numId="42">
    <w:abstractNumId w:val="19"/>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9"/>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9"/>
    <w:lvlOverride w:ilvl="0">
      <w:startOverride w:val="1"/>
      <w:lvl w:ilvl="0">
        <w:start w:val="1"/>
        <w:numFmt w:val="decimal"/>
        <w:lvlText w:val=""/>
        <w:lvlJc w:val="left"/>
      </w:lvl>
    </w:lvlOverride>
    <w:lvlOverride w:ilvl="1">
      <w:startOverride w:val="6"/>
      <w:lvl w:ilvl="1">
        <w:start w:val="6"/>
        <w:numFmt w:val="decimal"/>
        <w:lvlText w:val="%2"/>
        <w:lvlJc w:val="left"/>
        <w:pPr>
          <w:tabs>
            <w:tab w:val="num" w:pos="0"/>
          </w:tabs>
          <w:ind w:left="0" w:hanging="851"/>
        </w:pPr>
        <w:rPr>
          <w:rFonts w:ascii="Gautami" w:eastAsia="Times New Roman" w:hAnsi="Gautami" w:cs="Times New Roman"/>
        </w:rPr>
      </w:lvl>
    </w:lvlOverride>
    <w:lvlOverride w:ilvl="2">
      <w:startOverride w:val="1"/>
      <w:lvl w:ilvl="2">
        <w:start w:val="1"/>
        <w:numFmt w:val="decimal"/>
        <w:lvlText w:val=""/>
        <w:lvlJc w:val="left"/>
      </w:lvl>
    </w:lvlOverride>
  </w:num>
  <w:num w:numId="45">
    <w:abstractNumId w:val="19"/>
    <w:lvlOverride w:ilvl="0">
      <w:startOverride w:val="1"/>
      <w:lvl w:ilvl="0">
        <w:start w:val="1"/>
        <w:numFmt w:val="none"/>
        <w:lvlText w:val="%1"/>
        <w:lvlJc w:val="left"/>
        <w:pPr>
          <w:tabs>
            <w:tab w:val="num" w:pos="0"/>
          </w:tabs>
          <w:ind w:left="0" w:firstLine="0"/>
        </w:pPr>
        <w:rPr>
          <w:rFonts w:hint="default"/>
        </w:rPr>
      </w:lvl>
    </w:lvlOverride>
    <w:lvlOverride w:ilvl="1">
      <w:startOverride w:val="7"/>
      <w:lvl w:ilvl="1">
        <w:start w:val="7"/>
        <w:numFmt w:val="decimal"/>
        <w:lvlText w:val="%2"/>
        <w:lvlJc w:val="left"/>
        <w:pPr>
          <w:tabs>
            <w:tab w:val="num" w:pos="0"/>
          </w:tabs>
          <w:ind w:left="0" w:hanging="851"/>
        </w:pPr>
        <w:rPr>
          <w:rFonts w:ascii="Gautami" w:eastAsia="Times New Roman" w:hAnsi="Gautami" w:cs="Times New Roman"/>
        </w:rPr>
      </w:lvl>
    </w:lvlOverride>
    <w:lvlOverride w:ilvl="2">
      <w:startOverride w:val="1"/>
      <w:lvl w:ilvl="2">
        <w:start w:val="1"/>
        <w:numFmt w:val="decimal"/>
        <w:lvlText w:val="%1%2.%3"/>
        <w:lvlJc w:val="left"/>
        <w:pPr>
          <w:tabs>
            <w:tab w:val="num" w:pos="0"/>
          </w:tabs>
          <w:ind w:left="0" w:hanging="851"/>
        </w:pPr>
        <w:rPr>
          <w:rFonts w:hint="default"/>
        </w:rPr>
      </w:lvl>
    </w:lvlOverride>
    <w:lvlOverride w:ilvl="3">
      <w:startOverride w:val="1"/>
      <w:lvl w:ilvl="3">
        <w:start w:val="1"/>
        <w:numFmt w:val="decimal"/>
        <w:lvlText w:val="%2.%3.%4"/>
        <w:lvlJc w:val="left"/>
        <w:pPr>
          <w:tabs>
            <w:tab w:val="num" w:pos="0"/>
          </w:tabs>
          <w:ind w:left="0" w:hanging="851"/>
        </w:pPr>
        <w:rPr>
          <w:rFonts w:hint="default"/>
        </w:rPr>
      </w:lvl>
    </w:lvlOverride>
    <w:lvlOverride w:ilvl="4">
      <w:startOverride w:val="1"/>
      <w:lvl w:ilvl="4">
        <w:start w:val="1"/>
        <w:numFmt w:val="upperLetter"/>
        <w:lvlRestart w:val="1"/>
        <w:lvlText w:val="%5"/>
        <w:lvlJc w:val="left"/>
        <w:pPr>
          <w:tabs>
            <w:tab w:val="num" w:pos="0"/>
          </w:tabs>
          <w:ind w:left="0" w:hanging="851"/>
        </w:pPr>
        <w:rPr>
          <w:rFonts w:hint="default"/>
        </w:rPr>
      </w:lvl>
    </w:lvlOverride>
    <w:lvlOverride w:ilvl="5">
      <w:startOverride w:val="1"/>
      <w:lvl w:ilvl="5">
        <w:start w:val="1"/>
        <w:numFmt w:val="decimal"/>
        <w:lvlText w:val="%5.%6"/>
        <w:lvlJc w:val="left"/>
        <w:pPr>
          <w:tabs>
            <w:tab w:val="num" w:pos="0"/>
          </w:tabs>
          <w:ind w:left="0" w:hanging="851"/>
        </w:pPr>
        <w:rPr>
          <w:rFonts w:hint="default"/>
        </w:rPr>
      </w:lvl>
    </w:lvlOverride>
    <w:lvlOverride w:ilvl="6">
      <w:startOverride w:val="1"/>
      <w:lvl w:ilvl="6">
        <w:start w:val="1"/>
        <w:numFmt w:val="decimal"/>
        <w:lvlText w:val="%5.%6.%7"/>
        <w:lvlJc w:val="left"/>
        <w:pPr>
          <w:tabs>
            <w:tab w:val="num" w:pos="0"/>
          </w:tabs>
          <w:ind w:left="0" w:hanging="851"/>
        </w:pPr>
        <w:rPr>
          <w:rFonts w:hint="default"/>
        </w:rPr>
      </w:lvl>
    </w:lvlOverride>
    <w:lvlOverride w:ilvl="7">
      <w:startOverride w:val="1"/>
      <w:lvl w:ilvl="7">
        <w:start w:val="1"/>
        <w:numFmt w:val="none"/>
        <w:lvlRestart w:val="0"/>
        <w:lvlText w:val=""/>
        <w:lvlJc w:val="left"/>
        <w:pPr>
          <w:tabs>
            <w:tab w:val="num" w:pos="0"/>
          </w:tabs>
          <w:ind w:left="0" w:firstLine="0"/>
        </w:pPr>
        <w:rPr>
          <w:rFonts w:hint="default"/>
        </w:rPr>
      </w:lvl>
    </w:lvlOverride>
    <w:lvlOverride w:ilvl="8">
      <w:startOverride w:val="1"/>
      <w:lvl w:ilvl="8">
        <w:start w:val="1"/>
        <w:numFmt w:val="none"/>
        <w:lvlRestart w:val="0"/>
        <w:lvlText w:val=""/>
        <w:lvlJc w:val="left"/>
        <w:pPr>
          <w:ind w:left="0" w:firstLine="0"/>
        </w:pPr>
        <w:rPr>
          <w:rFonts w:hint="default"/>
        </w:rPr>
      </w:lvl>
    </w:lvlOverride>
  </w:num>
  <w:num w:numId="46">
    <w:abstractNumId w:val="25"/>
    <w:lvlOverride w:ilvl="0">
      <w:startOverride w:val="1"/>
    </w:lvlOverride>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6"/>
  <w:removePersonalInformation/>
  <w:removeDateAndTime/>
  <w:doNotDisplayPageBoundaries/>
  <w:proofState w:spelling="clean" w:grammar="clean"/>
  <w:stylePaneFormatFilter w:val="9724" w:allStyles="0" w:customStyles="0" w:latentStyles="1" w:stylesInUse="0" w:headingStyles="1" w:numberingStyles="0" w:tableStyles="0" w:directFormattingOnRuns="1" w:directFormattingOnParagraphs="1" w:directFormattingOnNumbering="1" w:directFormattingOnTables="0" w:clearFormatting="1" w:top3HeadingStyles="0" w:visibleStyles="0" w:alternateStyleNames="1"/>
  <w:stylePaneSortMethod w:val="0000"/>
  <w:documentProtection w:formatting="1" w:enforcement="0"/>
  <w:defaultTabStop w:val="340"/>
  <w:characterSpacingControl w:val="doNotCompress"/>
  <w:hdrShapeDefaults>
    <o:shapedefaults v:ext="edit" spidmax="7168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H:\AER - Preliminary decision SA power Networks distribution determination - Attachment 15 - Pass through events.DOCX"/>
  </w:docVars>
  <w:rsids>
    <w:rsidRoot w:val="00961A4A"/>
    <w:rsid w:val="00021202"/>
    <w:rsid w:val="0002517F"/>
    <w:rsid w:val="0003578C"/>
    <w:rsid w:val="00063247"/>
    <w:rsid w:val="00070F9F"/>
    <w:rsid w:val="0007137B"/>
    <w:rsid w:val="00085663"/>
    <w:rsid w:val="00085EBF"/>
    <w:rsid w:val="000A3020"/>
    <w:rsid w:val="000A6C7B"/>
    <w:rsid w:val="000B14B2"/>
    <w:rsid w:val="000D122C"/>
    <w:rsid w:val="000E1819"/>
    <w:rsid w:val="000E4821"/>
    <w:rsid w:val="000E6C72"/>
    <w:rsid w:val="000E7401"/>
    <w:rsid w:val="00116EB2"/>
    <w:rsid w:val="00124609"/>
    <w:rsid w:val="00126A4C"/>
    <w:rsid w:val="001324C2"/>
    <w:rsid w:val="0014573B"/>
    <w:rsid w:val="00151660"/>
    <w:rsid w:val="001573E4"/>
    <w:rsid w:val="00160756"/>
    <w:rsid w:val="0017232E"/>
    <w:rsid w:val="00174102"/>
    <w:rsid w:val="00180157"/>
    <w:rsid w:val="00185CB9"/>
    <w:rsid w:val="00186F77"/>
    <w:rsid w:val="00187E53"/>
    <w:rsid w:val="001926A4"/>
    <w:rsid w:val="00192AD5"/>
    <w:rsid w:val="001A30C6"/>
    <w:rsid w:val="001B45A0"/>
    <w:rsid w:val="001D055E"/>
    <w:rsid w:val="001F492E"/>
    <w:rsid w:val="001F6DA3"/>
    <w:rsid w:val="002010BC"/>
    <w:rsid w:val="00202E03"/>
    <w:rsid w:val="0020492C"/>
    <w:rsid w:val="00220FE7"/>
    <w:rsid w:val="00224DB9"/>
    <w:rsid w:val="00225658"/>
    <w:rsid w:val="00233775"/>
    <w:rsid w:val="00235F54"/>
    <w:rsid w:val="00251745"/>
    <w:rsid w:val="00261D78"/>
    <w:rsid w:val="00263AC0"/>
    <w:rsid w:val="00264264"/>
    <w:rsid w:val="0026772D"/>
    <w:rsid w:val="00286874"/>
    <w:rsid w:val="00290C63"/>
    <w:rsid w:val="00296B65"/>
    <w:rsid w:val="002A7DEF"/>
    <w:rsid w:val="002B4150"/>
    <w:rsid w:val="002B4D64"/>
    <w:rsid w:val="002E0F86"/>
    <w:rsid w:val="002E7B22"/>
    <w:rsid w:val="002F7986"/>
    <w:rsid w:val="00301B40"/>
    <w:rsid w:val="003029EE"/>
    <w:rsid w:val="00305CC8"/>
    <w:rsid w:val="0030758A"/>
    <w:rsid w:val="00307F6D"/>
    <w:rsid w:val="003177A2"/>
    <w:rsid w:val="003271B5"/>
    <w:rsid w:val="00327A1E"/>
    <w:rsid w:val="00331264"/>
    <w:rsid w:val="00334C8D"/>
    <w:rsid w:val="00343A18"/>
    <w:rsid w:val="003518B3"/>
    <w:rsid w:val="003658AA"/>
    <w:rsid w:val="00380C1D"/>
    <w:rsid w:val="003846F1"/>
    <w:rsid w:val="0039524C"/>
    <w:rsid w:val="003B484F"/>
    <w:rsid w:val="003F174D"/>
    <w:rsid w:val="0042139D"/>
    <w:rsid w:val="00453E0C"/>
    <w:rsid w:val="0045777E"/>
    <w:rsid w:val="00462555"/>
    <w:rsid w:val="00480B4B"/>
    <w:rsid w:val="00485DC4"/>
    <w:rsid w:val="00492CAC"/>
    <w:rsid w:val="00495C70"/>
    <w:rsid w:val="004A43D1"/>
    <w:rsid w:val="004B4412"/>
    <w:rsid w:val="004C348C"/>
    <w:rsid w:val="004D55BA"/>
    <w:rsid w:val="004E080E"/>
    <w:rsid w:val="004E22EC"/>
    <w:rsid w:val="004E2474"/>
    <w:rsid w:val="004E323B"/>
    <w:rsid w:val="00507066"/>
    <w:rsid w:val="00514268"/>
    <w:rsid w:val="00530128"/>
    <w:rsid w:val="00532467"/>
    <w:rsid w:val="00540EAC"/>
    <w:rsid w:val="00564A4D"/>
    <w:rsid w:val="00567BA5"/>
    <w:rsid w:val="00571B35"/>
    <w:rsid w:val="00571D57"/>
    <w:rsid w:val="00577A09"/>
    <w:rsid w:val="005829C2"/>
    <w:rsid w:val="00584D8F"/>
    <w:rsid w:val="005A404D"/>
    <w:rsid w:val="005B1E3C"/>
    <w:rsid w:val="005B5142"/>
    <w:rsid w:val="005C21BC"/>
    <w:rsid w:val="005C26CC"/>
    <w:rsid w:val="005D7BA2"/>
    <w:rsid w:val="005E36C2"/>
    <w:rsid w:val="00603935"/>
    <w:rsid w:val="00615C6B"/>
    <w:rsid w:val="00621DCE"/>
    <w:rsid w:val="00630376"/>
    <w:rsid w:val="00632D6D"/>
    <w:rsid w:val="006407D1"/>
    <w:rsid w:val="0064271A"/>
    <w:rsid w:val="00642C3E"/>
    <w:rsid w:val="006570C6"/>
    <w:rsid w:val="0066104A"/>
    <w:rsid w:val="00663DAD"/>
    <w:rsid w:val="006663B9"/>
    <w:rsid w:val="00672B0D"/>
    <w:rsid w:val="006753E7"/>
    <w:rsid w:val="00675E20"/>
    <w:rsid w:val="00676679"/>
    <w:rsid w:val="00683C89"/>
    <w:rsid w:val="006A128E"/>
    <w:rsid w:val="006A3E80"/>
    <w:rsid w:val="006B2395"/>
    <w:rsid w:val="006B4CF9"/>
    <w:rsid w:val="006B7AC8"/>
    <w:rsid w:val="006C1C81"/>
    <w:rsid w:val="006D550F"/>
    <w:rsid w:val="00701CAB"/>
    <w:rsid w:val="00707563"/>
    <w:rsid w:val="00717C68"/>
    <w:rsid w:val="0072348C"/>
    <w:rsid w:val="00724A37"/>
    <w:rsid w:val="007303C3"/>
    <w:rsid w:val="007429BE"/>
    <w:rsid w:val="00743223"/>
    <w:rsid w:val="00746E01"/>
    <w:rsid w:val="00757BDF"/>
    <w:rsid w:val="00757C0C"/>
    <w:rsid w:val="00763E5D"/>
    <w:rsid w:val="00767740"/>
    <w:rsid w:val="00777EE6"/>
    <w:rsid w:val="00782EEA"/>
    <w:rsid w:val="007B1824"/>
    <w:rsid w:val="007B2C72"/>
    <w:rsid w:val="007C1C53"/>
    <w:rsid w:val="007C529F"/>
    <w:rsid w:val="007C74BB"/>
    <w:rsid w:val="007E4904"/>
    <w:rsid w:val="007E4CB5"/>
    <w:rsid w:val="007E5F5D"/>
    <w:rsid w:val="007F066B"/>
    <w:rsid w:val="008033C4"/>
    <w:rsid w:val="00805B38"/>
    <w:rsid w:val="00806C88"/>
    <w:rsid w:val="0081034E"/>
    <w:rsid w:val="008344F6"/>
    <w:rsid w:val="0083510F"/>
    <w:rsid w:val="00851209"/>
    <w:rsid w:val="008672AD"/>
    <w:rsid w:val="008837AC"/>
    <w:rsid w:val="008841F2"/>
    <w:rsid w:val="008944A8"/>
    <w:rsid w:val="008A587D"/>
    <w:rsid w:val="008B35CD"/>
    <w:rsid w:val="008B5FCC"/>
    <w:rsid w:val="008C5486"/>
    <w:rsid w:val="008D1661"/>
    <w:rsid w:val="008E6FD4"/>
    <w:rsid w:val="008E7031"/>
    <w:rsid w:val="008E77DE"/>
    <w:rsid w:val="008F07A3"/>
    <w:rsid w:val="008F2E5F"/>
    <w:rsid w:val="00900E1B"/>
    <w:rsid w:val="009152F0"/>
    <w:rsid w:val="009233EE"/>
    <w:rsid w:val="009460AA"/>
    <w:rsid w:val="00951978"/>
    <w:rsid w:val="00961A4A"/>
    <w:rsid w:val="009661DE"/>
    <w:rsid w:val="00983C25"/>
    <w:rsid w:val="009856B7"/>
    <w:rsid w:val="00985C86"/>
    <w:rsid w:val="009A5FC3"/>
    <w:rsid w:val="009B32E9"/>
    <w:rsid w:val="009B74B0"/>
    <w:rsid w:val="009D6B46"/>
    <w:rsid w:val="009F4940"/>
    <w:rsid w:val="009F5BA1"/>
    <w:rsid w:val="00A02A88"/>
    <w:rsid w:val="00A0562E"/>
    <w:rsid w:val="00A0726D"/>
    <w:rsid w:val="00A32FBB"/>
    <w:rsid w:val="00A428EE"/>
    <w:rsid w:val="00A4478A"/>
    <w:rsid w:val="00A44852"/>
    <w:rsid w:val="00A57D04"/>
    <w:rsid w:val="00A60A26"/>
    <w:rsid w:val="00A61598"/>
    <w:rsid w:val="00A84A99"/>
    <w:rsid w:val="00A84F46"/>
    <w:rsid w:val="00A871F4"/>
    <w:rsid w:val="00AC1B2C"/>
    <w:rsid w:val="00AC3264"/>
    <w:rsid w:val="00AD335C"/>
    <w:rsid w:val="00AE1BF1"/>
    <w:rsid w:val="00AF0DD2"/>
    <w:rsid w:val="00B11994"/>
    <w:rsid w:val="00B13048"/>
    <w:rsid w:val="00B15986"/>
    <w:rsid w:val="00B1716D"/>
    <w:rsid w:val="00B17A1D"/>
    <w:rsid w:val="00B207A0"/>
    <w:rsid w:val="00B42D62"/>
    <w:rsid w:val="00B514DD"/>
    <w:rsid w:val="00B52AF0"/>
    <w:rsid w:val="00B561BD"/>
    <w:rsid w:val="00B56E03"/>
    <w:rsid w:val="00B61B9F"/>
    <w:rsid w:val="00B8080B"/>
    <w:rsid w:val="00B87BA5"/>
    <w:rsid w:val="00B87C39"/>
    <w:rsid w:val="00B93F56"/>
    <w:rsid w:val="00B94A65"/>
    <w:rsid w:val="00BA4665"/>
    <w:rsid w:val="00BB2FB2"/>
    <w:rsid w:val="00BB3304"/>
    <w:rsid w:val="00BD3446"/>
    <w:rsid w:val="00BE1F1B"/>
    <w:rsid w:val="00BE47B5"/>
    <w:rsid w:val="00C25FA6"/>
    <w:rsid w:val="00C26147"/>
    <w:rsid w:val="00C45812"/>
    <w:rsid w:val="00C538A9"/>
    <w:rsid w:val="00C53B5A"/>
    <w:rsid w:val="00C54F5A"/>
    <w:rsid w:val="00C569B4"/>
    <w:rsid w:val="00C67A92"/>
    <w:rsid w:val="00C82CD7"/>
    <w:rsid w:val="00C86679"/>
    <w:rsid w:val="00C90AE7"/>
    <w:rsid w:val="00CA489E"/>
    <w:rsid w:val="00CA4FEA"/>
    <w:rsid w:val="00CB0279"/>
    <w:rsid w:val="00CB666B"/>
    <w:rsid w:val="00CC7F1D"/>
    <w:rsid w:val="00D006AE"/>
    <w:rsid w:val="00D01CF0"/>
    <w:rsid w:val="00D0442A"/>
    <w:rsid w:val="00D414D8"/>
    <w:rsid w:val="00D448B6"/>
    <w:rsid w:val="00D61388"/>
    <w:rsid w:val="00D61A54"/>
    <w:rsid w:val="00D64DEA"/>
    <w:rsid w:val="00D7168E"/>
    <w:rsid w:val="00D71E57"/>
    <w:rsid w:val="00D80893"/>
    <w:rsid w:val="00D84854"/>
    <w:rsid w:val="00D92CF1"/>
    <w:rsid w:val="00D92D38"/>
    <w:rsid w:val="00D950F5"/>
    <w:rsid w:val="00DA400A"/>
    <w:rsid w:val="00DA4752"/>
    <w:rsid w:val="00DA61F3"/>
    <w:rsid w:val="00DB0F93"/>
    <w:rsid w:val="00DB1A67"/>
    <w:rsid w:val="00DB5074"/>
    <w:rsid w:val="00DC7981"/>
    <w:rsid w:val="00DE1093"/>
    <w:rsid w:val="00DE4EFA"/>
    <w:rsid w:val="00DE5520"/>
    <w:rsid w:val="00DE563D"/>
    <w:rsid w:val="00DF2E73"/>
    <w:rsid w:val="00E0082F"/>
    <w:rsid w:val="00E04818"/>
    <w:rsid w:val="00E06442"/>
    <w:rsid w:val="00E108A8"/>
    <w:rsid w:val="00E21C23"/>
    <w:rsid w:val="00E23993"/>
    <w:rsid w:val="00E25B8C"/>
    <w:rsid w:val="00E4320E"/>
    <w:rsid w:val="00E65C85"/>
    <w:rsid w:val="00E66199"/>
    <w:rsid w:val="00E755EC"/>
    <w:rsid w:val="00E7624D"/>
    <w:rsid w:val="00EA3D42"/>
    <w:rsid w:val="00EA6B1B"/>
    <w:rsid w:val="00ED7323"/>
    <w:rsid w:val="00EE28F3"/>
    <w:rsid w:val="00EF5110"/>
    <w:rsid w:val="00F10411"/>
    <w:rsid w:val="00F15882"/>
    <w:rsid w:val="00F171E0"/>
    <w:rsid w:val="00F20BD3"/>
    <w:rsid w:val="00F373A5"/>
    <w:rsid w:val="00F47559"/>
    <w:rsid w:val="00F55612"/>
    <w:rsid w:val="00F579C7"/>
    <w:rsid w:val="00F64C7B"/>
    <w:rsid w:val="00F676DD"/>
    <w:rsid w:val="00F75A26"/>
    <w:rsid w:val="00F76706"/>
    <w:rsid w:val="00F83FAD"/>
    <w:rsid w:val="00F952A0"/>
    <w:rsid w:val="00FA3C7F"/>
    <w:rsid w:val="00FB2C6B"/>
    <w:rsid w:val="00FB74E2"/>
    <w:rsid w:val="00FD504B"/>
    <w:rsid w:val="00FD55CA"/>
    <w:rsid w:val="00FD5614"/>
    <w:rsid w:val="00FE0BE1"/>
    <w:rsid w:val="00FE1DE9"/>
    <w:rsid w:val="00FE36AF"/>
    <w:rsid w:val="00FE39C2"/>
    <w:rsid w:val="00FE3C32"/>
    <w:rsid w:val="00FE64A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7168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nhideWhenUsed="0"/>
    <w:lsdException w:name="footnote text" w:qFormat="1"/>
    <w:lsdException w:name="header" w:qFormat="1"/>
    <w:lsdException w:name="footer" w:qFormat="1"/>
    <w:lsdException w:name="caption" w:uiPriority="35" w:qFormat="1"/>
    <w:lsdException w:name="page number" w:uiPriority="0"/>
    <w:lsdException w:name="List" w:qFormat="1"/>
    <w:lsdException w:name="List Number" w:uiPriority="0" w:qFormat="1"/>
    <w:lsdException w:name="List Bullet 2" w:uiPriority="0" w:qFormat="1"/>
    <w:lsdException w:name="List Bullet 3" w:uiPriority="0" w:qFormat="1"/>
    <w:lsdException w:name="Title" w:semiHidden="0" w:uiPriority="10" w:unhideWhenUsed="0" w:qFormat="1"/>
    <w:lsdException w:name="Default Paragraph Font" w:uiPriority="1"/>
    <w:lsdException w:name="List Continue" w:uiPriority="0" w:qFormat="1"/>
    <w:lsdException w:name="List Continue 2" w:uiPriority="0" w:qFormat="1"/>
    <w:lsdException w:name="List Continue 3" w:uiPriority="0" w:qFormat="1"/>
    <w:lsdException w:name="Subtitle" w:semiHidden="0" w:uiPriority="11" w:unhideWhenUsed="0"/>
    <w:lsdException w:name="Hyperlink"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basedOn w:val="Normal"/>
    <w:next w:val="Normal"/>
    <w:link w:val="Heading1Char"/>
    <w:uiPriority w:val="9"/>
    <w:qFormat/>
    <w:rsid w:val="00DE1093"/>
    <w:pPr>
      <w:pageBreakBefore/>
      <w:numPr>
        <w:numId w:val="26"/>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uiPriority w:val="9"/>
    <w:qFormat/>
    <w:rsid w:val="00126A4C"/>
    <w:pPr>
      <w:numPr>
        <w:ilvl w:val="1"/>
        <w:numId w:val="26"/>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uiPriority w:val="9"/>
    <w:qFormat/>
    <w:rsid w:val="00126A4C"/>
    <w:pPr>
      <w:numPr>
        <w:ilvl w:val="2"/>
        <w:numId w:val="26"/>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uiPriority w:val="9"/>
    <w:qFormat/>
    <w:rsid w:val="00126A4C"/>
    <w:pPr>
      <w:numPr>
        <w:ilvl w:val="3"/>
        <w:numId w:val="26"/>
      </w:numPr>
      <w:tabs>
        <w:tab w:val="left" w:pos="1021"/>
      </w:tabs>
      <w:spacing w:before="240"/>
      <w:outlineLvl w:val="3"/>
    </w:pPr>
    <w:rPr>
      <w:rFonts w:eastAsiaTheme="majorEastAsia" w:cstheme="majorBidi"/>
      <w:b/>
      <w:bCs/>
      <w:iCs/>
      <w:color w:val="51626F"/>
      <w:sz w:val="24"/>
    </w:rPr>
  </w:style>
  <w:style w:type="paragraph" w:styleId="Heading5">
    <w:name w:val="heading 5"/>
    <w:next w:val="Normal"/>
    <w:link w:val="Heading5Char"/>
    <w:uiPriority w:val="9"/>
    <w:qFormat/>
    <w:rsid w:val="00126A4C"/>
    <w:pPr>
      <w:numPr>
        <w:ilvl w:val="4"/>
        <w:numId w:val="26"/>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basedOn w:val="Normal"/>
    <w:next w:val="Normal"/>
    <w:link w:val="Heading6Char"/>
    <w:uiPriority w:val="9"/>
    <w:qFormat/>
    <w:rsid w:val="00126A4C"/>
    <w:pPr>
      <w:numPr>
        <w:ilvl w:val="5"/>
        <w:numId w:val="26"/>
      </w:numPr>
      <w:tabs>
        <w:tab w:val="left" w:pos="1361"/>
      </w:tabs>
      <w:spacing w:before="240"/>
      <w:outlineLvl w:val="5"/>
    </w:pPr>
    <w:rPr>
      <w:rFonts w:eastAsiaTheme="majorEastAsia" w:cstheme="majorBidi"/>
      <w:b/>
      <w:i/>
      <w:iCs/>
      <w:color w:val="076A92" w:themeColor="text1"/>
    </w:rPr>
  </w:style>
  <w:style w:type="paragraph" w:styleId="Heading7">
    <w:name w:val="heading 7"/>
    <w:basedOn w:val="Heading1"/>
    <w:next w:val="Normal"/>
    <w:link w:val="Heading7Char"/>
    <w:uiPriority w:val="9"/>
    <w:qFormat/>
    <w:rsid w:val="00CB0279"/>
    <w:pPr>
      <w:numPr>
        <w:numId w:val="29"/>
      </w:numPr>
      <w:tabs>
        <w:tab w:val="clear" w:pos="680"/>
        <w:tab w:val="left" w:pos="1021"/>
      </w:tabs>
      <w:ind w:left="1021" w:hanging="1021"/>
      <w:outlineLvl w:val="6"/>
    </w:pPr>
  </w:style>
  <w:style w:type="paragraph" w:styleId="Heading8">
    <w:name w:val="heading 8"/>
    <w:basedOn w:val="Heading2"/>
    <w:next w:val="Normal"/>
    <w:link w:val="Heading8Char"/>
    <w:uiPriority w:val="9"/>
    <w:qFormat/>
    <w:rsid w:val="00CB0279"/>
    <w:pPr>
      <w:numPr>
        <w:numId w:val="29"/>
      </w:numPr>
      <w:tabs>
        <w:tab w:val="clear" w:pos="680"/>
        <w:tab w:val="left" w:pos="1021"/>
      </w:tabs>
      <w:outlineLvl w:val="7"/>
    </w:pPr>
  </w:style>
  <w:style w:type="paragraph" w:styleId="Heading9">
    <w:name w:val="heading 9"/>
    <w:basedOn w:val="Heading3"/>
    <w:next w:val="Normal"/>
    <w:link w:val="Heading9Char"/>
    <w:uiPriority w:val="9"/>
    <w:qFormat/>
    <w:rsid w:val="00CB0279"/>
    <w:pPr>
      <w:numPr>
        <w:numId w:val="29"/>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uiPriority w:val="9"/>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uiPriority w:val="9"/>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uiPriority w:val="9"/>
    <w:rsid w:val="00126A4C"/>
    <w:rPr>
      <w:rFonts w:ascii="Arial" w:eastAsiaTheme="majorEastAsia" w:hAnsi="Arial" w:cstheme="majorBidi"/>
      <w:b/>
      <w:bCs/>
      <w:iCs/>
      <w:color w:val="51626F"/>
      <w:sz w:val="24"/>
    </w:rPr>
  </w:style>
  <w:style w:type="character" w:customStyle="1" w:styleId="Heading5Char">
    <w:name w:val="Heading 5 Char"/>
    <w:basedOn w:val="DefaultParagraphFont"/>
    <w:link w:val="Heading5"/>
    <w:uiPriority w:val="9"/>
    <w:rsid w:val="00126A4C"/>
    <w:rPr>
      <w:rFonts w:ascii="Arial" w:eastAsiaTheme="majorEastAsia" w:hAnsi="Arial" w:cstheme="majorBidi"/>
      <w:b/>
      <w:color w:val="170017" w:themeColor="accent1" w:themeShade="7F"/>
    </w:rPr>
  </w:style>
  <w:style w:type="character" w:customStyle="1" w:styleId="Heading6Char">
    <w:name w:val="Heading 6 Char"/>
    <w:basedOn w:val="DefaultParagraphFont"/>
    <w:link w:val="Heading6"/>
    <w:uiPriority w:val="9"/>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5D7BA2"/>
    <w:pPr>
      <w:tabs>
        <w:tab w:val="right" w:leader="dot" w:pos="8363"/>
      </w:tabs>
      <w:spacing w:after="100"/>
      <w:ind w:left="2977"/>
    </w:pPr>
    <w:rPr>
      <w:noProof/>
    </w:rPr>
  </w:style>
  <w:style w:type="paragraph" w:styleId="TOC9">
    <w:name w:val="toc 9"/>
    <w:basedOn w:val="Normal"/>
    <w:next w:val="Normal"/>
    <w:uiPriority w:val="39"/>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iPriority w:val="99"/>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basedOn w:val="DefaultParagraphFont"/>
    <w:link w:val="Heading7"/>
    <w:uiPriority w:val="9"/>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uiPriority w:val="9"/>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uiPriority w:val="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7E5F5D"/>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uiPriority w:val="10"/>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99"/>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5D7BA2"/>
    <w:pPr>
      <w:tabs>
        <w:tab w:val="right" w:leader="dot" w:pos="8363"/>
      </w:tabs>
      <w:spacing w:after="100"/>
      <w:ind w:left="1276"/>
    </w:pPr>
    <w:rPr>
      <w:noProof/>
    </w:rPr>
  </w:style>
  <w:style w:type="paragraph" w:styleId="TOC5">
    <w:name w:val="toc 5"/>
    <w:basedOn w:val="Normal"/>
    <w:next w:val="Normal"/>
    <w:uiPriority w:val="39"/>
    <w:rsid w:val="005D7BA2"/>
    <w:pPr>
      <w:tabs>
        <w:tab w:val="right" w:leader="dot" w:pos="8363"/>
      </w:tabs>
      <w:spacing w:after="100"/>
      <w:ind w:left="1701"/>
    </w:pPr>
    <w:rPr>
      <w:noProof/>
    </w:rPr>
  </w:style>
  <w:style w:type="paragraph" w:styleId="TOC6">
    <w:name w:val="toc 6"/>
    <w:basedOn w:val="Normal"/>
    <w:next w:val="Normal"/>
    <w:uiPriority w:val="39"/>
    <w:rsid w:val="005D7BA2"/>
    <w:pPr>
      <w:tabs>
        <w:tab w:val="right" w:leader="dot" w:pos="8363"/>
      </w:tabs>
      <w:spacing w:after="100"/>
      <w:ind w:left="2126"/>
    </w:pPr>
    <w:rPr>
      <w:noProof/>
    </w:rPr>
  </w:style>
  <w:style w:type="paragraph" w:styleId="TOC7">
    <w:name w:val="toc 7"/>
    <w:basedOn w:val="Normal"/>
    <w:next w:val="Normal"/>
    <w:uiPriority w:val="39"/>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nhideWhenUsed/>
    <w:qFormat/>
    <w:rsid w:val="00DB5074"/>
    <w:pPr>
      <w:tabs>
        <w:tab w:val="left" w:pos="340"/>
      </w:tabs>
      <w:spacing w:before="120"/>
      <w:ind w:left="340"/>
    </w:pPr>
  </w:style>
  <w:style w:type="paragraph" w:styleId="ListContinue2">
    <w:name w:val="List Continue 2"/>
    <w:aliases w:val="AER body text (indent 2)"/>
    <w:basedOn w:val="Normal"/>
    <w:unhideWhenUsed/>
    <w:qFormat/>
    <w:rsid w:val="00567BA5"/>
    <w:pPr>
      <w:tabs>
        <w:tab w:val="left" w:pos="680"/>
      </w:tabs>
      <w:spacing w:before="120"/>
      <w:ind w:left="680"/>
    </w:pPr>
  </w:style>
  <w:style w:type="paragraph" w:styleId="ListContinue3">
    <w:name w:val="List Continue 3"/>
    <w:aliases w:val="AER body text (indent 3)"/>
    <w:basedOn w:val="Normal"/>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semiHidden/>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semiHidden/>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2"/>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3"/>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4"/>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5"/>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7"/>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uiPriority w:val="99"/>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nhideWhenUsed="0"/>
    <w:lsdException w:name="footnote text" w:qFormat="1"/>
    <w:lsdException w:name="header" w:qFormat="1"/>
    <w:lsdException w:name="footer" w:qFormat="1"/>
    <w:lsdException w:name="caption" w:uiPriority="35" w:qFormat="1"/>
    <w:lsdException w:name="page number" w:uiPriority="0"/>
    <w:lsdException w:name="List" w:qFormat="1"/>
    <w:lsdException w:name="List Number" w:uiPriority="0" w:qFormat="1"/>
    <w:lsdException w:name="List Bullet 2" w:uiPriority="0" w:qFormat="1"/>
    <w:lsdException w:name="List Bullet 3" w:uiPriority="0" w:qFormat="1"/>
    <w:lsdException w:name="Title" w:semiHidden="0" w:uiPriority="10" w:unhideWhenUsed="0" w:qFormat="1"/>
    <w:lsdException w:name="Default Paragraph Font" w:uiPriority="1"/>
    <w:lsdException w:name="List Continue" w:uiPriority="0" w:qFormat="1"/>
    <w:lsdException w:name="List Continue 2" w:uiPriority="0" w:qFormat="1"/>
    <w:lsdException w:name="List Continue 3" w:uiPriority="0" w:qFormat="1"/>
    <w:lsdException w:name="Subtitle" w:semiHidden="0" w:uiPriority="11" w:unhideWhenUsed="0"/>
    <w:lsdException w:name="Hyperlink"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basedOn w:val="Normal"/>
    <w:next w:val="Normal"/>
    <w:link w:val="Heading1Char"/>
    <w:uiPriority w:val="9"/>
    <w:qFormat/>
    <w:rsid w:val="00DE1093"/>
    <w:pPr>
      <w:pageBreakBefore/>
      <w:numPr>
        <w:numId w:val="26"/>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uiPriority w:val="9"/>
    <w:qFormat/>
    <w:rsid w:val="00126A4C"/>
    <w:pPr>
      <w:numPr>
        <w:ilvl w:val="1"/>
        <w:numId w:val="26"/>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uiPriority w:val="9"/>
    <w:qFormat/>
    <w:rsid w:val="00126A4C"/>
    <w:pPr>
      <w:numPr>
        <w:ilvl w:val="2"/>
        <w:numId w:val="26"/>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uiPriority w:val="9"/>
    <w:qFormat/>
    <w:rsid w:val="00126A4C"/>
    <w:pPr>
      <w:numPr>
        <w:ilvl w:val="3"/>
        <w:numId w:val="26"/>
      </w:numPr>
      <w:tabs>
        <w:tab w:val="left" w:pos="1021"/>
      </w:tabs>
      <w:spacing w:before="240"/>
      <w:outlineLvl w:val="3"/>
    </w:pPr>
    <w:rPr>
      <w:rFonts w:eastAsiaTheme="majorEastAsia" w:cstheme="majorBidi"/>
      <w:b/>
      <w:bCs/>
      <w:iCs/>
      <w:color w:val="51626F"/>
      <w:sz w:val="24"/>
    </w:rPr>
  </w:style>
  <w:style w:type="paragraph" w:styleId="Heading5">
    <w:name w:val="heading 5"/>
    <w:next w:val="Normal"/>
    <w:link w:val="Heading5Char"/>
    <w:uiPriority w:val="9"/>
    <w:qFormat/>
    <w:rsid w:val="00126A4C"/>
    <w:pPr>
      <w:numPr>
        <w:ilvl w:val="4"/>
        <w:numId w:val="26"/>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basedOn w:val="Normal"/>
    <w:next w:val="Normal"/>
    <w:link w:val="Heading6Char"/>
    <w:uiPriority w:val="9"/>
    <w:qFormat/>
    <w:rsid w:val="00126A4C"/>
    <w:pPr>
      <w:numPr>
        <w:ilvl w:val="5"/>
        <w:numId w:val="26"/>
      </w:numPr>
      <w:tabs>
        <w:tab w:val="left" w:pos="1361"/>
      </w:tabs>
      <w:spacing w:before="240"/>
      <w:outlineLvl w:val="5"/>
    </w:pPr>
    <w:rPr>
      <w:rFonts w:eastAsiaTheme="majorEastAsia" w:cstheme="majorBidi"/>
      <w:b/>
      <w:i/>
      <w:iCs/>
      <w:color w:val="076A92" w:themeColor="text1"/>
    </w:rPr>
  </w:style>
  <w:style w:type="paragraph" w:styleId="Heading7">
    <w:name w:val="heading 7"/>
    <w:basedOn w:val="Heading1"/>
    <w:next w:val="Normal"/>
    <w:link w:val="Heading7Char"/>
    <w:uiPriority w:val="9"/>
    <w:qFormat/>
    <w:rsid w:val="00CB0279"/>
    <w:pPr>
      <w:numPr>
        <w:numId w:val="29"/>
      </w:numPr>
      <w:tabs>
        <w:tab w:val="clear" w:pos="680"/>
        <w:tab w:val="left" w:pos="1021"/>
      </w:tabs>
      <w:ind w:left="1021" w:hanging="1021"/>
      <w:outlineLvl w:val="6"/>
    </w:pPr>
  </w:style>
  <w:style w:type="paragraph" w:styleId="Heading8">
    <w:name w:val="heading 8"/>
    <w:basedOn w:val="Heading2"/>
    <w:next w:val="Normal"/>
    <w:link w:val="Heading8Char"/>
    <w:uiPriority w:val="9"/>
    <w:qFormat/>
    <w:rsid w:val="00CB0279"/>
    <w:pPr>
      <w:numPr>
        <w:numId w:val="29"/>
      </w:numPr>
      <w:tabs>
        <w:tab w:val="clear" w:pos="680"/>
        <w:tab w:val="left" w:pos="1021"/>
      </w:tabs>
      <w:outlineLvl w:val="7"/>
    </w:pPr>
  </w:style>
  <w:style w:type="paragraph" w:styleId="Heading9">
    <w:name w:val="heading 9"/>
    <w:basedOn w:val="Heading3"/>
    <w:next w:val="Normal"/>
    <w:link w:val="Heading9Char"/>
    <w:uiPriority w:val="9"/>
    <w:qFormat/>
    <w:rsid w:val="00CB0279"/>
    <w:pPr>
      <w:numPr>
        <w:numId w:val="29"/>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uiPriority w:val="9"/>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uiPriority w:val="9"/>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uiPriority w:val="9"/>
    <w:rsid w:val="00126A4C"/>
    <w:rPr>
      <w:rFonts w:ascii="Arial" w:eastAsiaTheme="majorEastAsia" w:hAnsi="Arial" w:cstheme="majorBidi"/>
      <w:b/>
      <w:bCs/>
      <w:iCs/>
      <w:color w:val="51626F"/>
      <w:sz w:val="24"/>
    </w:rPr>
  </w:style>
  <w:style w:type="character" w:customStyle="1" w:styleId="Heading5Char">
    <w:name w:val="Heading 5 Char"/>
    <w:basedOn w:val="DefaultParagraphFont"/>
    <w:link w:val="Heading5"/>
    <w:uiPriority w:val="9"/>
    <w:rsid w:val="00126A4C"/>
    <w:rPr>
      <w:rFonts w:ascii="Arial" w:eastAsiaTheme="majorEastAsia" w:hAnsi="Arial" w:cstheme="majorBidi"/>
      <w:b/>
      <w:color w:val="170017" w:themeColor="accent1" w:themeShade="7F"/>
    </w:rPr>
  </w:style>
  <w:style w:type="character" w:customStyle="1" w:styleId="Heading6Char">
    <w:name w:val="Heading 6 Char"/>
    <w:basedOn w:val="DefaultParagraphFont"/>
    <w:link w:val="Heading6"/>
    <w:uiPriority w:val="9"/>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5D7BA2"/>
    <w:pPr>
      <w:tabs>
        <w:tab w:val="right" w:leader="dot" w:pos="8363"/>
      </w:tabs>
      <w:spacing w:after="100"/>
      <w:ind w:left="2977"/>
    </w:pPr>
    <w:rPr>
      <w:noProof/>
    </w:rPr>
  </w:style>
  <w:style w:type="paragraph" w:styleId="TOC9">
    <w:name w:val="toc 9"/>
    <w:basedOn w:val="Normal"/>
    <w:next w:val="Normal"/>
    <w:uiPriority w:val="39"/>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iPriority w:val="99"/>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basedOn w:val="DefaultParagraphFont"/>
    <w:link w:val="Heading7"/>
    <w:uiPriority w:val="9"/>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uiPriority w:val="9"/>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uiPriority w:val="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7E5F5D"/>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uiPriority w:val="10"/>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99"/>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5D7BA2"/>
    <w:pPr>
      <w:tabs>
        <w:tab w:val="right" w:leader="dot" w:pos="8363"/>
      </w:tabs>
      <w:spacing w:after="100"/>
      <w:ind w:left="1276"/>
    </w:pPr>
    <w:rPr>
      <w:noProof/>
    </w:rPr>
  </w:style>
  <w:style w:type="paragraph" w:styleId="TOC5">
    <w:name w:val="toc 5"/>
    <w:basedOn w:val="Normal"/>
    <w:next w:val="Normal"/>
    <w:uiPriority w:val="39"/>
    <w:rsid w:val="005D7BA2"/>
    <w:pPr>
      <w:tabs>
        <w:tab w:val="right" w:leader="dot" w:pos="8363"/>
      </w:tabs>
      <w:spacing w:after="100"/>
      <w:ind w:left="1701"/>
    </w:pPr>
    <w:rPr>
      <w:noProof/>
    </w:rPr>
  </w:style>
  <w:style w:type="paragraph" w:styleId="TOC6">
    <w:name w:val="toc 6"/>
    <w:basedOn w:val="Normal"/>
    <w:next w:val="Normal"/>
    <w:uiPriority w:val="39"/>
    <w:rsid w:val="005D7BA2"/>
    <w:pPr>
      <w:tabs>
        <w:tab w:val="right" w:leader="dot" w:pos="8363"/>
      </w:tabs>
      <w:spacing w:after="100"/>
      <w:ind w:left="2126"/>
    </w:pPr>
    <w:rPr>
      <w:noProof/>
    </w:rPr>
  </w:style>
  <w:style w:type="paragraph" w:styleId="TOC7">
    <w:name w:val="toc 7"/>
    <w:basedOn w:val="Normal"/>
    <w:next w:val="Normal"/>
    <w:uiPriority w:val="39"/>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nhideWhenUsed/>
    <w:qFormat/>
    <w:rsid w:val="00DB5074"/>
    <w:pPr>
      <w:tabs>
        <w:tab w:val="left" w:pos="340"/>
      </w:tabs>
      <w:spacing w:before="120"/>
      <w:ind w:left="340"/>
    </w:pPr>
  </w:style>
  <w:style w:type="paragraph" w:styleId="ListContinue2">
    <w:name w:val="List Continue 2"/>
    <w:aliases w:val="AER body text (indent 2)"/>
    <w:basedOn w:val="Normal"/>
    <w:unhideWhenUsed/>
    <w:qFormat/>
    <w:rsid w:val="00567BA5"/>
    <w:pPr>
      <w:tabs>
        <w:tab w:val="left" w:pos="680"/>
      </w:tabs>
      <w:spacing w:before="120"/>
      <w:ind w:left="680"/>
    </w:pPr>
  </w:style>
  <w:style w:type="paragraph" w:styleId="ListContinue3">
    <w:name w:val="List Continue 3"/>
    <w:aliases w:val="AER body text (indent 3)"/>
    <w:basedOn w:val="Normal"/>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semiHidden/>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semiHidden/>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2"/>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3"/>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4"/>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5"/>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7"/>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uiPriority w:val="99"/>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2425704">
      <w:bodyDiv w:val="1"/>
      <w:marLeft w:val="0"/>
      <w:marRight w:val="0"/>
      <w:marTop w:val="0"/>
      <w:marBottom w:val="0"/>
      <w:divBdr>
        <w:top w:val="none" w:sz="0" w:space="0" w:color="auto"/>
        <w:left w:val="none" w:sz="0" w:space="0" w:color="auto"/>
        <w:bottom w:val="none" w:sz="0" w:space="0" w:color="auto"/>
        <w:right w:val="none" w:sz="0" w:space="0" w:color="auto"/>
      </w:divBdr>
    </w:div>
    <w:div w:id="635840213">
      <w:bodyDiv w:val="1"/>
      <w:marLeft w:val="0"/>
      <w:marRight w:val="0"/>
      <w:marTop w:val="0"/>
      <w:marBottom w:val="0"/>
      <w:divBdr>
        <w:top w:val="none" w:sz="0" w:space="0" w:color="auto"/>
        <w:left w:val="none" w:sz="0" w:space="0" w:color="auto"/>
        <w:bottom w:val="none" w:sz="0" w:space="0" w:color="auto"/>
        <w:right w:val="none" w:sz="0" w:space="0" w:color="auto"/>
      </w:divBdr>
    </w:div>
    <w:div w:id="10458345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mailto:AERInquiry@aer.gov.au"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ntTable" Target="fontTable.xml"/></Relationships>
</file>

<file path=word/theme/theme1.xml><?xml version="1.0" encoding="utf-8"?>
<a:theme xmlns:a="http://schemas.openxmlformats.org/drawingml/2006/main" name="AER">
  <a:themeElements>
    <a:clrScheme name="AER Colour theme">
      <a:dk1>
        <a:srgbClr val="076A92"/>
      </a:dk1>
      <a:lt1>
        <a:sysClr val="window" lastClr="FFFFFF"/>
      </a:lt1>
      <a:dk2>
        <a:srgbClr val="70635A"/>
      </a:dk2>
      <a:lt2>
        <a:srgbClr val="FFFFFF"/>
      </a:lt2>
      <a:accent1>
        <a:srgbClr val="2F002F"/>
      </a:accent1>
      <a:accent2>
        <a:srgbClr val="C14E00"/>
      </a:accent2>
      <a:accent3>
        <a:srgbClr val="002060"/>
      </a:accent3>
      <a:accent4>
        <a:srgbClr val="C00000"/>
      </a:accent4>
      <a:accent5>
        <a:srgbClr val="000000"/>
      </a:accent5>
      <a:accent6>
        <a:srgbClr val="70303C"/>
      </a:accent6>
      <a:hlink>
        <a:srgbClr val="0000FF"/>
      </a:hlink>
      <a:folHlink>
        <a:srgbClr val="800080"/>
      </a:folHlink>
    </a:clrScheme>
    <a:fontScheme name="Custom 1">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1974FFF6</Template>
  <TotalTime>0</TotalTime>
  <Pages>19</Pages>
  <Words>5338</Words>
  <Characters>30433</Characters>
  <Application>Microsoft Office Word</Application>
  <DocSecurity>4</DocSecurity>
  <Lines>253</Lines>
  <Paragraphs>71</Paragraphs>
  <ScaleCrop>false</ScaleCrop>
  <LinksUpToDate>false</LinksUpToDate>
  <CharactersWithSpaces>35700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2015-04-27T06:24:00Z</dcterms:created>
  <dcterms:modified xsi:type="dcterms:W3CDTF">2015-04-27T06:24:00Z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