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5E" w:rsidRDefault="00EC341F" w:rsidP="00B0187B">
      <w:pPr>
        <w:rPr>
          <w:rFonts w:eastAsiaTheme="majorEastAsia" w:cstheme="majorBidi"/>
          <w:noProof/>
          <w:sz w:val="36"/>
          <w:szCs w:val="36"/>
          <w:lang w:eastAsia="en-AU"/>
        </w:rPr>
      </w:pPr>
      <w:bookmarkStart w:id="0" w:name="_GoBack"/>
      <w:bookmarkEnd w:id="0"/>
      <w:r w:rsidRPr="00B0187B">
        <w:rPr>
          <w:noProof/>
          <w:lang w:eastAsia="en-AU"/>
        </w:rPr>
        <w:drawing>
          <wp:anchor distT="0" distB="0" distL="114300" distR="114300" simplePos="0" relativeHeight="251659264" behindDoc="1" locked="0" layoutInCell="1" allowOverlap="1" wp14:anchorId="3348ACA6" wp14:editId="061421B1">
            <wp:simplePos x="0" y="0"/>
            <wp:positionH relativeFrom="column">
              <wp:posOffset>-1136015</wp:posOffset>
            </wp:positionH>
            <wp:positionV relativeFrom="paragraph">
              <wp:posOffset>-942975</wp:posOffset>
            </wp:positionV>
            <wp:extent cx="7639050" cy="107251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1764" cy="107289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B0187B" w:rsidRPr="00290C63" w:rsidRDefault="00B0187B" w:rsidP="00B0187B"/>
        <w:p w:rsidR="00B0187B" w:rsidRDefault="00B0187B" w:rsidP="00B0187B"/>
        <w:p w:rsidR="00B0187B" w:rsidRDefault="00B0187B" w:rsidP="00B0187B"/>
        <w:p w:rsidR="00B0187B" w:rsidRDefault="00B0187B" w:rsidP="00B0187B"/>
        <w:p w:rsidR="00B0187B" w:rsidRDefault="00B0187B" w:rsidP="00B0187B"/>
        <w:p w:rsidR="00B0187B" w:rsidRDefault="00B0187B" w:rsidP="00B0187B"/>
        <w:p w:rsidR="00B0187B" w:rsidRDefault="00B0187B" w:rsidP="00B0187B"/>
        <w:p w:rsidR="00B0187B" w:rsidRDefault="00B0187B" w:rsidP="00B0187B"/>
        <w:p w:rsidR="00B0187B" w:rsidRDefault="00B0187B" w:rsidP="00B0187B">
          <w:pPr>
            <w:pStyle w:val="ReportSubtitle"/>
          </w:pPr>
          <w:r>
            <w:t>PRELIMINARY DECISION</w:t>
          </w:r>
        </w:p>
        <w:p w:rsidR="00B0187B" w:rsidRDefault="00B0187B" w:rsidP="00B0187B">
          <w:pPr>
            <w:pStyle w:val="ReportSubtitle"/>
          </w:pPr>
          <w:r>
            <w:t>SA Power Networks determination 2015</w:t>
          </w:r>
          <w:r w:rsidRPr="00B0187B">
            <w:t>−</w:t>
          </w:r>
          <w:r>
            <w:t>16 to 2019</w:t>
          </w:r>
          <w:r w:rsidRPr="00B0187B">
            <w:t>−</w:t>
          </w:r>
          <w:r>
            <w:t>20</w:t>
          </w:r>
        </w:p>
        <w:p w:rsidR="00B0187B" w:rsidRPr="000A6C7B" w:rsidRDefault="00B0187B" w:rsidP="00B0187B">
          <w:pPr>
            <w:pStyle w:val="ReportSubtitle"/>
          </w:pPr>
        </w:p>
        <w:p w:rsidR="00B0187B" w:rsidRPr="000A6C7B" w:rsidRDefault="00B0187B" w:rsidP="00B0187B">
          <w:pPr>
            <w:pStyle w:val="ReportSubtitle"/>
          </w:pPr>
          <w:r>
            <w:t xml:space="preserve">Attachment 5 </w:t>
          </w:r>
          <w:r w:rsidRPr="00B0187B">
            <w:t>−</w:t>
          </w:r>
          <w:r>
            <w:t xml:space="preserve"> Regulatory depreciation</w:t>
          </w:r>
        </w:p>
        <w:p w:rsidR="00B0187B" w:rsidRPr="00327A1E" w:rsidRDefault="00B0187B" w:rsidP="00B0187B">
          <w:pPr>
            <w:pStyle w:val="ReportDate"/>
          </w:pPr>
          <w:r>
            <w:t>April 2015</w:t>
          </w:r>
        </w:p>
      </w:sdtContent>
    </w:sdt>
    <w:p w:rsidR="00B0187B" w:rsidRPr="00290C63" w:rsidRDefault="00B0187B" w:rsidP="00B0187B">
      <w:r>
        <w:br w:type="page"/>
      </w:r>
    </w:p>
    <w:p w:rsidR="00B0187B" w:rsidRDefault="00B0187B" w:rsidP="00B0187B">
      <w:pPr>
        <w:pStyle w:val="Copyright"/>
      </w:pPr>
      <w:r>
        <w:lastRenderedPageBreak/>
        <w:t>© Commonwealth of Australia 2015</w:t>
      </w:r>
    </w:p>
    <w:p w:rsidR="00B0187B" w:rsidRDefault="00B0187B" w:rsidP="00B0187B">
      <w:pPr>
        <w:pStyle w:val="Copyright"/>
      </w:pPr>
      <w:r>
        <w:t>This work is copyright. In addition to any use permitted under the Copyright Act 1968, all material contained within this work is provided under a Creative Commons Attributions 3.0 Australia licence, with the exception of:</w:t>
      </w:r>
    </w:p>
    <w:p w:rsidR="00B0187B" w:rsidRPr="00B0187B" w:rsidRDefault="00B0187B" w:rsidP="00B0187B">
      <w:pPr>
        <w:pStyle w:val="AERbulletlistfirststyle"/>
      </w:pPr>
      <w:r>
        <w:t xml:space="preserve">the </w:t>
      </w:r>
      <w:r w:rsidRPr="00B0187B">
        <w:t>Commonwealth Coat of Arms</w:t>
      </w:r>
    </w:p>
    <w:p w:rsidR="00B0187B" w:rsidRPr="00B0187B" w:rsidRDefault="00B0187B" w:rsidP="00B0187B">
      <w:pPr>
        <w:pStyle w:val="AERbulletlistfirststyle"/>
      </w:pPr>
      <w:r w:rsidRPr="00B0187B">
        <w:t>the ACCC and AER logos</w:t>
      </w:r>
    </w:p>
    <w:p w:rsidR="00B0187B" w:rsidRPr="00B0187B" w:rsidRDefault="00B0187B" w:rsidP="00B0187B">
      <w:pPr>
        <w:pStyle w:val="AERbulletlistfirststyle"/>
      </w:pPr>
      <w:r w:rsidRPr="00B0187B">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B0187B" w:rsidRDefault="00B0187B" w:rsidP="00B0187B">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rsidR="00B0187B" w:rsidRDefault="00B0187B" w:rsidP="00B0187B">
      <w:pPr>
        <w:pStyle w:val="Copyright"/>
      </w:pPr>
      <w:r>
        <w:t>Inquiries about this publication should be addressed to:</w:t>
      </w:r>
    </w:p>
    <w:p w:rsidR="00B0187B" w:rsidRDefault="00B0187B" w:rsidP="00B0187B">
      <w:pPr>
        <w:pStyle w:val="Copyright"/>
      </w:pPr>
      <w:r>
        <w:t xml:space="preserve">Australian Energy </w:t>
      </w:r>
      <w:r w:rsidRPr="00F171E0">
        <w:t>Regulator</w:t>
      </w:r>
      <w:r>
        <w:br/>
        <w:t>GPO Box 520</w:t>
      </w:r>
      <w:r>
        <w:br/>
        <w:t>Melbourne Vic 3001</w:t>
      </w:r>
    </w:p>
    <w:p w:rsidR="00B0187B" w:rsidRDefault="00B0187B" w:rsidP="00B0187B">
      <w:pPr>
        <w:pStyle w:val="Copyright"/>
      </w:pPr>
      <w:r>
        <w:t>Tel: (03) 9290 1444</w:t>
      </w:r>
      <w:r>
        <w:br/>
        <w:t>Fax: (03) 9290 1457</w:t>
      </w:r>
    </w:p>
    <w:p w:rsidR="00B0187B" w:rsidRDefault="00B0187B" w:rsidP="00B0187B">
      <w:pPr>
        <w:pStyle w:val="Copyright"/>
      </w:pPr>
      <w:r>
        <w:t xml:space="preserve">Email: </w:t>
      </w:r>
      <w:hyperlink r:id="rId10" w:history="1">
        <w:r w:rsidRPr="00D64888">
          <w:rPr>
            <w:rStyle w:val="Hyperlink"/>
          </w:rPr>
          <w:t>AERInquiry@aer.gov.au</w:t>
        </w:r>
      </w:hyperlink>
      <w:r>
        <w:rPr>
          <w:rStyle w:val="Hyperlink"/>
        </w:rPr>
        <w:br/>
      </w:r>
    </w:p>
    <w:p w:rsidR="00B0187B" w:rsidRDefault="00D34309" w:rsidP="00B0187B">
      <w:r>
        <w:t>AER reference:</w:t>
      </w:r>
      <w:r>
        <w:tab/>
        <w:t>51225</w:t>
      </w:r>
    </w:p>
    <w:p w:rsidR="00B0187B" w:rsidRPr="00B0187B" w:rsidRDefault="00B0187B" w:rsidP="00B0187B">
      <w:bookmarkStart w:id="1" w:name="_Toc404354899"/>
      <w:bookmarkStart w:id="2" w:name="_Toc404353070"/>
      <w:bookmarkStart w:id="3" w:name="_Toc404684201"/>
      <w:bookmarkStart w:id="4" w:name="_Toc404700923"/>
      <w:r>
        <w:br w:type="page"/>
      </w:r>
    </w:p>
    <w:p w:rsidR="00B0187B" w:rsidRDefault="00B0187B" w:rsidP="00B0187B">
      <w:pPr>
        <w:pStyle w:val="UnnumberedHeading"/>
        <w:numPr>
          <w:ilvl w:val="0"/>
          <w:numId w:val="24"/>
        </w:numPr>
      </w:pPr>
      <w:bookmarkStart w:id="5" w:name="_Toc415643501"/>
      <w:r>
        <w:lastRenderedPageBreak/>
        <w:t>Note</w:t>
      </w:r>
      <w:bookmarkEnd w:id="1"/>
      <w:bookmarkEnd w:id="2"/>
      <w:bookmarkEnd w:id="3"/>
      <w:bookmarkEnd w:id="4"/>
      <w:bookmarkEnd w:id="5"/>
    </w:p>
    <w:p w:rsidR="00B0187B" w:rsidRDefault="00B0187B" w:rsidP="00B0187B">
      <w:pPr>
        <w:numPr>
          <w:ilvl w:val="0"/>
          <w:numId w:val="25"/>
        </w:numPr>
      </w:pPr>
      <w:r>
        <w:t>This attachment forms part of the AER's preliminary decision on SA Power Networks' 2015–20 distribution determination. It should be read with</w:t>
      </w:r>
      <w:r w:rsidR="005039B3">
        <w:t xml:space="preserve"> all</w:t>
      </w:r>
      <w:r>
        <w:t xml:space="preserve"> other parts of the preliminary decision.</w:t>
      </w:r>
    </w:p>
    <w:p w:rsidR="00B0187B" w:rsidRDefault="00B0187B" w:rsidP="00B0187B">
      <w:pPr>
        <w:numPr>
          <w:ilvl w:val="0"/>
          <w:numId w:val="25"/>
        </w:numPr>
      </w:pPr>
      <w:r>
        <w:t>The preliminary decision includes the following documents:</w:t>
      </w:r>
    </w:p>
    <w:p w:rsidR="00B0187B" w:rsidRDefault="00B0187B" w:rsidP="00B0187B">
      <w:pPr>
        <w:numPr>
          <w:ilvl w:val="0"/>
          <w:numId w:val="25"/>
        </w:numPr>
      </w:pPr>
      <w:r>
        <w:t>Overview</w:t>
      </w:r>
    </w:p>
    <w:p w:rsidR="00B0187B" w:rsidRDefault="00B0187B" w:rsidP="00B0187B">
      <w:pPr>
        <w:numPr>
          <w:ilvl w:val="0"/>
          <w:numId w:val="25"/>
        </w:numPr>
      </w:pPr>
      <w:r>
        <w:t>Attachment 1 – Annual revenue requirement</w:t>
      </w:r>
    </w:p>
    <w:p w:rsidR="00B0187B" w:rsidRDefault="00B0187B" w:rsidP="00B0187B">
      <w:pPr>
        <w:numPr>
          <w:ilvl w:val="0"/>
          <w:numId w:val="25"/>
        </w:numPr>
      </w:pPr>
      <w:r>
        <w:t>Attachment 2 – Regulatory asset base</w:t>
      </w:r>
    </w:p>
    <w:p w:rsidR="00B0187B" w:rsidRDefault="00B0187B" w:rsidP="00B0187B">
      <w:pPr>
        <w:numPr>
          <w:ilvl w:val="0"/>
          <w:numId w:val="25"/>
        </w:numPr>
      </w:pPr>
      <w:r>
        <w:t>Attachment 3 – Rate of return</w:t>
      </w:r>
    </w:p>
    <w:p w:rsidR="00B0187B" w:rsidRDefault="00B0187B" w:rsidP="00B0187B">
      <w:pPr>
        <w:numPr>
          <w:ilvl w:val="0"/>
          <w:numId w:val="25"/>
        </w:numPr>
      </w:pPr>
      <w:r>
        <w:t>Attachment 4 – Value of imputation credits</w:t>
      </w:r>
    </w:p>
    <w:p w:rsidR="00B0187B" w:rsidRDefault="00B0187B" w:rsidP="00B0187B">
      <w:pPr>
        <w:numPr>
          <w:ilvl w:val="0"/>
          <w:numId w:val="25"/>
        </w:numPr>
      </w:pPr>
      <w:r>
        <w:t>Attachment 5 – Regulatory depreciation</w:t>
      </w:r>
    </w:p>
    <w:p w:rsidR="00B0187B" w:rsidRDefault="00B0187B" w:rsidP="00B0187B">
      <w:pPr>
        <w:numPr>
          <w:ilvl w:val="0"/>
          <w:numId w:val="25"/>
        </w:numPr>
      </w:pPr>
      <w:r>
        <w:t xml:space="preserve">Attachment 6 – Capital expenditure </w:t>
      </w:r>
    </w:p>
    <w:p w:rsidR="00B0187B" w:rsidRDefault="00B0187B" w:rsidP="00B0187B">
      <w:pPr>
        <w:numPr>
          <w:ilvl w:val="0"/>
          <w:numId w:val="25"/>
        </w:numPr>
      </w:pPr>
      <w:r>
        <w:t>Attachment 7 – Operating expenditure</w:t>
      </w:r>
    </w:p>
    <w:p w:rsidR="00B0187B" w:rsidRDefault="00B0187B" w:rsidP="00B0187B">
      <w:pPr>
        <w:numPr>
          <w:ilvl w:val="0"/>
          <w:numId w:val="25"/>
        </w:numPr>
      </w:pPr>
      <w:r>
        <w:t>Attachment 8 – Corporate income tax</w:t>
      </w:r>
    </w:p>
    <w:p w:rsidR="00B0187B" w:rsidRDefault="00B0187B" w:rsidP="00B0187B">
      <w:pPr>
        <w:numPr>
          <w:ilvl w:val="0"/>
          <w:numId w:val="25"/>
        </w:numPr>
      </w:pPr>
      <w:r>
        <w:t>Attachment 9 – Efficiency benefit sharing scheme</w:t>
      </w:r>
    </w:p>
    <w:p w:rsidR="00B0187B" w:rsidRDefault="00B0187B" w:rsidP="00B0187B">
      <w:pPr>
        <w:numPr>
          <w:ilvl w:val="0"/>
          <w:numId w:val="25"/>
        </w:numPr>
      </w:pPr>
      <w:r>
        <w:t>Attachment 10 – Capital expenditure sharing scheme</w:t>
      </w:r>
    </w:p>
    <w:p w:rsidR="00B0187B" w:rsidRDefault="00B0187B" w:rsidP="00B0187B">
      <w:pPr>
        <w:numPr>
          <w:ilvl w:val="0"/>
          <w:numId w:val="25"/>
        </w:numPr>
      </w:pPr>
      <w:r>
        <w:t>Attachment 11 – Service target performance incentive scheme</w:t>
      </w:r>
    </w:p>
    <w:p w:rsidR="00B0187B" w:rsidRDefault="00B0187B" w:rsidP="00B0187B">
      <w:pPr>
        <w:numPr>
          <w:ilvl w:val="0"/>
          <w:numId w:val="25"/>
        </w:numPr>
      </w:pPr>
      <w:r>
        <w:t>Attachment 12 – Demand management incentive scheme</w:t>
      </w:r>
    </w:p>
    <w:p w:rsidR="00B0187B" w:rsidRDefault="00B0187B" w:rsidP="00B0187B">
      <w:pPr>
        <w:numPr>
          <w:ilvl w:val="0"/>
          <w:numId w:val="25"/>
        </w:numPr>
      </w:pPr>
      <w:r>
        <w:t>Attachment 13 – Classification of services</w:t>
      </w:r>
    </w:p>
    <w:p w:rsidR="00B0187B" w:rsidRDefault="00B0187B" w:rsidP="00B0187B">
      <w:pPr>
        <w:numPr>
          <w:ilvl w:val="0"/>
          <w:numId w:val="25"/>
        </w:numPr>
      </w:pPr>
      <w:r>
        <w:t>Attachment 14 – Control mechanism</w:t>
      </w:r>
    </w:p>
    <w:p w:rsidR="00B0187B" w:rsidRDefault="00B0187B" w:rsidP="00B0187B">
      <w:pPr>
        <w:numPr>
          <w:ilvl w:val="0"/>
          <w:numId w:val="25"/>
        </w:numPr>
      </w:pPr>
      <w:r>
        <w:t>Attachment 15 – Pass through events</w:t>
      </w:r>
    </w:p>
    <w:p w:rsidR="00B0187B" w:rsidRDefault="00B0187B" w:rsidP="00B0187B">
      <w:pPr>
        <w:numPr>
          <w:ilvl w:val="0"/>
          <w:numId w:val="25"/>
        </w:numPr>
      </w:pPr>
      <w:r>
        <w:t>Attachment 16 – Alternative control services</w:t>
      </w:r>
    </w:p>
    <w:p w:rsidR="00B0187B" w:rsidRDefault="00B0187B" w:rsidP="00B0187B">
      <w:pPr>
        <w:numPr>
          <w:ilvl w:val="0"/>
          <w:numId w:val="25"/>
        </w:numPr>
      </w:pPr>
      <w:r>
        <w:t>Attachment 17 – Negotiated services framework and criteria</w:t>
      </w:r>
    </w:p>
    <w:p w:rsidR="00B0187B" w:rsidRPr="008B6C33" w:rsidRDefault="00B0187B" w:rsidP="00B0187B">
      <w:pPr>
        <w:numPr>
          <w:ilvl w:val="0"/>
          <w:numId w:val="25"/>
        </w:numPr>
      </w:pPr>
      <w:r>
        <w:t xml:space="preserve">Attachment 18 – Connection </w:t>
      </w:r>
      <w:r w:rsidR="005039B3">
        <w:t>policy</w:t>
      </w:r>
    </w:p>
    <w:p w:rsidR="00B0187B" w:rsidRPr="008F07A3" w:rsidRDefault="00B0187B" w:rsidP="00B0187B">
      <w:pPr>
        <w:sectPr w:rsidR="00B0187B"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B0187B" w:rsidRPr="00A72B34" w:rsidRDefault="00B0187B" w:rsidP="00B0187B">
      <w:pPr>
        <w:pStyle w:val="UnnumberedHeading"/>
        <w:numPr>
          <w:ilvl w:val="0"/>
          <w:numId w:val="24"/>
        </w:numPr>
      </w:pPr>
      <w:bookmarkStart w:id="6" w:name="_Toc403144133"/>
      <w:bookmarkStart w:id="7" w:name="_Toc415643502"/>
      <w:r>
        <w:lastRenderedPageBreak/>
        <w:t>Contents</w:t>
      </w:r>
      <w:bookmarkEnd w:id="6"/>
      <w:bookmarkEnd w:id="7"/>
    </w:p>
    <w:p w:rsidR="00B0187B" w:rsidRDefault="00B0187B" w:rsidP="00B0187B"/>
    <w:sdt>
      <w:sdtPr>
        <w:rPr>
          <w:b w:val="0"/>
          <w:noProof w:val="0"/>
          <w:color w:val="auto"/>
          <w:sz w:val="22"/>
          <w:lang w:val="en-AU" w:eastAsia="en-US"/>
        </w:rPr>
        <w:id w:val="1269200322"/>
        <w:docPartObj>
          <w:docPartGallery w:val="Table of Contents"/>
          <w:docPartUnique/>
        </w:docPartObj>
      </w:sdtPr>
      <w:sdtEndPr/>
      <w:sdtContent>
        <w:p w:rsidR="0016534A" w:rsidRDefault="00B0187B">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15643501" w:history="1">
            <w:r w:rsidR="0016534A" w:rsidRPr="00951C8B">
              <w:rPr>
                <w:rStyle w:val="Hyperlink"/>
              </w:rPr>
              <w:t>Note</w:t>
            </w:r>
            <w:r w:rsidR="0016534A">
              <w:rPr>
                <w:webHidden/>
              </w:rPr>
              <w:tab/>
            </w:r>
            <w:r w:rsidR="00CF7BE7">
              <w:rPr>
                <w:webHidden/>
              </w:rPr>
              <w:t>5-</w:t>
            </w:r>
            <w:r w:rsidR="0016534A">
              <w:rPr>
                <w:webHidden/>
              </w:rPr>
              <w:fldChar w:fldCharType="begin"/>
            </w:r>
            <w:r w:rsidR="0016534A">
              <w:rPr>
                <w:webHidden/>
              </w:rPr>
              <w:instrText xml:space="preserve"> PAGEREF _Toc415643501 \h </w:instrText>
            </w:r>
            <w:r w:rsidR="0016534A">
              <w:rPr>
                <w:webHidden/>
              </w:rPr>
            </w:r>
            <w:r w:rsidR="0016534A">
              <w:rPr>
                <w:webHidden/>
              </w:rPr>
              <w:fldChar w:fldCharType="separate"/>
            </w:r>
            <w:r w:rsidR="00357980">
              <w:rPr>
                <w:webHidden/>
              </w:rPr>
              <w:t>2</w:t>
            </w:r>
            <w:r w:rsidR="0016534A">
              <w:rPr>
                <w:webHidden/>
              </w:rPr>
              <w:fldChar w:fldCharType="end"/>
            </w:r>
          </w:hyperlink>
        </w:p>
        <w:p w:rsidR="0016534A" w:rsidRDefault="005E569C">
          <w:pPr>
            <w:pStyle w:val="TOC1"/>
            <w:rPr>
              <w:rFonts w:asciiTheme="minorHAnsi" w:eastAsiaTheme="minorEastAsia" w:hAnsiTheme="minorHAnsi"/>
              <w:b w:val="0"/>
              <w:color w:val="auto"/>
              <w:sz w:val="22"/>
              <w:lang w:val="en-AU" w:eastAsia="en-AU"/>
            </w:rPr>
          </w:pPr>
          <w:hyperlink w:anchor="_Toc415643502" w:history="1">
            <w:r w:rsidR="0016534A" w:rsidRPr="00951C8B">
              <w:rPr>
                <w:rStyle w:val="Hyperlink"/>
              </w:rPr>
              <w:t>Contents</w:t>
            </w:r>
            <w:r w:rsidR="0016534A">
              <w:rPr>
                <w:webHidden/>
              </w:rPr>
              <w:tab/>
            </w:r>
            <w:r w:rsidR="00CF7BE7">
              <w:rPr>
                <w:webHidden/>
              </w:rPr>
              <w:t>5-</w:t>
            </w:r>
            <w:r w:rsidR="0016534A">
              <w:rPr>
                <w:webHidden/>
              </w:rPr>
              <w:fldChar w:fldCharType="begin"/>
            </w:r>
            <w:r w:rsidR="0016534A">
              <w:rPr>
                <w:webHidden/>
              </w:rPr>
              <w:instrText xml:space="preserve"> PAGEREF _Toc415643502 \h </w:instrText>
            </w:r>
            <w:r w:rsidR="0016534A">
              <w:rPr>
                <w:webHidden/>
              </w:rPr>
            </w:r>
            <w:r w:rsidR="0016534A">
              <w:rPr>
                <w:webHidden/>
              </w:rPr>
              <w:fldChar w:fldCharType="separate"/>
            </w:r>
            <w:r w:rsidR="00357980">
              <w:rPr>
                <w:webHidden/>
              </w:rPr>
              <w:t>3</w:t>
            </w:r>
            <w:r w:rsidR="0016534A">
              <w:rPr>
                <w:webHidden/>
              </w:rPr>
              <w:fldChar w:fldCharType="end"/>
            </w:r>
          </w:hyperlink>
        </w:p>
        <w:p w:rsidR="0016534A" w:rsidRDefault="005E569C">
          <w:pPr>
            <w:pStyle w:val="TOC1"/>
            <w:rPr>
              <w:rFonts w:asciiTheme="minorHAnsi" w:eastAsiaTheme="minorEastAsia" w:hAnsiTheme="minorHAnsi"/>
              <w:b w:val="0"/>
              <w:color w:val="auto"/>
              <w:sz w:val="22"/>
              <w:lang w:val="en-AU" w:eastAsia="en-AU"/>
            </w:rPr>
          </w:pPr>
          <w:hyperlink w:anchor="_Toc415643503" w:history="1">
            <w:r w:rsidR="0016534A" w:rsidRPr="00951C8B">
              <w:rPr>
                <w:rStyle w:val="Hyperlink"/>
              </w:rPr>
              <w:t>Shortened forms</w:t>
            </w:r>
            <w:r w:rsidR="0016534A">
              <w:rPr>
                <w:webHidden/>
              </w:rPr>
              <w:tab/>
            </w:r>
            <w:r w:rsidR="00CF7BE7">
              <w:rPr>
                <w:webHidden/>
              </w:rPr>
              <w:t>5-</w:t>
            </w:r>
            <w:r w:rsidR="0016534A">
              <w:rPr>
                <w:webHidden/>
              </w:rPr>
              <w:fldChar w:fldCharType="begin"/>
            </w:r>
            <w:r w:rsidR="0016534A">
              <w:rPr>
                <w:webHidden/>
              </w:rPr>
              <w:instrText xml:space="preserve"> PAGEREF _Toc415643503 \h </w:instrText>
            </w:r>
            <w:r w:rsidR="0016534A">
              <w:rPr>
                <w:webHidden/>
              </w:rPr>
            </w:r>
            <w:r w:rsidR="0016534A">
              <w:rPr>
                <w:webHidden/>
              </w:rPr>
              <w:fldChar w:fldCharType="separate"/>
            </w:r>
            <w:r w:rsidR="00357980">
              <w:rPr>
                <w:webHidden/>
              </w:rPr>
              <w:t>4</w:t>
            </w:r>
            <w:r w:rsidR="0016534A">
              <w:rPr>
                <w:webHidden/>
              </w:rPr>
              <w:fldChar w:fldCharType="end"/>
            </w:r>
          </w:hyperlink>
        </w:p>
        <w:p w:rsidR="0016534A" w:rsidRDefault="005E569C">
          <w:pPr>
            <w:pStyle w:val="TOC1"/>
            <w:rPr>
              <w:rFonts w:asciiTheme="minorHAnsi" w:eastAsiaTheme="minorEastAsia" w:hAnsiTheme="minorHAnsi"/>
              <w:b w:val="0"/>
              <w:color w:val="auto"/>
              <w:sz w:val="22"/>
              <w:lang w:val="en-AU" w:eastAsia="en-AU"/>
            </w:rPr>
          </w:pPr>
          <w:hyperlink w:anchor="_Toc415643504" w:history="1">
            <w:r w:rsidR="0016534A" w:rsidRPr="00951C8B">
              <w:rPr>
                <w:rStyle w:val="Hyperlink"/>
              </w:rPr>
              <w:t>5</w:t>
            </w:r>
            <w:r w:rsidR="0016534A">
              <w:rPr>
                <w:rFonts w:asciiTheme="minorHAnsi" w:eastAsiaTheme="minorEastAsia" w:hAnsiTheme="minorHAnsi"/>
                <w:b w:val="0"/>
                <w:color w:val="auto"/>
                <w:sz w:val="22"/>
                <w:lang w:val="en-AU" w:eastAsia="en-AU"/>
              </w:rPr>
              <w:tab/>
            </w:r>
            <w:r w:rsidR="0016534A" w:rsidRPr="00951C8B">
              <w:rPr>
                <w:rStyle w:val="Hyperlink"/>
              </w:rPr>
              <w:t>Regulatory depreciation</w:t>
            </w:r>
            <w:r w:rsidR="0016534A">
              <w:rPr>
                <w:webHidden/>
              </w:rPr>
              <w:tab/>
            </w:r>
            <w:r w:rsidR="00CF7BE7">
              <w:rPr>
                <w:webHidden/>
              </w:rPr>
              <w:t>5-</w:t>
            </w:r>
            <w:r w:rsidR="0016534A">
              <w:rPr>
                <w:webHidden/>
              </w:rPr>
              <w:fldChar w:fldCharType="begin"/>
            </w:r>
            <w:r w:rsidR="0016534A">
              <w:rPr>
                <w:webHidden/>
              </w:rPr>
              <w:instrText xml:space="preserve"> PAGEREF _Toc415643504 \h </w:instrText>
            </w:r>
            <w:r w:rsidR="0016534A">
              <w:rPr>
                <w:webHidden/>
              </w:rPr>
            </w:r>
            <w:r w:rsidR="0016534A">
              <w:rPr>
                <w:webHidden/>
              </w:rPr>
              <w:fldChar w:fldCharType="separate"/>
            </w:r>
            <w:r w:rsidR="00357980">
              <w:rPr>
                <w:webHidden/>
              </w:rPr>
              <w:t>6</w:t>
            </w:r>
            <w:r w:rsidR="0016534A">
              <w:rPr>
                <w:webHidden/>
              </w:rPr>
              <w:fldChar w:fldCharType="end"/>
            </w:r>
          </w:hyperlink>
        </w:p>
        <w:p w:rsidR="0016534A" w:rsidRDefault="005E569C">
          <w:pPr>
            <w:pStyle w:val="TOC2"/>
            <w:rPr>
              <w:rFonts w:asciiTheme="minorHAnsi" w:eastAsiaTheme="minorEastAsia" w:hAnsiTheme="minorHAnsi"/>
              <w:b w:val="0"/>
              <w:color w:val="auto"/>
              <w:sz w:val="22"/>
              <w:lang w:eastAsia="en-AU"/>
            </w:rPr>
          </w:pPr>
          <w:hyperlink w:anchor="_Toc415643505" w:history="1">
            <w:r w:rsidR="0016534A" w:rsidRPr="00951C8B">
              <w:rPr>
                <w:rStyle w:val="Hyperlink"/>
              </w:rPr>
              <w:t>5.1</w:t>
            </w:r>
            <w:r w:rsidR="0016534A">
              <w:rPr>
                <w:rFonts w:asciiTheme="minorHAnsi" w:eastAsiaTheme="minorEastAsia" w:hAnsiTheme="minorHAnsi"/>
                <w:b w:val="0"/>
                <w:color w:val="auto"/>
                <w:sz w:val="22"/>
                <w:lang w:eastAsia="en-AU"/>
              </w:rPr>
              <w:tab/>
            </w:r>
            <w:r w:rsidR="0016534A" w:rsidRPr="00951C8B">
              <w:rPr>
                <w:rStyle w:val="Hyperlink"/>
              </w:rPr>
              <w:t>Preliminary decision</w:t>
            </w:r>
            <w:r w:rsidR="0016534A">
              <w:rPr>
                <w:webHidden/>
              </w:rPr>
              <w:tab/>
            </w:r>
            <w:r w:rsidR="00CF7BE7">
              <w:rPr>
                <w:webHidden/>
              </w:rPr>
              <w:t>5-</w:t>
            </w:r>
            <w:r w:rsidR="0016534A">
              <w:rPr>
                <w:webHidden/>
              </w:rPr>
              <w:fldChar w:fldCharType="begin"/>
            </w:r>
            <w:r w:rsidR="0016534A">
              <w:rPr>
                <w:webHidden/>
              </w:rPr>
              <w:instrText xml:space="preserve"> PAGEREF _Toc415643505 \h </w:instrText>
            </w:r>
            <w:r w:rsidR="0016534A">
              <w:rPr>
                <w:webHidden/>
              </w:rPr>
            </w:r>
            <w:r w:rsidR="0016534A">
              <w:rPr>
                <w:webHidden/>
              </w:rPr>
              <w:fldChar w:fldCharType="separate"/>
            </w:r>
            <w:r w:rsidR="00357980">
              <w:rPr>
                <w:webHidden/>
              </w:rPr>
              <w:t>6</w:t>
            </w:r>
            <w:r w:rsidR="0016534A">
              <w:rPr>
                <w:webHidden/>
              </w:rPr>
              <w:fldChar w:fldCharType="end"/>
            </w:r>
          </w:hyperlink>
        </w:p>
        <w:p w:rsidR="0016534A" w:rsidRDefault="005E569C">
          <w:pPr>
            <w:pStyle w:val="TOC2"/>
            <w:rPr>
              <w:rFonts w:asciiTheme="minorHAnsi" w:eastAsiaTheme="minorEastAsia" w:hAnsiTheme="minorHAnsi"/>
              <w:b w:val="0"/>
              <w:color w:val="auto"/>
              <w:sz w:val="22"/>
              <w:lang w:eastAsia="en-AU"/>
            </w:rPr>
          </w:pPr>
          <w:hyperlink w:anchor="_Toc415643506" w:history="1">
            <w:r w:rsidR="0016534A" w:rsidRPr="00951C8B">
              <w:rPr>
                <w:rStyle w:val="Hyperlink"/>
              </w:rPr>
              <w:t>5.2</w:t>
            </w:r>
            <w:r w:rsidR="0016534A">
              <w:rPr>
                <w:rFonts w:asciiTheme="minorHAnsi" w:eastAsiaTheme="minorEastAsia" w:hAnsiTheme="minorHAnsi"/>
                <w:b w:val="0"/>
                <w:color w:val="auto"/>
                <w:sz w:val="22"/>
                <w:lang w:eastAsia="en-AU"/>
              </w:rPr>
              <w:tab/>
            </w:r>
            <w:r w:rsidR="0016534A" w:rsidRPr="00951C8B">
              <w:rPr>
                <w:rStyle w:val="Hyperlink"/>
              </w:rPr>
              <w:t>SA Power Networks' proposal</w:t>
            </w:r>
            <w:r w:rsidR="0016534A">
              <w:rPr>
                <w:webHidden/>
              </w:rPr>
              <w:tab/>
            </w:r>
            <w:r w:rsidR="00CF7BE7">
              <w:rPr>
                <w:webHidden/>
              </w:rPr>
              <w:t>5-</w:t>
            </w:r>
            <w:r w:rsidR="0016534A">
              <w:rPr>
                <w:webHidden/>
              </w:rPr>
              <w:fldChar w:fldCharType="begin"/>
            </w:r>
            <w:r w:rsidR="0016534A">
              <w:rPr>
                <w:webHidden/>
              </w:rPr>
              <w:instrText xml:space="preserve"> PAGEREF _Toc415643506 \h </w:instrText>
            </w:r>
            <w:r w:rsidR="0016534A">
              <w:rPr>
                <w:webHidden/>
              </w:rPr>
            </w:r>
            <w:r w:rsidR="0016534A">
              <w:rPr>
                <w:webHidden/>
              </w:rPr>
              <w:fldChar w:fldCharType="separate"/>
            </w:r>
            <w:r w:rsidR="00357980">
              <w:rPr>
                <w:webHidden/>
              </w:rPr>
              <w:t>7</w:t>
            </w:r>
            <w:r w:rsidR="0016534A">
              <w:rPr>
                <w:webHidden/>
              </w:rPr>
              <w:fldChar w:fldCharType="end"/>
            </w:r>
          </w:hyperlink>
        </w:p>
        <w:p w:rsidR="0016534A" w:rsidRDefault="005E569C">
          <w:pPr>
            <w:pStyle w:val="TOC2"/>
            <w:rPr>
              <w:rFonts w:asciiTheme="minorHAnsi" w:eastAsiaTheme="minorEastAsia" w:hAnsiTheme="minorHAnsi"/>
              <w:b w:val="0"/>
              <w:color w:val="auto"/>
              <w:sz w:val="22"/>
              <w:lang w:eastAsia="en-AU"/>
            </w:rPr>
          </w:pPr>
          <w:hyperlink w:anchor="_Toc415643507" w:history="1">
            <w:r w:rsidR="0016534A" w:rsidRPr="00951C8B">
              <w:rPr>
                <w:rStyle w:val="Hyperlink"/>
              </w:rPr>
              <w:t>5.3</w:t>
            </w:r>
            <w:r w:rsidR="0016534A">
              <w:rPr>
                <w:rFonts w:asciiTheme="minorHAnsi" w:eastAsiaTheme="minorEastAsia" w:hAnsiTheme="minorHAnsi"/>
                <w:b w:val="0"/>
                <w:color w:val="auto"/>
                <w:sz w:val="22"/>
                <w:lang w:eastAsia="en-AU"/>
              </w:rPr>
              <w:tab/>
            </w:r>
            <w:r w:rsidR="0016534A" w:rsidRPr="00951C8B">
              <w:rPr>
                <w:rStyle w:val="Hyperlink"/>
              </w:rPr>
              <w:t>AER’s assessment approach</w:t>
            </w:r>
            <w:r w:rsidR="0016534A">
              <w:rPr>
                <w:webHidden/>
              </w:rPr>
              <w:tab/>
            </w:r>
            <w:r w:rsidR="00CF7BE7">
              <w:rPr>
                <w:webHidden/>
              </w:rPr>
              <w:t>5-</w:t>
            </w:r>
            <w:r w:rsidR="0016534A">
              <w:rPr>
                <w:webHidden/>
              </w:rPr>
              <w:fldChar w:fldCharType="begin"/>
            </w:r>
            <w:r w:rsidR="0016534A">
              <w:rPr>
                <w:webHidden/>
              </w:rPr>
              <w:instrText xml:space="preserve"> PAGEREF _Toc415643507 \h </w:instrText>
            </w:r>
            <w:r w:rsidR="0016534A">
              <w:rPr>
                <w:webHidden/>
              </w:rPr>
            </w:r>
            <w:r w:rsidR="0016534A">
              <w:rPr>
                <w:webHidden/>
              </w:rPr>
              <w:fldChar w:fldCharType="separate"/>
            </w:r>
            <w:r w:rsidR="00357980">
              <w:rPr>
                <w:webHidden/>
              </w:rPr>
              <w:t>8</w:t>
            </w:r>
            <w:r w:rsidR="0016534A">
              <w:rPr>
                <w:webHidden/>
              </w:rPr>
              <w:fldChar w:fldCharType="end"/>
            </w:r>
          </w:hyperlink>
        </w:p>
        <w:p w:rsidR="0016534A" w:rsidRDefault="005E569C">
          <w:pPr>
            <w:pStyle w:val="TOC3"/>
            <w:rPr>
              <w:rFonts w:asciiTheme="minorHAnsi" w:eastAsiaTheme="minorEastAsia" w:hAnsiTheme="minorHAnsi"/>
              <w:lang w:eastAsia="en-AU"/>
            </w:rPr>
          </w:pPr>
          <w:hyperlink w:anchor="_Toc415643508" w:history="1">
            <w:r w:rsidR="0016534A" w:rsidRPr="00951C8B">
              <w:rPr>
                <w:rStyle w:val="Hyperlink"/>
              </w:rPr>
              <w:t>5.3.1 Interrelationships</w:t>
            </w:r>
            <w:r w:rsidR="0016534A">
              <w:rPr>
                <w:webHidden/>
              </w:rPr>
              <w:tab/>
            </w:r>
            <w:r w:rsidR="00CF7BE7">
              <w:rPr>
                <w:webHidden/>
              </w:rPr>
              <w:t>5-</w:t>
            </w:r>
            <w:r w:rsidR="0016534A">
              <w:rPr>
                <w:webHidden/>
              </w:rPr>
              <w:fldChar w:fldCharType="begin"/>
            </w:r>
            <w:r w:rsidR="0016534A">
              <w:rPr>
                <w:webHidden/>
              </w:rPr>
              <w:instrText xml:space="preserve"> PAGEREF _Toc415643508 \h </w:instrText>
            </w:r>
            <w:r w:rsidR="0016534A">
              <w:rPr>
                <w:webHidden/>
              </w:rPr>
            </w:r>
            <w:r w:rsidR="0016534A">
              <w:rPr>
                <w:webHidden/>
              </w:rPr>
              <w:fldChar w:fldCharType="separate"/>
            </w:r>
            <w:r w:rsidR="00357980">
              <w:rPr>
                <w:webHidden/>
              </w:rPr>
              <w:t>10</w:t>
            </w:r>
            <w:r w:rsidR="0016534A">
              <w:rPr>
                <w:webHidden/>
              </w:rPr>
              <w:fldChar w:fldCharType="end"/>
            </w:r>
          </w:hyperlink>
        </w:p>
        <w:p w:rsidR="0016534A" w:rsidRDefault="005E569C">
          <w:pPr>
            <w:pStyle w:val="TOC2"/>
            <w:rPr>
              <w:rFonts w:asciiTheme="minorHAnsi" w:eastAsiaTheme="minorEastAsia" w:hAnsiTheme="minorHAnsi"/>
              <w:b w:val="0"/>
              <w:color w:val="auto"/>
              <w:sz w:val="22"/>
              <w:lang w:eastAsia="en-AU"/>
            </w:rPr>
          </w:pPr>
          <w:hyperlink w:anchor="_Toc415643509" w:history="1">
            <w:r w:rsidR="0016534A" w:rsidRPr="00951C8B">
              <w:rPr>
                <w:rStyle w:val="Hyperlink"/>
              </w:rPr>
              <w:t>5.4     Reasons for preliminary decision</w:t>
            </w:r>
            <w:r w:rsidR="0016534A">
              <w:rPr>
                <w:webHidden/>
              </w:rPr>
              <w:tab/>
            </w:r>
            <w:r w:rsidR="00CF7BE7">
              <w:rPr>
                <w:webHidden/>
              </w:rPr>
              <w:t>5-</w:t>
            </w:r>
            <w:r w:rsidR="0016534A">
              <w:rPr>
                <w:webHidden/>
              </w:rPr>
              <w:fldChar w:fldCharType="begin"/>
            </w:r>
            <w:r w:rsidR="0016534A">
              <w:rPr>
                <w:webHidden/>
              </w:rPr>
              <w:instrText xml:space="preserve"> PAGEREF _Toc415643509 \h </w:instrText>
            </w:r>
            <w:r w:rsidR="0016534A">
              <w:rPr>
                <w:webHidden/>
              </w:rPr>
            </w:r>
            <w:r w:rsidR="0016534A">
              <w:rPr>
                <w:webHidden/>
              </w:rPr>
              <w:fldChar w:fldCharType="separate"/>
            </w:r>
            <w:r w:rsidR="00357980">
              <w:rPr>
                <w:webHidden/>
              </w:rPr>
              <w:t>10</w:t>
            </w:r>
            <w:r w:rsidR="0016534A">
              <w:rPr>
                <w:webHidden/>
              </w:rPr>
              <w:fldChar w:fldCharType="end"/>
            </w:r>
          </w:hyperlink>
        </w:p>
        <w:p w:rsidR="0016534A" w:rsidRDefault="005E569C">
          <w:pPr>
            <w:pStyle w:val="TOC3"/>
            <w:rPr>
              <w:rFonts w:asciiTheme="minorHAnsi" w:eastAsiaTheme="minorEastAsia" w:hAnsiTheme="minorHAnsi"/>
              <w:lang w:eastAsia="en-AU"/>
            </w:rPr>
          </w:pPr>
          <w:hyperlink w:anchor="_Toc415643510" w:history="1">
            <w:r w:rsidR="0016534A" w:rsidRPr="00951C8B">
              <w:rPr>
                <w:rStyle w:val="Hyperlink"/>
              </w:rPr>
              <w:t>5.4.1   Standard asset lives</w:t>
            </w:r>
            <w:r w:rsidR="0016534A">
              <w:rPr>
                <w:webHidden/>
              </w:rPr>
              <w:tab/>
            </w:r>
            <w:r w:rsidR="00CF7BE7">
              <w:rPr>
                <w:webHidden/>
              </w:rPr>
              <w:t>5-</w:t>
            </w:r>
            <w:r w:rsidR="0016534A">
              <w:rPr>
                <w:webHidden/>
              </w:rPr>
              <w:fldChar w:fldCharType="begin"/>
            </w:r>
            <w:r w:rsidR="0016534A">
              <w:rPr>
                <w:webHidden/>
              </w:rPr>
              <w:instrText xml:space="preserve"> PAGEREF _Toc415643510 \h </w:instrText>
            </w:r>
            <w:r w:rsidR="0016534A">
              <w:rPr>
                <w:webHidden/>
              </w:rPr>
            </w:r>
            <w:r w:rsidR="0016534A">
              <w:rPr>
                <w:webHidden/>
              </w:rPr>
              <w:fldChar w:fldCharType="separate"/>
            </w:r>
            <w:r w:rsidR="00357980">
              <w:rPr>
                <w:webHidden/>
              </w:rPr>
              <w:t>11</w:t>
            </w:r>
            <w:r w:rsidR="0016534A">
              <w:rPr>
                <w:webHidden/>
              </w:rPr>
              <w:fldChar w:fldCharType="end"/>
            </w:r>
          </w:hyperlink>
        </w:p>
        <w:p w:rsidR="0016534A" w:rsidRDefault="005E569C">
          <w:pPr>
            <w:pStyle w:val="TOC3"/>
            <w:rPr>
              <w:rFonts w:asciiTheme="minorHAnsi" w:eastAsiaTheme="minorEastAsia" w:hAnsiTheme="minorHAnsi"/>
              <w:lang w:eastAsia="en-AU"/>
            </w:rPr>
          </w:pPr>
          <w:hyperlink w:anchor="_Toc415643511" w:history="1">
            <w:r w:rsidR="0016534A" w:rsidRPr="00951C8B">
              <w:rPr>
                <w:rStyle w:val="Hyperlink"/>
              </w:rPr>
              <w:t>5.4.2   Remaining asset lives</w:t>
            </w:r>
            <w:r w:rsidR="0016534A">
              <w:rPr>
                <w:webHidden/>
              </w:rPr>
              <w:tab/>
            </w:r>
            <w:r w:rsidR="00CF7BE7">
              <w:rPr>
                <w:webHidden/>
              </w:rPr>
              <w:t>5-</w:t>
            </w:r>
            <w:r w:rsidR="0016534A">
              <w:rPr>
                <w:webHidden/>
              </w:rPr>
              <w:fldChar w:fldCharType="begin"/>
            </w:r>
            <w:r w:rsidR="0016534A">
              <w:rPr>
                <w:webHidden/>
              </w:rPr>
              <w:instrText xml:space="preserve"> PAGEREF _Toc415643511 \h </w:instrText>
            </w:r>
            <w:r w:rsidR="0016534A">
              <w:rPr>
                <w:webHidden/>
              </w:rPr>
            </w:r>
            <w:r w:rsidR="0016534A">
              <w:rPr>
                <w:webHidden/>
              </w:rPr>
              <w:fldChar w:fldCharType="separate"/>
            </w:r>
            <w:r w:rsidR="00357980">
              <w:rPr>
                <w:webHidden/>
              </w:rPr>
              <w:t>11</w:t>
            </w:r>
            <w:r w:rsidR="0016534A">
              <w:rPr>
                <w:webHidden/>
              </w:rPr>
              <w:fldChar w:fldCharType="end"/>
            </w:r>
          </w:hyperlink>
        </w:p>
        <w:p w:rsidR="00B0187B" w:rsidRPr="00B0187B" w:rsidRDefault="00B0187B" w:rsidP="00B0187B">
          <w:r>
            <w:fldChar w:fldCharType="end"/>
          </w:r>
        </w:p>
      </w:sdtContent>
    </w:sdt>
    <w:p w:rsidR="00B0187B" w:rsidRDefault="00B0187B" w:rsidP="00B0187B"/>
    <w:p w:rsidR="00B0187B" w:rsidRDefault="00B0187B" w:rsidP="00B0187B">
      <w:pPr>
        <w:pStyle w:val="UnnumberedHeading"/>
        <w:numPr>
          <w:ilvl w:val="0"/>
          <w:numId w:val="24"/>
        </w:numPr>
      </w:pPr>
      <w:bookmarkStart w:id="8" w:name="_Toc404700925"/>
      <w:bookmarkStart w:id="9" w:name="_Toc415643503"/>
      <w:r>
        <w:lastRenderedPageBreak/>
        <w:t>Shortened forms</w:t>
      </w:r>
      <w:bookmarkEnd w:id="8"/>
      <w:bookmarkEnd w:id="9"/>
    </w:p>
    <w:tbl>
      <w:tblPr>
        <w:tblStyle w:val="AERtable-text0"/>
        <w:tblW w:w="0" w:type="auto"/>
        <w:tblLook w:val="04A0" w:firstRow="1" w:lastRow="0" w:firstColumn="1" w:lastColumn="0" w:noHBand="0" w:noVBand="1"/>
      </w:tblPr>
      <w:tblGrid>
        <w:gridCol w:w="4341"/>
        <w:gridCol w:w="4352"/>
      </w:tblGrid>
      <w:tr w:rsidR="00B0187B" w:rsidTr="00CF7BE7">
        <w:trPr>
          <w:cnfStyle w:val="100000000000" w:firstRow="1" w:lastRow="0" w:firstColumn="0" w:lastColumn="0" w:oddVBand="0" w:evenVBand="0" w:oddHBand="0" w:evenHBand="0" w:firstRowFirstColumn="0" w:firstRowLastColumn="0" w:lastRowFirstColumn="0" w:lastRowLastColumn="0"/>
          <w:tblHeader/>
        </w:trPr>
        <w:tc>
          <w:tcPr>
            <w:tcW w:w="4341" w:type="dxa"/>
          </w:tcPr>
          <w:p w:rsidR="00B0187B" w:rsidRPr="00B0187B" w:rsidRDefault="00B0187B" w:rsidP="00B0187B">
            <w:pPr>
              <w:pStyle w:val="AERtabletextleft"/>
            </w:pPr>
            <w:r>
              <w:t>Shortened form</w:t>
            </w:r>
          </w:p>
        </w:tc>
        <w:tc>
          <w:tcPr>
            <w:tcW w:w="4352" w:type="dxa"/>
          </w:tcPr>
          <w:p w:rsidR="00B0187B" w:rsidRPr="00B0187B" w:rsidRDefault="00B0187B" w:rsidP="00B0187B">
            <w:pPr>
              <w:pStyle w:val="AERtabletextleft"/>
            </w:pPr>
            <w:r>
              <w:t>Extended form</w:t>
            </w:r>
          </w:p>
        </w:tc>
      </w:tr>
      <w:tr w:rsidR="00B0187B" w:rsidTr="00CF7BE7">
        <w:tc>
          <w:tcPr>
            <w:tcW w:w="4341" w:type="dxa"/>
          </w:tcPr>
          <w:p w:rsidR="00B0187B" w:rsidRPr="00B0187B" w:rsidRDefault="00B0187B" w:rsidP="00B0187B">
            <w:pPr>
              <w:pStyle w:val="AERtabletextleft"/>
            </w:pPr>
            <w:r>
              <w:t>AEMC</w:t>
            </w:r>
          </w:p>
        </w:tc>
        <w:tc>
          <w:tcPr>
            <w:tcW w:w="4352" w:type="dxa"/>
          </w:tcPr>
          <w:p w:rsidR="00B0187B" w:rsidRPr="00B0187B" w:rsidRDefault="00B0187B" w:rsidP="00B0187B">
            <w:pPr>
              <w:pStyle w:val="AERtabletextleft"/>
            </w:pPr>
            <w:r>
              <w:t>Australian Energy Market Commission</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AEMO</w:t>
            </w:r>
          </w:p>
        </w:tc>
        <w:tc>
          <w:tcPr>
            <w:tcW w:w="4352" w:type="dxa"/>
          </w:tcPr>
          <w:p w:rsidR="00B0187B" w:rsidRPr="00B0187B" w:rsidRDefault="00B0187B" w:rsidP="00B0187B">
            <w:pPr>
              <w:pStyle w:val="AERtabletextleft"/>
            </w:pPr>
            <w:r>
              <w:t>Australian Energy Market Operator</w:t>
            </w:r>
          </w:p>
        </w:tc>
      </w:tr>
      <w:tr w:rsidR="00B0187B" w:rsidTr="00CF7BE7">
        <w:tc>
          <w:tcPr>
            <w:tcW w:w="4341" w:type="dxa"/>
          </w:tcPr>
          <w:p w:rsidR="00B0187B" w:rsidRPr="00B0187B" w:rsidRDefault="00B0187B" w:rsidP="00B0187B">
            <w:pPr>
              <w:pStyle w:val="AERtabletextleft"/>
            </w:pPr>
            <w:r>
              <w:t>AER</w:t>
            </w:r>
          </w:p>
        </w:tc>
        <w:tc>
          <w:tcPr>
            <w:tcW w:w="4352" w:type="dxa"/>
          </w:tcPr>
          <w:p w:rsidR="00B0187B" w:rsidRPr="00B0187B" w:rsidRDefault="00B0187B" w:rsidP="00B0187B">
            <w:pPr>
              <w:pStyle w:val="AERtabletextleft"/>
            </w:pPr>
            <w:r>
              <w:t>Australian Energy Regulator</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proofErr w:type="spellStart"/>
            <w:r>
              <w:t>augex</w:t>
            </w:r>
            <w:proofErr w:type="spellEnd"/>
          </w:p>
        </w:tc>
        <w:tc>
          <w:tcPr>
            <w:tcW w:w="4352" w:type="dxa"/>
          </w:tcPr>
          <w:p w:rsidR="00B0187B" w:rsidRPr="00B0187B" w:rsidRDefault="00B0187B" w:rsidP="00B0187B">
            <w:pPr>
              <w:pStyle w:val="AERtabletextleft"/>
            </w:pPr>
            <w:r>
              <w:t xml:space="preserve">augmentation </w:t>
            </w:r>
            <w:r w:rsidRPr="00B0187B">
              <w:t>expenditure</w:t>
            </w:r>
          </w:p>
        </w:tc>
      </w:tr>
      <w:tr w:rsidR="00B0187B" w:rsidTr="00CF7BE7">
        <w:tc>
          <w:tcPr>
            <w:tcW w:w="4341" w:type="dxa"/>
          </w:tcPr>
          <w:p w:rsidR="00B0187B" w:rsidRPr="00B0187B" w:rsidRDefault="00B0187B" w:rsidP="00B0187B">
            <w:pPr>
              <w:pStyle w:val="AERtabletextleft"/>
            </w:pPr>
            <w:r>
              <w:t>capex</w:t>
            </w:r>
          </w:p>
        </w:tc>
        <w:tc>
          <w:tcPr>
            <w:tcW w:w="4352" w:type="dxa"/>
          </w:tcPr>
          <w:p w:rsidR="00B0187B" w:rsidRPr="00B0187B" w:rsidRDefault="00B0187B" w:rsidP="00B0187B">
            <w:pPr>
              <w:pStyle w:val="AERtabletextleft"/>
            </w:pPr>
            <w:r>
              <w:t>capital expenditure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CCP</w:t>
            </w:r>
          </w:p>
        </w:tc>
        <w:tc>
          <w:tcPr>
            <w:tcW w:w="4352" w:type="dxa"/>
          </w:tcPr>
          <w:p w:rsidR="00B0187B" w:rsidRPr="00B0187B" w:rsidRDefault="00B0187B" w:rsidP="00B0187B">
            <w:pPr>
              <w:pStyle w:val="AERtabletextleft"/>
            </w:pPr>
            <w:r>
              <w:t>Consumer Challenge Panel</w:t>
            </w:r>
          </w:p>
        </w:tc>
      </w:tr>
      <w:tr w:rsidR="00B0187B" w:rsidTr="00CF7BE7">
        <w:tc>
          <w:tcPr>
            <w:tcW w:w="4341" w:type="dxa"/>
          </w:tcPr>
          <w:p w:rsidR="00B0187B" w:rsidRPr="00B0187B" w:rsidRDefault="00B0187B" w:rsidP="00B0187B">
            <w:pPr>
              <w:pStyle w:val="AERtabletextleft"/>
            </w:pPr>
            <w:r>
              <w:t>CESS</w:t>
            </w:r>
          </w:p>
        </w:tc>
        <w:tc>
          <w:tcPr>
            <w:tcW w:w="4352" w:type="dxa"/>
          </w:tcPr>
          <w:p w:rsidR="00B0187B" w:rsidRPr="00B0187B" w:rsidRDefault="00B0187B" w:rsidP="00B0187B">
            <w:pPr>
              <w:pStyle w:val="AERtabletextleft"/>
            </w:pPr>
            <w:r>
              <w:t>capital expenditure sharing scheme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CPI</w:t>
            </w:r>
          </w:p>
        </w:tc>
        <w:tc>
          <w:tcPr>
            <w:tcW w:w="4352" w:type="dxa"/>
          </w:tcPr>
          <w:p w:rsidR="00B0187B" w:rsidRPr="00B0187B" w:rsidRDefault="00B0187B" w:rsidP="00B0187B">
            <w:pPr>
              <w:pStyle w:val="AERtabletextleft"/>
            </w:pPr>
            <w:r>
              <w:t>consumer price index</w:t>
            </w:r>
          </w:p>
        </w:tc>
      </w:tr>
      <w:tr w:rsidR="00B0187B" w:rsidTr="00CF7BE7">
        <w:tc>
          <w:tcPr>
            <w:tcW w:w="4341" w:type="dxa"/>
          </w:tcPr>
          <w:p w:rsidR="00B0187B" w:rsidRPr="00B0187B" w:rsidRDefault="00B0187B" w:rsidP="00B0187B">
            <w:pPr>
              <w:pStyle w:val="AERtabletextleft"/>
            </w:pPr>
            <w:r>
              <w:t>DRP</w:t>
            </w:r>
          </w:p>
        </w:tc>
        <w:tc>
          <w:tcPr>
            <w:tcW w:w="4352" w:type="dxa"/>
          </w:tcPr>
          <w:p w:rsidR="00B0187B" w:rsidRPr="00B0187B" w:rsidRDefault="00B0187B" w:rsidP="00B0187B">
            <w:pPr>
              <w:pStyle w:val="AERtabletextleft"/>
            </w:pPr>
            <w:r>
              <w:t>debt risk premium</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DMIA</w:t>
            </w:r>
          </w:p>
        </w:tc>
        <w:tc>
          <w:tcPr>
            <w:tcW w:w="4352" w:type="dxa"/>
          </w:tcPr>
          <w:p w:rsidR="00B0187B" w:rsidRPr="00B0187B" w:rsidRDefault="00B0187B" w:rsidP="00B0187B">
            <w:pPr>
              <w:pStyle w:val="AERtabletextleft"/>
            </w:pPr>
            <w:r>
              <w:t>demand management innovation allowance</w:t>
            </w:r>
          </w:p>
        </w:tc>
      </w:tr>
      <w:tr w:rsidR="00B0187B" w:rsidTr="00CF7BE7">
        <w:tc>
          <w:tcPr>
            <w:tcW w:w="4341" w:type="dxa"/>
          </w:tcPr>
          <w:p w:rsidR="00B0187B" w:rsidRPr="00B0187B" w:rsidRDefault="00B0187B" w:rsidP="00B0187B">
            <w:pPr>
              <w:pStyle w:val="AERtabletextleft"/>
            </w:pPr>
            <w:r>
              <w:t>DMIS</w:t>
            </w:r>
          </w:p>
        </w:tc>
        <w:tc>
          <w:tcPr>
            <w:tcW w:w="4352" w:type="dxa"/>
          </w:tcPr>
          <w:p w:rsidR="00B0187B" w:rsidRPr="00B0187B" w:rsidRDefault="00B0187B" w:rsidP="00B0187B">
            <w:pPr>
              <w:pStyle w:val="AERtabletextleft"/>
            </w:pPr>
            <w:r>
              <w:t xml:space="preserve">demand </w:t>
            </w:r>
            <w:r w:rsidRPr="00B0187B">
              <w:t>management incentive scheme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distributor</w:t>
            </w:r>
          </w:p>
        </w:tc>
        <w:tc>
          <w:tcPr>
            <w:tcW w:w="4352" w:type="dxa"/>
          </w:tcPr>
          <w:p w:rsidR="00B0187B" w:rsidRPr="00B0187B" w:rsidRDefault="00B0187B" w:rsidP="00B0187B">
            <w:pPr>
              <w:pStyle w:val="AERtabletextleft"/>
            </w:pPr>
            <w:r>
              <w:t>distribution network service provider</w:t>
            </w:r>
          </w:p>
        </w:tc>
      </w:tr>
      <w:tr w:rsidR="00B0187B" w:rsidTr="00CF7BE7">
        <w:tc>
          <w:tcPr>
            <w:tcW w:w="4341" w:type="dxa"/>
          </w:tcPr>
          <w:p w:rsidR="00B0187B" w:rsidRPr="00B0187B" w:rsidRDefault="00B0187B" w:rsidP="00B0187B">
            <w:pPr>
              <w:pStyle w:val="AERtabletextleft"/>
            </w:pPr>
            <w:r>
              <w:t>DUoS</w:t>
            </w:r>
          </w:p>
        </w:tc>
        <w:tc>
          <w:tcPr>
            <w:tcW w:w="4352" w:type="dxa"/>
          </w:tcPr>
          <w:p w:rsidR="00B0187B" w:rsidRPr="00B0187B" w:rsidRDefault="00B0187B" w:rsidP="00B0187B">
            <w:pPr>
              <w:pStyle w:val="AERtabletextleft"/>
            </w:pPr>
            <w:r>
              <w:t>distribution use of system</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EBSS</w:t>
            </w:r>
          </w:p>
        </w:tc>
        <w:tc>
          <w:tcPr>
            <w:tcW w:w="4352" w:type="dxa"/>
          </w:tcPr>
          <w:p w:rsidR="00B0187B" w:rsidRPr="00B0187B" w:rsidRDefault="00B0187B" w:rsidP="00B0187B">
            <w:pPr>
              <w:pStyle w:val="AERtabletextleft"/>
            </w:pPr>
            <w:r>
              <w:t>efficiency benefit sharing scheme</w:t>
            </w:r>
          </w:p>
        </w:tc>
      </w:tr>
      <w:tr w:rsidR="00B0187B" w:rsidTr="00CF7BE7">
        <w:tc>
          <w:tcPr>
            <w:tcW w:w="4341" w:type="dxa"/>
          </w:tcPr>
          <w:p w:rsidR="00B0187B" w:rsidRPr="00B0187B" w:rsidRDefault="00B0187B" w:rsidP="00B0187B">
            <w:pPr>
              <w:pStyle w:val="AERtabletextleft"/>
            </w:pPr>
            <w:r>
              <w:t>ERP</w:t>
            </w:r>
          </w:p>
        </w:tc>
        <w:tc>
          <w:tcPr>
            <w:tcW w:w="4352" w:type="dxa"/>
          </w:tcPr>
          <w:p w:rsidR="00B0187B" w:rsidRPr="00B0187B" w:rsidRDefault="00B0187B" w:rsidP="00B0187B">
            <w:pPr>
              <w:pStyle w:val="AERtabletextleft"/>
            </w:pPr>
            <w:r>
              <w:t>equity risk premium</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6C46EA" w:rsidP="00B0187B">
            <w:pPr>
              <w:pStyle w:val="AERtabletextleft"/>
            </w:pPr>
            <w:r>
              <w:t>E</w:t>
            </w:r>
            <w:r w:rsidR="00B0187B">
              <w:t xml:space="preserve">xpenditure </w:t>
            </w:r>
            <w:r>
              <w:t>A</w:t>
            </w:r>
            <w:r w:rsidR="00B0187B">
              <w:t xml:space="preserve">ssessment </w:t>
            </w:r>
            <w:r>
              <w:t>G</w:t>
            </w:r>
            <w:r w:rsidR="00B0187B">
              <w:t>uideline</w:t>
            </w:r>
          </w:p>
        </w:tc>
        <w:tc>
          <w:tcPr>
            <w:tcW w:w="4352" w:type="dxa"/>
          </w:tcPr>
          <w:p w:rsidR="00B0187B" w:rsidRPr="00B0187B" w:rsidRDefault="00CF7BE7" w:rsidP="00CF7BE7">
            <w:pPr>
              <w:pStyle w:val="AERtabletextleft"/>
            </w:pPr>
            <w:r>
              <w:t>Expenditure F</w:t>
            </w:r>
            <w:r w:rsidR="00B0187B">
              <w:t xml:space="preserve">orecast </w:t>
            </w:r>
            <w:r>
              <w:t>A</w:t>
            </w:r>
            <w:r w:rsidR="00B0187B">
              <w:t xml:space="preserve">ssessment </w:t>
            </w:r>
            <w:r w:rsidR="006C46EA">
              <w:t>G</w:t>
            </w:r>
            <w:r w:rsidR="00B0187B">
              <w:t>uideline for</w:t>
            </w:r>
            <w:r w:rsidR="00B0187B" w:rsidRPr="00B0187B">
              <w:t xml:space="preserve"> electricity distribution</w:t>
            </w:r>
          </w:p>
        </w:tc>
      </w:tr>
      <w:tr w:rsidR="00B0187B" w:rsidTr="00CF7BE7">
        <w:tc>
          <w:tcPr>
            <w:tcW w:w="4341" w:type="dxa"/>
          </w:tcPr>
          <w:p w:rsidR="00B0187B" w:rsidRPr="00B0187B" w:rsidRDefault="00B0187B" w:rsidP="00B0187B">
            <w:pPr>
              <w:pStyle w:val="AERtabletextleft"/>
            </w:pPr>
            <w:r>
              <w:t>F&amp;A</w:t>
            </w:r>
          </w:p>
        </w:tc>
        <w:tc>
          <w:tcPr>
            <w:tcW w:w="4352" w:type="dxa"/>
          </w:tcPr>
          <w:p w:rsidR="00B0187B" w:rsidRPr="00B0187B" w:rsidRDefault="00B0187B" w:rsidP="00B0187B">
            <w:pPr>
              <w:pStyle w:val="AERtabletextleft"/>
            </w:pPr>
            <w:r>
              <w:t>framework and approach</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MRP</w:t>
            </w:r>
          </w:p>
        </w:tc>
        <w:tc>
          <w:tcPr>
            <w:tcW w:w="4352" w:type="dxa"/>
          </w:tcPr>
          <w:p w:rsidR="00B0187B" w:rsidRPr="00B0187B" w:rsidRDefault="00B0187B" w:rsidP="00B0187B">
            <w:pPr>
              <w:pStyle w:val="AERtabletextleft"/>
            </w:pPr>
            <w:r>
              <w:t>market risk premium</w:t>
            </w:r>
          </w:p>
        </w:tc>
      </w:tr>
      <w:tr w:rsidR="00B0187B" w:rsidTr="00CF7BE7">
        <w:tc>
          <w:tcPr>
            <w:tcW w:w="4341" w:type="dxa"/>
          </w:tcPr>
          <w:p w:rsidR="00B0187B" w:rsidRPr="00B0187B" w:rsidRDefault="00B0187B" w:rsidP="00B0187B">
            <w:pPr>
              <w:pStyle w:val="AERtabletextleft"/>
            </w:pPr>
            <w:r>
              <w:t>NEL</w:t>
            </w:r>
          </w:p>
        </w:tc>
        <w:tc>
          <w:tcPr>
            <w:tcW w:w="4352" w:type="dxa"/>
          </w:tcPr>
          <w:p w:rsidR="00B0187B" w:rsidRPr="00B0187B" w:rsidRDefault="00B0187B" w:rsidP="00B0187B">
            <w:pPr>
              <w:pStyle w:val="AERtabletextleft"/>
            </w:pPr>
            <w:r>
              <w:t>national electricity law</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NEM</w:t>
            </w:r>
          </w:p>
        </w:tc>
        <w:tc>
          <w:tcPr>
            <w:tcW w:w="4352" w:type="dxa"/>
          </w:tcPr>
          <w:p w:rsidR="00B0187B" w:rsidRPr="00B0187B" w:rsidRDefault="00B0187B" w:rsidP="00B0187B">
            <w:pPr>
              <w:pStyle w:val="AERtabletextleft"/>
            </w:pPr>
            <w:r>
              <w:t>national electricity market</w:t>
            </w:r>
          </w:p>
        </w:tc>
      </w:tr>
      <w:tr w:rsidR="00B0187B" w:rsidTr="00CF7BE7">
        <w:tc>
          <w:tcPr>
            <w:tcW w:w="4341" w:type="dxa"/>
          </w:tcPr>
          <w:p w:rsidR="00B0187B" w:rsidRPr="00B0187B" w:rsidRDefault="00B0187B" w:rsidP="00B0187B">
            <w:pPr>
              <w:pStyle w:val="AERtabletextleft"/>
            </w:pPr>
            <w:r>
              <w:t>NEO</w:t>
            </w:r>
          </w:p>
        </w:tc>
        <w:tc>
          <w:tcPr>
            <w:tcW w:w="4352" w:type="dxa"/>
          </w:tcPr>
          <w:p w:rsidR="00B0187B" w:rsidRPr="00B0187B" w:rsidRDefault="00B0187B" w:rsidP="00B0187B">
            <w:pPr>
              <w:pStyle w:val="AERtabletextleft"/>
            </w:pPr>
            <w:r>
              <w:t>national electricity objective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NER</w:t>
            </w:r>
          </w:p>
        </w:tc>
        <w:tc>
          <w:tcPr>
            <w:tcW w:w="4352" w:type="dxa"/>
          </w:tcPr>
          <w:p w:rsidR="00B0187B" w:rsidRPr="00B0187B" w:rsidRDefault="00B0187B" w:rsidP="00B0187B">
            <w:pPr>
              <w:pStyle w:val="AERtabletextleft"/>
            </w:pPr>
            <w:r>
              <w:t>national electricity rules</w:t>
            </w:r>
          </w:p>
        </w:tc>
      </w:tr>
      <w:tr w:rsidR="00B0187B" w:rsidTr="00CF7BE7">
        <w:tc>
          <w:tcPr>
            <w:tcW w:w="4341" w:type="dxa"/>
          </w:tcPr>
          <w:p w:rsidR="00B0187B" w:rsidRPr="00B0187B" w:rsidRDefault="00B0187B" w:rsidP="00B0187B">
            <w:pPr>
              <w:pStyle w:val="AERtabletextleft"/>
            </w:pPr>
            <w:r>
              <w:t>NSP</w:t>
            </w:r>
          </w:p>
        </w:tc>
        <w:tc>
          <w:tcPr>
            <w:tcW w:w="4352" w:type="dxa"/>
          </w:tcPr>
          <w:p w:rsidR="00B0187B" w:rsidRPr="00B0187B" w:rsidRDefault="00B0187B" w:rsidP="00B0187B">
            <w:pPr>
              <w:pStyle w:val="AERtabletextleft"/>
            </w:pPr>
            <w:r>
              <w:t>network service provider</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opex</w:t>
            </w:r>
          </w:p>
        </w:tc>
        <w:tc>
          <w:tcPr>
            <w:tcW w:w="4352" w:type="dxa"/>
          </w:tcPr>
          <w:p w:rsidR="00B0187B" w:rsidRPr="00B0187B" w:rsidRDefault="00B0187B" w:rsidP="00B0187B">
            <w:pPr>
              <w:pStyle w:val="AERtabletextleft"/>
            </w:pPr>
            <w:r>
              <w:t xml:space="preserve">operating </w:t>
            </w:r>
            <w:r w:rsidRPr="00B0187B">
              <w:t>expenditure</w:t>
            </w:r>
          </w:p>
        </w:tc>
      </w:tr>
      <w:tr w:rsidR="00B0187B" w:rsidTr="00CF7BE7">
        <w:tc>
          <w:tcPr>
            <w:tcW w:w="4341" w:type="dxa"/>
          </w:tcPr>
          <w:p w:rsidR="00B0187B" w:rsidRPr="00B0187B" w:rsidRDefault="00B0187B" w:rsidP="00B0187B">
            <w:pPr>
              <w:pStyle w:val="AERtabletextleft"/>
            </w:pPr>
            <w:r>
              <w:t>PPI</w:t>
            </w:r>
          </w:p>
        </w:tc>
        <w:tc>
          <w:tcPr>
            <w:tcW w:w="4352" w:type="dxa"/>
          </w:tcPr>
          <w:p w:rsidR="00B0187B" w:rsidRPr="00B0187B" w:rsidRDefault="00B0187B" w:rsidP="00B0187B">
            <w:pPr>
              <w:pStyle w:val="AERtabletextleft"/>
            </w:pPr>
            <w:r>
              <w:t>partial performance indicators</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lastRenderedPageBreak/>
              <w:t>PTRM</w:t>
            </w:r>
          </w:p>
        </w:tc>
        <w:tc>
          <w:tcPr>
            <w:tcW w:w="4352" w:type="dxa"/>
          </w:tcPr>
          <w:p w:rsidR="00B0187B" w:rsidRPr="00B0187B" w:rsidRDefault="00B0187B" w:rsidP="00B0187B">
            <w:pPr>
              <w:pStyle w:val="AERtabletextleft"/>
            </w:pPr>
            <w:r>
              <w:t>post-tax revenue model</w:t>
            </w:r>
          </w:p>
        </w:tc>
      </w:tr>
      <w:tr w:rsidR="00B0187B" w:rsidTr="00CF7BE7">
        <w:tc>
          <w:tcPr>
            <w:tcW w:w="4341" w:type="dxa"/>
          </w:tcPr>
          <w:p w:rsidR="00B0187B" w:rsidRPr="00B0187B" w:rsidRDefault="00B0187B" w:rsidP="00B0187B">
            <w:pPr>
              <w:pStyle w:val="AERtabletextleft"/>
            </w:pPr>
            <w:r>
              <w:t>RAB</w:t>
            </w:r>
          </w:p>
        </w:tc>
        <w:tc>
          <w:tcPr>
            <w:tcW w:w="4352" w:type="dxa"/>
          </w:tcPr>
          <w:p w:rsidR="00B0187B" w:rsidRPr="00B0187B" w:rsidRDefault="00B0187B" w:rsidP="00B0187B">
            <w:pPr>
              <w:pStyle w:val="AERtabletextleft"/>
            </w:pPr>
            <w:r>
              <w:t>regulatory asset base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RBA</w:t>
            </w:r>
          </w:p>
        </w:tc>
        <w:tc>
          <w:tcPr>
            <w:tcW w:w="4352" w:type="dxa"/>
          </w:tcPr>
          <w:p w:rsidR="00B0187B" w:rsidRPr="00B0187B" w:rsidRDefault="00B0187B" w:rsidP="00B0187B">
            <w:pPr>
              <w:pStyle w:val="AERtabletextleft"/>
            </w:pPr>
            <w:r>
              <w:t>Reserve Bank of Australia</w:t>
            </w:r>
          </w:p>
        </w:tc>
      </w:tr>
      <w:tr w:rsidR="00B0187B" w:rsidTr="00CF7BE7">
        <w:tc>
          <w:tcPr>
            <w:tcW w:w="4341" w:type="dxa"/>
          </w:tcPr>
          <w:p w:rsidR="00B0187B" w:rsidRPr="00B0187B" w:rsidRDefault="00B0187B" w:rsidP="00B0187B">
            <w:pPr>
              <w:pStyle w:val="AERtabletextleft"/>
            </w:pPr>
            <w:r>
              <w:t>repex</w:t>
            </w:r>
          </w:p>
        </w:tc>
        <w:tc>
          <w:tcPr>
            <w:tcW w:w="4352" w:type="dxa"/>
          </w:tcPr>
          <w:p w:rsidR="00B0187B" w:rsidRPr="00B0187B" w:rsidRDefault="00B0187B" w:rsidP="00B0187B">
            <w:pPr>
              <w:pStyle w:val="AERtabletextleft"/>
            </w:pPr>
            <w:r>
              <w:t>replacement expenditure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RFM</w:t>
            </w:r>
          </w:p>
        </w:tc>
        <w:tc>
          <w:tcPr>
            <w:tcW w:w="4352" w:type="dxa"/>
          </w:tcPr>
          <w:p w:rsidR="00B0187B" w:rsidRPr="00B0187B" w:rsidRDefault="00B0187B" w:rsidP="00B0187B">
            <w:pPr>
              <w:pStyle w:val="AERtabletextleft"/>
            </w:pPr>
            <w:r>
              <w:t>roll forward model</w:t>
            </w:r>
          </w:p>
        </w:tc>
      </w:tr>
      <w:tr w:rsidR="00B0187B" w:rsidTr="00CF7BE7">
        <w:tc>
          <w:tcPr>
            <w:tcW w:w="4341" w:type="dxa"/>
          </w:tcPr>
          <w:p w:rsidR="00B0187B" w:rsidRPr="00B0187B" w:rsidRDefault="00B0187B" w:rsidP="00B0187B">
            <w:pPr>
              <w:pStyle w:val="AERtabletextleft"/>
            </w:pPr>
            <w:r>
              <w:t>RIN</w:t>
            </w:r>
          </w:p>
        </w:tc>
        <w:tc>
          <w:tcPr>
            <w:tcW w:w="4352" w:type="dxa"/>
          </w:tcPr>
          <w:p w:rsidR="00B0187B" w:rsidRPr="00B0187B" w:rsidRDefault="00B0187B" w:rsidP="00B0187B">
            <w:pPr>
              <w:pStyle w:val="AERtabletextleft"/>
            </w:pPr>
            <w:r>
              <w:t>regulatory information notice</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RPP</w:t>
            </w:r>
          </w:p>
        </w:tc>
        <w:tc>
          <w:tcPr>
            <w:tcW w:w="4352" w:type="dxa"/>
          </w:tcPr>
          <w:p w:rsidR="00B0187B" w:rsidRPr="00B0187B" w:rsidRDefault="00B0187B" w:rsidP="00B0187B">
            <w:pPr>
              <w:pStyle w:val="AERtabletextleft"/>
            </w:pPr>
            <w:r>
              <w:t xml:space="preserve">revenue </w:t>
            </w:r>
            <w:r w:rsidR="006C46EA">
              <w:t xml:space="preserve">and </w:t>
            </w:r>
            <w:r>
              <w:t>pricing principles</w:t>
            </w:r>
          </w:p>
        </w:tc>
      </w:tr>
      <w:tr w:rsidR="00B0187B" w:rsidTr="00CF7BE7">
        <w:tc>
          <w:tcPr>
            <w:tcW w:w="4341" w:type="dxa"/>
          </w:tcPr>
          <w:p w:rsidR="00B0187B" w:rsidRPr="00B0187B" w:rsidRDefault="00B0187B" w:rsidP="00B0187B">
            <w:pPr>
              <w:pStyle w:val="AERtabletextleft"/>
            </w:pPr>
            <w:r>
              <w:t>SAIDI</w:t>
            </w:r>
          </w:p>
        </w:tc>
        <w:tc>
          <w:tcPr>
            <w:tcW w:w="4352" w:type="dxa"/>
          </w:tcPr>
          <w:p w:rsidR="00B0187B" w:rsidRPr="00B0187B" w:rsidRDefault="00B0187B" w:rsidP="00B0187B">
            <w:pPr>
              <w:pStyle w:val="AERtabletextleft"/>
            </w:pPr>
            <w:r>
              <w:t>system average interruption duration index</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SAIFI</w:t>
            </w:r>
          </w:p>
        </w:tc>
        <w:tc>
          <w:tcPr>
            <w:tcW w:w="4352" w:type="dxa"/>
          </w:tcPr>
          <w:p w:rsidR="00B0187B" w:rsidRPr="00B0187B" w:rsidRDefault="00B0187B" w:rsidP="00B0187B">
            <w:pPr>
              <w:pStyle w:val="AERtabletextleft"/>
            </w:pPr>
            <w:r>
              <w:t>system average interruption frequency index</w:t>
            </w:r>
          </w:p>
        </w:tc>
      </w:tr>
      <w:tr w:rsidR="00B0187B" w:rsidTr="00CF7BE7">
        <w:tc>
          <w:tcPr>
            <w:tcW w:w="4341" w:type="dxa"/>
          </w:tcPr>
          <w:p w:rsidR="00B0187B" w:rsidRPr="00B0187B" w:rsidRDefault="00B0187B" w:rsidP="00B0187B">
            <w:pPr>
              <w:pStyle w:val="AERtabletextleft"/>
            </w:pPr>
            <w:r>
              <w:t>SLCAPM</w:t>
            </w:r>
          </w:p>
        </w:tc>
        <w:tc>
          <w:tcPr>
            <w:tcW w:w="4352" w:type="dxa"/>
          </w:tcPr>
          <w:p w:rsidR="00B0187B" w:rsidRPr="00B0187B" w:rsidRDefault="00B0187B" w:rsidP="00B0187B">
            <w:pPr>
              <w:pStyle w:val="AERtabletextleft"/>
            </w:pPr>
            <w:r>
              <w:t>Sharpe-Lintner capital asset pricing model</w:t>
            </w:r>
          </w:p>
        </w:tc>
      </w:tr>
      <w:tr w:rsidR="00B0187B" w:rsidTr="00CF7BE7">
        <w:trPr>
          <w:cnfStyle w:val="000000010000" w:firstRow="0" w:lastRow="0" w:firstColumn="0" w:lastColumn="0" w:oddVBand="0" w:evenVBand="0" w:oddHBand="0" w:evenHBand="1" w:firstRowFirstColumn="0" w:firstRowLastColumn="0" w:lastRowFirstColumn="0" w:lastRowLastColumn="0"/>
        </w:trPr>
        <w:tc>
          <w:tcPr>
            <w:tcW w:w="4341" w:type="dxa"/>
          </w:tcPr>
          <w:p w:rsidR="00B0187B" w:rsidRPr="00B0187B" w:rsidRDefault="00B0187B" w:rsidP="00B0187B">
            <w:pPr>
              <w:pStyle w:val="AERtabletextleft"/>
            </w:pPr>
            <w:r>
              <w:t>STPIS</w:t>
            </w:r>
          </w:p>
        </w:tc>
        <w:tc>
          <w:tcPr>
            <w:tcW w:w="4352" w:type="dxa"/>
          </w:tcPr>
          <w:p w:rsidR="00B0187B" w:rsidRPr="00B0187B" w:rsidRDefault="00B0187B" w:rsidP="00B0187B">
            <w:pPr>
              <w:pStyle w:val="AERtabletextleft"/>
            </w:pPr>
            <w:r>
              <w:t>service target performance incentive scheme</w:t>
            </w:r>
          </w:p>
        </w:tc>
      </w:tr>
      <w:tr w:rsidR="00B0187B" w:rsidTr="00CF7BE7">
        <w:tc>
          <w:tcPr>
            <w:tcW w:w="4341" w:type="dxa"/>
          </w:tcPr>
          <w:p w:rsidR="00B0187B" w:rsidRPr="00B0187B" w:rsidRDefault="00B0187B" w:rsidP="00B0187B">
            <w:pPr>
              <w:pStyle w:val="AERtabletextleft"/>
            </w:pPr>
            <w:r>
              <w:t>WACC</w:t>
            </w:r>
          </w:p>
        </w:tc>
        <w:tc>
          <w:tcPr>
            <w:tcW w:w="4352" w:type="dxa"/>
          </w:tcPr>
          <w:p w:rsidR="00B0187B" w:rsidRPr="00B0187B" w:rsidRDefault="00B0187B" w:rsidP="00B0187B">
            <w:pPr>
              <w:pStyle w:val="AERtabletextleft"/>
            </w:pPr>
            <w:r>
              <w:t>weighted average cost of capital</w:t>
            </w:r>
          </w:p>
        </w:tc>
      </w:tr>
    </w:tbl>
    <w:p w:rsidR="00B0187B" w:rsidRPr="00271F7C" w:rsidRDefault="00B0187B" w:rsidP="00B0187B">
      <w:pPr>
        <w:numPr>
          <w:ilvl w:val="0"/>
          <w:numId w:val="25"/>
        </w:numPr>
      </w:pPr>
    </w:p>
    <w:p w:rsidR="00B0187B" w:rsidRPr="00436A39" w:rsidRDefault="00B0187B" w:rsidP="00B0187B">
      <w:pPr>
        <w:numPr>
          <w:ilvl w:val="0"/>
          <w:numId w:val="25"/>
        </w:numPr>
      </w:pPr>
    </w:p>
    <w:p w:rsidR="00B0187B" w:rsidRDefault="00B0187B" w:rsidP="00B0187B"/>
    <w:p w:rsidR="00B0187B" w:rsidRPr="005039B3" w:rsidRDefault="00B0187B" w:rsidP="005039B3">
      <w:pPr>
        <w:pStyle w:val="Heading1"/>
        <w:numPr>
          <w:ilvl w:val="0"/>
          <w:numId w:val="47"/>
        </w:numPr>
        <w:tabs>
          <w:tab w:val="clear" w:pos="680"/>
          <w:tab w:val="left" w:pos="567"/>
        </w:tabs>
        <w:ind w:hanging="720"/>
      </w:pPr>
      <w:bookmarkStart w:id="10" w:name="_Toc415643504"/>
      <w:r w:rsidRPr="005039B3">
        <w:lastRenderedPageBreak/>
        <w:t>Regulatory depreciation</w:t>
      </w:r>
      <w:bookmarkEnd w:id="10"/>
    </w:p>
    <w:p w:rsidR="007C0DA1" w:rsidRDefault="00B0187B" w:rsidP="007C0DA1">
      <w:pPr>
        <w:numPr>
          <w:ilvl w:val="0"/>
          <w:numId w:val="24"/>
        </w:numPr>
      </w:pPr>
      <w:bookmarkStart w:id="11" w:name="_Toc403144136"/>
      <w:r w:rsidRPr="00740082">
        <w:t xml:space="preserve">Depreciation is the allowance provided so capital investors </w:t>
      </w:r>
      <w:r>
        <w:t>recover</w:t>
      </w:r>
      <w:r w:rsidRPr="00740082">
        <w:t xml:space="preserve"> </w:t>
      </w:r>
      <w:r>
        <w:t xml:space="preserve">their </w:t>
      </w:r>
      <w:r w:rsidRPr="00740082">
        <w:t>invest</w:t>
      </w:r>
      <w:r>
        <w:t>ment</w:t>
      </w:r>
      <w:r w:rsidRPr="00740082">
        <w:t xml:space="preserve"> over the economic life of the asset (return of capital). </w:t>
      </w:r>
      <w:r>
        <w:t>We are</w:t>
      </w:r>
      <w:r w:rsidRPr="00740082">
        <w:t xml:space="preserve"> required to </w:t>
      </w:r>
      <w:r>
        <w:t>decide on whether to approve</w:t>
      </w:r>
      <w:r w:rsidRPr="00740082">
        <w:t xml:space="preserve"> the depreciation schedule</w:t>
      </w:r>
      <w:r>
        <w:t>s</w:t>
      </w:r>
      <w:r w:rsidRPr="00740082">
        <w:t xml:space="preserve"> submitted by </w:t>
      </w:r>
      <w:r>
        <w:t>SA Power Networks</w:t>
      </w:r>
      <w:r w:rsidRPr="00740082">
        <w:t>.</w:t>
      </w:r>
      <w:r>
        <w:rPr>
          <w:rStyle w:val="FootnoteReference"/>
        </w:rPr>
        <w:footnoteReference w:id="1"/>
      </w:r>
      <w:r>
        <w:t xml:space="preserve"> In doing so, we make determinations on the indexation of the regulatory asset base (RAB) and depreciation building blocks for SA Power Networks' 2015–20 regulatory control period.</w:t>
      </w:r>
      <w:r>
        <w:rPr>
          <w:rStyle w:val="FootnoteReference"/>
        </w:rPr>
        <w:footnoteReference w:id="2"/>
      </w:r>
      <w:r>
        <w:t xml:space="preserve"> The r</w:t>
      </w:r>
      <w:r w:rsidRPr="00DB59FA">
        <w:t xml:space="preserve">egulatory depreciation </w:t>
      </w:r>
      <w:r>
        <w:t xml:space="preserve">allowance </w:t>
      </w:r>
      <w:r w:rsidRPr="00DB59FA">
        <w:t xml:space="preserve">is </w:t>
      </w:r>
      <w:r>
        <w:t xml:space="preserve">the net total of the </w:t>
      </w:r>
      <w:r w:rsidRPr="00DB59FA">
        <w:t>straight-line depreciation</w:t>
      </w:r>
      <w:r>
        <w:t xml:space="preserve"> (negative) and</w:t>
      </w:r>
      <w:r w:rsidRPr="00DB59FA">
        <w:t xml:space="preserve"> the indexation </w:t>
      </w:r>
      <w:r w:rsidR="00103540">
        <w:t xml:space="preserve">(positive) </w:t>
      </w:r>
      <w:r w:rsidRPr="00DB59FA">
        <w:t>of the RAB</w:t>
      </w:r>
      <w:r w:rsidR="00103540">
        <w:t>.</w:t>
      </w:r>
    </w:p>
    <w:p w:rsidR="00B0187B" w:rsidRPr="00204479" w:rsidRDefault="00B0187B" w:rsidP="00B0187B">
      <w:pPr>
        <w:rPr>
          <w:rStyle w:val="AERbody"/>
        </w:rPr>
      </w:pPr>
      <w:r w:rsidRPr="00204479">
        <w:rPr>
          <w:rStyle w:val="AERbody"/>
        </w:rPr>
        <w:t xml:space="preserve">This attachment sets out our </w:t>
      </w:r>
      <w:r>
        <w:rPr>
          <w:rStyle w:val="AERbody"/>
        </w:rPr>
        <w:t>preliminary decision</w:t>
      </w:r>
      <w:r w:rsidRPr="00204479">
        <w:rPr>
          <w:rStyle w:val="AERbody"/>
        </w:rPr>
        <w:t xml:space="preserve"> on </w:t>
      </w:r>
      <w:r>
        <w:rPr>
          <w:rStyle w:val="AERbody"/>
        </w:rPr>
        <w:t>SA Power Networks'</w:t>
      </w:r>
      <w:r w:rsidRPr="00204479">
        <w:rPr>
          <w:rStyle w:val="AERbody"/>
        </w:rPr>
        <w:t xml:space="preserve"> regulatory depreciation allowance. It also presents our </w:t>
      </w:r>
      <w:r>
        <w:rPr>
          <w:rStyle w:val="AERbody"/>
        </w:rPr>
        <w:t>preliminary decision</w:t>
      </w:r>
      <w:r w:rsidRPr="00204479">
        <w:rPr>
          <w:rStyle w:val="AERbody"/>
        </w:rPr>
        <w:t xml:space="preserve"> on the proposed depreciation schedules, including an assessment of the proposed standard and remaining asset lives to be used for forecasting the depreciation allowance.</w:t>
      </w:r>
    </w:p>
    <w:p w:rsidR="00B0187B" w:rsidRPr="005039B3" w:rsidRDefault="00B0187B" w:rsidP="005039B3">
      <w:pPr>
        <w:pStyle w:val="Heading2"/>
        <w:numPr>
          <w:ilvl w:val="1"/>
          <w:numId w:val="47"/>
        </w:numPr>
        <w:ind w:hanging="1080"/>
      </w:pPr>
      <w:bookmarkStart w:id="12" w:name="_Toc415643505"/>
      <w:r w:rsidRPr="005039B3">
        <w:t>Preliminary decision</w:t>
      </w:r>
      <w:bookmarkEnd w:id="11"/>
      <w:bookmarkEnd w:id="12"/>
    </w:p>
    <w:p w:rsidR="00B0187B" w:rsidRDefault="00B0187B" w:rsidP="006E08FA">
      <w:r w:rsidRPr="00AC778D">
        <w:t xml:space="preserve">We do not accept </w:t>
      </w:r>
      <w:r>
        <w:t>SA Power Networks'</w:t>
      </w:r>
      <w:r w:rsidRPr="00AC778D">
        <w:t xml:space="preserve"> proposed regulatory depreciation allowance of $</w:t>
      </w:r>
      <w:r>
        <w:t>936.0 </w:t>
      </w:r>
      <w:r w:rsidRPr="00AC778D">
        <w:t>million ($</w:t>
      </w:r>
      <w:r>
        <w:t> </w:t>
      </w:r>
      <w:r w:rsidRPr="00AC778D">
        <w:t xml:space="preserve">nominal) for the </w:t>
      </w:r>
      <w:r>
        <w:t>2015–20 regulatory control period</w:t>
      </w:r>
      <w:r w:rsidRPr="00AC778D">
        <w:t>.</w:t>
      </w:r>
      <w:r>
        <w:rPr>
          <w:rStyle w:val="FootnoteReference"/>
        </w:rPr>
        <w:footnoteReference w:id="3"/>
      </w:r>
      <w:r w:rsidRPr="00AC778D">
        <w:t xml:space="preserve"> Instead, we determine a regulatory depreciation allowance </w:t>
      </w:r>
      <w:r w:rsidRPr="006E08FA">
        <w:t xml:space="preserve">of </w:t>
      </w:r>
      <w:r w:rsidRPr="009A74F2">
        <w:t>$</w:t>
      </w:r>
      <w:r w:rsidR="00FF3268" w:rsidRPr="009A74F2">
        <w:t>533.7</w:t>
      </w:r>
      <w:r w:rsidRPr="009A74F2">
        <w:t> million</w:t>
      </w:r>
      <w:r w:rsidRPr="006E08FA">
        <w:t xml:space="preserve"> ($</w:t>
      </w:r>
      <w:r>
        <w:t> </w:t>
      </w:r>
      <w:r w:rsidRPr="00AC778D">
        <w:t xml:space="preserve">nominal) for </w:t>
      </w:r>
      <w:r>
        <w:t xml:space="preserve">SA Power Networks. This </w:t>
      </w:r>
      <w:r w:rsidR="00103540">
        <w:t xml:space="preserve">amount </w:t>
      </w:r>
      <w:r>
        <w:t>represents</w:t>
      </w:r>
      <w:r w:rsidRPr="00AC778D">
        <w:t xml:space="preserve"> a</w:t>
      </w:r>
      <w:r>
        <w:t xml:space="preserve"> decrease</w:t>
      </w:r>
      <w:r w:rsidRPr="00AC778D">
        <w:t xml:space="preserve"> </w:t>
      </w:r>
      <w:r w:rsidRPr="006E08FA">
        <w:t xml:space="preserve">of </w:t>
      </w:r>
      <w:r w:rsidRPr="009A74F2">
        <w:t>$</w:t>
      </w:r>
      <w:r w:rsidR="00FF3268" w:rsidRPr="009A74F2">
        <w:t>402.3</w:t>
      </w:r>
      <w:r w:rsidRPr="009A74F2">
        <w:t> million</w:t>
      </w:r>
      <w:r w:rsidRPr="006E08FA">
        <w:t xml:space="preserve"> (or </w:t>
      </w:r>
      <w:r w:rsidR="00FF3268" w:rsidRPr="009A74F2">
        <w:t>43.0</w:t>
      </w:r>
      <w:r w:rsidRPr="009A74F2">
        <w:t> per cent</w:t>
      </w:r>
      <w:r w:rsidRPr="006E08FA">
        <w:t xml:space="preserve">) </w:t>
      </w:r>
      <w:r w:rsidR="00103540" w:rsidRPr="006E08FA">
        <w:t xml:space="preserve">on the </w:t>
      </w:r>
      <w:r w:rsidRPr="006E08FA">
        <w:t>proposed</w:t>
      </w:r>
      <w:r w:rsidR="00103540" w:rsidRPr="006E08FA">
        <w:t xml:space="preserve"> amount</w:t>
      </w:r>
      <w:r w:rsidRPr="006E08FA">
        <w:t>. In coming to thi</w:t>
      </w:r>
      <w:r>
        <w:t>s decision</w:t>
      </w:r>
      <w:r w:rsidR="00F72E82">
        <w:t>:</w:t>
      </w:r>
    </w:p>
    <w:p w:rsidR="00034900" w:rsidRDefault="00F72E82" w:rsidP="00B0187B">
      <w:pPr>
        <w:pStyle w:val="AERbulletlistfirststyle"/>
      </w:pPr>
      <w:r>
        <w:t>W</w:t>
      </w:r>
      <w:r w:rsidR="00103540">
        <w:t xml:space="preserve">e accept </w:t>
      </w:r>
      <w:r w:rsidR="00B0187B">
        <w:t>SA Power Networks'</w:t>
      </w:r>
      <w:r w:rsidR="00B0187B" w:rsidRPr="00204479">
        <w:t xml:space="preserve"> proposed asset classes, </w:t>
      </w:r>
      <w:r w:rsidR="00103540">
        <w:t xml:space="preserve">its </w:t>
      </w:r>
      <w:r w:rsidR="00B0187B" w:rsidRPr="00204479">
        <w:t xml:space="preserve">straight-line </w:t>
      </w:r>
      <w:r w:rsidR="00B0187B">
        <w:t xml:space="preserve">depreciation </w:t>
      </w:r>
      <w:r w:rsidR="00B0187B" w:rsidRPr="00204479">
        <w:t xml:space="preserve">method, and the majority of standard asset lives used to calculate the regulatory depreciation allowance. We consider </w:t>
      </w:r>
      <w:r w:rsidR="00B0187B">
        <w:t>SA Power Networks'</w:t>
      </w:r>
      <w:r w:rsidR="00B0187B" w:rsidRPr="00204479">
        <w:t xml:space="preserve"> proposed asset classes and standard asset lives are generally consistent with those approved at the </w:t>
      </w:r>
      <w:r w:rsidR="00B0187B">
        <w:t>2010–15</w:t>
      </w:r>
      <w:r w:rsidR="00B0187B" w:rsidRPr="00204479">
        <w:t xml:space="preserve"> distribution determination</w:t>
      </w:r>
      <w:r w:rsidR="00103540">
        <w:t>,</w:t>
      </w:r>
      <w:r w:rsidR="00B0187B" w:rsidRPr="00204479">
        <w:t xml:space="preserve"> and reflect the nature and economic lives of the assets.</w:t>
      </w:r>
      <w:r w:rsidR="00B0187B" w:rsidRPr="00204479">
        <w:rPr>
          <w:rStyle w:val="FootnoteReference"/>
        </w:rPr>
        <w:footnoteReference w:id="4"/>
      </w:r>
    </w:p>
    <w:p w:rsidR="00B0187B" w:rsidRPr="00204479" w:rsidRDefault="00F72E82" w:rsidP="00B0187B">
      <w:pPr>
        <w:pStyle w:val="AERbulletlistfirststyle"/>
      </w:pPr>
      <w:r>
        <w:t>W</w:t>
      </w:r>
      <w:r w:rsidR="00103540">
        <w:t>e d</w:t>
      </w:r>
      <w:r w:rsidR="00034900">
        <w:t>o not accept</w:t>
      </w:r>
      <w:r w:rsidR="00B0187B">
        <w:t xml:space="preserve"> the proposed standard asset life of </w:t>
      </w:r>
      <w:r w:rsidR="00294D55">
        <w:t>the 'L</w:t>
      </w:r>
      <w:r w:rsidR="00B0187B">
        <w:t>ight vehicle</w:t>
      </w:r>
      <w:r w:rsidR="00D37A66">
        <w:t>s</w:t>
      </w:r>
      <w:r w:rsidR="00294D55">
        <w:t>'</w:t>
      </w:r>
      <w:r w:rsidR="00B0187B">
        <w:t xml:space="preserve"> asset class. We consider the standard asset life for </w:t>
      </w:r>
      <w:r w:rsidR="00294D55">
        <w:t>this</w:t>
      </w:r>
      <w:r w:rsidR="00B0187B">
        <w:t xml:space="preserve"> asset class should be </w:t>
      </w:r>
      <w:r w:rsidR="00103540">
        <w:t>five</w:t>
      </w:r>
      <w:r w:rsidR="00B0187B">
        <w:t xml:space="preserve"> years consistent with that </w:t>
      </w:r>
      <w:r w:rsidR="00103540">
        <w:t xml:space="preserve">life </w:t>
      </w:r>
      <w:r w:rsidR="00B0187B">
        <w:t>app</w:t>
      </w:r>
      <w:r w:rsidR="00294D55">
        <w:t>roved for</w:t>
      </w:r>
      <w:r w:rsidR="00B0187B">
        <w:t xml:space="preserve"> the 2010–15 regulatory control period.     </w:t>
      </w:r>
    </w:p>
    <w:p w:rsidR="00294D55" w:rsidRDefault="00F72E82" w:rsidP="00294D55">
      <w:pPr>
        <w:pStyle w:val="AERbulletlistfirststyle"/>
      </w:pPr>
      <w:r>
        <w:t>W</w:t>
      </w:r>
      <w:r w:rsidR="00103540">
        <w:t>e d</w:t>
      </w:r>
      <w:r w:rsidR="007C0DA1">
        <w:t>o not accept SA Power Networks'</w:t>
      </w:r>
      <w:r w:rsidR="007C0DA1" w:rsidRPr="007C0DA1">
        <w:t xml:space="preserve"> pr</w:t>
      </w:r>
      <w:r w:rsidR="007C0DA1">
        <w:t>oposed average depreciation approach to calculate</w:t>
      </w:r>
      <w:r w:rsidR="005441EC">
        <w:t xml:space="preserve"> the</w:t>
      </w:r>
      <w:r w:rsidR="007C0DA1">
        <w:t xml:space="preserve"> remaining asset</w:t>
      </w:r>
      <w:r w:rsidR="007C0DA1" w:rsidRPr="007C0DA1">
        <w:t xml:space="preserve"> l</w:t>
      </w:r>
      <w:r w:rsidR="007C0DA1">
        <w:t>ives</w:t>
      </w:r>
      <w:r w:rsidR="005441EC">
        <w:t xml:space="preserve"> at 1 July 2015</w:t>
      </w:r>
      <w:r w:rsidR="007C0DA1">
        <w:t xml:space="preserve">. We instead </w:t>
      </w:r>
      <w:r w:rsidR="009B1B2E">
        <w:t xml:space="preserve">substitute </w:t>
      </w:r>
      <w:r w:rsidR="007C0DA1" w:rsidRPr="007C0DA1">
        <w:t>rem</w:t>
      </w:r>
      <w:r w:rsidR="007C0DA1">
        <w:t xml:space="preserve">aining asset lives calculated </w:t>
      </w:r>
      <w:r w:rsidR="00424056">
        <w:t>using a</w:t>
      </w:r>
      <w:r w:rsidR="007C0DA1">
        <w:t xml:space="preserve"> weighted average </w:t>
      </w:r>
      <w:r w:rsidR="007C0DA1" w:rsidRPr="007C0DA1">
        <w:t xml:space="preserve">approach. </w:t>
      </w:r>
    </w:p>
    <w:p w:rsidR="00B0187B" w:rsidRPr="00204479" w:rsidRDefault="00F72E82" w:rsidP="006E08FA">
      <w:pPr>
        <w:pStyle w:val="AERbulletlistfirststyle"/>
      </w:pPr>
      <w:r>
        <w:t>W</w:t>
      </w:r>
      <w:r w:rsidR="00103540">
        <w:t>e m</w:t>
      </w:r>
      <w:r w:rsidR="00B0187B" w:rsidRPr="00204479">
        <w:t xml:space="preserve">ade </w:t>
      </w:r>
      <w:r w:rsidR="00AC386C">
        <w:t xml:space="preserve">a </w:t>
      </w:r>
      <w:r w:rsidR="00B0187B" w:rsidRPr="00204479">
        <w:t xml:space="preserve">determination </w:t>
      </w:r>
      <w:r w:rsidR="00D75EBF">
        <w:t>changing</w:t>
      </w:r>
      <w:r w:rsidR="00B0187B" w:rsidRPr="00204479">
        <w:t xml:space="preserve"> </w:t>
      </w:r>
      <w:r w:rsidR="00AC386C">
        <w:t>an</w:t>
      </w:r>
      <w:r w:rsidR="00B0187B" w:rsidRPr="00204479">
        <w:t xml:space="preserve">other component of </w:t>
      </w:r>
      <w:r w:rsidR="00B0187B">
        <w:t>SA Power Networks'</w:t>
      </w:r>
      <w:r w:rsidR="00B0187B" w:rsidRPr="00204479">
        <w:t xml:space="preserve"> proposal </w:t>
      </w:r>
      <w:r w:rsidR="00103540">
        <w:t xml:space="preserve">that </w:t>
      </w:r>
      <w:r w:rsidR="00B0187B" w:rsidRPr="00204479">
        <w:t>also affect</w:t>
      </w:r>
      <w:r w:rsidR="00D75EBF">
        <w:t>s</w:t>
      </w:r>
      <w:r w:rsidR="00B0187B" w:rsidRPr="00204479">
        <w:t xml:space="preserve"> the forecast regulatory depreciation allowance—the forecast capital expenditure (capex) (</w:t>
      </w:r>
      <w:r w:rsidR="00B0187B" w:rsidRPr="006E08FA">
        <w:t xml:space="preserve">attachment </w:t>
      </w:r>
      <w:r w:rsidR="00B0187B" w:rsidRPr="009A74F2">
        <w:t>6</w:t>
      </w:r>
      <w:r w:rsidR="00B0187B" w:rsidRPr="00204479">
        <w:t>).</w:t>
      </w:r>
      <w:r w:rsidR="00B0187B" w:rsidRPr="00204479">
        <w:rPr>
          <w:rStyle w:val="AERsuperscript"/>
        </w:rPr>
        <w:footnoteReference w:id="5"/>
      </w:r>
    </w:p>
    <w:p w:rsidR="00B0187B" w:rsidRPr="009702F0" w:rsidRDefault="00B0187B" w:rsidP="00B0187B">
      <w:r>
        <w:lastRenderedPageBreak/>
        <w:fldChar w:fldCharType="begin"/>
      </w:r>
      <w:r>
        <w:instrText xml:space="preserve"> REF _Ref404610721 \h </w:instrText>
      </w:r>
      <w:r>
        <w:fldChar w:fldCharType="separate"/>
      </w:r>
      <w:r w:rsidR="00CC3B48">
        <w:t xml:space="preserve">Table </w:t>
      </w:r>
      <w:r w:rsidR="00CC3B48">
        <w:rPr>
          <w:noProof/>
        </w:rPr>
        <w:t>5</w:t>
      </w:r>
      <w:r w:rsidR="00CC3B48">
        <w:t>.</w:t>
      </w:r>
      <w:r w:rsidR="00CC3B48">
        <w:rPr>
          <w:noProof/>
        </w:rPr>
        <w:t>1</w:t>
      </w:r>
      <w:r>
        <w:fldChar w:fldCharType="end"/>
      </w:r>
      <w:r w:rsidRPr="009702F0">
        <w:t xml:space="preserve"> sets out our </w:t>
      </w:r>
      <w:r>
        <w:t>preliminary decision</w:t>
      </w:r>
      <w:r w:rsidRPr="009702F0">
        <w:t xml:space="preserve"> on the annual regulatory depreciation allowance for </w:t>
      </w:r>
      <w:r>
        <w:t>SA Power Networks'</w:t>
      </w:r>
      <w:r w:rsidRPr="009702F0">
        <w:t xml:space="preserve"> </w:t>
      </w:r>
      <w:r>
        <w:t>2015–20</w:t>
      </w:r>
      <w:r w:rsidRPr="009702F0">
        <w:t xml:space="preserve"> regulatory control </w:t>
      </w:r>
      <w:proofErr w:type="gramStart"/>
      <w:r w:rsidRPr="009702F0">
        <w:t>period</w:t>
      </w:r>
      <w:proofErr w:type="gramEnd"/>
      <w:r w:rsidRPr="009702F0">
        <w:t>.</w:t>
      </w:r>
      <w:bookmarkStart w:id="13" w:name="_Ref404241735"/>
    </w:p>
    <w:p w:rsidR="00B0187B" w:rsidRDefault="00B0187B" w:rsidP="00B0187B">
      <w:pPr>
        <w:pStyle w:val="Caption"/>
      </w:pPr>
      <w:bookmarkStart w:id="14" w:name="_Ref404610721"/>
      <w:r>
        <w:t xml:space="preserve">Table </w:t>
      </w:r>
      <w:fldSimple w:instr=" STYLEREF 1 \s ">
        <w:r w:rsidR="00CC3B48">
          <w:rPr>
            <w:noProof/>
          </w:rPr>
          <w:t>5</w:t>
        </w:r>
      </w:fldSimple>
      <w:r w:rsidR="002C7D8C">
        <w:t>.</w:t>
      </w:r>
      <w:fldSimple w:instr=" SEQ Table \* ARABIC \s 1 ">
        <w:r w:rsidR="00CC3B48">
          <w:rPr>
            <w:noProof/>
          </w:rPr>
          <w:t>1</w:t>
        </w:r>
      </w:fldSimple>
      <w:bookmarkEnd w:id="13"/>
      <w:bookmarkEnd w:id="14"/>
      <w:r>
        <w:tab/>
      </w:r>
      <w:r w:rsidRPr="004D699F">
        <w:t xml:space="preserve">AER's </w:t>
      </w:r>
      <w:r>
        <w:t>preliminary decision</w:t>
      </w:r>
      <w:r w:rsidRPr="004D699F">
        <w:t xml:space="preserve"> on </w:t>
      </w:r>
      <w:r>
        <w:t>SA Power Networks'</w:t>
      </w:r>
      <w:r w:rsidRPr="004D699F">
        <w:t xml:space="preserve"> depreciation allowance for the</w:t>
      </w:r>
      <w:r>
        <w:t xml:space="preserve"> 2015–20 regulatory control period</w:t>
      </w:r>
      <w:r w:rsidRPr="004D699F">
        <w:t xml:space="preserve"> ($ million, nominal)</w:t>
      </w:r>
    </w:p>
    <w:tbl>
      <w:tblPr>
        <w:tblStyle w:val="AERtable-numbers"/>
        <w:tblW w:w="5000" w:type="pct"/>
        <w:tblLayout w:type="fixed"/>
        <w:tblLook w:val="04A0" w:firstRow="1" w:lastRow="0" w:firstColumn="1" w:lastColumn="0" w:noHBand="0" w:noVBand="1"/>
      </w:tblPr>
      <w:tblGrid>
        <w:gridCol w:w="3227"/>
        <w:gridCol w:w="911"/>
        <w:gridCol w:w="911"/>
        <w:gridCol w:w="911"/>
        <w:gridCol w:w="911"/>
        <w:gridCol w:w="911"/>
        <w:gridCol w:w="911"/>
      </w:tblGrid>
      <w:tr w:rsidR="00B0187B" w:rsidRPr="00204479" w:rsidTr="00FF32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6" w:type="pct"/>
            <w:noWrap/>
            <w:hideMark/>
          </w:tcPr>
          <w:p w:rsidR="00B0187B" w:rsidRPr="00B0187B" w:rsidRDefault="00B0187B" w:rsidP="00B0187B">
            <w:r w:rsidRPr="00204479">
              <w:t> </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2015–16</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2016–17</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2017–18</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2018–19</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2019–20</w:t>
            </w:r>
          </w:p>
        </w:tc>
        <w:tc>
          <w:tcPr>
            <w:tcW w:w="524" w:type="pct"/>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Total</w:t>
            </w:r>
          </w:p>
        </w:tc>
      </w:tr>
      <w:tr w:rsidR="00FF3268" w:rsidRPr="00204479" w:rsidTr="00FF3268">
        <w:trPr>
          <w:trHeight w:val="300"/>
        </w:trPr>
        <w:tc>
          <w:tcPr>
            <w:cnfStyle w:val="001000000000" w:firstRow="0" w:lastRow="0" w:firstColumn="1" w:lastColumn="0" w:oddVBand="0" w:evenVBand="0" w:oddHBand="0" w:evenHBand="0" w:firstRowFirstColumn="0" w:firstRowLastColumn="0" w:lastRowFirstColumn="0" w:lastRowLastColumn="0"/>
            <w:tcW w:w="1856" w:type="pct"/>
            <w:noWrap/>
            <w:hideMark/>
          </w:tcPr>
          <w:p w:rsidR="00FF3268" w:rsidRPr="00FF3268" w:rsidRDefault="00FF3268" w:rsidP="00FF3268">
            <w:r w:rsidRPr="00FF3268">
              <w:t>Straight-line depreciation</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176.4</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199.7</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223.7</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246.1</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242.0</w:t>
            </w:r>
          </w:p>
        </w:tc>
        <w:tc>
          <w:tcPr>
            <w:tcW w:w="524" w:type="pct"/>
            <w:noWrap/>
            <w:vAlign w:val="bottom"/>
          </w:tcPr>
          <w:p w:rsidR="00FF3268" w:rsidRPr="00FF3268" w:rsidRDefault="00FF3268" w:rsidP="00FF3268">
            <w:pPr>
              <w:cnfStyle w:val="000000000000" w:firstRow="0" w:lastRow="0" w:firstColumn="0" w:lastColumn="0" w:oddVBand="0" w:evenVBand="0" w:oddHBand="0" w:evenHBand="0" w:firstRowFirstColumn="0" w:firstRowLastColumn="0" w:lastRowFirstColumn="0" w:lastRowLastColumn="0"/>
            </w:pPr>
            <w:r w:rsidRPr="00FF3268">
              <w:t>1087.9</w:t>
            </w:r>
          </w:p>
        </w:tc>
      </w:tr>
      <w:tr w:rsidR="00FF3268" w:rsidRPr="00204479" w:rsidTr="00FF32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6" w:type="pct"/>
            <w:noWrap/>
            <w:hideMark/>
          </w:tcPr>
          <w:p w:rsidR="00FF3268" w:rsidRPr="00FF3268" w:rsidRDefault="00FF3268" w:rsidP="00FF3268">
            <w:r w:rsidRPr="00FF3268">
              <w:rPr>
                <w:rStyle w:val="AERtextitalic"/>
              </w:rPr>
              <w:t>Less:</w:t>
            </w:r>
            <w:r w:rsidRPr="00FF3268">
              <w:t xml:space="preserve"> inflation indexation on opening RAB</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97.6</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104.0</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110.8</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117.6</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124.1</w:t>
            </w:r>
          </w:p>
        </w:tc>
        <w:tc>
          <w:tcPr>
            <w:tcW w:w="524" w:type="pct"/>
            <w:noWrap/>
            <w:vAlign w:val="bottom"/>
          </w:tcPr>
          <w:p w:rsidR="00FF3268" w:rsidRPr="00FF3268" w:rsidRDefault="00FF3268" w:rsidP="00FF3268">
            <w:pPr>
              <w:cnfStyle w:val="000000010000" w:firstRow="0" w:lastRow="0" w:firstColumn="0" w:lastColumn="0" w:oddVBand="0" w:evenVBand="0" w:oddHBand="0" w:evenHBand="1" w:firstRowFirstColumn="0" w:firstRowLastColumn="0" w:lastRowFirstColumn="0" w:lastRowLastColumn="0"/>
            </w:pPr>
            <w:r w:rsidRPr="00FF3268">
              <w:t>554.2</w:t>
            </w:r>
          </w:p>
        </w:tc>
      </w:tr>
      <w:tr w:rsidR="00FF3268" w:rsidRPr="00FF3268" w:rsidTr="00FF3268">
        <w:trPr>
          <w:trHeight w:val="300"/>
        </w:trPr>
        <w:tc>
          <w:tcPr>
            <w:cnfStyle w:val="001000000000" w:firstRow="0" w:lastRow="0" w:firstColumn="1" w:lastColumn="0" w:oddVBand="0" w:evenVBand="0" w:oddHBand="0" w:evenHBand="0" w:firstRowFirstColumn="0" w:firstRowLastColumn="0" w:lastRowFirstColumn="0" w:lastRowLastColumn="0"/>
            <w:tcW w:w="1856" w:type="pct"/>
            <w:noWrap/>
            <w:hideMark/>
          </w:tcPr>
          <w:p w:rsidR="00FF3268" w:rsidRPr="00FF3268" w:rsidRDefault="00FF3268" w:rsidP="00FF3268">
            <w:pPr>
              <w:rPr>
                <w:rStyle w:val="Strong"/>
              </w:rPr>
            </w:pPr>
            <w:r w:rsidRPr="00FF3268">
              <w:rPr>
                <w:rStyle w:val="Strong"/>
              </w:rPr>
              <w:t>Regulatory depreciation</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78.8</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95.6</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112.8</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128.5</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117.9</w:t>
            </w:r>
          </w:p>
        </w:tc>
        <w:tc>
          <w:tcPr>
            <w:tcW w:w="524" w:type="pct"/>
            <w:noWrap/>
            <w:vAlign w:val="bottom"/>
          </w:tcPr>
          <w:p w:rsidR="00FF3268" w:rsidRPr="006E08FA" w:rsidRDefault="00FF3268" w:rsidP="00FF3268">
            <w:pPr>
              <w:cnfStyle w:val="000000000000" w:firstRow="0" w:lastRow="0" w:firstColumn="0" w:lastColumn="0" w:oddVBand="0" w:evenVBand="0" w:oddHBand="0" w:evenHBand="0" w:firstRowFirstColumn="0" w:firstRowLastColumn="0" w:lastRowFirstColumn="0" w:lastRowLastColumn="0"/>
              <w:rPr>
                <w:rStyle w:val="Strong"/>
              </w:rPr>
            </w:pPr>
            <w:r w:rsidRPr="006E08FA">
              <w:rPr>
                <w:rStyle w:val="Strong"/>
              </w:rPr>
              <w:t>533.7</w:t>
            </w:r>
          </w:p>
        </w:tc>
      </w:tr>
    </w:tbl>
    <w:p w:rsidR="00B0187B" w:rsidRPr="00865D10" w:rsidRDefault="00B0187B" w:rsidP="00B0187B">
      <w:pPr>
        <w:pStyle w:val="AERtablesource"/>
      </w:pPr>
      <w:r w:rsidRPr="00865D10">
        <w:t>Source:</w:t>
      </w:r>
      <w:r w:rsidRPr="00865D10">
        <w:tab/>
        <w:t>AER analysis.</w:t>
      </w:r>
    </w:p>
    <w:p w:rsidR="00B0187B" w:rsidRPr="005039B3" w:rsidRDefault="00B0187B" w:rsidP="005039B3">
      <w:pPr>
        <w:pStyle w:val="Heading2"/>
        <w:numPr>
          <w:ilvl w:val="1"/>
          <w:numId w:val="47"/>
        </w:numPr>
        <w:ind w:left="709" w:hanging="709"/>
      </w:pPr>
      <w:bookmarkStart w:id="15" w:name="_Toc403144137"/>
      <w:bookmarkStart w:id="16" w:name="_Toc415643506"/>
      <w:r w:rsidRPr="005039B3">
        <w:t>SA Power Networks' proposal</w:t>
      </w:r>
      <w:bookmarkEnd w:id="15"/>
      <w:bookmarkEnd w:id="16"/>
    </w:p>
    <w:p w:rsidR="00B0187B" w:rsidRPr="00087443" w:rsidRDefault="00B0187B" w:rsidP="00B0187B">
      <w:pPr>
        <w:numPr>
          <w:ilvl w:val="0"/>
          <w:numId w:val="25"/>
        </w:numPr>
      </w:pPr>
      <w:r w:rsidRPr="003A306D">
        <w:t xml:space="preserve">For the </w:t>
      </w:r>
      <w:r>
        <w:t>2015–20 regulatory control period</w:t>
      </w:r>
      <w:r w:rsidRPr="003A306D">
        <w:t xml:space="preserve">, </w:t>
      </w:r>
      <w:r>
        <w:t>SA Power Networks</w:t>
      </w:r>
      <w:r w:rsidRPr="003A306D">
        <w:t xml:space="preserve"> proposed a total forecast regulatory depreciation allowance of $</w:t>
      </w:r>
      <w:r>
        <w:t>936.0 </w:t>
      </w:r>
      <w:r w:rsidRPr="003A306D">
        <w:t>million (</w:t>
      </w:r>
      <w:r>
        <w:t>$ </w:t>
      </w:r>
      <w:r w:rsidRPr="003A306D">
        <w:t>nominal).</w:t>
      </w:r>
      <w:r>
        <w:t xml:space="preserve"> </w:t>
      </w:r>
      <w:r w:rsidRPr="00A426DA">
        <w:t xml:space="preserve">To calculate the depreciation allowance, </w:t>
      </w:r>
      <w:r>
        <w:t>SA Power Networks proposed to use</w:t>
      </w:r>
      <w:r w:rsidRPr="00087443">
        <w:t>:</w:t>
      </w:r>
      <w:r>
        <w:rPr>
          <w:rStyle w:val="FootnoteReference"/>
        </w:rPr>
        <w:footnoteReference w:id="6"/>
      </w:r>
    </w:p>
    <w:p w:rsidR="00B0187B" w:rsidRPr="00204479" w:rsidRDefault="00B0187B" w:rsidP="00B0187B">
      <w:pPr>
        <w:pStyle w:val="AERbulletlistfirststyle"/>
      </w:pPr>
      <w:r w:rsidRPr="00087443">
        <w:t xml:space="preserve">the straight-line depreciation method employed in </w:t>
      </w:r>
      <w:r w:rsidR="00103540">
        <w:t>our</w:t>
      </w:r>
      <w:r w:rsidRPr="00087443">
        <w:t xml:space="preserve"> post-tax revenue model (PTRM)</w:t>
      </w:r>
    </w:p>
    <w:p w:rsidR="00B0187B" w:rsidRPr="00204479" w:rsidRDefault="00B0187B" w:rsidP="00B0187B">
      <w:pPr>
        <w:pStyle w:val="AERbulletlistfirststyle"/>
      </w:pPr>
      <w:r w:rsidRPr="00A426DA">
        <w:t xml:space="preserve">the closing RAB value at </w:t>
      </w:r>
      <w:r>
        <w:t>30 June 2015</w:t>
      </w:r>
      <w:r w:rsidR="00103540">
        <w:t>,</w:t>
      </w:r>
      <w:r w:rsidRPr="00A426DA">
        <w:t xml:space="preserve"> derived from the </w:t>
      </w:r>
      <w:r w:rsidR="00103540">
        <w:t>our</w:t>
      </w:r>
      <w:r w:rsidRPr="00A426DA">
        <w:t xml:space="preserve"> </w:t>
      </w:r>
      <w:r w:rsidR="00B16647">
        <w:t>roll forward model (</w:t>
      </w:r>
      <w:r w:rsidRPr="00A426DA">
        <w:t>RFM</w:t>
      </w:r>
      <w:r w:rsidR="00B16647">
        <w:t>)</w:t>
      </w:r>
    </w:p>
    <w:p w:rsidR="00B0187B" w:rsidRPr="00204479" w:rsidRDefault="00B0187B" w:rsidP="00B0187B">
      <w:pPr>
        <w:pStyle w:val="AERbulletlistfirststyle"/>
      </w:pPr>
      <w:r w:rsidRPr="00A426DA">
        <w:t xml:space="preserve">proposed forecast capex for the </w:t>
      </w:r>
      <w:r>
        <w:t>2015–20 regulatory control period</w:t>
      </w:r>
    </w:p>
    <w:p w:rsidR="00B0187B" w:rsidRPr="00204479" w:rsidRDefault="00B0187B" w:rsidP="00B0187B">
      <w:pPr>
        <w:pStyle w:val="AERbulletlistfirststyle"/>
      </w:pPr>
      <w:r w:rsidRPr="00A426DA">
        <w:t>remaini</w:t>
      </w:r>
      <w:r>
        <w:t xml:space="preserve">ng asset lives for </w:t>
      </w:r>
      <w:r w:rsidR="00103540">
        <w:t xml:space="preserve">existing </w:t>
      </w:r>
      <w:r w:rsidRPr="00A426DA">
        <w:t>asset</w:t>
      </w:r>
      <w:r>
        <w:t xml:space="preserve">s </w:t>
      </w:r>
      <w:r w:rsidRPr="00A426DA">
        <w:t xml:space="preserve">at </w:t>
      </w:r>
      <w:r>
        <w:t>30 June 2015</w:t>
      </w:r>
      <w:r w:rsidRPr="00A426DA">
        <w:t xml:space="preserve"> derived from the RFM</w:t>
      </w:r>
      <w:r>
        <w:t xml:space="preserve"> using</w:t>
      </w:r>
      <w:r w:rsidR="00294D55">
        <w:t xml:space="preserve"> an</w:t>
      </w:r>
      <w:r>
        <w:t xml:space="preserve"> </w:t>
      </w:r>
      <w:r w:rsidR="00294D55">
        <w:t>'</w:t>
      </w:r>
      <w:r>
        <w:t>average depreciation</w:t>
      </w:r>
      <w:r w:rsidR="00294D55">
        <w:t>'</w:t>
      </w:r>
      <w:r w:rsidR="00103540">
        <w:t xml:space="preserve"> </w:t>
      </w:r>
      <w:r>
        <w:t>approach</w:t>
      </w:r>
      <w:r w:rsidR="00B16647">
        <w:rPr>
          <w:rStyle w:val="FootnoteReference"/>
        </w:rPr>
        <w:footnoteReference w:id="7"/>
      </w:r>
      <w:r>
        <w:t xml:space="preserve"> </w:t>
      </w:r>
    </w:p>
    <w:p w:rsidR="00B0187B" w:rsidRPr="00204479" w:rsidRDefault="00B0187B" w:rsidP="00B0187B">
      <w:pPr>
        <w:pStyle w:val="AERbulletlistfirststyle"/>
      </w:pPr>
      <w:r w:rsidRPr="00A426DA">
        <w:t xml:space="preserve">standard asset lives for depreciating new assets associated with forecast capex for the </w:t>
      </w:r>
      <w:r>
        <w:t>2015–20 regulatory control period</w:t>
      </w:r>
      <w:r w:rsidRPr="00204479">
        <w:t xml:space="preserve"> consistent with those approved </w:t>
      </w:r>
      <w:r w:rsidR="00103540">
        <w:t>in</w:t>
      </w:r>
      <w:r w:rsidRPr="00204479">
        <w:t xml:space="preserve"> the </w:t>
      </w:r>
      <w:r>
        <w:t>2010–15 distribution determination,</w:t>
      </w:r>
      <w:r w:rsidR="00103540">
        <w:t xml:space="preserve"> </w:t>
      </w:r>
      <w:r>
        <w:t xml:space="preserve">except </w:t>
      </w:r>
      <w:r w:rsidR="00103540">
        <w:t xml:space="preserve">for </w:t>
      </w:r>
      <w:r w:rsidR="00D37A66">
        <w:t>the</w:t>
      </w:r>
      <w:r>
        <w:t xml:space="preserve"> </w:t>
      </w:r>
      <w:r w:rsidR="00294D55">
        <w:t>'H</w:t>
      </w:r>
      <w:r>
        <w:t xml:space="preserve">eavy </w:t>
      </w:r>
      <w:r w:rsidR="00294D55">
        <w:t>vehicle</w:t>
      </w:r>
      <w:r w:rsidR="00D37A66">
        <w:t>s</w:t>
      </w:r>
      <w:r w:rsidR="00294D55">
        <w:t xml:space="preserve">' </w:t>
      </w:r>
      <w:r>
        <w:t xml:space="preserve">and </w:t>
      </w:r>
      <w:r w:rsidR="00F72E82">
        <w:t>'</w:t>
      </w:r>
      <w:r w:rsidR="00294D55">
        <w:t>L</w:t>
      </w:r>
      <w:r>
        <w:t>ight vehicle</w:t>
      </w:r>
      <w:r w:rsidR="00D37A66">
        <w:t>s</w:t>
      </w:r>
      <w:r w:rsidR="00294D55">
        <w:t>'</w:t>
      </w:r>
      <w:r>
        <w:t xml:space="preserve"> </w:t>
      </w:r>
      <w:r w:rsidRPr="00204479">
        <w:t>asset class</w:t>
      </w:r>
      <w:r>
        <w:t>es.</w:t>
      </w:r>
      <w:r>
        <w:rPr>
          <w:rStyle w:val="FootnoteReference"/>
        </w:rPr>
        <w:footnoteReference w:id="8"/>
      </w:r>
      <w:r>
        <w:t xml:space="preserve">  </w:t>
      </w:r>
    </w:p>
    <w:p w:rsidR="00B0187B" w:rsidRPr="00087443" w:rsidRDefault="00B0187B" w:rsidP="00B0187B">
      <w:pPr>
        <w:numPr>
          <w:ilvl w:val="0"/>
          <w:numId w:val="25"/>
        </w:numPr>
      </w:pPr>
      <w:r>
        <w:lastRenderedPageBreak/>
        <w:fldChar w:fldCharType="begin"/>
      </w:r>
      <w:r>
        <w:instrText xml:space="preserve"> REF _Ref393273855 \h </w:instrText>
      </w:r>
      <w:r>
        <w:fldChar w:fldCharType="separate"/>
      </w:r>
      <w:r w:rsidR="00CC3B48">
        <w:t xml:space="preserve">Table </w:t>
      </w:r>
      <w:r w:rsidR="00CC3B48">
        <w:rPr>
          <w:noProof/>
        </w:rPr>
        <w:t>5</w:t>
      </w:r>
      <w:r w:rsidR="00CC3B48">
        <w:t>.</w:t>
      </w:r>
      <w:r w:rsidR="00CC3B48">
        <w:rPr>
          <w:noProof/>
        </w:rPr>
        <w:t>2</w:t>
      </w:r>
      <w:r>
        <w:fldChar w:fldCharType="end"/>
      </w:r>
      <w:r>
        <w:t xml:space="preserve"> </w:t>
      </w:r>
      <w:r w:rsidRPr="00087443">
        <w:t xml:space="preserve">sets out </w:t>
      </w:r>
      <w:r>
        <w:t>SA Power Networks'</w:t>
      </w:r>
      <w:r w:rsidRPr="00087443">
        <w:t xml:space="preserve"> proposed depreciation allowance for the </w:t>
      </w:r>
      <w:r>
        <w:t xml:space="preserve">2015–20 regulatory control </w:t>
      </w:r>
      <w:proofErr w:type="gramStart"/>
      <w:r>
        <w:t>period</w:t>
      </w:r>
      <w:proofErr w:type="gramEnd"/>
      <w:r w:rsidRPr="00087443">
        <w:t>.</w:t>
      </w:r>
      <w:r>
        <w:rPr>
          <w:rStyle w:val="FootnoteReference"/>
        </w:rPr>
        <w:footnoteReference w:id="9"/>
      </w:r>
    </w:p>
    <w:p w:rsidR="00B0187B" w:rsidRDefault="00B0187B" w:rsidP="00B0187B">
      <w:pPr>
        <w:pStyle w:val="Caption"/>
      </w:pPr>
      <w:bookmarkStart w:id="17" w:name="_Ref393273855"/>
      <w:r>
        <w:t xml:space="preserve">Table </w:t>
      </w:r>
      <w:fldSimple w:instr=" STYLEREF 1 \s ">
        <w:r w:rsidR="00CC3B48">
          <w:rPr>
            <w:noProof/>
          </w:rPr>
          <w:t>5</w:t>
        </w:r>
      </w:fldSimple>
      <w:r w:rsidR="002C7D8C">
        <w:t>.</w:t>
      </w:r>
      <w:fldSimple w:instr=" SEQ Table \* ARABIC \s 1 ">
        <w:r w:rsidR="00CC3B48">
          <w:rPr>
            <w:noProof/>
          </w:rPr>
          <w:t>2</w:t>
        </w:r>
      </w:fldSimple>
      <w:bookmarkEnd w:id="17"/>
      <w:r>
        <w:tab/>
        <w:t>SA Power Networks'</w:t>
      </w:r>
      <w:r w:rsidRPr="00370B3B">
        <w:t xml:space="preserve"> proposed depreciation allowance for the </w:t>
      </w:r>
      <w:r>
        <w:t>2015–20 regulatory control period</w:t>
      </w:r>
      <w:r w:rsidRPr="00370B3B">
        <w:t xml:space="preserve">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B0187B" w:rsidRPr="00204479" w:rsidTr="00294D55">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B0187B" w:rsidRPr="00B0187B" w:rsidRDefault="00B0187B" w:rsidP="00B0187B">
            <w:r w:rsidRPr="00204479">
              <w:t> </w:t>
            </w:r>
          </w:p>
        </w:tc>
        <w:tc>
          <w:tcPr>
            <w:tcW w:w="897"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2014–15</w:t>
            </w:r>
          </w:p>
        </w:tc>
        <w:tc>
          <w:tcPr>
            <w:tcW w:w="898"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2016–17</w:t>
            </w:r>
          </w:p>
        </w:tc>
        <w:tc>
          <w:tcPr>
            <w:tcW w:w="897"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2017–18</w:t>
            </w:r>
          </w:p>
        </w:tc>
        <w:tc>
          <w:tcPr>
            <w:tcW w:w="898"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B0187B" w:rsidRPr="00B0187B" w:rsidRDefault="00B0187B" w:rsidP="00B0187B">
            <w:pPr>
              <w:cnfStyle w:val="100000000000" w:firstRow="1" w:lastRow="0" w:firstColumn="0" w:lastColumn="0" w:oddVBand="0" w:evenVBand="0" w:oddHBand="0" w:evenHBand="0" w:firstRowFirstColumn="0" w:firstRowLastColumn="0" w:lastRowFirstColumn="0" w:lastRowLastColumn="0"/>
            </w:pPr>
            <w:r w:rsidRPr="00204479">
              <w:t>Total</w:t>
            </w:r>
          </w:p>
        </w:tc>
      </w:tr>
      <w:tr w:rsidR="00B0187B" w:rsidRPr="00204479" w:rsidTr="00294D5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B0187B" w:rsidRPr="00B0187B" w:rsidRDefault="00B0187B" w:rsidP="00B0187B">
            <w:r w:rsidRPr="00933008">
              <w:t>Straight-line depreciation</w:t>
            </w:r>
          </w:p>
        </w:tc>
        <w:tc>
          <w:tcPr>
            <w:tcW w:w="897"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229.9</w:t>
            </w:r>
          </w:p>
        </w:tc>
        <w:tc>
          <w:tcPr>
            <w:tcW w:w="898"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267.8</w:t>
            </w:r>
          </w:p>
        </w:tc>
        <w:tc>
          <w:tcPr>
            <w:tcW w:w="898"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304.9</w:t>
            </w:r>
          </w:p>
        </w:tc>
        <w:tc>
          <w:tcPr>
            <w:tcW w:w="897"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341.3</w:t>
            </w:r>
          </w:p>
        </w:tc>
        <w:tc>
          <w:tcPr>
            <w:tcW w:w="898"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373.5</w:t>
            </w:r>
          </w:p>
        </w:tc>
        <w:tc>
          <w:tcPr>
            <w:tcW w:w="898" w:type="dxa"/>
            <w:noWrap/>
            <w:vAlign w:val="bottom"/>
            <w:hideMark/>
          </w:tcPr>
          <w:p w:rsidR="00B0187B" w:rsidRPr="00B0187B" w:rsidRDefault="00B0187B" w:rsidP="00B0187B">
            <w:pPr>
              <w:cnfStyle w:val="000000000000" w:firstRow="0" w:lastRow="0" w:firstColumn="0" w:lastColumn="0" w:oddVBand="0" w:evenVBand="0" w:oddHBand="0" w:evenHBand="0" w:firstRowFirstColumn="0" w:firstRowLastColumn="0" w:lastRowFirstColumn="0" w:lastRowLastColumn="0"/>
            </w:pPr>
            <w:r w:rsidRPr="00933008">
              <w:t>1517.6</w:t>
            </w:r>
          </w:p>
        </w:tc>
      </w:tr>
      <w:tr w:rsidR="00B0187B" w:rsidRPr="00204479" w:rsidTr="00294D55">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B0187B" w:rsidRPr="00B0187B" w:rsidRDefault="00B0187B" w:rsidP="00B0187B">
            <w:r w:rsidRPr="00DE3055">
              <w:rPr>
                <w:rStyle w:val="AERtextitalic"/>
              </w:rPr>
              <w:t>Less:</w:t>
            </w:r>
            <w:r w:rsidRPr="00933008">
              <w:t xml:space="preserve"> inflation indexation on opening</w:t>
            </w:r>
            <w:r w:rsidRPr="00B0187B">
              <w:t xml:space="preserve"> RAB</w:t>
            </w:r>
          </w:p>
        </w:tc>
        <w:tc>
          <w:tcPr>
            <w:tcW w:w="897"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97.6</w:t>
            </w:r>
          </w:p>
        </w:tc>
        <w:tc>
          <w:tcPr>
            <w:tcW w:w="898"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106.5</w:t>
            </w:r>
          </w:p>
        </w:tc>
        <w:tc>
          <w:tcPr>
            <w:tcW w:w="898"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116.3</w:t>
            </w:r>
          </w:p>
        </w:tc>
        <w:tc>
          <w:tcPr>
            <w:tcW w:w="897"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125.8</w:t>
            </w:r>
          </w:p>
        </w:tc>
        <w:tc>
          <w:tcPr>
            <w:tcW w:w="898"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135.2</w:t>
            </w:r>
          </w:p>
        </w:tc>
        <w:tc>
          <w:tcPr>
            <w:tcW w:w="898" w:type="dxa"/>
            <w:noWrap/>
            <w:vAlign w:val="bottom"/>
            <w:hideMark/>
          </w:tcPr>
          <w:p w:rsidR="00B0187B" w:rsidRPr="00B0187B" w:rsidRDefault="00B0187B" w:rsidP="00B0187B">
            <w:pPr>
              <w:cnfStyle w:val="000000010000" w:firstRow="0" w:lastRow="0" w:firstColumn="0" w:lastColumn="0" w:oddVBand="0" w:evenVBand="0" w:oddHBand="0" w:evenHBand="1" w:firstRowFirstColumn="0" w:firstRowLastColumn="0" w:lastRowFirstColumn="0" w:lastRowLastColumn="0"/>
            </w:pPr>
            <w:r w:rsidRPr="00933008">
              <w:t>581.5</w:t>
            </w:r>
          </w:p>
        </w:tc>
      </w:tr>
      <w:tr w:rsidR="00B0187B" w:rsidRPr="0064587A" w:rsidTr="00294D5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B0187B" w:rsidRPr="00D043FD" w:rsidRDefault="00B0187B" w:rsidP="00B0187B">
            <w:pPr>
              <w:rPr>
                <w:rStyle w:val="Strong"/>
              </w:rPr>
            </w:pPr>
            <w:r w:rsidRPr="00D043FD">
              <w:rPr>
                <w:rStyle w:val="Strong"/>
              </w:rPr>
              <w:t>Regulatory depreciation</w:t>
            </w:r>
          </w:p>
        </w:tc>
        <w:tc>
          <w:tcPr>
            <w:tcW w:w="897"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132.3</w:t>
            </w:r>
          </w:p>
        </w:tc>
        <w:tc>
          <w:tcPr>
            <w:tcW w:w="898"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161.3</w:t>
            </w:r>
          </w:p>
        </w:tc>
        <w:tc>
          <w:tcPr>
            <w:tcW w:w="898"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188.6</w:t>
            </w:r>
          </w:p>
        </w:tc>
        <w:tc>
          <w:tcPr>
            <w:tcW w:w="897"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215.5</w:t>
            </w:r>
          </w:p>
        </w:tc>
        <w:tc>
          <w:tcPr>
            <w:tcW w:w="898"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238.3</w:t>
            </w:r>
          </w:p>
        </w:tc>
        <w:tc>
          <w:tcPr>
            <w:tcW w:w="898" w:type="dxa"/>
            <w:noWrap/>
            <w:vAlign w:val="bottom"/>
            <w:hideMark/>
          </w:tcPr>
          <w:p w:rsidR="00B0187B" w:rsidRPr="00D043FD" w:rsidRDefault="00B0187B" w:rsidP="00B0187B">
            <w:pPr>
              <w:cnfStyle w:val="000000000000" w:firstRow="0" w:lastRow="0" w:firstColumn="0" w:lastColumn="0" w:oddVBand="0" w:evenVBand="0" w:oddHBand="0" w:evenHBand="0" w:firstRowFirstColumn="0" w:firstRowLastColumn="0" w:lastRowFirstColumn="0" w:lastRowLastColumn="0"/>
              <w:rPr>
                <w:rStyle w:val="Strong"/>
              </w:rPr>
            </w:pPr>
            <w:r w:rsidRPr="00D043FD">
              <w:rPr>
                <w:rStyle w:val="Strong"/>
              </w:rPr>
              <w:t>936.0</w:t>
            </w:r>
          </w:p>
        </w:tc>
      </w:tr>
    </w:tbl>
    <w:p w:rsidR="00B0187B" w:rsidRPr="00B12876" w:rsidRDefault="00B0187B" w:rsidP="00B0187B">
      <w:pPr>
        <w:pStyle w:val="AERtablesource"/>
      </w:pPr>
      <w:r>
        <w:t>Source:</w:t>
      </w:r>
      <w:r>
        <w:tab/>
        <w:t>SA Power Networks</w:t>
      </w:r>
      <w:r w:rsidRPr="00DB7CF9">
        <w:t xml:space="preserve">, </w:t>
      </w:r>
      <w:r w:rsidRPr="00DB7CF9">
        <w:rPr>
          <w:rStyle w:val="AERtextitalic"/>
        </w:rPr>
        <w:t>Regulatory proposal</w:t>
      </w:r>
      <w:r w:rsidRPr="00DB7CF9">
        <w:t xml:space="preserve">, </w:t>
      </w:r>
      <w:r>
        <w:t>31 October 2014</w:t>
      </w:r>
      <w:r w:rsidRPr="00DB7CF9">
        <w:t xml:space="preserve">, </w:t>
      </w:r>
      <w:r w:rsidR="00103540">
        <w:t>t</w:t>
      </w:r>
      <w:r>
        <w:t>able 27.3, p. 345</w:t>
      </w:r>
      <w:r w:rsidRPr="00DB7CF9">
        <w:t>.</w:t>
      </w:r>
    </w:p>
    <w:p w:rsidR="003119AB" w:rsidRPr="005039B3" w:rsidRDefault="003119AB" w:rsidP="005039B3">
      <w:pPr>
        <w:pStyle w:val="Heading2"/>
        <w:numPr>
          <w:ilvl w:val="1"/>
          <w:numId w:val="47"/>
        </w:numPr>
        <w:ind w:hanging="1080"/>
      </w:pPr>
      <w:bookmarkStart w:id="18" w:name="_Toc415643507"/>
      <w:bookmarkStart w:id="19" w:name="_Toc403144138"/>
      <w:r w:rsidRPr="005039B3">
        <w:t>AER’s assessment approach</w:t>
      </w:r>
      <w:bookmarkEnd w:id="18"/>
    </w:p>
    <w:p w:rsidR="003119AB" w:rsidRPr="003119AB" w:rsidRDefault="003119AB" w:rsidP="003119AB">
      <w:pPr>
        <w:numPr>
          <w:ilvl w:val="0"/>
          <w:numId w:val="25"/>
        </w:numPr>
      </w:pPr>
      <w:r w:rsidRPr="003119AB">
        <w:t>We are required to determine the regulatory depreciation allowance as a part of a service provider's annual revenue requirement.</w:t>
      </w:r>
      <w:r w:rsidRPr="003119AB">
        <w:rPr>
          <w:rStyle w:val="FootnoteReference"/>
        </w:rPr>
        <w:footnoteReference w:id="10"/>
      </w:r>
      <w:r w:rsidRPr="003119AB">
        <w:t xml:space="preserve"> </w:t>
      </w:r>
      <w:r w:rsidR="00103540">
        <w:t xml:space="preserve">We make that calculation </w:t>
      </w:r>
      <w:r w:rsidRPr="003119AB">
        <w:t>in the PTRM</w:t>
      </w:r>
      <w:r w:rsidR="00103540">
        <w:t xml:space="preserve">, relying </w:t>
      </w:r>
      <w:r w:rsidRPr="003119AB">
        <w:t>on several components. The calculation of depreciation in each year is governed by the value of assets included in the RAB at the beginning of the regulatory year</w:t>
      </w:r>
      <w:r w:rsidR="00103540">
        <w:t>,</w:t>
      </w:r>
      <w:r w:rsidRPr="003119AB">
        <w:t xml:space="preserve"> and </w:t>
      </w:r>
      <w:r w:rsidR="00103540">
        <w:t xml:space="preserve">by </w:t>
      </w:r>
      <w:r w:rsidRPr="003119AB">
        <w:t>the depreciation schedules.</w:t>
      </w:r>
      <w:r w:rsidRPr="003119AB">
        <w:rPr>
          <w:rStyle w:val="FootnoteReference"/>
        </w:rPr>
        <w:footnoteReference w:id="11"/>
      </w:r>
      <w:r w:rsidRPr="003119AB">
        <w:t xml:space="preserve"> </w:t>
      </w:r>
    </w:p>
    <w:p w:rsidR="003119AB" w:rsidRPr="003119AB" w:rsidRDefault="003119AB" w:rsidP="003119AB">
      <w:pPr>
        <w:numPr>
          <w:ilvl w:val="0"/>
          <w:numId w:val="25"/>
        </w:numPr>
      </w:pPr>
      <w:r w:rsidRPr="003119AB">
        <w:t>Our standard approach to calculating depreciation is to employ the straight-line method set out in the PTRM. We consider the straight-line method satisfies the NER requirements in clause 6.5.5(b). It provides an expenditure profile that reflects the nature of the assets over their economic life.</w:t>
      </w:r>
      <w:r w:rsidRPr="003119AB">
        <w:rPr>
          <w:rStyle w:val="FootnoteReference"/>
        </w:rPr>
        <w:footnoteReference w:id="12"/>
      </w:r>
      <w:r w:rsidRPr="003119AB">
        <w:t xml:space="preserve"> Regulatory practice has been to assign a standard asset life to each category of assets that represents the economic or technical life of </w:t>
      </w:r>
      <w:r w:rsidR="00E44605">
        <w:t>that</w:t>
      </w:r>
      <w:r w:rsidRPr="003119AB">
        <w:t xml:space="preserve"> asset or asset class. We must consider whether the proposed depreciation schedules conform to the following </w:t>
      </w:r>
      <w:r w:rsidR="0010384C">
        <w:t xml:space="preserve">key </w:t>
      </w:r>
      <w:r w:rsidRPr="003119AB">
        <w:t>requirements:</w:t>
      </w:r>
    </w:p>
    <w:p w:rsidR="003119AB" w:rsidRPr="003119AB" w:rsidRDefault="003119AB" w:rsidP="003119AB">
      <w:pPr>
        <w:pStyle w:val="AERbulletlistfirststyle"/>
      </w:pPr>
      <w:r w:rsidRPr="003119AB">
        <w:t>the schedules depreciate using a profile that reflects the nature of the assets or category of assets over the economic life of that asset or category of assets</w:t>
      </w:r>
      <w:r w:rsidRPr="003119AB">
        <w:rPr>
          <w:rStyle w:val="FootnoteReference"/>
        </w:rPr>
        <w:footnoteReference w:id="13"/>
      </w:r>
    </w:p>
    <w:p w:rsidR="003119AB" w:rsidRPr="003119AB" w:rsidRDefault="003119AB" w:rsidP="003119AB">
      <w:pPr>
        <w:pStyle w:val="AERbulletlistfirststyle"/>
      </w:pPr>
      <w:r w:rsidRPr="003119AB">
        <w:t xml:space="preserve">the sum of the real value of the depreciation that is attributable to any asset </w:t>
      </w:r>
      <w:r w:rsidR="0010384C">
        <w:t>or</w:t>
      </w:r>
      <w:r w:rsidR="0010384C" w:rsidRPr="003119AB">
        <w:t xml:space="preserve"> </w:t>
      </w:r>
      <w:r w:rsidRPr="003119AB">
        <w:t>category of assets must be equivalent to the value at which that asset of category of assets was first included in the RAB for the relevant distribution system.</w:t>
      </w:r>
      <w:r w:rsidRPr="003119AB">
        <w:rPr>
          <w:rStyle w:val="FootnoteReference"/>
        </w:rPr>
        <w:footnoteReference w:id="14"/>
      </w:r>
    </w:p>
    <w:p w:rsidR="003119AB" w:rsidRPr="003119AB" w:rsidRDefault="003119AB" w:rsidP="003119AB">
      <w:pPr>
        <w:rPr>
          <w:rStyle w:val="AERbody"/>
        </w:rPr>
      </w:pPr>
      <w:r w:rsidRPr="003119AB">
        <w:rPr>
          <w:rStyle w:val="AERbody"/>
        </w:rPr>
        <w:t>If a service provider‘s building block proposal does not comply with the above requirements, then we must determine the depreciation schedules for the purposes of calculating the depreciation for each regulatory year.</w:t>
      </w:r>
      <w:r w:rsidRPr="003119AB">
        <w:rPr>
          <w:rStyle w:val="FootnoteReference"/>
        </w:rPr>
        <w:footnoteReference w:id="15"/>
      </w:r>
    </w:p>
    <w:p w:rsidR="003119AB" w:rsidRPr="003119AB" w:rsidRDefault="003119AB" w:rsidP="003119AB">
      <w:pPr>
        <w:rPr>
          <w:rStyle w:val="AERbody"/>
        </w:rPr>
      </w:pPr>
      <w:r w:rsidRPr="003119AB">
        <w:rPr>
          <w:rStyle w:val="AERbody"/>
        </w:rPr>
        <w:lastRenderedPageBreak/>
        <w:t xml:space="preserve">The regulatory depreciation allowance is an output of the PTRM. </w:t>
      </w:r>
      <w:r w:rsidR="00E44605">
        <w:rPr>
          <w:rStyle w:val="AERbody"/>
        </w:rPr>
        <w:t>So, w</w:t>
      </w:r>
      <w:r w:rsidRPr="003119AB">
        <w:rPr>
          <w:rStyle w:val="AERbody"/>
        </w:rPr>
        <w:t>e assessed the service provider's proposed regulatory depreciation allowance by analysing the proposed inputs to the PTRM for calculating th</w:t>
      </w:r>
      <w:r w:rsidR="00E44605">
        <w:rPr>
          <w:rStyle w:val="AERbody"/>
        </w:rPr>
        <w:t>at</w:t>
      </w:r>
      <w:r w:rsidRPr="003119AB">
        <w:rPr>
          <w:rStyle w:val="AERbody"/>
        </w:rPr>
        <w:t xml:space="preserve"> allowance. The</w:t>
      </w:r>
      <w:r w:rsidR="0010384C">
        <w:rPr>
          <w:rStyle w:val="AERbody"/>
        </w:rPr>
        <w:t xml:space="preserve"> key</w:t>
      </w:r>
      <w:r w:rsidRPr="003119AB">
        <w:rPr>
          <w:rStyle w:val="AERbody"/>
        </w:rPr>
        <w:t xml:space="preserve"> inputs include:</w:t>
      </w:r>
    </w:p>
    <w:p w:rsidR="003119AB" w:rsidRPr="003119AB" w:rsidRDefault="003119AB" w:rsidP="003119AB">
      <w:pPr>
        <w:pStyle w:val="AERbulletlistfirststyle"/>
      </w:pPr>
      <w:r w:rsidRPr="003119AB">
        <w:t>the opening RAB at 1 July 2015</w:t>
      </w:r>
    </w:p>
    <w:p w:rsidR="003119AB" w:rsidRPr="003119AB" w:rsidRDefault="003119AB" w:rsidP="003119AB">
      <w:pPr>
        <w:pStyle w:val="AERbulletlistfirststyle"/>
      </w:pPr>
      <w:r w:rsidRPr="003119AB">
        <w:t>the forecast net capex in the 2015–20 regulatory control period</w:t>
      </w:r>
    </w:p>
    <w:p w:rsidR="003119AB" w:rsidRPr="003119AB" w:rsidRDefault="003119AB" w:rsidP="003119AB">
      <w:pPr>
        <w:pStyle w:val="AERbulletlistfirststyle"/>
      </w:pPr>
      <w:r w:rsidRPr="003119AB">
        <w:t>the forecast inflation rate for th</w:t>
      </w:r>
      <w:r w:rsidR="00E44605">
        <w:t>at</w:t>
      </w:r>
      <w:r w:rsidRPr="003119AB">
        <w:t xml:space="preserve"> period</w:t>
      </w:r>
    </w:p>
    <w:p w:rsidR="003119AB" w:rsidRPr="003119AB" w:rsidRDefault="003119AB" w:rsidP="003119AB">
      <w:pPr>
        <w:pStyle w:val="AERbulletlistfirststyle"/>
      </w:pPr>
      <w:r w:rsidRPr="003119AB">
        <w:t xml:space="preserve">the standard asset life for each asset class—used for calculating the depreciation of new assets associated with forecast net capex in the </w:t>
      </w:r>
      <w:r w:rsidR="00E44605">
        <w:t xml:space="preserve">regulatory control </w:t>
      </w:r>
      <w:r w:rsidRPr="003119AB">
        <w:t>period</w:t>
      </w:r>
    </w:p>
    <w:p w:rsidR="003119AB" w:rsidRPr="003119AB" w:rsidRDefault="003119AB" w:rsidP="003119AB">
      <w:pPr>
        <w:pStyle w:val="AERbulletlistfirststyle"/>
      </w:pPr>
      <w:r w:rsidRPr="003119AB">
        <w:t xml:space="preserve">the remaining asset life for each asset class—used for calculating the depreciation of existing assets </w:t>
      </w:r>
      <w:r w:rsidR="00E44605">
        <w:t xml:space="preserve">included in </w:t>
      </w:r>
      <w:r w:rsidRPr="003119AB">
        <w:t>the opening RAB</w:t>
      </w:r>
      <w:r w:rsidR="00E44605">
        <w:t xml:space="preserve"> </w:t>
      </w:r>
      <w:r w:rsidRPr="003119AB">
        <w:t>at 1 July 2015.</w:t>
      </w:r>
    </w:p>
    <w:p w:rsidR="003119AB" w:rsidRPr="003119AB" w:rsidRDefault="003119AB" w:rsidP="003119AB">
      <w:pPr>
        <w:numPr>
          <w:ilvl w:val="0"/>
          <w:numId w:val="25"/>
        </w:numPr>
      </w:pPr>
      <w:r w:rsidRPr="003119AB">
        <w:t xml:space="preserve">Our preliminary decision on a service provider's regulatory depreciation allowance reflects our determinations on the forecast capex, forecast inflation and opening RAB at 1 July 2015 (the first three </w:t>
      </w:r>
      <w:r w:rsidR="00E44605" w:rsidRPr="003119AB">
        <w:t xml:space="preserve">building block components </w:t>
      </w:r>
      <w:r w:rsidRPr="003119AB">
        <w:t>in the above list). Our determinations on these components of the service provider's proposal are discussed in attachments 6, 3 and 2 respectively.</w:t>
      </w:r>
    </w:p>
    <w:p w:rsidR="003119AB" w:rsidRPr="003119AB" w:rsidRDefault="003119AB" w:rsidP="003119AB">
      <w:pPr>
        <w:numPr>
          <w:ilvl w:val="0"/>
          <w:numId w:val="25"/>
        </w:numPr>
      </w:pPr>
      <w:r w:rsidRPr="003119AB">
        <w:t>In this attachment, we assess SA Power Networks' proposed standard asset lives against:</w:t>
      </w:r>
    </w:p>
    <w:p w:rsidR="003119AB" w:rsidRPr="003119AB" w:rsidRDefault="003119AB" w:rsidP="003119AB">
      <w:pPr>
        <w:pStyle w:val="AERbulletlistfirststyle"/>
      </w:pPr>
      <w:r w:rsidRPr="003119AB">
        <w:t>the approved standard asset lives in the distribution determination for the 2010–15 regulatory control period</w:t>
      </w:r>
    </w:p>
    <w:p w:rsidR="003119AB" w:rsidRPr="003119AB" w:rsidRDefault="003119AB" w:rsidP="003119AB">
      <w:pPr>
        <w:pStyle w:val="AERbulletlistfirststyle"/>
      </w:pPr>
      <w:r w:rsidRPr="003119AB">
        <w:t>the standard asset lives of comparable asset classes approved in our recent distribution determinations for other service providers.</w:t>
      </w:r>
    </w:p>
    <w:p w:rsidR="003119AB" w:rsidRDefault="003119AB" w:rsidP="003119AB">
      <w:pPr>
        <w:rPr>
          <w:rStyle w:val="AERbody"/>
        </w:rPr>
      </w:pPr>
      <w:r w:rsidRPr="003119AB">
        <w:rPr>
          <w:rStyle w:val="AERbody"/>
        </w:rPr>
        <w:t xml:space="preserve">We </w:t>
      </w:r>
      <w:r w:rsidR="00E44605">
        <w:rPr>
          <w:rStyle w:val="AERbody"/>
        </w:rPr>
        <w:t>use</w:t>
      </w:r>
      <w:r w:rsidRPr="003119AB">
        <w:rPr>
          <w:rStyle w:val="AERbody"/>
        </w:rPr>
        <w:t xml:space="preserve"> our standard approach </w:t>
      </w:r>
      <w:r w:rsidR="00E44605">
        <w:rPr>
          <w:rStyle w:val="AERbody"/>
        </w:rPr>
        <w:t>to</w:t>
      </w:r>
      <w:r w:rsidRPr="003119AB">
        <w:rPr>
          <w:rStyle w:val="AERbody"/>
        </w:rPr>
        <w:t xml:space="preserve"> depreciat</w:t>
      </w:r>
      <w:r w:rsidR="00A14770">
        <w:rPr>
          <w:rStyle w:val="AERbody"/>
        </w:rPr>
        <w:t>e</w:t>
      </w:r>
      <w:r w:rsidRPr="003119AB">
        <w:rPr>
          <w:rStyle w:val="AERbody"/>
        </w:rPr>
        <w:t xml:space="preserve"> a service provider's existing assets in the PTRM by using the remaining asset lives at the start of a regulatory control period. Our preferred method to establish a remaining asset life for each asset class is the weighted average roll forward approach. This method rolls forward the remaining asset life for an asset class from the beginning of the 2010–15 regulatory control period. </w:t>
      </w:r>
      <w:r w:rsidR="0010384C">
        <w:rPr>
          <w:rStyle w:val="AERbody"/>
        </w:rPr>
        <w:t>As explained in this attachment, w</w:t>
      </w:r>
      <w:r w:rsidRPr="003119AB">
        <w:rPr>
          <w:rStyle w:val="AERbody"/>
        </w:rPr>
        <w:t xml:space="preserve">e consider this method </w:t>
      </w:r>
      <w:r w:rsidR="0010384C">
        <w:rPr>
          <w:rStyle w:val="AERbody"/>
        </w:rPr>
        <w:t xml:space="preserve">is preferable to the method proposed by </w:t>
      </w:r>
      <w:r w:rsidR="00AE106B">
        <w:rPr>
          <w:rStyle w:val="AERbody"/>
        </w:rPr>
        <w:t>SA Power Networks</w:t>
      </w:r>
      <w:r w:rsidR="0010384C">
        <w:rPr>
          <w:rStyle w:val="AERbody"/>
        </w:rPr>
        <w:t xml:space="preserve">. This is because it </w:t>
      </w:r>
      <w:r w:rsidRPr="003119AB">
        <w:rPr>
          <w:rStyle w:val="AERbody"/>
        </w:rPr>
        <w:t xml:space="preserve">better reflects the mix of assets within </w:t>
      </w:r>
      <w:r w:rsidR="00A5580D">
        <w:rPr>
          <w:rStyle w:val="AERbody"/>
        </w:rPr>
        <w:t>an</w:t>
      </w:r>
      <w:r w:rsidRPr="003119AB">
        <w:rPr>
          <w:rStyle w:val="AERbody"/>
        </w:rPr>
        <w:t xml:space="preserve"> asset class, when they were acquired over that period (or if they were existing assets), and the remaining value of those assets (used as a weight) at the end of the period. </w:t>
      </w:r>
      <w:r w:rsidR="00A5580D">
        <w:rPr>
          <w:rStyle w:val="AERbody"/>
        </w:rPr>
        <w:t>In this attachment w</w:t>
      </w:r>
      <w:r w:rsidRPr="003119AB">
        <w:rPr>
          <w:rStyle w:val="AERbody"/>
        </w:rPr>
        <w:t xml:space="preserve">e </w:t>
      </w:r>
      <w:r w:rsidR="00A5580D">
        <w:rPr>
          <w:rStyle w:val="AERbody"/>
        </w:rPr>
        <w:t xml:space="preserve">also </w:t>
      </w:r>
      <w:r w:rsidRPr="003119AB">
        <w:rPr>
          <w:rStyle w:val="AERbody"/>
        </w:rPr>
        <w:t>assess the outcomes the average depreciation approach proposed by SA Power Networks</w:t>
      </w:r>
      <w:r w:rsidR="00136BBE">
        <w:rPr>
          <w:rStyle w:val="AERbody"/>
        </w:rPr>
        <w:t xml:space="preserve"> </w:t>
      </w:r>
      <w:r w:rsidRPr="003119AB">
        <w:rPr>
          <w:rStyle w:val="AERbody"/>
        </w:rPr>
        <w:t xml:space="preserve">against the outcomes of </w:t>
      </w:r>
      <w:r w:rsidR="00A5580D">
        <w:rPr>
          <w:rStyle w:val="AERbody"/>
        </w:rPr>
        <w:t>our</w:t>
      </w:r>
      <w:r w:rsidRPr="003119AB">
        <w:rPr>
          <w:rStyle w:val="AERbody"/>
        </w:rPr>
        <w:t xml:space="preserve"> preferred method.</w:t>
      </w:r>
    </w:p>
    <w:p w:rsidR="00357980" w:rsidRDefault="00357980" w:rsidP="003119AB">
      <w:pPr>
        <w:rPr>
          <w:rStyle w:val="AERbody"/>
        </w:rPr>
      </w:pPr>
    </w:p>
    <w:p w:rsidR="00357980" w:rsidRDefault="00357980" w:rsidP="003119AB">
      <w:pPr>
        <w:rPr>
          <w:rStyle w:val="AERbody"/>
        </w:rPr>
      </w:pPr>
    </w:p>
    <w:p w:rsidR="00357980" w:rsidRDefault="00357980" w:rsidP="003119AB">
      <w:pPr>
        <w:rPr>
          <w:rStyle w:val="AERbody"/>
        </w:rPr>
      </w:pPr>
    </w:p>
    <w:p w:rsidR="00357980" w:rsidRDefault="00357980" w:rsidP="003119AB">
      <w:pPr>
        <w:rPr>
          <w:rStyle w:val="AERbody"/>
        </w:rPr>
      </w:pPr>
    </w:p>
    <w:p w:rsidR="00357980" w:rsidRPr="003119AB" w:rsidRDefault="00357980" w:rsidP="003119AB">
      <w:pPr>
        <w:rPr>
          <w:rStyle w:val="AERbody"/>
        </w:rPr>
      </w:pPr>
    </w:p>
    <w:p w:rsidR="003119AB" w:rsidRPr="005039B3" w:rsidRDefault="005039B3" w:rsidP="005039B3">
      <w:pPr>
        <w:pStyle w:val="Heading3"/>
        <w:numPr>
          <w:ilvl w:val="0"/>
          <w:numId w:val="0"/>
        </w:numPr>
      </w:pPr>
      <w:bookmarkStart w:id="20" w:name="_Toc403144139"/>
      <w:bookmarkStart w:id="21" w:name="_Toc415643508"/>
      <w:r>
        <w:lastRenderedPageBreak/>
        <w:t xml:space="preserve">5.3.1 </w:t>
      </w:r>
      <w:r w:rsidR="003119AB" w:rsidRPr="005039B3">
        <w:t>Interrelationships</w:t>
      </w:r>
      <w:bookmarkEnd w:id="20"/>
      <w:bookmarkEnd w:id="21"/>
    </w:p>
    <w:p w:rsidR="003119AB" w:rsidRPr="003119AB" w:rsidRDefault="003119AB" w:rsidP="003119AB">
      <w:pPr>
        <w:numPr>
          <w:ilvl w:val="0"/>
          <w:numId w:val="24"/>
        </w:numPr>
      </w:pPr>
      <w:r w:rsidRPr="003119AB">
        <w:t>The regulatory depreciation allowance is a building block component of the annual revenue requirement.</w:t>
      </w:r>
      <w:r w:rsidRPr="003119AB">
        <w:rPr>
          <w:rStyle w:val="FootnoteReference"/>
        </w:rPr>
        <w:footnoteReference w:id="16"/>
      </w:r>
      <w:r w:rsidRPr="003119AB">
        <w:t xml:space="preserve"> Higher (or quicker) depreciation leads to higher revenues over the regulatory control period. It also causes the RAB to reduce more quickly (assuming no further capex). This </w:t>
      </w:r>
      <w:r w:rsidR="00A5580D">
        <w:t xml:space="preserve">outcome </w:t>
      </w:r>
      <w:r w:rsidRPr="003119AB">
        <w:t xml:space="preserve">reduces the return on capital allowance, although this impact is usually secondary to the increased depreciation allowance. </w:t>
      </w:r>
    </w:p>
    <w:p w:rsidR="003119AB" w:rsidRPr="003119AB" w:rsidRDefault="003119AB" w:rsidP="00A5580D">
      <w:pPr>
        <w:numPr>
          <w:ilvl w:val="0"/>
          <w:numId w:val="24"/>
        </w:numPr>
      </w:pPr>
      <w:r w:rsidRPr="003119AB">
        <w:t xml:space="preserve">Ultimately, however, a service provider can recover </w:t>
      </w:r>
      <w:r w:rsidR="00A5580D">
        <w:t xml:space="preserve">only once </w:t>
      </w:r>
      <w:r w:rsidRPr="003119AB">
        <w:t xml:space="preserve">the capex </w:t>
      </w:r>
      <w:r w:rsidR="00A5580D">
        <w:t xml:space="preserve">that </w:t>
      </w:r>
      <w:r w:rsidRPr="003119AB">
        <w:t>it incurred on assets. The depreciation allowance reflects how quickly the RAB is being recovered</w:t>
      </w:r>
      <w:r w:rsidR="00A5580D">
        <w:t>,</w:t>
      </w:r>
      <w:r w:rsidRPr="003119AB">
        <w:t xml:space="preserve"> and </w:t>
      </w:r>
      <w:r w:rsidR="00A5580D">
        <w:t xml:space="preserve">it </w:t>
      </w:r>
      <w:r w:rsidRPr="003119AB">
        <w:t xml:space="preserve">is based on the remaining and standard asset lives used in the depreciation calculation. </w:t>
      </w:r>
      <w:r w:rsidR="00A5580D">
        <w:t xml:space="preserve">It also </w:t>
      </w:r>
      <w:r w:rsidRPr="003119AB">
        <w:t xml:space="preserve">depends on the level of the opening RAB and the forecast capex. Any increase in these factors also increases the depreciation allowance. </w:t>
      </w:r>
    </w:p>
    <w:p w:rsidR="003119AB" w:rsidRPr="003119AB" w:rsidRDefault="003119AB" w:rsidP="003119AB">
      <w:pPr>
        <w:numPr>
          <w:ilvl w:val="0"/>
          <w:numId w:val="24"/>
        </w:numPr>
      </w:pPr>
      <w:r w:rsidRPr="003119AB">
        <w:t xml:space="preserve">To prevent double counting of inflation through the WACC and </w:t>
      </w:r>
      <w:r w:rsidR="00A5580D">
        <w:t xml:space="preserve">the </w:t>
      </w:r>
      <w:r w:rsidRPr="003119AB">
        <w:t>RAB, the regulatory depreciation allowance also has an offsetting reduction for indexation of the RAB.</w:t>
      </w:r>
      <w:r w:rsidRPr="003119AB">
        <w:rPr>
          <w:rStyle w:val="FootnoteReference"/>
        </w:rPr>
        <w:footnoteReference w:id="17"/>
      </w:r>
      <w:r w:rsidRPr="003119AB">
        <w:t xml:space="preserve"> Factors that affect forecast inflation and/or the size of the RAB will affect the size of this indexation adjustment. </w:t>
      </w:r>
    </w:p>
    <w:p w:rsidR="003119AB" w:rsidRDefault="003119AB" w:rsidP="009A74F2">
      <w:r w:rsidRPr="003119AB">
        <w:t xml:space="preserve">Figure 2.1 (in attachment 2) shows the relative size of the inflation and straight-line depreciation and their impact on the RAB. A </w:t>
      </w:r>
      <w:r w:rsidR="00A5580D">
        <w:t xml:space="preserve">10 </w:t>
      </w:r>
      <w:r w:rsidRPr="003119AB">
        <w:t xml:space="preserve">per cent increase in the straight-line depreciation causes revenues to increase by about </w:t>
      </w:r>
      <w:r w:rsidR="009A74F2">
        <w:t>3.8</w:t>
      </w:r>
      <w:r w:rsidRPr="003119AB">
        <w:t xml:space="preserve"> per cent. </w:t>
      </w:r>
    </w:p>
    <w:p w:rsidR="00B0187B" w:rsidRPr="002C7D8C" w:rsidRDefault="00565C63" w:rsidP="002C7D8C">
      <w:pPr>
        <w:pStyle w:val="Heading2"/>
        <w:numPr>
          <w:ilvl w:val="0"/>
          <w:numId w:val="0"/>
        </w:numPr>
      </w:pPr>
      <w:bookmarkStart w:id="22" w:name="_Toc403144140"/>
      <w:bookmarkStart w:id="23" w:name="_Toc415643509"/>
      <w:bookmarkEnd w:id="19"/>
      <w:r>
        <w:t>5.</w:t>
      </w:r>
      <w:r w:rsidRPr="002C7D8C">
        <w:t xml:space="preserve">4     </w:t>
      </w:r>
      <w:r w:rsidR="00B0187B" w:rsidRPr="002C7D8C">
        <w:t>Reasons for preliminary decision</w:t>
      </w:r>
      <w:bookmarkEnd w:id="22"/>
      <w:bookmarkEnd w:id="23"/>
      <w:r w:rsidR="00B0187B" w:rsidRPr="002C7D8C">
        <w:t xml:space="preserve"> </w:t>
      </w:r>
    </w:p>
    <w:p w:rsidR="00424056" w:rsidRDefault="00B0187B" w:rsidP="00B0187B">
      <w:pPr>
        <w:numPr>
          <w:ilvl w:val="0"/>
          <w:numId w:val="24"/>
        </w:numPr>
      </w:pPr>
      <w:r w:rsidRPr="0084644C">
        <w:t xml:space="preserve">We accept </w:t>
      </w:r>
      <w:r>
        <w:t>SA Power Networks'</w:t>
      </w:r>
      <w:r w:rsidRPr="0084644C">
        <w:t xml:space="preserve"> proposed straight-line depreciation method for calculating the regulatory depreciation allowance as set out in the PTRM</w:t>
      </w:r>
      <w:r w:rsidR="0064587A">
        <w:t xml:space="preserve"> and</w:t>
      </w:r>
      <w:r w:rsidRPr="002E6B83">
        <w:t xml:space="preserve"> </w:t>
      </w:r>
      <w:r>
        <w:t xml:space="preserve">the majority of the </w:t>
      </w:r>
      <w:r w:rsidR="0064587A">
        <w:t xml:space="preserve">proposed </w:t>
      </w:r>
      <w:r w:rsidRPr="002E6B83">
        <w:t>standard asset lives</w:t>
      </w:r>
      <w:r w:rsidR="0064587A">
        <w:t>.</w:t>
      </w:r>
      <w:r w:rsidR="00424056">
        <w:t xml:space="preserve"> However, we do not accept</w:t>
      </w:r>
      <w:r>
        <w:t xml:space="preserve"> the proposed </w:t>
      </w:r>
      <w:r w:rsidR="00424056">
        <w:t xml:space="preserve">average depreciation method to calculate the </w:t>
      </w:r>
      <w:r w:rsidRPr="00D10DF9">
        <w:t>remaining asset lives</w:t>
      </w:r>
      <w:r w:rsidR="00CC2943">
        <w:t xml:space="preserve"> </w:t>
      </w:r>
      <w:r w:rsidRPr="00D10DF9">
        <w:t xml:space="preserve">at </w:t>
      </w:r>
      <w:r>
        <w:t>1 July 2015.</w:t>
      </w:r>
      <w:r w:rsidRPr="0084644C">
        <w:t xml:space="preserve"> </w:t>
      </w:r>
    </w:p>
    <w:p w:rsidR="00B0187B" w:rsidRDefault="00424056" w:rsidP="009A74F2">
      <w:r>
        <w:t>Overall</w:t>
      </w:r>
      <w:r w:rsidR="00B0187B" w:rsidRPr="0084644C">
        <w:t>,</w:t>
      </w:r>
      <w:r w:rsidR="00B0187B">
        <w:t xml:space="preserve"> </w:t>
      </w:r>
      <w:r w:rsidR="00B0187B" w:rsidRPr="0084644C">
        <w:t xml:space="preserve">we </w:t>
      </w:r>
      <w:r>
        <w:t>reduced</w:t>
      </w:r>
      <w:r w:rsidR="00B0187B" w:rsidRPr="0084644C">
        <w:t xml:space="preserve"> </w:t>
      </w:r>
      <w:r w:rsidR="00B0187B">
        <w:t>SA Power Networks'</w:t>
      </w:r>
      <w:r w:rsidR="00B0187B" w:rsidRPr="0084644C">
        <w:t xml:space="preserve"> proposed forecast regulatory depreciation allowance </w:t>
      </w:r>
      <w:r w:rsidR="00B0187B" w:rsidRPr="006E08FA">
        <w:t xml:space="preserve">by </w:t>
      </w:r>
      <w:r w:rsidR="00B0187B" w:rsidRPr="009A74F2">
        <w:t>$</w:t>
      </w:r>
      <w:r w:rsidR="00FF3268" w:rsidRPr="009A74F2">
        <w:t>402</w:t>
      </w:r>
      <w:r w:rsidR="00B0187B" w:rsidRPr="009A74F2">
        <w:t>.</w:t>
      </w:r>
      <w:r w:rsidR="00FF3268" w:rsidRPr="009A74F2">
        <w:t>3</w:t>
      </w:r>
      <w:r w:rsidR="00B0187B" w:rsidRPr="009A74F2">
        <w:t> million</w:t>
      </w:r>
      <w:r w:rsidR="00B0187B" w:rsidRPr="006E08FA">
        <w:t xml:space="preserve"> (or </w:t>
      </w:r>
      <w:r w:rsidR="00FF3268" w:rsidRPr="009A74F2">
        <w:t>43.0</w:t>
      </w:r>
      <w:r w:rsidR="00B0187B" w:rsidRPr="009A74F2">
        <w:t xml:space="preserve"> per cent</w:t>
      </w:r>
      <w:r w:rsidR="00B0187B" w:rsidRPr="006E08FA">
        <w:t xml:space="preserve">) to </w:t>
      </w:r>
      <w:r w:rsidR="00B0187B" w:rsidRPr="009A74F2">
        <w:t>$</w:t>
      </w:r>
      <w:r w:rsidR="00FF3268" w:rsidRPr="009A74F2">
        <w:t>533.7</w:t>
      </w:r>
      <w:r w:rsidR="00B0187B" w:rsidRPr="009A74F2">
        <w:t> million</w:t>
      </w:r>
      <w:r w:rsidR="00B0187B" w:rsidRPr="006E08FA">
        <w:t>.</w:t>
      </w:r>
      <w:r w:rsidR="00CC2943">
        <w:t xml:space="preserve"> This</w:t>
      </w:r>
      <w:r w:rsidR="00B0187B" w:rsidRPr="0084644C">
        <w:t xml:space="preserve"> </w:t>
      </w:r>
      <w:r w:rsidR="00AF786C">
        <w:t xml:space="preserve">is mainly due to our </w:t>
      </w:r>
      <w:r w:rsidR="00B0187B" w:rsidRPr="0084644C">
        <w:t xml:space="preserve">amendment </w:t>
      </w:r>
      <w:r w:rsidR="00AF786C">
        <w:t>to the proposed remaining asset lives (section 5.4.2).</w:t>
      </w:r>
      <w:r w:rsidR="00593AD1">
        <w:rPr>
          <w:rStyle w:val="FootnoteReference"/>
        </w:rPr>
        <w:footnoteReference w:id="18"/>
      </w:r>
      <w:r w:rsidR="00AF786C">
        <w:t xml:space="preserve"> It </w:t>
      </w:r>
      <w:r>
        <w:t>also</w:t>
      </w:r>
      <w:r w:rsidR="00B0187B" w:rsidRPr="0084644C">
        <w:t xml:space="preserve"> </w:t>
      </w:r>
      <w:r w:rsidR="00CC2943">
        <w:t>reflects</w:t>
      </w:r>
      <w:r w:rsidR="00B0187B" w:rsidRPr="0084644C">
        <w:t xml:space="preserve"> our determination on </w:t>
      </w:r>
      <w:r w:rsidR="00D75EBF">
        <w:t xml:space="preserve">changing </w:t>
      </w:r>
      <w:r w:rsidR="00A76FF5">
        <w:t>an</w:t>
      </w:r>
      <w:r w:rsidR="00B0187B" w:rsidRPr="0084644C">
        <w:t xml:space="preserve">other component of </w:t>
      </w:r>
      <w:r w:rsidR="00B0187B">
        <w:t>SA Power Networks' regulatory proposal</w:t>
      </w:r>
      <w:r w:rsidR="00B0187B" w:rsidRPr="0084644C">
        <w:t xml:space="preserve">—the forecast capex (attachment </w:t>
      </w:r>
      <w:r w:rsidR="00B0187B">
        <w:t>6</w:t>
      </w:r>
      <w:r w:rsidR="00B0187B" w:rsidRPr="0084644C">
        <w:t>)</w:t>
      </w:r>
      <w:r w:rsidR="00A76FF5" w:rsidRPr="0084644C" w:rsidDel="00A76FF5">
        <w:t xml:space="preserve"> </w:t>
      </w:r>
      <w:r w:rsidR="00CC2943">
        <w:t xml:space="preserve">that </w:t>
      </w:r>
      <w:r w:rsidR="00B0187B" w:rsidRPr="0084644C">
        <w:t>affect</w:t>
      </w:r>
      <w:r w:rsidR="00D75EBF">
        <w:t>s</w:t>
      </w:r>
      <w:r w:rsidR="00B0187B" w:rsidRPr="0084644C">
        <w:t xml:space="preserve"> the forecast regulatory depreciation allowance.</w:t>
      </w:r>
    </w:p>
    <w:p w:rsidR="00B0187B" w:rsidRPr="00FA3D3E" w:rsidRDefault="00565C63" w:rsidP="002C7D8C">
      <w:pPr>
        <w:pStyle w:val="Heading3"/>
        <w:numPr>
          <w:ilvl w:val="0"/>
          <w:numId w:val="0"/>
        </w:numPr>
        <w:tabs>
          <w:tab w:val="clear" w:pos="1021"/>
          <w:tab w:val="left" w:pos="0"/>
        </w:tabs>
      </w:pPr>
      <w:bookmarkStart w:id="24" w:name="_Ref398192266"/>
      <w:bookmarkStart w:id="25" w:name="_Toc404611005"/>
      <w:bookmarkStart w:id="26" w:name="_Toc415643510"/>
      <w:r>
        <w:lastRenderedPageBreak/>
        <w:t xml:space="preserve">5.4.1   </w:t>
      </w:r>
      <w:r w:rsidR="00B0187B" w:rsidRPr="00FA3D3E">
        <w:t>Standard asset lives</w:t>
      </w:r>
      <w:bookmarkEnd w:id="24"/>
      <w:bookmarkEnd w:id="25"/>
      <w:bookmarkEnd w:id="26"/>
    </w:p>
    <w:p w:rsidR="00B0187B" w:rsidRPr="002E6B83" w:rsidRDefault="00B0187B" w:rsidP="00B0187B">
      <w:pPr>
        <w:numPr>
          <w:ilvl w:val="0"/>
          <w:numId w:val="25"/>
        </w:numPr>
      </w:pPr>
      <w:r w:rsidRPr="002E6B83">
        <w:t xml:space="preserve">We accept </w:t>
      </w:r>
      <w:r>
        <w:t>the majority of SA Power Networks'</w:t>
      </w:r>
      <w:r w:rsidRPr="002E6B83">
        <w:t xml:space="preserve"> proposed standard asset lives for its existing asset classes, </w:t>
      </w:r>
      <w:r>
        <w:t>except</w:t>
      </w:r>
      <w:r w:rsidR="001D07FB">
        <w:t xml:space="preserve"> </w:t>
      </w:r>
      <w:r w:rsidR="006A61FE">
        <w:t>f</w:t>
      </w:r>
      <w:r w:rsidR="001D07FB">
        <w:t>or</w:t>
      </w:r>
      <w:r w:rsidR="006A61FE">
        <w:t xml:space="preserve"> the</w:t>
      </w:r>
      <w:r>
        <w:t xml:space="preserve"> </w:t>
      </w:r>
      <w:r w:rsidR="006A61FE">
        <w:t>'L</w:t>
      </w:r>
      <w:r>
        <w:t>ight vehicles</w:t>
      </w:r>
      <w:r w:rsidR="006A61FE">
        <w:t>'</w:t>
      </w:r>
      <w:r>
        <w:t xml:space="preserve"> asset class. We consider </w:t>
      </w:r>
      <w:r w:rsidRPr="002E6B83">
        <w:t>they are</w:t>
      </w:r>
      <w:r>
        <w:t xml:space="preserve"> </w:t>
      </w:r>
      <w:r w:rsidRPr="002E6B83">
        <w:t xml:space="preserve">consistent with our approved standard asset lives for the </w:t>
      </w:r>
      <w:r>
        <w:t>2010–15</w:t>
      </w:r>
      <w:r w:rsidRPr="002E6B83">
        <w:t xml:space="preserve"> regulatory control period</w:t>
      </w:r>
      <w:r>
        <w:t xml:space="preserve"> and are </w:t>
      </w:r>
      <w:r w:rsidRPr="0069202E">
        <w:t xml:space="preserve">comparable with the standard asset lives approved in our recent determinations for other </w:t>
      </w:r>
      <w:r>
        <w:t>electricity distribution service providers.</w:t>
      </w:r>
      <w:r>
        <w:rPr>
          <w:rStyle w:val="FootnoteReference"/>
        </w:rPr>
        <w:footnoteReference w:id="19"/>
      </w:r>
      <w:r>
        <w:t xml:space="preserve"> </w:t>
      </w:r>
      <w:r w:rsidRPr="00AF3D92">
        <w:t>We are satisfied the</w:t>
      </w:r>
      <w:r>
        <w:t>se</w:t>
      </w:r>
      <w:r w:rsidRPr="00AF3D92">
        <w:t xml:space="preserve"> proposed standard asset lives reflect the nature of the assets over the economic lives of the asset classes.</w:t>
      </w:r>
      <w:r w:rsidRPr="00AF3D92">
        <w:rPr>
          <w:rStyle w:val="FootnoteReference"/>
        </w:rPr>
        <w:footnoteReference w:id="20"/>
      </w:r>
    </w:p>
    <w:p w:rsidR="000C697A" w:rsidRDefault="00B0187B" w:rsidP="005C1235">
      <w:pPr>
        <w:rPr>
          <w:rStyle w:val="AERtexthighlight"/>
        </w:rPr>
      </w:pPr>
      <w:r w:rsidRPr="00F2176E">
        <w:rPr>
          <w:rStyle w:val="AERbody"/>
        </w:rPr>
        <w:t>We do not accept SA Power Networks' propo</w:t>
      </w:r>
      <w:r w:rsidR="00CC3B48" w:rsidRPr="00F2176E">
        <w:rPr>
          <w:rStyle w:val="AERbody"/>
        </w:rPr>
        <w:t>sal to</w:t>
      </w:r>
      <w:r w:rsidR="00616A2E" w:rsidRPr="00F2176E">
        <w:rPr>
          <w:rStyle w:val="AERbody"/>
        </w:rPr>
        <w:t xml:space="preserve"> </w:t>
      </w:r>
      <w:r w:rsidR="00CC3B48" w:rsidRPr="00F2176E">
        <w:rPr>
          <w:rStyle w:val="AERbody"/>
        </w:rPr>
        <w:t>reduce</w:t>
      </w:r>
      <w:r w:rsidR="00CC3B48" w:rsidRPr="00CC3B48">
        <w:t xml:space="preserve"> the standard asset life for the 'Light veh</w:t>
      </w:r>
      <w:r w:rsidR="00CC3B48">
        <w:t>i</w:t>
      </w:r>
      <w:r w:rsidR="000C697A">
        <w:t xml:space="preserve">cles' asset class to four years, </w:t>
      </w:r>
      <w:r w:rsidR="000C697A" w:rsidRPr="000C697A">
        <w:t>from five years</w:t>
      </w:r>
      <w:r w:rsidR="000C697A">
        <w:t>.</w:t>
      </w:r>
      <w:r w:rsidR="00CC3B48">
        <w:t xml:space="preserve"> </w:t>
      </w:r>
      <w:r w:rsidR="00CC3B48" w:rsidRPr="00F2176E">
        <w:rPr>
          <w:rStyle w:val="AERbody"/>
        </w:rPr>
        <w:t xml:space="preserve">This is </w:t>
      </w:r>
      <w:r w:rsidR="000C697A" w:rsidRPr="00F2176E">
        <w:rPr>
          <w:rStyle w:val="AERbody"/>
        </w:rPr>
        <w:t xml:space="preserve">because </w:t>
      </w:r>
      <w:r w:rsidR="00803CB5" w:rsidRPr="00F2176E">
        <w:rPr>
          <w:rStyle w:val="AERbody"/>
        </w:rPr>
        <w:t>we consider</w:t>
      </w:r>
      <w:r w:rsidR="004D7B2C" w:rsidRPr="00F2176E">
        <w:rPr>
          <w:rStyle w:val="AERbody"/>
        </w:rPr>
        <w:t>:</w:t>
      </w:r>
      <w:r w:rsidR="000C697A" w:rsidRPr="009A74F2">
        <w:rPr>
          <w:rStyle w:val="AERsuperscript"/>
        </w:rPr>
        <w:footnoteReference w:id="21"/>
      </w:r>
      <w:r w:rsidR="000C697A">
        <w:rPr>
          <w:rStyle w:val="AERtexthighlight"/>
        </w:rPr>
        <w:t xml:space="preserve"> </w:t>
      </w:r>
    </w:p>
    <w:p w:rsidR="00616A2E" w:rsidRPr="00632C7C" w:rsidRDefault="000C697A" w:rsidP="00F2176E">
      <w:pPr>
        <w:pStyle w:val="AERbulletlistfirststyle"/>
      </w:pPr>
      <w:r w:rsidRPr="00F2176E">
        <w:t xml:space="preserve">the shorter standard </w:t>
      </w:r>
      <w:r w:rsidR="00F2176E">
        <w:t xml:space="preserve">asset </w:t>
      </w:r>
      <w:r w:rsidRPr="00F2176E">
        <w:t>li</w:t>
      </w:r>
      <w:r w:rsidR="004D7B2C" w:rsidRPr="00F2176E">
        <w:t>fe</w:t>
      </w:r>
      <w:r w:rsidRPr="00F2176E">
        <w:t xml:space="preserve"> means that, in NPV terms it will cost </w:t>
      </w:r>
      <w:r w:rsidR="008F091B" w:rsidRPr="00633585">
        <w:t>more</w:t>
      </w:r>
      <w:r w:rsidR="00616A2E" w:rsidRPr="00633585">
        <w:t xml:space="preserve"> to replace </w:t>
      </w:r>
      <w:r w:rsidR="008F091B" w:rsidRPr="00632C7C">
        <w:t xml:space="preserve">each vehicle </w:t>
      </w:r>
      <w:r w:rsidR="00616A2E" w:rsidRPr="00632C7C">
        <w:t>at four years compared to the current rate of five years  </w:t>
      </w:r>
    </w:p>
    <w:p w:rsidR="00616A2E" w:rsidRPr="00616A2E" w:rsidRDefault="00616A2E" w:rsidP="00F2176E">
      <w:pPr>
        <w:pStyle w:val="AERbulletlistfirststyle"/>
      </w:pPr>
      <w:r w:rsidRPr="00616A2E">
        <w:t>SA</w:t>
      </w:r>
      <w:r w:rsidR="00CC3B48">
        <w:t xml:space="preserve"> Power Networks'</w:t>
      </w:r>
      <w:r w:rsidRPr="00616A2E">
        <w:t xml:space="preserve"> justification that these additional costs would be more than offset by gains in technological and safety advances in the motor industry and the improvement in the flexibility in operational changes hav</w:t>
      </w:r>
      <w:r w:rsidR="000C697A">
        <w:t>e not been substantiated</w:t>
      </w:r>
    </w:p>
    <w:p w:rsidR="00616A2E" w:rsidRDefault="00632C7C" w:rsidP="00F2176E">
      <w:pPr>
        <w:pStyle w:val="AERbulletlistfirststyle"/>
      </w:pPr>
      <w:proofErr w:type="gramStart"/>
      <w:r>
        <w:t>the</w:t>
      </w:r>
      <w:proofErr w:type="gramEnd"/>
      <w:r>
        <w:t xml:space="preserve"> </w:t>
      </w:r>
      <w:r w:rsidR="00616A2E" w:rsidRPr="00616A2E">
        <w:t xml:space="preserve">comparison of </w:t>
      </w:r>
      <w:r w:rsidR="00F17A5A">
        <w:t xml:space="preserve">light </w:t>
      </w:r>
      <w:r w:rsidR="00616A2E" w:rsidRPr="00616A2E">
        <w:t xml:space="preserve">vehicle </w:t>
      </w:r>
      <w:r w:rsidR="00F26014">
        <w:t xml:space="preserve">replacement criteria </w:t>
      </w:r>
      <w:r w:rsidR="00F17A5A">
        <w:t xml:space="preserve">between </w:t>
      </w:r>
      <w:r w:rsidR="00F17A5A" w:rsidRPr="00616A2E">
        <w:t>SA</w:t>
      </w:r>
      <w:r w:rsidR="00F17A5A" w:rsidRPr="00F17A5A">
        <w:t xml:space="preserve"> Power Networks</w:t>
      </w:r>
      <w:r w:rsidR="00F17A5A">
        <w:t xml:space="preserve"> and </w:t>
      </w:r>
      <w:r w:rsidR="00F17A5A" w:rsidRPr="00616A2E">
        <w:t xml:space="preserve">other Australian electricity service providers </w:t>
      </w:r>
      <w:r w:rsidR="00F17A5A">
        <w:t xml:space="preserve">shows that SA Power Networks' existing </w:t>
      </w:r>
      <w:r w:rsidR="00F17A5A" w:rsidRPr="00F17A5A">
        <w:t xml:space="preserve">replacement criteria </w:t>
      </w:r>
      <w:r w:rsidR="00F17A5A">
        <w:t xml:space="preserve">approved in the 2010–15 regulatory control period remains appropriate. </w:t>
      </w:r>
    </w:p>
    <w:p w:rsidR="00B0187B" w:rsidRDefault="004D7B2C" w:rsidP="00B0187B">
      <w:pPr>
        <w:numPr>
          <w:ilvl w:val="0"/>
          <w:numId w:val="25"/>
        </w:numPr>
      </w:pPr>
      <w:r w:rsidRPr="00F2176E">
        <w:t xml:space="preserve">We therefore require the standard asset life for the 'Light vehicles' asset class be maintained at five years. </w:t>
      </w:r>
      <w:r w:rsidR="00CC3B48">
        <w:fldChar w:fldCharType="begin"/>
      </w:r>
      <w:r w:rsidR="00CC3B48">
        <w:instrText xml:space="preserve"> REF _Ref414522740 \h </w:instrText>
      </w:r>
      <w:r w:rsidR="00CC3B48">
        <w:fldChar w:fldCharType="separate"/>
      </w:r>
      <w:r w:rsidR="00CC3B48">
        <w:t xml:space="preserve">Table </w:t>
      </w:r>
      <w:r w:rsidR="00CC3B48">
        <w:rPr>
          <w:noProof/>
        </w:rPr>
        <w:t>5.4</w:t>
      </w:r>
      <w:r w:rsidR="00CC3B48">
        <w:fldChar w:fldCharType="end"/>
      </w:r>
      <w:r w:rsidR="00CC3B48">
        <w:t xml:space="preserve"> </w:t>
      </w:r>
      <w:r w:rsidR="00B0187B" w:rsidRPr="00FA3D3E">
        <w:t xml:space="preserve">sets out our </w:t>
      </w:r>
      <w:r w:rsidR="00B0187B">
        <w:t>preliminary decision</w:t>
      </w:r>
      <w:r w:rsidR="00B0187B" w:rsidRPr="00FA3D3E">
        <w:t xml:space="preserve"> on </w:t>
      </w:r>
      <w:r w:rsidR="00B0187B">
        <w:t>SA Power Networks'</w:t>
      </w:r>
      <w:r w:rsidR="00B0187B" w:rsidRPr="00FA3D3E">
        <w:t xml:space="preserve"> standard asset lives for the </w:t>
      </w:r>
      <w:r w:rsidR="00B0187B">
        <w:t xml:space="preserve">2015–20 regulatory control </w:t>
      </w:r>
      <w:proofErr w:type="gramStart"/>
      <w:r w:rsidR="00B0187B">
        <w:t>period</w:t>
      </w:r>
      <w:proofErr w:type="gramEnd"/>
      <w:r w:rsidR="00B0187B">
        <w:t>.</w:t>
      </w:r>
    </w:p>
    <w:p w:rsidR="00B0187B" w:rsidRDefault="00565C63" w:rsidP="002C7D8C">
      <w:pPr>
        <w:pStyle w:val="Heading3"/>
        <w:numPr>
          <w:ilvl w:val="0"/>
          <w:numId w:val="0"/>
        </w:numPr>
        <w:tabs>
          <w:tab w:val="clear" w:pos="1021"/>
        </w:tabs>
      </w:pPr>
      <w:bookmarkStart w:id="27" w:name="_Toc404611006"/>
      <w:bookmarkStart w:id="28" w:name="_Ref415059988"/>
      <w:bookmarkStart w:id="29" w:name="_Ref415060000"/>
      <w:bookmarkStart w:id="30" w:name="_Toc415643511"/>
      <w:r>
        <w:t xml:space="preserve">5.4.2   </w:t>
      </w:r>
      <w:r w:rsidR="00B0187B" w:rsidRPr="00FA3D3E">
        <w:t>Remaining asset lives</w:t>
      </w:r>
      <w:bookmarkEnd w:id="27"/>
      <w:bookmarkEnd w:id="28"/>
      <w:bookmarkEnd w:id="29"/>
      <w:bookmarkEnd w:id="30"/>
    </w:p>
    <w:p w:rsidR="00D87B72" w:rsidRDefault="00926B90" w:rsidP="005C1235">
      <w:pPr>
        <w:pStyle w:val="AERbulletlistfirststyle"/>
        <w:numPr>
          <w:ilvl w:val="0"/>
          <w:numId w:val="24"/>
        </w:numPr>
      </w:pPr>
      <w:r w:rsidRPr="00926B90">
        <w:t xml:space="preserve">We do not accept SA Power Networks' proposed remaining asset lives calculated by </w:t>
      </w:r>
      <w:r w:rsidR="00385FCA">
        <w:t xml:space="preserve">an </w:t>
      </w:r>
      <w:r w:rsidRPr="00926B90">
        <w:t xml:space="preserve">average depreciation approach. </w:t>
      </w:r>
      <w:r w:rsidR="00500279">
        <w:rPr>
          <w:rStyle w:val="AERbody"/>
        </w:rPr>
        <w:t xml:space="preserve">We consider that SA Power Networks' </w:t>
      </w:r>
      <w:r w:rsidR="00500279" w:rsidRPr="00926B90">
        <w:t>proposed approach</w:t>
      </w:r>
      <w:r w:rsidR="00500279">
        <w:rPr>
          <w:rStyle w:val="AERbody"/>
        </w:rPr>
        <w:t xml:space="preserve"> </w:t>
      </w:r>
      <w:r w:rsidR="00AE106B">
        <w:rPr>
          <w:rStyle w:val="AERbody"/>
        </w:rPr>
        <w:t xml:space="preserve">consistently </w:t>
      </w:r>
      <w:r w:rsidR="00500279">
        <w:rPr>
          <w:rStyle w:val="AERbody"/>
        </w:rPr>
        <w:t>underestimates the remaining asset lives</w:t>
      </w:r>
      <w:r w:rsidR="00500279" w:rsidRPr="00926B90">
        <w:t xml:space="preserve">. </w:t>
      </w:r>
      <w:r w:rsidRPr="00926B90">
        <w:t xml:space="preserve">We instead substitute remaining asset lives calculated </w:t>
      </w:r>
      <w:r w:rsidR="00CC2943">
        <w:t>by</w:t>
      </w:r>
      <w:r w:rsidR="00385FCA">
        <w:t xml:space="preserve"> a</w:t>
      </w:r>
      <w:r w:rsidRPr="00926B90">
        <w:t xml:space="preserve"> weighted average remaining li</w:t>
      </w:r>
      <w:r w:rsidR="00424056">
        <w:t>fe</w:t>
      </w:r>
      <w:r w:rsidRPr="00926B90">
        <w:t xml:space="preserve"> approach</w:t>
      </w:r>
      <w:r w:rsidR="00CC2943">
        <w:t xml:space="preserve"> as set out in </w:t>
      </w:r>
      <w:r w:rsidR="00CC2943">
        <w:fldChar w:fldCharType="begin"/>
      </w:r>
      <w:r w:rsidR="00CC2943">
        <w:instrText xml:space="preserve"> REF  _Ref414522740 \* Lower \h </w:instrText>
      </w:r>
      <w:r w:rsidR="00CC2943">
        <w:fldChar w:fldCharType="separate"/>
      </w:r>
      <w:r w:rsidR="00CC3B48">
        <w:t xml:space="preserve">table </w:t>
      </w:r>
      <w:r w:rsidR="00CC3B48">
        <w:rPr>
          <w:noProof/>
        </w:rPr>
        <w:t>5.4</w:t>
      </w:r>
      <w:r w:rsidR="00CC2943">
        <w:fldChar w:fldCharType="end"/>
      </w:r>
      <w:r w:rsidRPr="00926B90">
        <w:t xml:space="preserve">. </w:t>
      </w:r>
      <w:r w:rsidR="00500279" w:rsidRPr="00926B90">
        <w:t xml:space="preserve">We </w:t>
      </w:r>
      <w:r w:rsidR="00500279">
        <w:t>are satisfied the remaining asset lives determined by our approach better meet</w:t>
      </w:r>
      <w:r w:rsidR="00500279" w:rsidRPr="00926B90">
        <w:t xml:space="preserve"> </w:t>
      </w:r>
      <w:r w:rsidR="00500279">
        <w:t>the requirement</w:t>
      </w:r>
      <w:r w:rsidR="00151A75">
        <w:t>s</w:t>
      </w:r>
      <w:r w:rsidR="00500279">
        <w:t xml:space="preserve"> of </w:t>
      </w:r>
      <w:r w:rsidR="00500279" w:rsidRPr="00926B90">
        <w:t xml:space="preserve">the </w:t>
      </w:r>
      <w:r w:rsidR="00500279">
        <w:t xml:space="preserve">NEL and </w:t>
      </w:r>
      <w:r w:rsidR="00500279" w:rsidRPr="00926B90">
        <w:t>NER.</w:t>
      </w:r>
      <w:r w:rsidR="00500279">
        <w:rPr>
          <w:rStyle w:val="FootnoteReference"/>
        </w:rPr>
        <w:footnoteReference w:id="22"/>
      </w:r>
    </w:p>
    <w:p w:rsidR="00357980" w:rsidRDefault="00357980" w:rsidP="005C1235">
      <w:pPr>
        <w:pStyle w:val="AERbulletlistfirststyle"/>
        <w:numPr>
          <w:ilvl w:val="0"/>
          <w:numId w:val="24"/>
        </w:numPr>
      </w:pPr>
    </w:p>
    <w:p w:rsidR="00926B90" w:rsidRPr="002C7D8C" w:rsidRDefault="00926B90" w:rsidP="002C7D8C">
      <w:pPr>
        <w:pStyle w:val="HeadingBoldItalic"/>
      </w:pPr>
      <w:bookmarkStart w:id="31" w:name="_Toc414525148"/>
      <w:bookmarkStart w:id="32" w:name="_Toc415231451"/>
      <w:bookmarkStart w:id="33" w:name="_Toc415643512"/>
      <w:r w:rsidRPr="002C7D8C">
        <w:lastRenderedPageBreak/>
        <w:t>Approaches to estimating remaining asset lives</w:t>
      </w:r>
      <w:bookmarkEnd w:id="31"/>
      <w:bookmarkEnd w:id="32"/>
      <w:bookmarkEnd w:id="33"/>
    </w:p>
    <w:p w:rsidR="00926B90" w:rsidRPr="00926B90" w:rsidRDefault="00926B90" w:rsidP="00926B90">
      <w:r w:rsidRPr="00926B90">
        <w:t xml:space="preserve">As explained in section 5.3, the remaining asset lives </w:t>
      </w:r>
      <w:r w:rsidR="00CC2943">
        <w:t xml:space="preserve">are </w:t>
      </w:r>
      <w:r w:rsidRPr="00926B90">
        <w:t xml:space="preserve">a key input for estimating forecast depreciation allowance for existing assets in the opening </w:t>
      </w:r>
      <w:r w:rsidR="00424056">
        <w:t>RAB</w:t>
      </w:r>
      <w:r w:rsidRPr="00926B90">
        <w:t xml:space="preserve"> at the start of the regulatory control period. The most accurate </w:t>
      </w:r>
      <w:r w:rsidR="00CC2943">
        <w:t>way of</w:t>
      </w:r>
      <w:r w:rsidRPr="00926B90">
        <w:t xml:space="preserve"> estimat</w:t>
      </w:r>
      <w:r w:rsidR="00CC2943">
        <w:t>ing</w:t>
      </w:r>
      <w:r w:rsidRPr="00926B90">
        <w:t xml:space="preserve"> remaining asset lives is to track every asset individually. That is, </w:t>
      </w:r>
      <w:r w:rsidR="00CC2943">
        <w:t xml:space="preserve">record </w:t>
      </w:r>
      <w:r w:rsidRPr="00926B90">
        <w:t>each asset added to the RAB</w:t>
      </w:r>
      <w:r w:rsidR="00CC2943">
        <w:t xml:space="preserve"> and</w:t>
      </w:r>
      <w:r w:rsidRPr="00926B90">
        <w:t xml:space="preserve"> </w:t>
      </w:r>
      <w:r w:rsidR="00CC2943">
        <w:t xml:space="preserve">track </w:t>
      </w:r>
      <w:r w:rsidRPr="00926B90">
        <w:t>its value</w:t>
      </w:r>
      <w:r w:rsidR="00385FCA">
        <w:t xml:space="preserve"> </w:t>
      </w:r>
      <w:r w:rsidRPr="00926B90">
        <w:t xml:space="preserve">over time. </w:t>
      </w:r>
      <w:r w:rsidR="00CC2943">
        <w:t>But, g</w:t>
      </w:r>
      <w:r w:rsidRPr="00926B90">
        <w:t xml:space="preserve">iven the large number of assets to be added to the RAB over time, this approach places significant administrative costs on the business and </w:t>
      </w:r>
      <w:r w:rsidR="002A27F9">
        <w:t>to regulators charged with approving revenues</w:t>
      </w:r>
      <w:r w:rsidRPr="00926B90">
        <w:t>.</w:t>
      </w:r>
      <w:r w:rsidR="00D40BE2">
        <w:rPr>
          <w:rStyle w:val="FootnoteReference"/>
        </w:rPr>
        <w:footnoteReference w:id="23"/>
      </w:r>
      <w:r w:rsidRPr="00926B90">
        <w:t xml:space="preserve"> To reduce the administrative costs, similar assets </w:t>
      </w:r>
      <w:r w:rsidR="001B143F">
        <w:t xml:space="preserve">are typically grouped </w:t>
      </w:r>
      <w:r w:rsidRPr="00926B90">
        <w:t>into asset classes</w:t>
      </w:r>
      <w:r w:rsidR="00CC2943">
        <w:t xml:space="preserve">. We then assign </w:t>
      </w:r>
      <w:r w:rsidR="00385FCA">
        <w:t>each asset class</w:t>
      </w:r>
      <w:r w:rsidR="00CC2943">
        <w:t xml:space="preserve"> </w:t>
      </w:r>
      <w:r w:rsidR="00385FCA">
        <w:t>a combined</w:t>
      </w:r>
      <w:r w:rsidRPr="00926B90">
        <w:t xml:space="preserve"> </w:t>
      </w:r>
      <w:r w:rsidR="00A931D4">
        <w:t xml:space="preserve">average </w:t>
      </w:r>
      <w:r w:rsidR="00385FCA">
        <w:t>remaining asset life</w:t>
      </w:r>
      <w:r w:rsidR="00CC2943">
        <w:t>,</w:t>
      </w:r>
      <w:r w:rsidR="00385FCA">
        <w:t xml:space="preserve"> even tho</w:t>
      </w:r>
      <w:r w:rsidR="006F0E9F">
        <w:t>ugh</w:t>
      </w:r>
      <w:r w:rsidR="00385FCA">
        <w:t xml:space="preserve"> the indi</w:t>
      </w:r>
      <w:r w:rsidR="00872465">
        <w:t>vi</w:t>
      </w:r>
      <w:r w:rsidR="00385FCA">
        <w:t>dual assets may have varying remaining asset lives</w:t>
      </w:r>
      <w:r w:rsidR="00515A31">
        <w:t>. The combined average remaining asset life for each asset class is recalculated at each reset.</w:t>
      </w:r>
    </w:p>
    <w:p w:rsidR="00926B90" w:rsidRPr="00926B90" w:rsidRDefault="00926B90" w:rsidP="00926B90">
      <w:r w:rsidRPr="00926B90">
        <w:t xml:space="preserve">Two approaches </w:t>
      </w:r>
      <w:r w:rsidR="00CC2943">
        <w:t xml:space="preserve">are often proposed </w:t>
      </w:r>
      <w:r w:rsidR="002A27F9">
        <w:t xml:space="preserve">in regulatory processes </w:t>
      </w:r>
      <w:r w:rsidR="00CC2943">
        <w:t xml:space="preserve">for </w:t>
      </w:r>
      <w:r w:rsidRPr="00926B90">
        <w:t>determining the remaining asset li</w:t>
      </w:r>
      <w:r w:rsidR="00A931D4">
        <w:t>ves</w:t>
      </w:r>
      <w:r w:rsidRPr="00926B90">
        <w:t xml:space="preserve"> for asset class</w:t>
      </w:r>
      <w:r w:rsidR="00385FCA">
        <w:t>es</w:t>
      </w:r>
      <w:r w:rsidRPr="00926B90">
        <w:t xml:space="preserve">: </w:t>
      </w:r>
    </w:p>
    <w:p w:rsidR="00926B90" w:rsidRPr="00926B90" w:rsidRDefault="00926B90" w:rsidP="00926B90">
      <w:pPr>
        <w:pStyle w:val="ListParagraph"/>
      </w:pPr>
      <w:r w:rsidRPr="00926B90">
        <w:t>A weighted average remaining li</w:t>
      </w:r>
      <w:r w:rsidR="00A931D4">
        <w:t>fe</w:t>
      </w:r>
      <w:r w:rsidRPr="00926B90">
        <w:t xml:space="preserve"> (WARL) approach</w:t>
      </w:r>
      <w:r w:rsidR="00CC2943">
        <w:t xml:space="preserve">. </w:t>
      </w:r>
      <w:r w:rsidRPr="00926B90">
        <w:t xml:space="preserve">This approach </w:t>
      </w:r>
      <w:r w:rsidR="00136BBE">
        <w:t xml:space="preserve">involves </w:t>
      </w:r>
      <w:r w:rsidRPr="00926B90">
        <w:t>roll</w:t>
      </w:r>
      <w:r w:rsidR="00136BBE">
        <w:t>ing</w:t>
      </w:r>
      <w:r w:rsidRPr="00926B90">
        <w:t xml:space="preserve"> forward </w:t>
      </w:r>
      <w:r w:rsidR="00136BBE">
        <w:t xml:space="preserve">from </w:t>
      </w:r>
      <w:r w:rsidRPr="00926B90">
        <w:t xml:space="preserve">the approved remaining lives of existing assets at the start of the regulatory control period </w:t>
      </w:r>
      <w:r w:rsidR="00136BBE">
        <w:t>to the end o</w:t>
      </w:r>
      <w:r w:rsidR="00760FA1">
        <w:t>f the regulatory control period. T</w:t>
      </w:r>
      <w:r w:rsidR="00136BBE">
        <w:t xml:space="preserve">he remaining asset lives at the end of the regulatory control period for </w:t>
      </w:r>
      <w:r w:rsidRPr="00926B90">
        <w:t xml:space="preserve">new assets acquired </w:t>
      </w:r>
      <w:r w:rsidR="00136BBE">
        <w:t>during the regulatory control period</w:t>
      </w:r>
      <w:r w:rsidR="00760FA1">
        <w:t xml:space="preserve"> are also determined</w:t>
      </w:r>
      <w:r w:rsidRPr="00926B90">
        <w:t>. The remaining lives of the existing assets and new assets at the end of the regulatory control period are then weighted based on their asset values</w:t>
      </w:r>
      <w:r w:rsidR="00CC2943">
        <w:t>,</w:t>
      </w:r>
      <w:r w:rsidRPr="00926B90">
        <w:t xml:space="preserve"> to come up with an average remaining life for the entire class. The remaining </w:t>
      </w:r>
      <w:r w:rsidR="00A931D4">
        <w:t xml:space="preserve">asset </w:t>
      </w:r>
      <w:r w:rsidRPr="00926B90">
        <w:t>lives at the end of this period become the remaining</w:t>
      </w:r>
      <w:r w:rsidR="00A931D4">
        <w:t xml:space="preserve"> asset </w:t>
      </w:r>
      <w:r w:rsidRPr="00926B90">
        <w:t xml:space="preserve">lives at the start of the next regulatory control period. </w:t>
      </w:r>
      <w:r w:rsidR="00CC2943">
        <w:t xml:space="preserve">We </w:t>
      </w:r>
      <w:r w:rsidRPr="00926B90">
        <w:t>prefer</w:t>
      </w:r>
      <w:r w:rsidR="00CC2943">
        <w:t xml:space="preserve"> this</w:t>
      </w:r>
      <w:r w:rsidRPr="00926B90">
        <w:t xml:space="preserve"> approach</w:t>
      </w:r>
      <w:r w:rsidR="00385FCA">
        <w:t xml:space="preserve"> </w:t>
      </w:r>
      <w:r w:rsidR="00760FA1">
        <w:t xml:space="preserve">for reasons we discuss below. This approach </w:t>
      </w:r>
      <w:r w:rsidR="00385FCA">
        <w:t>has been proposed by the majority of business</w:t>
      </w:r>
      <w:r w:rsidR="00EF4AAB">
        <w:t>es</w:t>
      </w:r>
      <w:r w:rsidR="00385FCA">
        <w:t xml:space="preserve"> </w:t>
      </w:r>
      <w:r w:rsidR="00CC2943">
        <w:t xml:space="preserve">that </w:t>
      </w:r>
      <w:r w:rsidR="00385FCA">
        <w:t>we regulate</w:t>
      </w:r>
      <w:r w:rsidRPr="00926B90">
        <w:t xml:space="preserve">. </w:t>
      </w:r>
    </w:p>
    <w:p w:rsidR="00926B90" w:rsidRPr="00926B90" w:rsidRDefault="00926B90" w:rsidP="00926B90">
      <w:pPr>
        <w:pStyle w:val="ListParagraph"/>
      </w:pPr>
      <w:r w:rsidRPr="00926B90">
        <w:t>An average depreciation approach</w:t>
      </w:r>
      <w:r w:rsidR="00C02F8E">
        <w:t>.</w:t>
      </w:r>
      <w:r w:rsidRPr="00926B90">
        <w:t xml:space="preserve"> </w:t>
      </w:r>
      <w:r w:rsidR="00A931D4">
        <w:t xml:space="preserve">SA Power Networks proposed this approach. </w:t>
      </w:r>
      <w:r w:rsidRPr="00926B90">
        <w:t xml:space="preserve">This approach </w:t>
      </w:r>
      <w:r w:rsidR="00760FA1">
        <w:t>involves projecting</w:t>
      </w:r>
      <w:r w:rsidR="00760FA1" w:rsidRPr="00926B90">
        <w:t xml:space="preserve"> </w:t>
      </w:r>
      <w:r w:rsidRPr="00926B90">
        <w:t>the depreciation of existing assets at the start of the previous regulatory control period and new assets acquired during that period beyond the end of</w:t>
      </w:r>
      <w:r w:rsidR="00483967">
        <w:t xml:space="preserve"> the</w:t>
      </w:r>
      <w:r w:rsidRPr="00926B90">
        <w:t xml:space="preserve"> period </w:t>
      </w:r>
      <w:r w:rsidR="00EF4AAB">
        <w:t xml:space="preserve">for a number of years </w:t>
      </w:r>
      <w:r w:rsidRPr="00926B90">
        <w:t>(</w:t>
      </w:r>
      <w:r w:rsidR="00EF4AAB">
        <w:t>SA Power Networks</w:t>
      </w:r>
      <w:r w:rsidR="00483967">
        <w:t xml:space="preserve"> </w:t>
      </w:r>
      <w:r w:rsidR="00A931D4">
        <w:t>propos</w:t>
      </w:r>
      <w:r w:rsidR="00483967">
        <w:t>e</w:t>
      </w:r>
      <w:r w:rsidR="008776A9">
        <w:t>d</w:t>
      </w:r>
      <w:r w:rsidR="00A931D4">
        <w:t xml:space="preserve"> </w:t>
      </w:r>
      <w:r w:rsidR="00483967">
        <w:t>five</w:t>
      </w:r>
      <w:r w:rsidRPr="00926B90">
        <w:t xml:space="preserve"> years). </w:t>
      </w:r>
      <w:r w:rsidR="00483967">
        <w:t>It then divides t</w:t>
      </w:r>
      <w:r w:rsidRPr="00926B90">
        <w:t>he value at the end of the period by the average projected depreciation</w:t>
      </w:r>
      <w:r w:rsidR="00483967">
        <w:t>,</w:t>
      </w:r>
      <w:r w:rsidRPr="00926B90">
        <w:t xml:space="preserve"> to determine the remaining </w:t>
      </w:r>
      <w:r w:rsidR="009B574F">
        <w:t xml:space="preserve">asset </w:t>
      </w:r>
      <w:r w:rsidRPr="00926B90">
        <w:t xml:space="preserve">life. </w:t>
      </w:r>
    </w:p>
    <w:p w:rsidR="00926B90" w:rsidRPr="00926B90" w:rsidRDefault="00926B90" w:rsidP="00926B90">
      <w:r w:rsidRPr="00926B90">
        <w:t xml:space="preserve">The remaining asset lives calculated by both </w:t>
      </w:r>
      <w:r w:rsidR="00A931D4">
        <w:t xml:space="preserve">the </w:t>
      </w:r>
      <w:r w:rsidRPr="00926B90">
        <w:t>WARL and average depreciation approach</w:t>
      </w:r>
      <w:r w:rsidR="00483967">
        <w:t>es</w:t>
      </w:r>
      <w:r w:rsidRPr="00926B90">
        <w:t xml:space="preserve"> are not perfect</w:t>
      </w:r>
      <w:r w:rsidR="00483967">
        <w:t xml:space="preserve"> </w:t>
      </w:r>
      <w:r w:rsidRPr="00926B90">
        <w:t xml:space="preserve">compared </w:t>
      </w:r>
      <w:r w:rsidR="00483967">
        <w:t xml:space="preserve">with </w:t>
      </w:r>
      <w:r w:rsidRPr="00926B90">
        <w:t xml:space="preserve">the approach </w:t>
      </w:r>
      <w:r w:rsidR="00483967">
        <w:t xml:space="preserve">of tracking </w:t>
      </w:r>
      <w:r w:rsidRPr="00926B90">
        <w:t>assets individually. Some information is lost when assets are combined into a single asset class</w:t>
      </w:r>
      <w:r w:rsidR="00483967">
        <w:t xml:space="preserve">, and </w:t>
      </w:r>
      <w:r w:rsidRPr="00926B90">
        <w:t xml:space="preserve">when new assets are added to that asset class. </w:t>
      </w:r>
      <w:r w:rsidR="00483967">
        <w:t xml:space="preserve">For this </w:t>
      </w:r>
      <w:r w:rsidR="00DF3F5E">
        <w:t>reason</w:t>
      </w:r>
      <w:r w:rsidRPr="00926B90">
        <w:t xml:space="preserve">, we focus on the materiality of </w:t>
      </w:r>
      <w:r w:rsidR="00483967">
        <w:t xml:space="preserve">calculation </w:t>
      </w:r>
      <w:r w:rsidRPr="00926B90">
        <w:t xml:space="preserve">distortions relative to the 'true' remaining asset lives </w:t>
      </w:r>
      <w:r w:rsidR="00483967">
        <w:t xml:space="preserve">(that is, </w:t>
      </w:r>
      <w:r w:rsidR="00483967">
        <w:lastRenderedPageBreak/>
        <w:t>remaining</w:t>
      </w:r>
      <w:r w:rsidR="008776A9">
        <w:t xml:space="preserve"> asset</w:t>
      </w:r>
      <w:r w:rsidR="00483967">
        <w:t xml:space="preserve"> lives if assets were not </w:t>
      </w:r>
      <w:r w:rsidRPr="00926B90">
        <w:t>aggregat</w:t>
      </w:r>
      <w:r w:rsidR="00483967">
        <w:t>ed</w:t>
      </w:r>
      <w:r w:rsidRPr="00926B90">
        <w:t xml:space="preserve"> </w:t>
      </w:r>
      <w:r w:rsidR="00483967">
        <w:t xml:space="preserve">into asset </w:t>
      </w:r>
      <w:r w:rsidR="00DF3F5E">
        <w:t xml:space="preserve">classes </w:t>
      </w:r>
      <w:r w:rsidR="00DF3F5E" w:rsidRPr="00DF3F5E">
        <w:t xml:space="preserve">and </w:t>
      </w:r>
      <w:r w:rsidR="00F3594E">
        <w:t>they</w:t>
      </w:r>
      <w:r w:rsidR="00DF3F5E" w:rsidRPr="00DF3F5E">
        <w:t xml:space="preserve"> were not recalculated at each reset</w:t>
      </w:r>
      <w:r w:rsidR="00483967">
        <w:t>)</w:t>
      </w:r>
      <w:r w:rsidRPr="00926B90">
        <w:t>.</w:t>
      </w:r>
      <w:r w:rsidR="006C1180" w:rsidRPr="006C1180">
        <w:rPr>
          <w:rStyle w:val="FootnoteReference"/>
        </w:rPr>
        <w:t xml:space="preserve"> </w:t>
      </w:r>
      <w:r w:rsidR="006C1180">
        <w:rPr>
          <w:rStyle w:val="FootnoteReference"/>
        </w:rPr>
        <w:footnoteReference w:id="24"/>
      </w:r>
    </w:p>
    <w:p w:rsidR="00926B90" w:rsidRPr="00926B90" w:rsidRDefault="00483967" w:rsidP="00483967">
      <w:pPr>
        <w:numPr>
          <w:ilvl w:val="0"/>
          <w:numId w:val="25"/>
        </w:numPr>
      </w:pPr>
      <w:r>
        <w:t xml:space="preserve">We prefer </w:t>
      </w:r>
      <w:r w:rsidR="00F3594E">
        <w:t xml:space="preserve">the </w:t>
      </w:r>
      <w:r w:rsidR="00926B90" w:rsidRPr="00926B90">
        <w:t xml:space="preserve">WARL approach </w:t>
      </w:r>
      <w:r w:rsidR="00760FA1">
        <w:t xml:space="preserve">to the average depreciation approach </w:t>
      </w:r>
      <w:r w:rsidR="00926B90" w:rsidRPr="00926B90">
        <w:t xml:space="preserve">because </w:t>
      </w:r>
      <w:r w:rsidR="00EF4AAB">
        <w:t xml:space="preserve">we consider it </w:t>
      </w:r>
      <w:r w:rsidR="00A931D4">
        <w:t xml:space="preserve">results in remaining asset lives that </w:t>
      </w:r>
      <w:r w:rsidR="00760FA1">
        <w:t xml:space="preserve">better </w:t>
      </w:r>
      <w:r w:rsidR="00EF4AAB">
        <w:t xml:space="preserve">reflect the economic </w:t>
      </w:r>
      <w:r w:rsidR="00760FA1">
        <w:t xml:space="preserve">life </w:t>
      </w:r>
      <w:r w:rsidR="00EF4AAB">
        <w:t xml:space="preserve">of the combined assets. It also </w:t>
      </w:r>
      <w:r w:rsidR="00926B90" w:rsidRPr="00926B90">
        <w:t>result</w:t>
      </w:r>
      <w:r w:rsidR="00EF4AAB">
        <w:t>s</w:t>
      </w:r>
      <w:r w:rsidR="00926B90" w:rsidRPr="00926B90">
        <w:t xml:space="preserve"> </w:t>
      </w:r>
      <w:r w:rsidR="00EF4AAB">
        <w:t xml:space="preserve">in </w:t>
      </w:r>
      <w:r w:rsidR="00926B90" w:rsidRPr="00926B90">
        <w:t xml:space="preserve">depreciation schedules for the asset classes </w:t>
      </w:r>
      <w:r>
        <w:t xml:space="preserve">that </w:t>
      </w:r>
      <w:r w:rsidR="00926B90" w:rsidRPr="00926B90">
        <w:t>reflect the nature of the assets over their economic lives.</w:t>
      </w:r>
      <w:r w:rsidR="00500279">
        <w:rPr>
          <w:rStyle w:val="FootnoteReference"/>
        </w:rPr>
        <w:footnoteReference w:id="25"/>
      </w:r>
      <w:r>
        <w:t xml:space="preserve"> </w:t>
      </w:r>
      <w:r w:rsidR="00760FA1">
        <w:t>These conclusions</w:t>
      </w:r>
      <w:r w:rsidR="00C02F8E">
        <w:t xml:space="preserve"> </w:t>
      </w:r>
      <w:r w:rsidR="00760FA1">
        <w:t>reflect our assessment</w:t>
      </w:r>
      <w:r w:rsidR="00D87B72">
        <w:t xml:space="preserve"> and analysis discussed</w:t>
      </w:r>
      <w:r w:rsidR="00760FA1">
        <w:t xml:space="preserve"> below. </w:t>
      </w:r>
      <w:r>
        <w:t>Further</w:t>
      </w:r>
      <w:r w:rsidR="00F3594E">
        <w:t>,</w:t>
      </w:r>
      <w:r w:rsidR="00926B90" w:rsidRPr="00926B90">
        <w:t xml:space="preserve"> </w:t>
      </w:r>
      <w:r>
        <w:t>t</w:t>
      </w:r>
      <w:r w:rsidR="00926B90" w:rsidRPr="00926B90">
        <w:t>he WARL approach forms part of the RFM for transmission network businesses</w:t>
      </w:r>
      <w:r>
        <w:t>,</w:t>
      </w:r>
      <w:r w:rsidR="00926B90" w:rsidRPr="00926B90">
        <w:t xml:space="preserve"> and most of </w:t>
      </w:r>
      <w:r w:rsidR="009B574F">
        <w:t xml:space="preserve">the </w:t>
      </w:r>
      <w:r w:rsidR="00926B90" w:rsidRPr="00926B90">
        <w:t>regulated network service providers</w:t>
      </w:r>
      <w:r>
        <w:t xml:space="preserve"> have adopted it</w:t>
      </w:r>
      <w:r w:rsidR="007D6C2E">
        <w:t>.</w:t>
      </w:r>
      <w:r w:rsidR="00926B90" w:rsidRPr="00926B90">
        <w:t xml:space="preserve"> </w:t>
      </w:r>
    </w:p>
    <w:p w:rsidR="00926B90" w:rsidRPr="002C7D8C" w:rsidRDefault="00926B90" w:rsidP="002C7D8C">
      <w:pPr>
        <w:pStyle w:val="HeadingBoldItalic"/>
      </w:pPr>
      <w:bookmarkStart w:id="34" w:name="_Toc415231452"/>
      <w:bookmarkStart w:id="35" w:name="_Toc415643513"/>
      <w:r w:rsidRPr="002C7D8C">
        <w:t>Assessment of SA Power Networks' proposed remaining lives</w:t>
      </w:r>
      <w:bookmarkEnd w:id="34"/>
      <w:bookmarkEnd w:id="35"/>
    </w:p>
    <w:p w:rsidR="00926B90" w:rsidRPr="00926B90" w:rsidRDefault="00926B90" w:rsidP="00926B90">
      <w:pPr>
        <w:pStyle w:val="ListParagraph"/>
        <w:numPr>
          <w:ilvl w:val="0"/>
          <w:numId w:val="25"/>
        </w:numPr>
      </w:pPr>
      <w:r w:rsidRPr="00926B90">
        <w:t xml:space="preserve">Although the WARL is our preferred approach, we </w:t>
      </w:r>
      <w:r w:rsidR="00483967">
        <w:t xml:space="preserve">would </w:t>
      </w:r>
      <w:r w:rsidRPr="00926B90">
        <w:t xml:space="preserve">consider other approaches if they better meet the NER requirements. </w:t>
      </w:r>
      <w:r w:rsidR="002A27F9">
        <w:t xml:space="preserve">While we </w:t>
      </w:r>
      <w:r w:rsidR="00C02F8E">
        <w:t>have approved depreciation proposals in the past that used the average depreciation approach for remaining asset lives,</w:t>
      </w:r>
      <w:r w:rsidR="002A27F9">
        <w:t xml:space="preserve"> </w:t>
      </w:r>
      <w:r w:rsidR="005D7A5A">
        <w:t xml:space="preserve">our </w:t>
      </w:r>
      <w:r w:rsidR="002A27F9">
        <w:t>e</w:t>
      </w:r>
      <w:r w:rsidR="00EF4AAB">
        <w:t xml:space="preserve">xperience over a number of </w:t>
      </w:r>
      <w:r w:rsidR="00483967">
        <w:t xml:space="preserve">our </w:t>
      </w:r>
      <w:r w:rsidR="00EF4AAB">
        <w:t>decisions</w:t>
      </w:r>
      <w:r w:rsidR="00616AD0">
        <w:t xml:space="preserve"> has </w:t>
      </w:r>
      <w:r w:rsidR="00EF4AAB">
        <w:t>highlighted the flaws in th</w:t>
      </w:r>
      <w:r w:rsidR="00483967">
        <w:t>at</w:t>
      </w:r>
      <w:r w:rsidR="00EF4AAB">
        <w:t xml:space="preserve"> approach. </w:t>
      </w:r>
      <w:r w:rsidR="00483967">
        <w:t xml:space="preserve">We illustrate </w:t>
      </w:r>
      <w:r w:rsidR="00F3594E">
        <w:t xml:space="preserve">below </w:t>
      </w:r>
      <w:r w:rsidR="00483967">
        <w:t>t</w:t>
      </w:r>
      <w:r w:rsidR="00EF4AAB">
        <w:t xml:space="preserve">hese flaws </w:t>
      </w:r>
      <w:r w:rsidR="00483967">
        <w:t>with e</w:t>
      </w:r>
      <w:r w:rsidR="00EF4AAB">
        <w:t>xamples from SA Power Networks</w:t>
      </w:r>
      <w:r w:rsidR="00483967">
        <w:t>'</w:t>
      </w:r>
      <w:r w:rsidR="00EF4AAB">
        <w:t xml:space="preserve"> asset classes. </w:t>
      </w:r>
    </w:p>
    <w:p w:rsidR="00926B90" w:rsidRPr="00926B90" w:rsidRDefault="00926B90" w:rsidP="00926B90">
      <w:pPr>
        <w:pStyle w:val="ListParagraph"/>
        <w:numPr>
          <w:ilvl w:val="0"/>
          <w:numId w:val="25"/>
        </w:numPr>
      </w:pPr>
      <w:r w:rsidRPr="00926B90">
        <w:t xml:space="preserve">We </w:t>
      </w:r>
      <w:r w:rsidR="00616AD0">
        <w:t xml:space="preserve">consider </w:t>
      </w:r>
      <w:r w:rsidRPr="00926B90">
        <w:t>the averag</w:t>
      </w:r>
      <w:r w:rsidR="009B574F">
        <w:t>e</w:t>
      </w:r>
      <w:r w:rsidRPr="00926B90">
        <w:t xml:space="preserve"> depreciation approach </w:t>
      </w:r>
      <w:r w:rsidR="00760FA1">
        <w:t>consistently</w:t>
      </w:r>
      <w:r w:rsidR="00760FA1" w:rsidRPr="00926B90">
        <w:t xml:space="preserve"> </w:t>
      </w:r>
      <w:r w:rsidRPr="00926B90">
        <w:t>underestimates the remaining asset lives</w:t>
      </w:r>
      <w:r w:rsidR="00616AD0">
        <w:t xml:space="preserve"> of </w:t>
      </w:r>
      <w:r w:rsidR="00E1346C">
        <w:t xml:space="preserve">an </w:t>
      </w:r>
      <w:r w:rsidR="00616AD0">
        <w:t>asset class as a whole</w:t>
      </w:r>
      <w:r w:rsidRPr="00926B90">
        <w:t>. The shorter remaining asset lives misrepresent the age of the assets and the resulting depreciation schedules do not reflect the nature of the asset</w:t>
      </w:r>
      <w:r w:rsidR="009B574F">
        <w:t>s</w:t>
      </w:r>
      <w:r w:rsidRPr="00926B90">
        <w:t xml:space="preserve"> over </w:t>
      </w:r>
      <w:r w:rsidR="009B574F">
        <w:t>their</w:t>
      </w:r>
      <w:r w:rsidRPr="00926B90">
        <w:t xml:space="preserve"> economic li</w:t>
      </w:r>
      <w:r w:rsidR="009B574F">
        <w:t>ves</w:t>
      </w:r>
      <w:r w:rsidRPr="00926B90">
        <w:t xml:space="preserve">. </w:t>
      </w:r>
      <w:r w:rsidR="00EF2C46" w:rsidRPr="00EF2C46">
        <w:t>Shorter remaining asset lives means that the asset value is recovered over a shorter time frame.</w:t>
      </w:r>
      <w:r w:rsidR="00562FFF">
        <w:rPr>
          <w:rStyle w:val="FootnoteReference"/>
        </w:rPr>
        <w:footnoteReference w:id="26"/>
      </w:r>
      <w:r w:rsidR="00EF2C46" w:rsidRPr="00EF2C46">
        <w:t xml:space="preserve"> This in turn increases the revenue allowance for depreciation over the short term. </w:t>
      </w:r>
      <w:r w:rsidR="006C1180">
        <w:t>The r</w:t>
      </w:r>
      <w:r w:rsidR="00EF2C46" w:rsidRPr="00EF2C46">
        <w:t xml:space="preserve">emaining </w:t>
      </w:r>
      <w:r w:rsidR="006C1180">
        <w:t xml:space="preserve">asset </w:t>
      </w:r>
      <w:r w:rsidR="00EF2C46" w:rsidRPr="00EF2C46">
        <w:t xml:space="preserve">lives do not impact on the total value (in net present value terms) recovered from </w:t>
      </w:r>
      <w:r w:rsidR="006C1180">
        <w:t xml:space="preserve">an </w:t>
      </w:r>
      <w:r w:rsidR="00EF2C46" w:rsidRPr="00EF2C46">
        <w:t>asset</w:t>
      </w:r>
      <w:r w:rsidR="006C1180">
        <w:t xml:space="preserve"> over its life</w:t>
      </w:r>
      <w:r w:rsidR="00EF2C46" w:rsidRPr="00EF2C46">
        <w:t>.</w:t>
      </w:r>
      <w:r w:rsidR="006C1180" w:rsidRPr="00926B90">
        <w:rPr>
          <w:rStyle w:val="FootnoteReference"/>
        </w:rPr>
        <w:footnoteReference w:id="27"/>
      </w:r>
    </w:p>
    <w:p w:rsidR="00926B90" w:rsidRPr="00926B90" w:rsidRDefault="00616AD0" w:rsidP="00926B90">
      <w:pPr>
        <w:pStyle w:val="ListParagraph"/>
        <w:numPr>
          <w:ilvl w:val="0"/>
          <w:numId w:val="25"/>
        </w:numPr>
      </w:pPr>
      <w:r>
        <w:t>The average depreciation approach does not recognise accurately when ass</w:t>
      </w:r>
      <w:r w:rsidR="009B574F">
        <w:t>e</w:t>
      </w:r>
      <w:r>
        <w:t xml:space="preserve">ts are to expire. </w:t>
      </w:r>
      <w:r w:rsidR="00E1346C">
        <w:t>It often determines t</w:t>
      </w:r>
      <w:r>
        <w:t xml:space="preserve">he average depreciation over such a short period that </w:t>
      </w:r>
      <w:r w:rsidR="002A27F9">
        <w:t xml:space="preserve">does not </w:t>
      </w:r>
      <w:r w:rsidR="00E1346C">
        <w:t xml:space="preserve">pick up </w:t>
      </w:r>
      <w:r>
        <w:t>information on when an existing asset will expire.</w:t>
      </w:r>
      <w:r w:rsidR="00CF2984">
        <w:rPr>
          <w:rStyle w:val="FootnoteReference"/>
        </w:rPr>
        <w:footnoteReference w:id="28"/>
      </w:r>
      <w:r>
        <w:t xml:space="preserve"> </w:t>
      </w:r>
      <w:r w:rsidR="00500279">
        <w:t xml:space="preserve">This means </w:t>
      </w:r>
      <w:r>
        <w:t xml:space="preserve">the older </w:t>
      </w:r>
      <w:r>
        <w:lastRenderedPageBreak/>
        <w:t>assets are effectively more heavily weighted in the asset class</w:t>
      </w:r>
      <w:r w:rsidR="00E1346C">
        <w:t>,</w:t>
      </w:r>
      <w:r>
        <w:t xml:space="preserve"> </w:t>
      </w:r>
      <w:r w:rsidR="00500279">
        <w:t xml:space="preserve">resulting in a </w:t>
      </w:r>
      <w:r>
        <w:t xml:space="preserve">shorter combined </w:t>
      </w:r>
      <w:r w:rsidR="00B61F32">
        <w:t>remaining</w:t>
      </w:r>
      <w:r>
        <w:t xml:space="preserve"> asset li</w:t>
      </w:r>
      <w:r w:rsidR="00500279">
        <w:t>f</w:t>
      </w:r>
      <w:r>
        <w:t>e.</w:t>
      </w:r>
      <w:r w:rsidR="00E1346C">
        <w:t xml:space="preserve"> Further,</w:t>
      </w:r>
      <w:r w:rsidR="00B61F32">
        <w:t xml:space="preserve"> </w:t>
      </w:r>
      <w:r w:rsidR="00E1346C">
        <w:t>t</w:t>
      </w:r>
      <w:r>
        <w:t xml:space="preserve">he weighting under the average depreciation approach depends on </w:t>
      </w:r>
      <w:r w:rsidR="00E1346C">
        <w:t>an</w:t>
      </w:r>
      <w:r>
        <w:t xml:space="preserve"> arbitrary period </w:t>
      </w:r>
      <w:r w:rsidR="00E1346C">
        <w:t>of</w:t>
      </w:r>
      <w:r>
        <w:t xml:space="preserve"> assessment</w:t>
      </w:r>
      <w:r w:rsidR="00760FA1">
        <w:t xml:space="preserve"> (discussed in the context of the examples below)</w:t>
      </w:r>
      <w:r>
        <w:t xml:space="preserve">. In contrast, </w:t>
      </w:r>
      <w:r w:rsidR="009B574F">
        <w:t xml:space="preserve">under </w:t>
      </w:r>
      <w:r>
        <w:t>the WARL approach</w:t>
      </w:r>
      <w:r w:rsidR="009B574F">
        <w:t>,</w:t>
      </w:r>
      <w:r>
        <w:t xml:space="preserve"> </w:t>
      </w:r>
      <w:r w:rsidR="00E1346C">
        <w:t xml:space="preserve">asset </w:t>
      </w:r>
      <w:r>
        <w:t xml:space="preserve">weighting depend on the values of those assets at </w:t>
      </w:r>
      <w:r w:rsidR="009B574F">
        <w:t xml:space="preserve">the end of </w:t>
      </w:r>
      <w:r w:rsidR="00E1346C">
        <w:t xml:space="preserve">the regulatory control </w:t>
      </w:r>
      <w:r>
        <w:t xml:space="preserve">period. </w:t>
      </w:r>
    </w:p>
    <w:p w:rsidR="00B61F32" w:rsidRDefault="00E1346C" w:rsidP="00B61F32">
      <w:pPr>
        <w:pStyle w:val="ListParagraph"/>
        <w:numPr>
          <w:ilvl w:val="0"/>
          <w:numId w:val="25"/>
        </w:numPr>
      </w:pPr>
      <w:r>
        <w:t>Under the average depreciation approach, t</w:t>
      </w:r>
      <w:r w:rsidR="00926B90" w:rsidRPr="00926B90">
        <w:t>he extent of the underestimation of remaining lives depends on a combination of factors</w:t>
      </w:r>
      <w:r>
        <w:t xml:space="preserve">. These factors </w:t>
      </w:r>
      <w:r w:rsidR="00B61F32">
        <w:t>includ</w:t>
      </w:r>
      <w:r>
        <w:t>e</w:t>
      </w:r>
      <w:r w:rsidR="00EC341F">
        <w:t>:</w:t>
      </w:r>
      <w:r w:rsidR="00926B90" w:rsidRPr="00926B90">
        <w:t xml:space="preserve"> the length of the a</w:t>
      </w:r>
      <w:r w:rsidR="009B574F">
        <w:t>ssessment</w:t>
      </w:r>
      <w:r w:rsidR="00926B90" w:rsidRPr="00926B90">
        <w:t xml:space="preserve"> period relative to the standard life of </w:t>
      </w:r>
      <w:r>
        <w:t>an</w:t>
      </w:r>
      <w:r w:rsidR="00926B90" w:rsidRPr="00926B90">
        <w:t xml:space="preserve"> asset, the size </w:t>
      </w:r>
      <w:r>
        <w:t xml:space="preserve">of the asset, </w:t>
      </w:r>
      <w:r w:rsidR="00926B90" w:rsidRPr="00926B90">
        <w:t xml:space="preserve">and the timing of when </w:t>
      </w:r>
      <w:r>
        <w:t xml:space="preserve">a </w:t>
      </w:r>
      <w:r w:rsidR="00926B90" w:rsidRPr="00926B90">
        <w:t xml:space="preserve">new asset has been added. </w:t>
      </w:r>
      <w:r w:rsidR="00B61F32">
        <w:t xml:space="preserve">In some cases, or over a short </w:t>
      </w:r>
      <w:r>
        <w:t xml:space="preserve">assessment </w:t>
      </w:r>
      <w:r w:rsidR="00B61F32">
        <w:t xml:space="preserve">period, the flaws of the average depreciation </w:t>
      </w:r>
      <w:r w:rsidR="009B574F">
        <w:t xml:space="preserve">approach </w:t>
      </w:r>
      <w:r w:rsidR="00B61F32">
        <w:t>may not appear significant.</w:t>
      </w:r>
      <w:r w:rsidR="00926B90" w:rsidRPr="00926B90">
        <w:t xml:space="preserve"> </w:t>
      </w:r>
    </w:p>
    <w:p w:rsidR="00CF2984" w:rsidRDefault="00E1346C" w:rsidP="00B61F32">
      <w:pPr>
        <w:pStyle w:val="ListParagraph"/>
        <w:numPr>
          <w:ilvl w:val="0"/>
          <w:numId w:val="25"/>
        </w:numPr>
      </w:pPr>
      <w:r>
        <w:t>D</w:t>
      </w:r>
      <w:r w:rsidR="00926B90" w:rsidRPr="00926B90">
        <w:t>espite our general concern</w:t>
      </w:r>
      <w:r w:rsidR="00B61F32">
        <w:t xml:space="preserve"> with th</w:t>
      </w:r>
      <w:r w:rsidR="009B574F">
        <w:t>is</w:t>
      </w:r>
      <w:r w:rsidR="00B61F32">
        <w:t xml:space="preserve"> approach</w:t>
      </w:r>
      <w:r w:rsidR="00926B90" w:rsidRPr="00926B90">
        <w:t xml:space="preserve">, </w:t>
      </w:r>
      <w:r w:rsidR="00812F36">
        <w:t xml:space="preserve">as noted, </w:t>
      </w:r>
      <w:r w:rsidR="00926B90" w:rsidRPr="00926B90">
        <w:t xml:space="preserve">we </w:t>
      </w:r>
      <w:r>
        <w:t xml:space="preserve">have previously </w:t>
      </w:r>
      <w:r w:rsidR="00B61F32">
        <w:t xml:space="preserve">accepted </w:t>
      </w:r>
      <w:r w:rsidR="00926B90" w:rsidRPr="00926B90">
        <w:t>the remaining asset lives calculated using the average depreciation approach</w:t>
      </w:r>
      <w:r w:rsidR="00D87B72">
        <w:t>.</w:t>
      </w:r>
      <w:r w:rsidR="006C1180">
        <w:t xml:space="preserve"> In certain circumstances</w:t>
      </w:r>
      <w:r w:rsidR="00D87B72">
        <w:t>,</w:t>
      </w:r>
      <w:r w:rsidR="00926B90" w:rsidRPr="00926B90">
        <w:t xml:space="preserve"> </w:t>
      </w:r>
      <w:r w:rsidR="00D87B72">
        <w:t>w</w:t>
      </w:r>
      <w:r w:rsidR="00326F9A">
        <w:t>e accepted f</w:t>
      </w:r>
      <w:r w:rsidR="00B61F32">
        <w:t xml:space="preserve">or example, </w:t>
      </w:r>
      <w:r w:rsidR="009B574F" w:rsidRPr="00926B90">
        <w:t>ActewAGL</w:t>
      </w:r>
      <w:r w:rsidR="00326F9A">
        <w:t>'s</w:t>
      </w:r>
      <w:r w:rsidR="009B574F" w:rsidRPr="00926B90">
        <w:t xml:space="preserve"> and Jemena Gas Networks</w:t>
      </w:r>
      <w:r w:rsidR="009B574F">
        <w:t>'</w:t>
      </w:r>
      <w:r w:rsidR="00926B90" w:rsidRPr="00926B90">
        <w:t xml:space="preserve"> remaining asset lives calculated </w:t>
      </w:r>
      <w:r w:rsidR="00326F9A">
        <w:t>from</w:t>
      </w:r>
      <w:r w:rsidR="00926B90" w:rsidRPr="00926B90">
        <w:t xml:space="preserve"> </w:t>
      </w:r>
      <w:r w:rsidR="009B574F">
        <w:t xml:space="preserve">their proposed </w:t>
      </w:r>
      <w:r w:rsidR="00926B90" w:rsidRPr="00926B90">
        <w:t>averaging depreciation approach</w:t>
      </w:r>
      <w:r w:rsidR="00326F9A">
        <w:t>,</w:t>
      </w:r>
      <w:r w:rsidR="00926B90" w:rsidRPr="00926B90">
        <w:t xml:space="preserve"> </w:t>
      </w:r>
      <w:r w:rsidR="00D87B72">
        <w:t xml:space="preserve">in part </w:t>
      </w:r>
      <w:r w:rsidR="00326F9A">
        <w:t xml:space="preserve">because </w:t>
      </w:r>
      <w:r w:rsidR="00926B90" w:rsidRPr="00926B90">
        <w:t xml:space="preserve">the revenue difference </w:t>
      </w:r>
      <w:r w:rsidR="00FB62F5">
        <w:t>wa</w:t>
      </w:r>
      <w:r w:rsidR="00926B90" w:rsidRPr="00926B90">
        <w:t>s relatively minor.</w:t>
      </w:r>
      <w:r w:rsidR="00926B90" w:rsidRPr="00926B90">
        <w:rPr>
          <w:rStyle w:val="FootnoteReference"/>
        </w:rPr>
        <w:footnoteReference w:id="29"/>
      </w:r>
      <w:r w:rsidR="00926B90" w:rsidRPr="00926B90">
        <w:t xml:space="preserve">  </w:t>
      </w:r>
    </w:p>
    <w:p w:rsidR="00926B90" w:rsidRPr="00926B90" w:rsidRDefault="00926B90" w:rsidP="00B61F32">
      <w:pPr>
        <w:pStyle w:val="ListParagraph"/>
        <w:numPr>
          <w:ilvl w:val="0"/>
          <w:numId w:val="25"/>
        </w:numPr>
      </w:pPr>
      <w:r w:rsidRPr="00926B90">
        <w:t xml:space="preserve">However, </w:t>
      </w:r>
      <w:r w:rsidR="00326F9A">
        <w:t>our</w:t>
      </w:r>
      <w:r w:rsidRPr="00926B90">
        <w:t xml:space="preserve"> assessment for SA Power Networks found the revenue difference is substantial. </w:t>
      </w:r>
      <w:r w:rsidR="00326F9A">
        <w:t>If applied</w:t>
      </w:r>
      <w:r w:rsidRPr="00926B90">
        <w:t xml:space="preserve"> to SA Power Networks</w:t>
      </w:r>
      <w:r w:rsidR="00326F9A">
        <w:t xml:space="preserve">, the average depreciation approach would </w:t>
      </w:r>
      <w:r w:rsidRPr="00926B90">
        <w:t>result in approximately $320 million more revenue (</w:t>
      </w:r>
      <w:r w:rsidR="00326F9A">
        <w:t>from</w:t>
      </w:r>
      <w:r w:rsidRPr="00926B90">
        <w:t xml:space="preserve"> </w:t>
      </w:r>
      <w:r w:rsidR="00FB62F5">
        <w:t xml:space="preserve">an </w:t>
      </w:r>
      <w:r w:rsidRPr="00926B90">
        <w:t xml:space="preserve">increase to </w:t>
      </w:r>
      <w:r w:rsidR="00FB62F5">
        <w:t xml:space="preserve">the regulatory </w:t>
      </w:r>
      <w:r w:rsidRPr="00926B90">
        <w:t xml:space="preserve">depreciation allowance) compared </w:t>
      </w:r>
      <w:r w:rsidR="00326F9A">
        <w:t xml:space="preserve">with the revenue resulting from </w:t>
      </w:r>
      <w:r w:rsidRPr="00926B90">
        <w:t xml:space="preserve">our preferred WARL approach over the 2015–20 regulatory control period. This </w:t>
      </w:r>
      <w:r w:rsidR="00326F9A">
        <w:t>amount</w:t>
      </w:r>
      <w:r w:rsidR="00F3594E">
        <w:t xml:space="preserve"> is</w:t>
      </w:r>
      <w:r w:rsidRPr="00926B90">
        <w:t xml:space="preserve"> equivalent to approximately </w:t>
      </w:r>
      <w:r w:rsidR="00A7437A">
        <w:t>seven</w:t>
      </w:r>
      <w:r w:rsidR="00A7437A" w:rsidRPr="00926B90">
        <w:t xml:space="preserve"> </w:t>
      </w:r>
      <w:r w:rsidRPr="00926B90">
        <w:t>per cent of the total revenue</w:t>
      </w:r>
      <w:r w:rsidR="00FB62F5">
        <w:t xml:space="preserve"> requirement</w:t>
      </w:r>
      <w:r w:rsidRPr="00926B90">
        <w:t xml:space="preserve">. </w:t>
      </w:r>
    </w:p>
    <w:p w:rsidR="00740F07" w:rsidRDefault="00A7437A" w:rsidP="00926B90">
      <w:r>
        <w:t>Our further assessment</w:t>
      </w:r>
      <w:r w:rsidRPr="00926B90">
        <w:t xml:space="preserve"> </w:t>
      </w:r>
      <w:r>
        <w:t xml:space="preserve">also illustrated additional long-term problems with the average depreciation approach. It </w:t>
      </w:r>
      <w:r w:rsidR="00926B90" w:rsidRPr="00926B90">
        <w:t xml:space="preserve">also found the divergence in remaining </w:t>
      </w:r>
      <w:r w:rsidR="00CF2984">
        <w:t xml:space="preserve">asset </w:t>
      </w:r>
      <w:r w:rsidR="00926B90" w:rsidRPr="00926B90">
        <w:t xml:space="preserve">lives between the </w:t>
      </w:r>
      <w:r>
        <w:t>WARL and average depreciation</w:t>
      </w:r>
      <w:r w:rsidRPr="00926B90">
        <w:t xml:space="preserve"> </w:t>
      </w:r>
      <w:r w:rsidR="00926B90" w:rsidRPr="00926B90">
        <w:t xml:space="preserve">approaches is even more </w:t>
      </w:r>
      <w:r w:rsidR="00CF2984">
        <w:t>significant</w:t>
      </w:r>
      <w:r w:rsidR="00926B90" w:rsidRPr="00926B90">
        <w:t xml:space="preserve"> </w:t>
      </w:r>
      <w:r w:rsidR="00FB62F5">
        <w:t xml:space="preserve">for certain </w:t>
      </w:r>
      <w:r w:rsidR="00326F9A">
        <w:t xml:space="preserve">asset </w:t>
      </w:r>
      <w:r w:rsidR="00FB62F5">
        <w:t>classes</w:t>
      </w:r>
      <w:r w:rsidR="00812F36">
        <w:t>,</w:t>
      </w:r>
      <w:r w:rsidR="00FB62F5">
        <w:t xml:space="preserve"> </w:t>
      </w:r>
      <w:r w:rsidR="00926B90" w:rsidRPr="00926B90">
        <w:t xml:space="preserve">as shown in </w:t>
      </w:r>
      <w:r w:rsidR="00926B90" w:rsidRPr="00926B90">
        <w:fldChar w:fldCharType="begin"/>
      </w:r>
      <w:r w:rsidR="00926B90" w:rsidRPr="00926B90">
        <w:instrText xml:space="preserve"> REF  _Ref413763253 \* Lower \h </w:instrText>
      </w:r>
      <w:r w:rsidR="00926B90" w:rsidRPr="00926B90">
        <w:fldChar w:fldCharType="separate"/>
      </w:r>
      <w:r w:rsidR="00CC3B48" w:rsidRPr="00926B90">
        <w:t xml:space="preserve">table </w:t>
      </w:r>
      <w:r w:rsidR="00CC3B48">
        <w:rPr>
          <w:noProof/>
        </w:rPr>
        <w:t>5</w:t>
      </w:r>
      <w:r w:rsidR="00CC3B48">
        <w:t>.</w:t>
      </w:r>
      <w:r w:rsidR="00CC3B48">
        <w:rPr>
          <w:noProof/>
        </w:rPr>
        <w:t>3</w:t>
      </w:r>
      <w:r w:rsidR="00926B90" w:rsidRPr="00926B90">
        <w:fldChar w:fldCharType="end"/>
      </w:r>
      <w:r>
        <w:t>.</w:t>
      </w:r>
    </w:p>
    <w:p w:rsidR="00D87B72" w:rsidRPr="00926B90" w:rsidRDefault="00D87B72" w:rsidP="00D87B72">
      <w:r>
        <w:t xml:space="preserve">Given </w:t>
      </w:r>
      <w:r w:rsidRPr="00926B90">
        <w:t>the large differences, we extended our analysis from a single regulatory control period to a longer timeframe</w:t>
      </w:r>
      <w:r>
        <w:t>,</w:t>
      </w:r>
      <w:r w:rsidRPr="00926B90">
        <w:t xml:space="preserve"> to better understand </w:t>
      </w:r>
      <w:r>
        <w:t xml:space="preserve">how </w:t>
      </w:r>
      <w:r w:rsidRPr="00926B90">
        <w:t>the two approaches</w:t>
      </w:r>
      <w:r>
        <w:t xml:space="preserve"> differ</w:t>
      </w:r>
      <w:r w:rsidRPr="00926B90">
        <w:t>. Base</w:t>
      </w:r>
      <w:r>
        <w:t>d</w:t>
      </w:r>
      <w:r w:rsidRPr="00926B90">
        <w:t xml:space="preserve"> on th</w:t>
      </w:r>
      <w:r>
        <w:t>at</w:t>
      </w:r>
      <w:r w:rsidRPr="00926B90">
        <w:t xml:space="preserve"> analysis, we have further concerns with the long term implications of adopting an average depreciation approach</w:t>
      </w:r>
      <w:r>
        <w:t>.</w:t>
      </w:r>
      <w:r w:rsidRPr="00926B90">
        <w:t xml:space="preserve"> </w:t>
      </w:r>
      <w:r>
        <w:t xml:space="preserve">That approach </w:t>
      </w:r>
      <w:r w:rsidRPr="00926B90">
        <w:t>ratchet</w:t>
      </w:r>
      <w:r>
        <w:t>s</w:t>
      </w:r>
      <w:r w:rsidRPr="00926B90">
        <w:t xml:space="preserve"> down </w:t>
      </w:r>
      <w:r>
        <w:t>the resulting</w:t>
      </w:r>
      <w:r w:rsidRPr="00926B90">
        <w:t xml:space="preserve"> remaining asset lives</w:t>
      </w:r>
      <w:r>
        <w:t xml:space="preserve"> at the end of each regulatory control period</w:t>
      </w:r>
      <w:r w:rsidRPr="00926B90">
        <w:t xml:space="preserve">. Compared </w:t>
      </w:r>
      <w:r>
        <w:t xml:space="preserve">with </w:t>
      </w:r>
      <w:r w:rsidRPr="00926B90">
        <w:t xml:space="preserve">the WARL approach, </w:t>
      </w:r>
      <w:r>
        <w:t>it consistently</w:t>
      </w:r>
      <w:r w:rsidRPr="00926B90">
        <w:t xml:space="preserve"> underestimates the remaining asset lives and </w:t>
      </w:r>
      <w:r>
        <w:t xml:space="preserve">thus </w:t>
      </w:r>
      <w:r w:rsidRPr="00926B90">
        <w:t xml:space="preserve">increases the </w:t>
      </w:r>
      <w:r>
        <w:t xml:space="preserve">annual </w:t>
      </w:r>
      <w:r w:rsidRPr="00926B90">
        <w:t>depreciation allowance</w:t>
      </w:r>
      <w:r>
        <w:t xml:space="preserve"> by returning the asset value quicker</w:t>
      </w:r>
      <w:r w:rsidRPr="00926B90">
        <w:t>.</w:t>
      </w:r>
      <w:r w:rsidRPr="00926B90">
        <w:rPr>
          <w:rStyle w:val="FootnoteReference"/>
        </w:rPr>
        <w:footnoteReference w:id="30"/>
      </w:r>
      <w:r w:rsidRPr="00926B90">
        <w:t xml:space="preserve"> </w:t>
      </w:r>
      <w:r w:rsidRPr="00926B90">
        <w:lastRenderedPageBreak/>
        <w:t xml:space="preserve">The impact may </w:t>
      </w:r>
      <w:r>
        <w:t xml:space="preserve">or may not </w:t>
      </w:r>
      <w:r w:rsidRPr="00926B90">
        <w:t xml:space="preserve">be noticeable over the regulatory control period under assessment, </w:t>
      </w:r>
      <w:r>
        <w:t xml:space="preserve">and </w:t>
      </w:r>
      <w:r w:rsidRPr="00926B90">
        <w:t xml:space="preserve">the long term impact may go unnoticed </w:t>
      </w:r>
      <w:r>
        <w:t>if only the regulatory control period is considered</w:t>
      </w:r>
      <w:r w:rsidRPr="00926B90">
        <w:t xml:space="preserve">. </w:t>
      </w:r>
      <w:r>
        <w:t xml:space="preserve">We consider it is important to take a long term view of the approach to assess whether it </w:t>
      </w:r>
      <w:r w:rsidRPr="00C26E1E">
        <w:t>contribute</w:t>
      </w:r>
      <w:r>
        <w:t>s to the achievement of the NEO.</w:t>
      </w:r>
      <w:r>
        <w:rPr>
          <w:rStyle w:val="FootnoteReference"/>
        </w:rPr>
        <w:footnoteReference w:id="31"/>
      </w:r>
      <w:r>
        <w:t xml:space="preserve"> This requires us to consider whether the approach </w:t>
      </w:r>
      <w:r w:rsidRPr="005F637C">
        <w:t>promot</w:t>
      </w:r>
      <w:r>
        <w:t xml:space="preserve">es </w:t>
      </w:r>
      <w:r w:rsidRPr="005F637C">
        <w:t>efficient investment in, and efficient operation and use of, electricity services for the long term interests of consumers</w:t>
      </w:r>
      <w:r>
        <w:t xml:space="preserve">. An approach that underestimates the remaining life of assets results in </w:t>
      </w:r>
      <w:r w:rsidRPr="00541A86">
        <w:t>customers paying for assets too quickly (such that the asset is fully depreciated before the end of its useful life</w:t>
      </w:r>
      <w:r>
        <w:t xml:space="preserve">). This </w:t>
      </w:r>
      <w:r w:rsidRPr="00541A86">
        <w:t xml:space="preserve">may encourage inefficient </w:t>
      </w:r>
      <w:r>
        <w:t xml:space="preserve">use and </w:t>
      </w:r>
      <w:r w:rsidRPr="00541A86">
        <w:t>early replacement</w:t>
      </w:r>
      <w:r>
        <w:t xml:space="preserve"> of assets inconsistent with the NEL.</w:t>
      </w:r>
      <w:r>
        <w:rPr>
          <w:rStyle w:val="FootnoteReference"/>
        </w:rPr>
        <w:footnoteReference w:id="32"/>
      </w:r>
    </w:p>
    <w:p w:rsidR="00926B90" w:rsidRPr="00926B90" w:rsidRDefault="00926B90" w:rsidP="00926B90">
      <w:pPr>
        <w:pStyle w:val="Caption"/>
      </w:pPr>
      <w:bookmarkStart w:id="36" w:name="_Ref413763253"/>
      <w:r w:rsidRPr="00926B90">
        <w:t xml:space="preserve">Table </w:t>
      </w:r>
      <w:fldSimple w:instr=" STYLEREF 1 \s ">
        <w:r w:rsidR="00CC3B48">
          <w:rPr>
            <w:noProof/>
          </w:rPr>
          <w:t>5</w:t>
        </w:r>
      </w:fldSimple>
      <w:r w:rsidR="002C7D8C">
        <w:t>.</w:t>
      </w:r>
      <w:fldSimple w:instr=" SEQ Table \* ARABIC \s 1 ">
        <w:r w:rsidR="00CC3B48">
          <w:rPr>
            <w:noProof/>
          </w:rPr>
          <w:t>3</w:t>
        </w:r>
      </w:fldSimple>
      <w:bookmarkEnd w:id="36"/>
      <w:r w:rsidRPr="00926B90">
        <w:tab/>
        <w:t xml:space="preserve">Difference in remaining asset lives at 1 July 2015 </w:t>
      </w:r>
      <w:r w:rsidR="00FB62F5">
        <w:t>for key asset classes</w:t>
      </w:r>
      <w:r w:rsidR="00326F9A" w:rsidRPr="00326F9A">
        <w:t>—</w:t>
      </w:r>
      <w:r w:rsidRPr="00926B90">
        <w:t xml:space="preserve">WARL </w:t>
      </w:r>
      <w:r w:rsidR="00326F9A">
        <w:t>vers</w:t>
      </w:r>
      <w:r w:rsidR="00F3594E">
        <w:t>u</w:t>
      </w:r>
      <w:r w:rsidR="00326F9A">
        <w:t xml:space="preserve">s </w:t>
      </w:r>
      <w:r w:rsidRPr="00926B90">
        <w:t xml:space="preserve">average depreciation </w:t>
      </w:r>
    </w:p>
    <w:tbl>
      <w:tblPr>
        <w:tblStyle w:val="AERtable-numbers"/>
        <w:tblW w:w="8755" w:type="dxa"/>
        <w:tblLayout w:type="fixed"/>
        <w:tblLook w:val="04A0" w:firstRow="1" w:lastRow="0" w:firstColumn="1" w:lastColumn="0" w:noHBand="0" w:noVBand="1"/>
      </w:tblPr>
      <w:tblGrid>
        <w:gridCol w:w="2376"/>
        <w:gridCol w:w="1850"/>
        <w:gridCol w:w="2193"/>
        <w:gridCol w:w="2336"/>
      </w:tblGrid>
      <w:tr w:rsidR="00926B90" w:rsidRPr="00BF667E" w:rsidTr="00C5207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76" w:type="dxa"/>
            <w:hideMark/>
          </w:tcPr>
          <w:p w:rsidR="00926B90" w:rsidRPr="00926B90" w:rsidRDefault="00926B90" w:rsidP="00926B90">
            <w:r w:rsidRPr="00926B90">
              <w:t> </w:t>
            </w:r>
          </w:p>
        </w:tc>
        <w:tc>
          <w:tcPr>
            <w:tcW w:w="1850" w:type="dxa"/>
            <w:hideMark/>
          </w:tcPr>
          <w:p w:rsidR="00926B90" w:rsidRPr="00926B90" w:rsidRDefault="00926B90" w:rsidP="00326F9A">
            <w:pPr>
              <w:cnfStyle w:val="100000000000" w:firstRow="1" w:lastRow="0" w:firstColumn="0" w:lastColumn="0" w:oddVBand="0" w:evenVBand="0" w:oddHBand="0" w:evenHBand="0" w:firstRowFirstColumn="0" w:firstRowLastColumn="0" w:lastRowFirstColumn="0" w:lastRowLastColumn="0"/>
            </w:pPr>
            <w:r w:rsidRPr="00926B90">
              <w:t xml:space="preserve">Remaining asset lives </w:t>
            </w:r>
            <w:r w:rsidR="00326F9A">
              <w:t xml:space="preserve">under </w:t>
            </w:r>
            <w:r w:rsidRPr="00926B90">
              <w:t>WARL approach</w:t>
            </w:r>
            <w:r w:rsidR="00326F9A">
              <w:t xml:space="preserve"> (</w:t>
            </w:r>
            <w:r w:rsidRPr="00926B90">
              <w:t>year</w:t>
            </w:r>
            <w:r w:rsidR="00F3594E">
              <w:t>s</w:t>
            </w:r>
            <w:r w:rsidRPr="00926B90">
              <w:t>)</w:t>
            </w:r>
          </w:p>
        </w:tc>
        <w:tc>
          <w:tcPr>
            <w:tcW w:w="2193" w:type="dxa"/>
            <w:hideMark/>
          </w:tcPr>
          <w:p w:rsidR="00926B90" w:rsidRPr="00926B90" w:rsidRDefault="00926B90" w:rsidP="00326F9A">
            <w:pPr>
              <w:cnfStyle w:val="100000000000" w:firstRow="1" w:lastRow="0" w:firstColumn="0" w:lastColumn="0" w:oddVBand="0" w:evenVBand="0" w:oddHBand="0" w:evenHBand="0" w:firstRowFirstColumn="0" w:firstRowLastColumn="0" w:lastRowFirstColumn="0" w:lastRowLastColumn="0"/>
            </w:pPr>
            <w:r w:rsidRPr="00926B90">
              <w:t xml:space="preserve">Remaining asset lives </w:t>
            </w:r>
            <w:r w:rsidR="00326F9A">
              <w:t>under a</w:t>
            </w:r>
            <w:r w:rsidRPr="00926B90">
              <w:t xml:space="preserve">verage depreciation approach </w:t>
            </w:r>
            <w:r w:rsidR="00326F9A">
              <w:t>(</w:t>
            </w:r>
            <w:r w:rsidRPr="00926B90">
              <w:t>year</w:t>
            </w:r>
            <w:r w:rsidR="00F3594E">
              <w:t>s</w:t>
            </w:r>
            <w:r w:rsidRPr="00926B90">
              <w:t>)</w:t>
            </w:r>
          </w:p>
        </w:tc>
        <w:tc>
          <w:tcPr>
            <w:tcW w:w="2336" w:type="dxa"/>
            <w:hideMark/>
          </w:tcPr>
          <w:p w:rsidR="00926B90" w:rsidRPr="00926B90" w:rsidRDefault="00926B90" w:rsidP="00BF67E6">
            <w:pPr>
              <w:cnfStyle w:val="100000000000" w:firstRow="1" w:lastRow="0" w:firstColumn="0" w:lastColumn="0" w:oddVBand="0" w:evenVBand="0" w:oddHBand="0" w:evenHBand="0" w:firstRowFirstColumn="0" w:firstRowLastColumn="0" w:lastRowFirstColumn="0" w:lastRowLastColumn="0"/>
            </w:pPr>
            <w:r w:rsidRPr="00926B90">
              <w:t xml:space="preserve">Difference in remaining asset lives between average depreciation </w:t>
            </w:r>
            <w:r w:rsidR="00BF67E6">
              <w:t xml:space="preserve">and </w:t>
            </w:r>
            <w:r w:rsidR="00BF67E6" w:rsidRPr="00926B90">
              <w:t xml:space="preserve">WARL </w:t>
            </w:r>
            <w:r w:rsidRPr="00926B90">
              <w:t>approach</w:t>
            </w:r>
            <w:r w:rsidR="00BF67E6">
              <w:t>es</w:t>
            </w:r>
            <w:r w:rsidRPr="00926B90">
              <w:t xml:space="preserve"> (per cent)</w:t>
            </w:r>
          </w:p>
        </w:tc>
      </w:tr>
      <w:tr w:rsidR="00926B90" w:rsidRPr="00BF667E" w:rsidTr="00D043FD">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926B90">
            <w:r w:rsidRPr="00926B90">
              <w:t>Sub-transmission lines</w:t>
            </w:r>
          </w:p>
        </w:tc>
        <w:tc>
          <w:tcPr>
            <w:tcW w:w="1850"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50.1</w:t>
            </w:r>
          </w:p>
        </w:tc>
        <w:tc>
          <w:tcPr>
            <w:tcW w:w="2193"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50.5</w:t>
            </w:r>
          </w:p>
        </w:tc>
        <w:tc>
          <w:tcPr>
            <w:tcW w:w="2336"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0.8%</w:t>
            </w:r>
          </w:p>
        </w:tc>
      </w:tr>
      <w:tr w:rsidR="00926B90" w:rsidRPr="00BF667E" w:rsidTr="00D043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926B90">
            <w:r w:rsidRPr="00926B90">
              <w:t xml:space="preserve">Distribution </w:t>
            </w:r>
            <w:r w:rsidR="00BF67E6">
              <w:t>l</w:t>
            </w:r>
            <w:r w:rsidRPr="00926B90">
              <w:t>ines</w:t>
            </w:r>
          </w:p>
        </w:tc>
        <w:tc>
          <w:tcPr>
            <w:tcW w:w="1850"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26.2</w:t>
            </w:r>
          </w:p>
        </w:tc>
        <w:tc>
          <w:tcPr>
            <w:tcW w:w="2193"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21.1</w:t>
            </w:r>
          </w:p>
        </w:tc>
        <w:tc>
          <w:tcPr>
            <w:tcW w:w="2336" w:type="dxa"/>
            <w:noWrap/>
            <w:hideMark/>
          </w:tcPr>
          <w:p w:rsidR="00926B90" w:rsidRPr="00926B90" w:rsidRDefault="00872465" w:rsidP="00926B90">
            <w:pPr>
              <w:cnfStyle w:val="000000010000" w:firstRow="0" w:lastRow="0" w:firstColumn="0" w:lastColumn="0" w:oddVBand="0" w:evenVBand="0" w:oddHBand="0" w:evenHBand="1" w:firstRowFirstColumn="0" w:firstRowLastColumn="0" w:lastRowFirstColumn="0" w:lastRowLastColumn="0"/>
            </w:pPr>
            <w:r>
              <w:t>–</w:t>
            </w:r>
            <w:r w:rsidR="00926B90" w:rsidRPr="00926B90">
              <w:t>19.5%</w:t>
            </w:r>
          </w:p>
        </w:tc>
      </w:tr>
      <w:tr w:rsidR="00926B90" w:rsidRPr="00BF667E" w:rsidTr="00D043FD">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926B90">
            <w:r w:rsidRPr="00926B90">
              <w:t>Substations</w:t>
            </w:r>
          </w:p>
        </w:tc>
        <w:tc>
          <w:tcPr>
            <w:tcW w:w="1850"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29.0</w:t>
            </w:r>
          </w:p>
        </w:tc>
        <w:tc>
          <w:tcPr>
            <w:tcW w:w="2193"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22.</w:t>
            </w:r>
            <w:r w:rsidR="002B454F">
              <w:t>6</w:t>
            </w:r>
          </w:p>
        </w:tc>
        <w:tc>
          <w:tcPr>
            <w:tcW w:w="2336" w:type="dxa"/>
            <w:noWrap/>
            <w:hideMark/>
          </w:tcPr>
          <w:p w:rsidR="00926B90" w:rsidRPr="00926B90" w:rsidRDefault="00872465" w:rsidP="002B454F">
            <w:pPr>
              <w:cnfStyle w:val="000000000000" w:firstRow="0" w:lastRow="0" w:firstColumn="0" w:lastColumn="0" w:oddVBand="0" w:evenVBand="0" w:oddHBand="0" w:evenHBand="0" w:firstRowFirstColumn="0" w:firstRowLastColumn="0" w:lastRowFirstColumn="0" w:lastRowLastColumn="0"/>
            </w:pPr>
            <w:r>
              <w:t>–</w:t>
            </w:r>
            <w:r w:rsidR="00926B90" w:rsidRPr="00926B90">
              <w:t>2</w:t>
            </w:r>
            <w:r w:rsidR="002B454F">
              <w:t>1.9</w:t>
            </w:r>
            <w:r w:rsidR="00926B90" w:rsidRPr="00926B90">
              <w:t>%</w:t>
            </w:r>
          </w:p>
        </w:tc>
      </w:tr>
      <w:tr w:rsidR="00926B90" w:rsidRPr="00BF667E" w:rsidTr="00D043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BF67E6">
            <w:r w:rsidRPr="00926B90">
              <w:t xml:space="preserve">Distribution </w:t>
            </w:r>
            <w:r w:rsidR="00BF67E6">
              <w:t>t</w:t>
            </w:r>
            <w:r w:rsidRPr="00926B90">
              <w:t>ransformers</w:t>
            </w:r>
          </w:p>
        </w:tc>
        <w:tc>
          <w:tcPr>
            <w:tcW w:w="1850"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23.9</w:t>
            </w:r>
          </w:p>
        </w:tc>
        <w:tc>
          <w:tcPr>
            <w:tcW w:w="2193" w:type="dxa"/>
            <w:noWrap/>
            <w:hideMark/>
          </w:tcPr>
          <w:p w:rsidR="00926B90" w:rsidRPr="00926B90" w:rsidRDefault="00926B90" w:rsidP="002B454F">
            <w:pPr>
              <w:cnfStyle w:val="000000010000" w:firstRow="0" w:lastRow="0" w:firstColumn="0" w:lastColumn="0" w:oddVBand="0" w:evenVBand="0" w:oddHBand="0" w:evenHBand="1" w:firstRowFirstColumn="0" w:firstRowLastColumn="0" w:lastRowFirstColumn="0" w:lastRowLastColumn="0"/>
            </w:pPr>
            <w:r w:rsidRPr="00926B90">
              <w:t>1</w:t>
            </w:r>
            <w:r w:rsidR="002B454F">
              <w:t>7.5</w:t>
            </w:r>
          </w:p>
        </w:tc>
        <w:tc>
          <w:tcPr>
            <w:tcW w:w="2336" w:type="dxa"/>
            <w:noWrap/>
            <w:hideMark/>
          </w:tcPr>
          <w:p w:rsidR="00926B90" w:rsidRPr="00926B90" w:rsidRDefault="00872465" w:rsidP="002B454F">
            <w:pPr>
              <w:cnfStyle w:val="000000010000" w:firstRow="0" w:lastRow="0" w:firstColumn="0" w:lastColumn="0" w:oddVBand="0" w:evenVBand="0" w:oddHBand="0" w:evenHBand="1" w:firstRowFirstColumn="0" w:firstRowLastColumn="0" w:lastRowFirstColumn="0" w:lastRowLastColumn="0"/>
            </w:pPr>
            <w:r>
              <w:t>–</w:t>
            </w:r>
            <w:r w:rsidR="00926B90" w:rsidRPr="00926B90">
              <w:t>2</w:t>
            </w:r>
            <w:r w:rsidR="002B454F">
              <w:t>6.6</w:t>
            </w:r>
            <w:r w:rsidR="00926B90" w:rsidRPr="00926B90">
              <w:t>%</w:t>
            </w:r>
          </w:p>
        </w:tc>
      </w:tr>
      <w:tr w:rsidR="00926B90" w:rsidRPr="00BF667E" w:rsidTr="00D043FD">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BF67E6">
            <w:r w:rsidRPr="00926B90">
              <w:t xml:space="preserve">Low </w:t>
            </w:r>
            <w:r w:rsidR="00BF67E6">
              <w:t>v</w:t>
            </w:r>
            <w:r w:rsidRPr="00926B90">
              <w:t xml:space="preserve">oltage </w:t>
            </w:r>
            <w:r w:rsidR="00BF67E6">
              <w:t>s</w:t>
            </w:r>
            <w:r w:rsidRPr="00926B90">
              <w:t>ystems</w:t>
            </w:r>
            <w:r w:rsidR="00890C6E">
              <w:t xml:space="preserve"> (LVS)</w:t>
            </w:r>
            <w:r w:rsidRPr="00926B90">
              <w:t xml:space="preserve"> </w:t>
            </w:r>
          </w:p>
        </w:tc>
        <w:tc>
          <w:tcPr>
            <w:tcW w:w="1850"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33.9</w:t>
            </w:r>
          </w:p>
        </w:tc>
        <w:tc>
          <w:tcPr>
            <w:tcW w:w="2193" w:type="dxa"/>
            <w:noWrap/>
            <w:hideMark/>
          </w:tcPr>
          <w:p w:rsidR="00926B90" w:rsidRPr="00926B90" w:rsidRDefault="00926B90" w:rsidP="002B454F">
            <w:pPr>
              <w:cnfStyle w:val="000000000000" w:firstRow="0" w:lastRow="0" w:firstColumn="0" w:lastColumn="0" w:oddVBand="0" w:evenVBand="0" w:oddHBand="0" w:evenHBand="0" w:firstRowFirstColumn="0" w:firstRowLastColumn="0" w:lastRowFirstColumn="0" w:lastRowLastColumn="0"/>
            </w:pPr>
            <w:r w:rsidRPr="00926B90">
              <w:t>18.</w:t>
            </w:r>
            <w:r w:rsidR="002B454F">
              <w:t>7</w:t>
            </w:r>
          </w:p>
        </w:tc>
        <w:tc>
          <w:tcPr>
            <w:tcW w:w="2336" w:type="dxa"/>
            <w:noWrap/>
            <w:hideMark/>
          </w:tcPr>
          <w:p w:rsidR="00926B90" w:rsidRPr="00926B90" w:rsidRDefault="00872465" w:rsidP="002B454F">
            <w:pPr>
              <w:cnfStyle w:val="000000000000" w:firstRow="0" w:lastRow="0" w:firstColumn="0" w:lastColumn="0" w:oddVBand="0" w:evenVBand="0" w:oddHBand="0" w:evenHBand="0" w:firstRowFirstColumn="0" w:firstRowLastColumn="0" w:lastRowFirstColumn="0" w:lastRowLastColumn="0"/>
            </w:pPr>
            <w:r>
              <w:t>–</w:t>
            </w:r>
            <w:r w:rsidR="00926B90" w:rsidRPr="00926B90">
              <w:t>44.</w:t>
            </w:r>
            <w:r w:rsidR="002B454F">
              <w:t>7</w:t>
            </w:r>
            <w:r w:rsidR="00926B90" w:rsidRPr="00926B90">
              <w:t>%</w:t>
            </w:r>
          </w:p>
        </w:tc>
      </w:tr>
      <w:tr w:rsidR="00926B90" w:rsidRPr="00BF667E" w:rsidTr="00D043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926B90">
            <w:r w:rsidRPr="00926B90">
              <w:t>Communications</w:t>
            </w:r>
          </w:p>
        </w:tc>
        <w:tc>
          <w:tcPr>
            <w:tcW w:w="1850"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9.7</w:t>
            </w:r>
          </w:p>
        </w:tc>
        <w:tc>
          <w:tcPr>
            <w:tcW w:w="2193"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7.6</w:t>
            </w:r>
          </w:p>
        </w:tc>
        <w:tc>
          <w:tcPr>
            <w:tcW w:w="2336" w:type="dxa"/>
            <w:noWrap/>
            <w:hideMark/>
          </w:tcPr>
          <w:p w:rsidR="00926B90" w:rsidRPr="00926B90" w:rsidRDefault="00872465" w:rsidP="00926B90">
            <w:pPr>
              <w:cnfStyle w:val="000000010000" w:firstRow="0" w:lastRow="0" w:firstColumn="0" w:lastColumn="0" w:oddVBand="0" w:evenVBand="0" w:oddHBand="0" w:evenHBand="1" w:firstRowFirstColumn="0" w:firstRowLastColumn="0" w:lastRowFirstColumn="0" w:lastRowLastColumn="0"/>
            </w:pPr>
            <w:r>
              <w:t>–</w:t>
            </w:r>
            <w:r w:rsidR="00926B90" w:rsidRPr="00926B90">
              <w:t>21.5%</w:t>
            </w:r>
          </w:p>
        </w:tc>
      </w:tr>
      <w:tr w:rsidR="00926B90" w:rsidRPr="00BF667E" w:rsidTr="00D043FD">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926B90">
            <w:r w:rsidRPr="00926B90">
              <w:t>Buildings</w:t>
            </w:r>
          </w:p>
        </w:tc>
        <w:tc>
          <w:tcPr>
            <w:tcW w:w="1850"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28.0</w:t>
            </w:r>
          </w:p>
        </w:tc>
        <w:tc>
          <w:tcPr>
            <w:tcW w:w="2193" w:type="dxa"/>
            <w:noWrap/>
            <w:hideMark/>
          </w:tcPr>
          <w:p w:rsidR="00926B90" w:rsidRPr="00926B90" w:rsidRDefault="00926B90" w:rsidP="002B454F">
            <w:pPr>
              <w:cnfStyle w:val="000000000000" w:firstRow="0" w:lastRow="0" w:firstColumn="0" w:lastColumn="0" w:oddVBand="0" w:evenVBand="0" w:oddHBand="0" w:evenHBand="0" w:firstRowFirstColumn="0" w:firstRowLastColumn="0" w:lastRowFirstColumn="0" w:lastRowLastColumn="0"/>
            </w:pPr>
            <w:r w:rsidRPr="00926B90">
              <w:t>24.</w:t>
            </w:r>
            <w:r w:rsidR="002B454F">
              <w:t>8</w:t>
            </w:r>
          </w:p>
        </w:tc>
        <w:tc>
          <w:tcPr>
            <w:tcW w:w="2336" w:type="dxa"/>
            <w:noWrap/>
            <w:hideMark/>
          </w:tcPr>
          <w:p w:rsidR="00926B90" w:rsidRPr="00926B90" w:rsidRDefault="00872465" w:rsidP="00926B90">
            <w:pPr>
              <w:cnfStyle w:val="000000000000" w:firstRow="0" w:lastRow="0" w:firstColumn="0" w:lastColumn="0" w:oddVBand="0" w:evenVBand="0" w:oddHBand="0" w:evenHBand="0" w:firstRowFirstColumn="0" w:firstRowLastColumn="0" w:lastRowFirstColumn="0" w:lastRowLastColumn="0"/>
            </w:pPr>
            <w:r>
              <w:t>–</w:t>
            </w:r>
            <w:r w:rsidR="00926B90" w:rsidRPr="00926B90">
              <w:t>11.3%</w:t>
            </w:r>
          </w:p>
        </w:tc>
      </w:tr>
      <w:tr w:rsidR="00926B90" w:rsidRPr="00BF667E" w:rsidTr="00D043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BF67E6">
            <w:r w:rsidRPr="00926B90">
              <w:t xml:space="preserve">Heavy </w:t>
            </w:r>
            <w:r w:rsidR="00BF67E6">
              <w:t>v</w:t>
            </w:r>
            <w:r w:rsidRPr="00926B90">
              <w:t>ehicles</w:t>
            </w:r>
          </w:p>
        </w:tc>
        <w:tc>
          <w:tcPr>
            <w:tcW w:w="1850"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14.6</w:t>
            </w:r>
          </w:p>
        </w:tc>
        <w:tc>
          <w:tcPr>
            <w:tcW w:w="2193" w:type="dxa"/>
            <w:noWrap/>
            <w:hideMark/>
          </w:tcPr>
          <w:p w:rsidR="00926B90" w:rsidRPr="00926B90" w:rsidRDefault="00926B90" w:rsidP="002B454F">
            <w:pPr>
              <w:cnfStyle w:val="000000010000" w:firstRow="0" w:lastRow="0" w:firstColumn="0" w:lastColumn="0" w:oddVBand="0" w:evenVBand="0" w:oddHBand="0" w:evenHBand="1" w:firstRowFirstColumn="0" w:firstRowLastColumn="0" w:lastRowFirstColumn="0" w:lastRowLastColumn="0"/>
            </w:pPr>
            <w:r w:rsidRPr="00926B90">
              <w:t>11.</w:t>
            </w:r>
            <w:r w:rsidR="002B454F">
              <w:t>8</w:t>
            </w:r>
          </w:p>
        </w:tc>
        <w:tc>
          <w:tcPr>
            <w:tcW w:w="2336" w:type="dxa"/>
            <w:noWrap/>
            <w:hideMark/>
          </w:tcPr>
          <w:p w:rsidR="00926B90" w:rsidRPr="00926B90" w:rsidRDefault="00872465" w:rsidP="002B454F">
            <w:pPr>
              <w:cnfStyle w:val="000000010000" w:firstRow="0" w:lastRow="0" w:firstColumn="0" w:lastColumn="0" w:oddVBand="0" w:evenVBand="0" w:oddHBand="0" w:evenHBand="1" w:firstRowFirstColumn="0" w:firstRowLastColumn="0" w:lastRowFirstColumn="0" w:lastRowLastColumn="0"/>
            </w:pPr>
            <w:r>
              <w:t>–</w:t>
            </w:r>
            <w:r w:rsidR="002B454F">
              <w:t>19.4</w:t>
            </w:r>
            <w:r w:rsidR="00926B90" w:rsidRPr="00926B90">
              <w:t>%</w:t>
            </w:r>
          </w:p>
        </w:tc>
      </w:tr>
      <w:tr w:rsidR="00926B90" w:rsidRPr="00BF667E" w:rsidTr="00D043FD">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BF67E6">
            <w:r w:rsidRPr="00926B90">
              <w:t xml:space="preserve">IT </w:t>
            </w:r>
            <w:r w:rsidR="00BF67E6">
              <w:t>a</w:t>
            </w:r>
            <w:r w:rsidRPr="00926B90">
              <w:t>ssets</w:t>
            </w:r>
          </w:p>
        </w:tc>
        <w:tc>
          <w:tcPr>
            <w:tcW w:w="1850"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3.9</w:t>
            </w:r>
          </w:p>
        </w:tc>
        <w:tc>
          <w:tcPr>
            <w:tcW w:w="2193"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5.0</w:t>
            </w:r>
          </w:p>
        </w:tc>
        <w:tc>
          <w:tcPr>
            <w:tcW w:w="2336" w:type="dxa"/>
            <w:noWrap/>
            <w:hideMark/>
          </w:tcPr>
          <w:p w:rsidR="00926B90" w:rsidRPr="00926B90" w:rsidRDefault="00926B90" w:rsidP="002B454F">
            <w:pPr>
              <w:cnfStyle w:val="000000000000" w:firstRow="0" w:lastRow="0" w:firstColumn="0" w:lastColumn="0" w:oddVBand="0" w:evenVBand="0" w:oddHBand="0" w:evenHBand="0" w:firstRowFirstColumn="0" w:firstRowLastColumn="0" w:lastRowFirstColumn="0" w:lastRowLastColumn="0"/>
            </w:pPr>
            <w:r w:rsidRPr="00926B90">
              <w:t>2</w:t>
            </w:r>
            <w:r w:rsidR="002B454F">
              <w:t>7.6</w:t>
            </w:r>
            <w:r w:rsidRPr="00926B90">
              <w:t>%</w:t>
            </w:r>
          </w:p>
        </w:tc>
      </w:tr>
      <w:tr w:rsidR="00926B90" w:rsidRPr="00BF667E" w:rsidTr="00D043F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rsidR="00926B90" w:rsidRPr="00926B90" w:rsidRDefault="00926B90" w:rsidP="00E920EC">
            <w:r w:rsidRPr="00926B90">
              <w:t xml:space="preserve">Plant &amp; </w:t>
            </w:r>
            <w:r w:rsidR="00BF67E6">
              <w:t>t</w:t>
            </w:r>
            <w:r w:rsidRPr="00926B90">
              <w:t>ools/</w:t>
            </w:r>
            <w:r w:rsidR="00E920EC">
              <w:t>O</w:t>
            </w:r>
            <w:r w:rsidRPr="00926B90">
              <w:t xml:space="preserve">ffice </w:t>
            </w:r>
            <w:r w:rsidR="00BF67E6">
              <w:t>f</w:t>
            </w:r>
            <w:r w:rsidRPr="00926B90">
              <w:t>urniture</w:t>
            </w:r>
          </w:p>
        </w:tc>
        <w:tc>
          <w:tcPr>
            <w:tcW w:w="1850"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7.4</w:t>
            </w:r>
          </w:p>
        </w:tc>
        <w:tc>
          <w:tcPr>
            <w:tcW w:w="2193"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7.6</w:t>
            </w:r>
          </w:p>
        </w:tc>
        <w:tc>
          <w:tcPr>
            <w:tcW w:w="2336" w:type="dxa"/>
            <w:noWrap/>
            <w:hideMark/>
          </w:tcPr>
          <w:p w:rsidR="00926B90" w:rsidRPr="00926B90" w:rsidRDefault="00926B90" w:rsidP="002B454F">
            <w:pPr>
              <w:cnfStyle w:val="000000010000" w:firstRow="0" w:lastRow="0" w:firstColumn="0" w:lastColumn="0" w:oddVBand="0" w:evenVBand="0" w:oddHBand="0" w:evenHBand="1" w:firstRowFirstColumn="0" w:firstRowLastColumn="0" w:lastRowFirstColumn="0" w:lastRowLastColumn="0"/>
            </w:pPr>
            <w:r w:rsidRPr="00926B90">
              <w:t>1.</w:t>
            </w:r>
            <w:r w:rsidR="002B454F">
              <w:t>6</w:t>
            </w:r>
            <w:r w:rsidRPr="00926B90">
              <w:t>%</w:t>
            </w:r>
          </w:p>
        </w:tc>
      </w:tr>
    </w:tbl>
    <w:p w:rsidR="00926B90" w:rsidRPr="00926B90" w:rsidRDefault="00926B90" w:rsidP="00926B90">
      <w:pPr>
        <w:pStyle w:val="AERtablesource"/>
      </w:pPr>
      <w:r w:rsidRPr="00926B90">
        <w:t>Source:</w:t>
      </w:r>
      <w:r w:rsidRPr="00926B90">
        <w:tab/>
        <w:t>AER analysis</w:t>
      </w:r>
      <w:r w:rsidR="00FB62F5">
        <w:t xml:space="preserve"> of key</w:t>
      </w:r>
      <w:r w:rsidRPr="00926B90">
        <w:t xml:space="preserve"> asset classes</w:t>
      </w:r>
      <w:r w:rsidR="00FB62F5">
        <w:t>.</w:t>
      </w:r>
      <w:r w:rsidRPr="00926B90">
        <w:t xml:space="preserve"> </w:t>
      </w:r>
    </w:p>
    <w:p w:rsidR="00926B90" w:rsidRPr="00926B90" w:rsidRDefault="00926B90" w:rsidP="00926B90">
      <w:r w:rsidRPr="00926B90">
        <w:t xml:space="preserve">To illustrate </w:t>
      </w:r>
      <w:r w:rsidR="00500279">
        <w:t xml:space="preserve">the long-term impacts </w:t>
      </w:r>
      <w:r w:rsidR="007334CB">
        <w:t>we</w:t>
      </w:r>
      <w:r w:rsidRPr="00926B90">
        <w:t xml:space="preserve"> consider </w:t>
      </w:r>
      <w:r w:rsidR="00777269">
        <w:t xml:space="preserve">the outcomes of both approaches for </w:t>
      </w:r>
      <w:r w:rsidRPr="00926B90">
        <w:t>a particular asset class</w:t>
      </w:r>
      <w:r w:rsidR="00D5471F">
        <w:t>—'Low voltage systems'—</w:t>
      </w:r>
      <w:r w:rsidR="007334CB">
        <w:t>of SA Power Networks</w:t>
      </w:r>
      <w:r w:rsidRPr="00926B90">
        <w:t>.</w:t>
      </w:r>
      <w:r w:rsidR="00D5471F" w:rsidRPr="00D5471F">
        <w:t xml:space="preserve"> </w:t>
      </w:r>
      <w:r w:rsidR="00D5471F">
        <w:t xml:space="preserve">We have chosen this asset classes because </w:t>
      </w:r>
      <w:r w:rsidR="006C1180">
        <w:t xml:space="preserve">the differences between the approaches are significant and yet </w:t>
      </w:r>
      <w:r w:rsidR="00D5471F">
        <w:t xml:space="preserve">we consider it </w:t>
      </w:r>
      <w:proofErr w:type="gramStart"/>
      <w:r w:rsidR="00D5471F">
        <w:t>to be representative</w:t>
      </w:r>
      <w:proofErr w:type="gramEnd"/>
      <w:r w:rsidR="00D5471F">
        <w:t xml:space="preserve"> of typical compositions of asset values in the RAB as shown in </w:t>
      </w:r>
      <w:r w:rsidR="00D5471F">
        <w:fldChar w:fldCharType="begin"/>
      </w:r>
      <w:r w:rsidR="00D5471F">
        <w:instrText xml:space="preserve"> REF  _Ref413763253 \* Lower \h </w:instrText>
      </w:r>
      <w:r w:rsidR="00D5471F">
        <w:fldChar w:fldCharType="separate"/>
      </w:r>
      <w:r w:rsidR="00D5471F" w:rsidRPr="00926B90">
        <w:t xml:space="preserve">table </w:t>
      </w:r>
      <w:r w:rsidR="00D5471F">
        <w:rPr>
          <w:noProof/>
        </w:rPr>
        <w:t>5</w:t>
      </w:r>
      <w:r w:rsidR="00D5471F">
        <w:t>.</w:t>
      </w:r>
      <w:r w:rsidR="00D5471F">
        <w:rPr>
          <w:noProof/>
        </w:rPr>
        <w:t>3</w:t>
      </w:r>
      <w:r w:rsidR="00D5471F">
        <w:fldChar w:fldCharType="end"/>
      </w:r>
      <w:r w:rsidR="00D5471F">
        <w:t xml:space="preserve">. </w:t>
      </w:r>
      <w:r w:rsidR="007334CB">
        <w:t>T</w:t>
      </w:r>
      <w:r w:rsidR="00BF67E6">
        <w:t>he</w:t>
      </w:r>
      <w:r w:rsidRPr="00926B90">
        <w:t xml:space="preserve"> ‘Low voltage systems' asset class</w:t>
      </w:r>
      <w:r w:rsidR="00777269">
        <w:t xml:space="preserve"> has an</w:t>
      </w:r>
      <w:r w:rsidRPr="00926B90">
        <w:t xml:space="preserve"> opening </w:t>
      </w:r>
      <w:r w:rsidR="00BF67E6">
        <w:t>asset</w:t>
      </w:r>
      <w:r w:rsidRPr="00926B90">
        <w:t xml:space="preserve"> </w:t>
      </w:r>
      <w:r w:rsidR="00BF67E6">
        <w:t xml:space="preserve">value </w:t>
      </w:r>
      <w:r w:rsidRPr="00926B90">
        <w:t xml:space="preserve">at 1 July 2015 </w:t>
      </w:r>
      <w:r w:rsidR="00777269">
        <w:t>of</w:t>
      </w:r>
      <w:r w:rsidRPr="00926B90">
        <w:t xml:space="preserve"> $568.1 million ($2014–15). This </w:t>
      </w:r>
      <w:r w:rsidR="007334CB">
        <w:t xml:space="preserve">value </w:t>
      </w:r>
      <w:r w:rsidRPr="00926B90">
        <w:t>includes existing asset</w:t>
      </w:r>
      <w:r w:rsidR="00BF67E6">
        <w:t>s</w:t>
      </w:r>
      <w:r w:rsidRPr="00926B90">
        <w:t xml:space="preserve"> at 1 July 2010 of $252.6 million ($2014–15) and new asset</w:t>
      </w:r>
      <w:r w:rsidR="00BF67E6">
        <w:t>s</w:t>
      </w:r>
      <w:r w:rsidRPr="00926B90">
        <w:t xml:space="preserve"> of $315.</w:t>
      </w:r>
      <w:r w:rsidR="002B454F">
        <w:t>4</w:t>
      </w:r>
      <w:r w:rsidRPr="00926B90">
        <w:t xml:space="preserve"> </w:t>
      </w:r>
      <w:r w:rsidRPr="00926B90">
        <w:lastRenderedPageBreak/>
        <w:t xml:space="preserve">million ($2014–15) added to the asset class over the 2010–15 regulatory control period. </w:t>
      </w:r>
      <w:r w:rsidR="002A27F9">
        <w:fldChar w:fldCharType="begin"/>
      </w:r>
      <w:r w:rsidR="002A27F9">
        <w:instrText xml:space="preserve"> REF  _Ref413768375 \* FirstCap \h </w:instrText>
      </w:r>
      <w:r w:rsidR="002A27F9">
        <w:fldChar w:fldCharType="separate"/>
      </w:r>
      <w:r w:rsidR="002A27F9" w:rsidRPr="00926B90">
        <w:t xml:space="preserve">Figure </w:t>
      </w:r>
      <w:r w:rsidR="002A27F9">
        <w:rPr>
          <w:noProof/>
        </w:rPr>
        <w:t>5</w:t>
      </w:r>
      <w:r w:rsidR="002A27F9">
        <w:t>.</w:t>
      </w:r>
      <w:r w:rsidR="002A27F9">
        <w:rPr>
          <w:noProof/>
        </w:rPr>
        <w:t>1</w:t>
      </w:r>
      <w:r w:rsidR="002A27F9">
        <w:fldChar w:fldCharType="end"/>
      </w:r>
      <w:r w:rsidR="00872465">
        <w:t xml:space="preserve"> </w:t>
      </w:r>
      <w:r w:rsidRPr="00926B90">
        <w:t xml:space="preserve">shows the total </w:t>
      </w:r>
      <w:r w:rsidR="00BF67E6">
        <w:t xml:space="preserve">asset </w:t>
      </w:r>
      <w:r w:rsidRPr="00926B90">
        <w:t xml:space="preserve">value estimated by </w:t>
      </w:r>
      <w:r w:rsidR="00BF67E6">
        <w:t xml:space="preserve">the </w:t>
      </w:r>
      <w:r w:rsidRPr="00926B90">
        <w:t xml:space="preserve">WARL approach (blue line), </w:t>
      </w:r>
      <w:r w:rsidR="00777269">
        <w:t>SA Power Networks'</w:t>
      </w:r>
      <w:r w:rsidRPr="00926B90">
        <w:t xml:space="preserve"> average depreciation approach (red line)</w:t>
      </w:r>
      <w:r w:rsidR="007334CB">
        <w:t xml:space="preserve">, </w:t>
      </w:r>
      <w:r w:rsidRPr="00926B90">
        <w:t xml:space="preserve">and the approach </w:t>
      </w:r>
      <w:r w:rsidR="007334CB">
        <w:t>of tracking</w:t>
      </w:r>
      <w:r w:rsidR="007334CB" w:rsidRPr="00926B90">
        <w:t xml:space="preserve"> </w:t>
      </w:r>
      <w:r w:rsidRPr="00926B90">
        <w:t>asset</w:t>
      </w:r>
      <w:r w:rsidR="00BF67E6">
        <w:t>s</w:t>
      </w:r>
      <w:r w:rsidRPr="00926B90">
        <w:t xml:space="preserve"> individually based on when they were introduced to the asset class (stacked columns</w:t>
      </w:r>
      <w:r w:rsidR="007334CB">
        <w:t xml:space="preserve">, </w:t>
      </w:r>
      <w:r w:rsidR="00BB4B42">
        <w:t xml:space="preserve">with each bar representing a different asset that </w:t>
      </w:r>
      <w:r w:rsidR="007334CB">
        <w:t xml:space="preserve">will </w:t>
      </w:r>
      <w:r w:rsidR="00BB4B42">
        <w:t>expire at a different time</w:t>
      </w:r>
      <w:r w:rsidR="007334CB">
        <w:t>)</w:t>
      </w:r>
      <w:r w:rsidRPr="00926B90">
        <w:t xml:space="preserve">. </w:t>
      </w:r>
      <w:r w:rsidR="00777269" w:rsidRPr="00777269">
        <w:t xml:space="preserve">This example assumes </w:t>
      </w:r>
      <w:r w:rsidR="007334CB">
        <w:t>the</w:t>
      </w:r>
      <w:r w:rsidR="00777269" w:rsidRPr="00777269">
        <w:t xml:space="preserve"> asset class</w:t>
      </w:r>
      <w:r w:rsidR="007334CB">
        <w:t xml:space="preserve"> incur no further capex.</w:t>
      </w:r>
    </w:p>
    <w:p w:rsidR="00926B90" w:rsidRDefault="00926B90" w:rsidP="00926B90">
      <w:pPr>
        <w:pStyle w:val="Caption"/>
      </w:pPr>
      <w:bookmarkStart w:id="37" w:name="_Ref413768375"/>
      <w:bookmarkStart w:id="38" w:name="_Ref413768370"/>
      <w:r w:rsidRPr="00926B90">
        <w:t xml:space="preserve">Figure </w:t>
      </w:r>
      <w:fldSimple w:instr=" STYLEREF 1 \s ">
        <w:r w:rsidR="00CC3B48">
          <w:rPr>
            <w:noProof/>
          </w:rPr>
          <w:t>5</w:t>
        </w:r>
      </w:fldSimple>
      <w:r w:rsidR="002C7D8C">
        <w:t>.</w:t>
      </w:r>
      <w:fldSimple w:instr=" SEQ Figure \* ARABIC \s 1 ">
        <w:r w:rsidR="00CC3B48">
          <w:rPr>
            <w:noProof/>
          </w:rPr>
          <w:t>1</w:t>
        </w:r>
      </w:fldSimple>
      <w:bookmarkEnd w:id="37"/>
      <w:r w:rsidRPr="00926B90">
        <w:tab/>
        <w:t xml:space="preserve">Projection of the value of </w:t>
      </w:r>
      <w:r w:rsidR="00BF67E6">
        <w:t>assets</w:t>
      </w:r>
      <w:r w:rsidRPr="00926B90">
        <w:t xml:space="preserve"> for </w:t>
      </w:r>
      <w:r w:rsidR="00BF67E6">
        <w:t>'</w:t>
      </w:r>
      <w:r w:rsidRPr="00926B90">
        <w:t>Low voltage system</w:t>
      </w:r>
      <w:r w:rsidR="00BF67E6">
        <w:t>' asset class</w:t>
      </w:r>
      <w:r w:rsidRPr="00926B90">
        <w:t xml:space="preserve"> over time</w:t>
      </w:r>
      <w:bookmarkEnd w:id="38"/>
      <w:r w:rsidRPr="00926B90">
        <w:t xml:space="preserve"> </w:t>
      </w:r>
      <w:r w:rsidR="00BF67E6">
        <w:t>($ millions, 2014–15)</w:t>
      </w:r>
    </w:p>
    <w:p w:rsidR="00926B90" w:rsidRPr="00926B90" w:rsidRDefault="00A23A32" w:rsidP="00926B90">
      <w:r w:rsidRPr="00A23A32">
        <w:rPr>
          <w:noProof/>
          <w:lang w:eastAsia="en-AU"/>
        </w:rPr>
        <w:drawing>
          <wp:inline distT="0" distB="0" distL="0" distR="0" wp14:anchorId="7BCD3253" wp14:editId="0A10883A">
            <wp:extent cx="5382895" cy="360430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604302"/>
                    </a:xfrm>
                    <a:prstGeom prst="rect">
                      <a:avLst/>
                    </a:prstGeom>
                    <a:noFill/>
                    <a:ln>
                      <a:noFill/>
                    </a:ln>
                  </pic:spPr>
                </pic:pic>
              </a:graphicData>
            </a:graphic>
          </wp:inline>
        </w:drawing>
      </w:r>
    </w:p>
    <w:p w:rsidR="00926B90" w:rsidRPr="00926B90" w:rsidRDefault="00926B90" w:rsidP="00926B90">
      <w:pPr>
        <w:pStyle w:val="AERtablesource"/>
      </w:pPr>
      <w:r w:rsidRPr="00926B90">
        <w:t>Source:</w:t>
      </w:r>
      <w:r w:rsidRPr="00926B90">
        <w:tab/>
        <w:t>AER analysis.</w:t>
      </w:r>
    </w:p>
    <w:p w:rsidR="00A14ABA" w:rsidRDefault="00926B90" w:rsidP="00926B90">
      <w:r w:rsidRPr="00926B90">
        <w:t xml:space="preserve">As shown in </w:t>
      </w:r>
      <w:r w:rsidRPr="00926B90">
        <w:fldChar w:fldCharType="begin"/>
      </w:r>
      <w:r w:rsidRPr="00926B90">
        <w:instrText xml:space="preserve"> REF  _Ref413768375 \* Lower \h </w:instrText>
      </w:r>
      <w:r w:rsidRPr="00926B90">
        <w:fldChar w:fldCharType="separate"/>
      </w:r>
      <w:r w:rsidR="00CC3B48" w:rsidRPr="00926B90">
        <w:t xml:space="preserve">figure </w:t>
      </w:r>
      <w:r w:rsidR="00CC3B48">
        <w:rPr>
          <w:noProof/>
        </w:rPr>
        <w:t>5</w:t>
      </w:r>
      <w:r w:rsidR="00CC3B48">
        <w:t>.</w:t>
      </w:r>
      <w:r w:rsidR="00CC3B48">
        <w:rPr>
          <w:noProof/>
        </w:rPr>
        <w:t>1</w:t>
      </w:r>
      <w:r w:rsidRPr="00926B90">
        <w:fldChar w:fldCharType="end"/>
      </w:r>
      <w:r w:rsidRPr="00926B90">
        <w:t xml:space="preserve">, </w:t>
      </w:r>
      <w:r w:rsidR="007334CB">
        <w:t xml:space="preserve">under individual asset tracking, </w:t>
      </w:r>
      <w:r w:rsidRPr="00926B90">
        <w:t xml:space="preserve">the </w:t>
      </w:r>
      <w:r w:rsidR="00BF67E6">
        <w:t>asset</w:t>
      </w:r>
      <w:r w:rsidRPr="00926B90">
        <w:t xml:space="preserve"> value calculated will fully depreciate in</w:t>
      </w:r>
      <w:r w:rsidR="00D8495A">
        <w:t xml:space="preserve"> </w:t>
      </w:r>
      <w:r w:rsidR="000B7E7E">
        <w:t>54</w:t>
      </w:r>
      <w:r w:rsidRPr="00926B90">
        <w:t xml:space="preserve"> years. </w:t>
      </w:r>
      <w:r w:rsidR="007334CB">
        <w:t>Under the WARL approach, t</w:t>
      </w:r>
      <w:r w:rsidRPr="00926B90">
        <w:t xml:space="preserve">he </w:t>
      </w:r>
      <w:r w:rsidR="00BF67E6">
        <w:t>asset</w:t>
      </w:r>
      <w:r w:rsidRPr="00926B90">
        <w:t xml:space="preserve"> value starts above the value </w:t>
      </w:r>
      <w:r w:rsidR="00C533E3">
        <w:t>whe</w:t>
      </w:r>
      <w:r w:rsidR="007334CB">
        <w:t>n</w:t>
      </w:r>
      <w:r w:rsidRPr="00926B90">
        <w:t xml:space="preserve"> the assets are tracked individually, but </w:t>
      </w:r>
      <w:r w:rsidR="00CF2984">
        <w:t xml:space="preserve">drops below </w:t>
      </w:r>
      <w:r w:rsidR="007334CB">
        <w:t>it</w:t>
      </w:r>
      <w:r w:rsidRPr="00926B90">
        <w:t xml:space="preserve"> in later years. </w:t>
      </w:r>
      <w:r w:rsidR="007334CB">
        <w:t xml:space="preserve">And </w:t>
      </w:r>
      <w:r w:rsidR="0084310E">
        <w:t>the</w:t>
      </w:r>
      <w:r w:rsidRPr="00926B90">
        <w:t xml:space="preserve"> assets will fully depreciate in 34 years</w:t>
      </w:r>
      <w:r w:rsidR="0084310E">
        <w:t xml:space="preserve">, even though </w:t>
      </w:r>
      <w:r w:rsidR="007334CB">
        <w:t>some</w:t>
      </w:r>
      <w:r w:rsidR="0084310E">
        <w:t xml:space="preserve"> </w:t>
      </w:r>
      <w:r w:rsidR="000B7E7E">
        <w:t>assets (</w:t>
      </w:r>
      <w:r w:rsidR="00C533E3">
        <w:t>t</w:t>
      </w:r>
      <w:r w:rsidR="0084310E">
        <w:t>hat is</w:t>
      </w:r>
      <w:r w:rsidR="006F0E9F">
        <w:t>,</w:t>
      </w:r>
      <w:r w:rsidR="0084310E">
        <w:t xml:space="preserve"> capex </w:t>
      </w:r>
      <w:r w:rsidR="000B7E7E">
        <w:t>in</w:t>
      </w:r>
      <w:r w:rsidR="00C533E3">
        <w:t>curred during the 2010–15 regulatory control period</w:t>
      </w:r>
      <w:r w:rsidR="0084310E">
        <w:t xml:space="preserve">) will still be in service for a </w:t>
      </w:r>
      <w:r w:rsidR="007334CB">
        <w:t xml:space="preserve">further </w:t>
      </w:r>
      <w:r w:rsidR="0084310E">
        <w:t>number of years</w:t>
      </w:r>
      <w:r w:rsidRPr="00926B90">
        <w:t>.</w:t>
      </w:r>
      <w:r w:rsidR="00A14ABA">
        <w:t xml:space="preserve"> </w:t>
      </w:r>
      <w:r w:rsidR="006F0E9F">
        <w:t>C</w:t>
      </w:r>
      <w:r w:rsidR="00A14ABA">
        <w:t>ombining old and new assets naturally implies the older assets will take longer to be recovered</w:t>
      </w:r>
      <w:r w:rsidR="007334CB">
        <w:t xml:space="preserve"> than individual asset tracking suggests</w:t>
      </w:r>
      <w:r w:rsidR="00A14ABA">
        <w:t>,</w:t>
      </w:r>
      <w:r w:rsidR="00E920EC">
        <w:t xml:space="preserve"> </w:t>
      </w:r>
      <w:r w:rsidR="007334CB">
        <w:t>and</w:t>
      </w:r>
      <w:r w:rsidR="00A14ABA">
        <w:t xml:space="preserve"> the newer asset</w:t>
      </w:r>
      <w:r w:rsidR="007334CB">
        <w:t>s</w:t>
      </w:r>
      <w:r w:rsidR="00A14ABA">
        <w:t xml:space="preserve"> will be recovered sooner.</w:t>
      </w:r>
      <w:r w:rsidR="006F0E9F">
        <w:t xml:space="preserve"> We </w:t>
      </w:r>
      <w:r w:rsidR="00C529CD">
        <w:t>consider t</w:t>
      </w:r>
      <w:r w:rsidR="006F0E9F">
        <w:t xml:space="preserve">he WARL approach </w:t>
      </w:r>
      <w:r w:rsidR="00C529CD">
        <w:t xml:space="preserve">best </w:t>
      </w:r>
      <w:r w:rsidR="006F0E9F">
        <w:t>deals with this issue</w:t>
      </w:r>
      <w:r w:rsidR="00E920EC">
        <w:t>,</w:t>
      </w:r>
      <w:r w:rsidR="006F0E9F">
        <w:t xml:space="preserve"> </w:t>
      </w:r>
      <w:r w:rsidR="00B669FC">
        <w:t xml:space="preserve">producing </w:t>
      </w:r>
      <w:r w:rsidR="00C529CD">
        <w:t>a more</w:t>
      </w:r>
      <w:r w:rsidR="006F0E9F">
        <w:t xml:space="preserve"> balanc</w:t>
      </w:r>
      <w:r w:rsidR="00C533E3">
        <w:t>ed</w:t>
      </w:r>
      <w:r w:rsidR="006F0E9F">
        <w:t xml:space="preserve"> </w:t>
      </w:r>
      <w:r w:rsidR="00C529CD">
        <w:t>outcome</w:t>
      </w:r>
      <w:r w:rsidR="00B669FC">
        <w:t xml:space="preserve"> in the long run</w:t>
      </w:r>
      <w:r w:rsidR="006F0E9F">
        <w:t>.</w:t>
      </w:r>
      <w:r w:rsidR="00B669FC">
        <w:t xml:space="preserve"> In the </w:t>
      </w:r>
      <w:r w:rsidR="00C533E3">
        <w:t>example</w:t>
      </w:r>
      <w:r w:rsidR="00B669FC">
        <w:t>, the</w:t>
      </w:r>
      <w:r w:rsidR="00C529CD">
        <w:t xml:space="preserve"> period </w:t>
      </w:r>
      <w:r w:rsidR="00E920EC">
        <w:t>when</w:t>
      </w:r>
      <w:r w:rsidR="00C529CD">
        <w:t xml:space="preserve"> the </w:t>
      </w:r>
      <w:r w:rsidR="00C533E3">
        <w:t>asset value</w:t>
      </w:r>
      <w:r w:rsidR="00C529CD">
        <w:t xml:space="preserve"> is </w:t>
      </w:r>
      <w:r w:rsidR="00B669FC">
        <w:t>higher</w:t>
      </w:r>
      <w:r w:rsidR="00C529CD">
        <w:t xml:space="preserve"> than if assets where tracked individually </w:t>
      </w:r>
      <w:r w:rsidR="00E920EC">
        <w:t>(year</w:t>
      </w:r>
      <w:r w:rsidR="00A027AC">
        <w:t>s</w:t>
      </w:r>
      <w:r w:rsidR="00E920EC">
        <w:t xml:space="preserve"> 1–23) </w:t>
      </w:r>
      <w:r w:rsidR="00C529CD">
        <w:t>is matched by the period whe</w:t>
      </w:r>
      <w:r w:rsidR="00E920EC">
        <w:t>n</w:t>
      </w:r>
      <w:r w:rsidR="00C529CD">
        <w:t xml:space="preserve"> the </w:t>
      </w:r>
      <w:r w:rsidR="00C533E3">
        <w:t>asset value</w:t>
      </w:r>
      <w:r w:rsidR="00C529CD">
        <w:t xml:space="preserve"> is </w:t>
      </w:r>
      <w:r w:rsidR="00B669FC">
        <w:t>lower</w:t>
      </w:r>
      <w:r w:rsidR="00C529CD">
        <w:t xml:space="preserve"> than if the assets were tracked individually</w:t>
      </w:r>
      <w:r w:rsidR="00E920EC">
        <w:t xml:space="preserve"> (year</w:t>
      </w:r>
      <w:r w:rsidR="00A027AC">
        <w:t>s</w:t>
      </w:r>
      <w:r w:rsidR="00E920EC">
        <w:t xml:space="preserve"> 24–54)</w:t>
      </w:r>
      <w:r w:rsidR="00C529CD">
        <w:t>.</w:t>
      </w:r>
    </w:p>
    <w:p w:rsidR="00D8495A" w:rsidRDefault="00926B90" w:rsidP="00926B90">
      <w:r w:rsidRPr="00926B90">
        <w:t xml:space="preserve">On the other hand, the </w:t>
      </w:r>
      <w:r w:rsidR="00C533E3">
        <w:t>asset</w:t>
      </w:r>
      <w:r w:rsidRPr="00926B90">
        <w:t xml:space="preserve"> value calculated under the average depreciation approach </w:t>
      </w:r>
      <w:r w:rsidR="0084310E">
        <w:t xml:space="preserve">appears to track the value </w:t>
      </w:r>
      <w:r w:rsidRPr="00926B90">
        <w:t>if the assets are tracked individually</w:t>
      </w:r>
      <w:r w:rsidR="0084310E">
        <w:t xml:space="preserve"> for 10 years</w:t>
      </w:r>
      <w:r w:rsidR="00D8495A">
        <w:t xml:space="preserve">. </w:t>
      </w:r>
      <w:r w:rsidR="00D8495A">
        <w:lastRenderedPageBreak/>
        <w:t>It</w:t>
      </w:r>
      <w:r w:rsidRPr="00926B90">
        <w:t xml:space="preserve"> </w:t>
      </w:r>
      <w:r w:rsidR="0084310E">
        <w:t xml:space="preserve">then </w:t>
      </w:r>
      <w:r w:rsidRPr="00926B90">
        <w:t>dips significantly below it and</w:t>
      </w:r>
      <w:r w:rsidR="0084310E">
        <w:t xml:space="preserve"> results in all assets being</w:t>
      </w:r>
      <w:r w:rsidRPr="00926B90">
        <w:t xml:space="preserve"> fully depreciated </w:t>
      </w:r>
      <w:r w:rsidR="00C533E3">
        <w:t>within</w:t>
      </w:r>
      <w:r w:rsidRPr="00926B90">
        <w:t xml:space="preserve"> 1</w:t>
      </w:r>
      <w:r w:rsidR="00C533E3">
        <w:t>9</w:t>
      </w:r>
      <w:r w:rsidRPr="00926B90">
        <w:t xml:space="preserve"> years.</w:t>
      </w:r>
      <w:r w:rsidR="00C529CD">
        <w:t xml:space="preserve"> </w:t>
      </w:r>
      <w:r w:rsidR="00E920EC">
        <w:t xml:space="preserve">The average depreciation approach </w:t>
      </w:r>
      <w:r w:rsidR="006B2FEF">
        <w:t xml:space="preserve">does not </w:t>
      </w:r>
      <w:r w:rsidR="00E920EC">
        <w:t>involve</w:t>
      </w:r>
      <w:r w:rsidR="00C529CD">
        <w:t xml:space="preserve"> </w:t>
      </w:r>
      <w:r w:rsidR="006B2FEF">
        <w:t xml:space="preserve">any </w:t>
      </w:r>
      <w:r w:rsidR="00C529CD">
        <w:t>balancing of the kind that occurs under th</w:t>
      </w:r>
      <w:r w:rsidR="000B7E7E">
        <w:t>e</w:t>
      </w:r>
      <w:r w:rsidR="00C529CD">
        <w:t xml:space="preserve"> WARL approach</w:t>
      </w:r>
      <w:r w:rsidR="00E920EC">
        <w:t xml:space="preserve">, </w:t>
      </w:r>
      <w:r w:rsidR="000B7E7E">
        <w:t xml:space="preserve">and it </w:t>
      </w:r>
      <w:r w:rsidR="0090301E">
        <w:t>leads to an inappropriate</w:t>
      </w:r>
      <w:r w:rsidR="00A14ABA">
        <w:t xml:space="preserve"> outcome</w:t>
      </w:r>
      <w:r w:rsidR="0084310E">
        <w:t xml:space="preserve">. </w:t>
      </w:r>
      <w:r w:rsidR="00E920EC">
        <w:t>It</w:t>
      </w:r>
      <w:r w:rsidR="0084310E">
        <w:t xml:space="preserve"> does not recognise th</w:t>
      </w:r>
      <w:r w:rsidR="006B2FEF">
        <w:t xml:space="preserve">at </w:t>
      </w:r>
      <w:r w:rsidR="0084310E">
        <w:t xml:space="preserve">existing assets (the black </w:t>
      </w:r>
      <w:r w:rsidR="00C533E3">
        <w:t>column</w:t>
      </w:r>
      <w:r w:rsidR="0084310E">
        <w:t xml:space="preserve">s) expire after 9.7 years </w:t>
      </w:r>
      <w:r w:rsidR="00C529CD">
        <w:t>(</w:t>
      </w:r>
      <w:r w:rsidR="00E920EC">
        <w:t xml:space="preserve">noted by </w:t>
      </w:r>
      <w:r w:rsidR="00C529CD">
        <w:t>the kink in the column</w:t>
      </w:r>
      <w:r w:rsidR="0084310E">
        <w:t xml:space="preserve">s </w:t>
      </w:r>
      <w:r w:rsidR="00C529CD">
        <w:t>of the individually tracked assets</w:t>
      </w:r>
      <w:r w:rsidR="0084310E">
        <w:t xml:space="preserve">). </w:t>
      </w:r>
      <w:r w:rsidR="00E920EC">
        <w:t>So,</w:t>
      </w:r>
      <w:r w:rsidR="0084310E">
        <w:t xml:space="preserve"> it continues to depreciat</w:t>
      </w:r>
      <w:r w:rsidR="00C533E3">
        <w:t>e</w:t>
      </w:r>
      <w:r w:rsidR="0084310E">
        <w:t xml:space="preserve"> this asset class as </w:t>
      </w:r>
      <w:r w:rsidR="00E920EC">
        <w:t>if</w:t>
      </w:r>
      <w:r w:rsidR="0084310E">
        <w:t xml:space="preserve"> the</w:t>
      </w:r>
      <w:r w:rsidR="00C533E3">
        <w:t xml:space="preserve"> old assets</w:t>
      </w:r>
      <w:r w:rsidR="0084310E">
        <w:t xml:space="preserve"> still existed</w:t>
      </w:r>
      <w:r w:rsidR="00E920EC">
        <w:t>,</w:t>
      </w:r>
      <w:r w:rsidR="00A14ABA">
        <w:t xml:space="preserve"> and </w:t>
      </w:r>
      <w:r w:rsidR="00E920EC">
        <w:t xml:space="preserve">it </w:t>
      </w:r>
      <w:r w:rsidR="00A14ABA">
        <w:t xml:space="preserve">results in </w:t>
      </w:r>
      <w:r w:rsidR="00BB4B42">
        <w:t>accelerated</w:t>
      </w:r>
      <w:r w:rsidR="00A14ABA">
        <w:t xml:space="preserve"> depreciation</w:t>
      </w:r>
      <w:r w:rsidR="00C529CD">
        <w:t xml:space="preserve"> of all assets</w:t>
      </w:r>
      <w:r w:rsidR="0084310E">
        <w:t>.</w:t>
      </w:r>
      <w:r w:rsidR="00A14ABA">
        <w:t xml:space="preserve"> </w:t>
      </w:r>
    </w:p>
    <w:p w:rsidR="006B6173" w:rsidRDefault="00A14ABA" w:rsidP="00926B90">
      <w:r>
        <w:t xml:space="preserve">If assets are combined in this </w:t>
      </w:r>
      <w:r w:rsidR="00E920EC">
        <w:t xml:space="preserve">way </w:t>
      </w:r>
      <w:r>
        <w:t xml:space="preserve">at every reset, </w:t>
      </w:r>
      <w:r w:rsidR="00E920EC">
        <w:t xml:space="preserve">then </w:t>
      </w:r>
      <w:r>
        <w:t xml:space="preserve">information on </w:t>
      </w:r>
      <w:r w:rsidR="00E920EC">
        <w:t xml:space="preserve">asset </w:t>
      </w:r>
      <w:r>
        <w:t xml:space="preserve">expiry is continually lost </w:t>
      </w:r>
      <w:r w:rsidR="006B2FEF">
        <w:t>to</w:t>
      </w:r>
      <w:r w:rsidR="00E920EC">
        <w:t xml:space="preserve"> </w:t>
      </w:r>
      <w:r>
        <w:t>a more significant degree than under the WARL approach.</w:t>
      </w:r>
      <w:r w:rsidR="00637697" w:rsidRPr="00637697">
        <w:rPr>
          <w:rStyle w:val="FootnoteReference"/>
        </w:rPr>
        <w:t xml:space="preserve"> </w:t>
      </w:r>
      <w:r w:rsidR="00637697">
        <w:rPr>
          <w:rStyle w:val="FootnoteReference"/>
        </w:rPr>
        <w:footnoteReference w:id="33"/>
      </w:r>
      <w:r>
        <w:t xml:space="preserve"> </w:t>
      </w:r>
      <w:r w:rsidR="00926B90" w:rsidRPr="00926B90">
        <w:t xml:space="preserve">Only if the existing assets had a </w:t>
      </w:r>
      <w:r w:rsidR="00C533E3">
        <w:t xml:space="preserve">remaining </w:t>
      </w:r>
      <w:r w:rsidR="00926B90" w:rsidRPr="00926B90">
        <w:t xml:space="preserve">life of less than </w:t>
      </w:r>
      <w:r w:rsidR="00E920EC">
        <w:t xml:space="preserve">the </w:t>
      </w:r>
      <w:r w:rsidR="00D8495A">
        <w:t xml:space="preserve">depreciation assessment period of </w:t>
      </w:r>
      <w:r w:rsidR="00E920EC">
        <w:t>five</w:t>
      </w:r>
      <w:r w:rsidR="00926B90" w:rsidRPr="00926B90">
        <w:t xml:space="preserve"> years would the average depreciation</w:t>
      </w:r>
      <w:r w:rsidR="00E920EC">
        <w:t xml:space="preserve"> </w:t>
      </w:r>
      <w:r w:rsidR="00500279">
        <w:t xml:space="preserve">calculation </w:t>
      </w:r>
      <w:r w:rsidR="00E920EC">
        <w:t>pick up on some information on expiry</w:t>
      </w:r>
      <w:r w:rsidR="00926B90" w:rsidRPr="00926B90">
        <w:t>. Alternatively</w:t>
      </w:r>
      <w:r w:rsidR="00E920EC">
        <w:t xml:space="preserve">, we can extend </w:t>
      </w:r>
      <w:r w:rsidR="00926B90" w:rsidRPr="00926B90">
        <w:t>the a</w:t>
      </w:r>
      <w:r w:rsidR="00C533E3">
        <w:t>ssessment</w:t>
      </w:r>
      <w:r w:rsidR="00926B90" w:rsidRPr="00926B90">
        <w:t xml:space="preserve"> period </w:t>
      </w:r>
      <w:r w:rsidR="006B6173">
        <w:t xml:space="preserve">to </w:t>
      </w:r>
      <w:r w:rsidR="00926B90" w:rsidRPr="00926B90">
        <w:t>obtain</w:t>
      </w:r>
      <w:r w:rsidR="006B6173">
        <w:t xml:space="preserve"> </w:t>
      </w:r>
      <w:r w:rsidR="00926B90" w:rsidRPr="00926B90">
        <w:t xml:space="preserve">information on when </w:t>
      </w:r>
      <w:r w:rsidR="006B6173">
        <w:t xml:space="preserve">an </w:t>
      </w:r>
      <w:r w:rsidR="00926B90" w:rsidRPr="00926B90">
        <w:t>existing asset will expire.</w:t>
      </w:r>
      <w:r w:rsidR="006B6173">
        <w:t xml:space="preserve"> But that extension</w:t>
      </w:r>
      <w:r w:rsidR="00926B90" w:rsidRPr="00926B90">
        <w:t xml:space="preserve"> </w:t>
      </w:r>
      <w:r w:rsidR="006B6173">
        <w:t>would also change</w:t>
      </w:r>
      <w:r w:rsidR="00926B90" w:rsidRPr="00926B90">
        <w:t xml:space="preserve"> the remaining</w:t>
      </w:r>
      <w:r w:rsidR="00890C6E">
        <w:t xml:space="preserve"> asset</w:t>
      </w:r>
      <w:r w:rsidR="00926B90" w:rsidRPr="00926B90">
        <w:t xml:space="preserve"> life implied by the </w:t>
      </w:r>
      <w:r w:rsidR="0084310E">
        <w:t xml:space="preserve">average depreciation </w:t>
      </w:r>
      <w:r w:rsidR="00926B90" w:rsidRPr="00926B90">
        <w:t xml:space="preserve">approach. </w:t>
      </w:r>
      <w:r w:rsidR="006B6173">
        <w:t xml:space="preserve">In other words, </w:t>
      </w:r>
      <w:r w:rsidR="00926B90" w:rsidRPr="00926B90">
        <w:t xml:space="preserve">the average depreciation approach </w:t>
      </w:r>
      <w:r w:rsidR="006B6173">
        <w:t xml:space="preserve">has an arbitrary nature, </w:t>
      </w:r>
      <w:r w:rsidR="00926B90" w:rsidRPr="00926B90">
        <w:t xml:space="preserve">which can lead to a range of remaining </w:t>
      </w:r>
      <w:r>
        <w:t xml:space="preserve">asset </w:t>
      </w:r>
      <w:r w:rsidR="00926B90" w:rsidRPr="00926B90">
        <w:t>lives just by changing the assessment</w:t>
      </w:r>
      <w:r w:rsidR="006B6173">
        <w:t xml:space="preserve"> period</w:t>
      </w:r>
      <w:r w:rsidR="00926B90" w:rsidRPr="00926B90">
        <w:t xml:space="preserve">. </w:t>
      </w:r>
    </w:p>
    <w:p w:rsidR="00926B90" w:rsidRPr="00926B90" w:rsidRDefault="00926B90" w:rsidP="00926B90">
      <w:r w:rsidRPr="00926B90">
        <w:t xml:space="preserve">The approach may </w:t>
      </w:r>
      <w:r w:rsidR="0084310E">
        <w:t xml:space="preserve">appear reasonable in certain </w:t>
      </w:r>
      <w:r w:rsidRPr="00926B90">
        <w:t xml:space="preserve">circumstances and </w:t>
      </w:r>
      <w:r w:rsidR="0084310E">
        <w:t>for</w:t>
      </w:r>
      <w:r w:rsidR="00BB4B42">
        <w:t xml:space="preserve"> </w:t>
      </w:r>
      <w:r w:rsidRPr="00926B90">
        <w:t>particular asset class</w:t>
      </w:r>
      <w:r w:rsidR="0084310E">
        <w:t>es (</w:t>
      </w:r>
      <w:r w:rsidR="00890C6E">
        <w:t>t</w:t>
      </w:r>
      <w:r w:rsidR="00BB4B42">
        <w:t>hat is, t</w:t>
      </w:r>
      <w:r w:rsidR="0084310E">
        <w:t>hose with short asset lives</w:t>
      </w:r>
      <w:r w:rsidR="00BB4B42">
        <w:t>, although most regulated assets have long expected economic lives</w:t>
      </w:r>
      <w:r w:rsidR="00A14ABA">
        <w:t>)</w:t>
      </w:r>
      <w:r w:rsidR="00890C6E">
        <w:t>. However</w:t>
      </w:r>
      <w:r w:rsidRPr="00926B90">
        <w:t>, as a general approach across a variety of asset classes with different standard asset live</w:t>
      </w:r>
      <w:r w:rsidR="00890C6E">
        <w:t>s we do not consider</w:t>
      </w:r>
      <w:r w:rsidRPr="00926B90">
        <w:t xml:space="preserve"> it is appropriate. In contrast</w:t>
      </w:r>
      <w:r w:rsidR="006B6173">
        <w:t>,</w:t>
      </w:r>
      <w:r w:rsidRPr="00926B90">
        <w:t xml:space="preserve"> the WARL </w:t>
      </w:r>
      <w:r w:rsidR="00890C6E">
        <w:t xml:space="preserve">approach </w:t>
      </w:r>
      <w:r w:rsidRPr="00926B90">
        <w:t xml:space="preserve">uses objective weightings </w:t>
      </w:r>
      <w:r w:rsidR="00BB4B42">
        <w:t>to</w:t>
      </w:r>
      <w:r w:rsidR="00A14ABA">
        <w:t xml:space="preserve"> combine the individual asset lives </w:t>
      </w:r>
      <w:r w:rsidRPr="00926B90">
        <w:t xml:space="preserve">based on </w:t>
      </w:r>
      <w:r w:rsidR="006B6173">
        <w:t xml:space="preserve">(1) </w:t>
      </w:r>
      <w:r w:rsidRPr="00926B90">
        <w:t xml:space="preserve">the value of the assets and </w:t>
      </w:r>
      <w:r w:rsidR="006B6173">
        <w:t xml:space="preserve">(2) </w:t>
      </w:r>
      <w:r w:rsidRPr="00926B90">
        <w:t>when those</w:t>
      </w:r>
      <w:r w:rsidR="00C529CD">
        <w:t xml:space="preserve"> assets</w:t>
      </w:r>
      <w:r w:rsidRPr="00926B90">
        <w:t xml:space="preserve"> are introduced to the </w:t>
      </w:r>
      <w:r w:rsidR="00890C6E">
        <w:t>RAB</w:t>
      </w:r>
      <w:r w:rsidRPr="00926B90">
        <w:t>. Th</w:t>
      </w:r>
      <w:r w:rsidR="00BB4B42">
        <w:t>ese</w:t>
      </w:r>
      <w:r w:rsidRPr="00926B90">
        <w:t xml:space="preserve"> feature</w:t>
      </w:r>
      <w:r w:rsidR="00BB4B42">
        <w:t>s</w:t>
      </w:r>
      <w:r w:rsidRPr="00926B90">
        <w:t xml:space="preserve"> allow </w:t>
      </w:r>
      <w:r w:rsidR="006B6173">
        <w:t xml:space="preserve">us to apply </w:t>
      </w:r>
      <w:r w:rsidRPr="00926B90">
        <w:t xml:space="preserve">the WARL </w:t>
      </w:r>
      <w:r w:rsidR="00890C6E">
        <w:t xml:space="preserve">approach </w:t>
      </w:r>
      <w:r w:rsidRPr="00926B90">
        <w:t>consistently to different asset classes</w:t>
      </w:r>
      <w:r w:rsidR="00BB4B42">
        <w:t xml:space="preserve"> without unreasonable results</w:t>
      </w:r>
      <w:r w:rsidRPr="00926B90">
        <w:t>.</w:t>
      </w:r>
    </w:p>
    <w:p w:rsidR="00926B90" w:rsidRPr="00945852" w:rsidRDefault="00926B90" w:rsidP="00945852">
      <w:pPr>
        <w:pStyle w:val="HeadingBoldItalic"/>
      </w:pPr>
      <w:bookmarkStart w:id="39" w:name="_Toc415231453"/>
      <w:bookmarkStart w:id="40" w:name="_Toc415643514"/>
      <w:r w:rsidRPr="00945852">
        <w:t>Conclusion</w:t>
      </w:r>
      <w:bookmarkEnd w:id="39"/>
      <w:bookmarkEnd w:id="40"/>
    </w:p>
    <w:p w:rsidR="00926B90" w:rsidRPr="00926B90" w:rsidRDefault="00926B90" w:rsidP="00926B90">
      <w:pPr>
        <w:pStyle w:val="AERbulletlistfirststyle"/>
        <w:numPr>
          <w:ilvl w:val="0"/>
          <w:numId w:val="24"/>
        </w:numPr>
      </w:pPr>
      <w:r w:rsidRPr="00926B90">
        <w:t xml:space="preserve">Based on the above analysis, we do not accept SA Power Networks' proposed remaining asset lives calculated </w:t>
      </w:r>
      <w:r w:rsidR="00890C6E">
        <w:t xml:space="preserve">using </w:t>
      </w:r>
      <w:r w:rsidR="00500279">
        <w:t>its</w:t>
      </w:r>
      <w:r w:rsidR="00500279" w:rsidRPr="00926B90">
        <w:t xml:space="preserve"> </w:t>
      </w:r>
      <w:r w:rsidRPr="00926B90">
        <w:t xml:space="preserve">average depreciation approach. We instead </w:t>
      </w:r>
      <w:r w:rsidR="00890C6E">
        <w:t>determine</w:t>
      </w:r>
      <w:r w:rsidRPr="00926B90">
        <w:t xml:space="preserve"> </w:t>
      </w:r>
      <w:r w:rsidR="00E85F7F">
        <w:t xml:space="preserve">that </w:t>
      </w:r>
      <w:r w:rsidRPr="00926B90">
        <w:t xml:space="preserve">remaining asset lives </w:t>
      </w:r>
      <w:r w:rsidR="00E85F7F">
        <w:t xml:space="preserve">will be </w:t>
      </w:r>
      <w:r w:rsidRPr="00926B90">
        <w:t xml:space="preserve">calculated </w:t>
      </w:r>
      <w:r w:rsidR="00624D78">
        <w:t>using a</w:t>
      </w:r>
      <w:r w:rsidRPr="00926B90">
        <w:t xml:space="preserve"> WARL approach. We </w:t>
      </w:r>
      <w:r w:rsidR="00890C6E">
        <w:t xml:space="preserve">are satisfied </w:t>
      </w:r>
      <w:r w:rsidR="006B6173">
        <w:t xml:space="preserve">the remaining asset lives determined by our </w:t>
      </w:r>
      <w:r w:rsidR="00500279">
        <w:t xml:space="preserve">WARL </w:t>
      </w:r>
      <w:r w:rsidR="006B6173">
        <w:t xml:space="preserve">approach </w:t>
      </w:r>
      <w:r w:rsidRPr="00926B90">
        <w:t xml:space="preserve">better </w:t>
      </w:r>
      <w:r w:rsidR="00500279" w:rsidRPr="00926B90">
        <w:t>reflect the nature of the assets over their economic lives</w:t>
      </w:r>
      <w:r w:rsidR="00500279">
        <w:t>.</w:t>
      </w:r>
      <w:r w:rsidR="00500279">
        <w:rPr>
          <w:rStyle w:val="FootnoteReference"/>
        </w:rPr>
        <w:footnoteReference w:id="34"/>
      </w:r>
      <w:r w:rsidR="00500279">
        <w:t xml:space="preserve"> We are also satisfied that they promote more </w:t>
      </w:r>
      <w:r w:rsidR="00500279" w:rsidRPr="005F637C">
        <w:t xml:space="preserve">efficient </w:t>
      </w:r>
      <w:r w:rsidR="00500279">
        <w:t xml:space="preserve">long term </w:t>
      </w:r>
      <w:r w:rsidR="00500279" w:rsidRPr="005F637C">
        <w:t xml:space="preserve">investment in, and efficient operation and use of, electricity </w:t>
      </w:r>
      <w:r w:rsidR="00500279">
        <w:t>assets, and therefore contribute to the achievement of the NEO to the greatest degree.</w:t>
      </w:r>
      <w:r w:rsidR="00500279">
        <w:rPr>
          <w:rStyle w:val="FootnoteReference"/>
        </w:rPr>
        <w:footnoteReference w:id="35"/>
      </w:r>
      <w:r w:rsidRPr="00926B90">
        <w:t xml:space="preserve"> </w:t>
      </w:r>
    </w:p>
    <w:p w:rsidR="00872465" w:rsidRDefault="00624D78" w:rsidP="00926B90">
      <w:pPr>
        <w:numPr>
          <w:ilvl w:val="0"/>
          <w:numId w:val="25"/>
        </w:numPr>
      </w:pPr>
      <w:r>
        <w:t>At the time of this preliminary decision, the roll forward of SA Power Networks' RAB includes estimated capex values for 2014–15. We expect to update the 2014–15 estimated capex values for</w:t>
      </w:r>
      <w:r w:rsidR="00926B90" w:rsidRPr="00926B90">
        <w:t xml:space="preserve"> the </w:t>
      </w:r>
      <w:r w:rsidR="005441EC">
        <w:t xml:space="preserve">substitute </w:t>
      </w:r>
      <w:r w:rsidR="00926B90" w:rsidRPr="00926B90">
        <w:t>decision</w:t>
      </w:r>
      <w:r>
        <w:t>. Th</w:t>
      </w:r>
      <w:r w:rsidR="006B6173">
        <w:t>ose</w:t>
      </w:r>
      <w:r w:rsidR="009807C0">
        <w:t xml:space="preserve"> </w:t>
      </w:r>
      <w:r>
        <w:t xml:space="preserve">capex values are used to calculate remaining asset lives under the WARL approach. Therefore, for the </w:t>
      </w:r>
      <w:r w:rsidR="005441EC">
        <w:t xml:space="preserve">substitute </w:t>
      </w:r>
      <w:r>
        <w:lastRenderedPageBreak/>
        <w:t>decision</w:t>
      </w:r>
      <w:r w:rsidR="006B6173">
        <w:t>,</w:t>
      </w:r>
      <w:r w:rsidR="00926B90" w:rsidRPr="00926B90">
        <w:t xml:space="preserve"> we will recalculate SA Power Networks' remaining asset lives at 1 July 2015 </w:t>
      </w:r>
      <w:r>
        <w:t>using the method approved in this preliminary decision</w:t>
      </w:r>
      <w:r w:rsidR="00926B90" w:rsidRPr="00926B90">
        <w:t>.</w:t>
      </w:r>
    </w:p>
    <w:p w:rsidR="00926B90" w:rsidRDefault="003119AB" w:rsidP="00926B90">
      <w:pPr>
        <w:numPr>
          <w:ilvl w:val="0"/>
          <w:numId w:val="25"/>
        </w:numPr>
      </w:pPr>
      <w:r>
        <w:fldChar w:fldCharType="begin"/>
      </w:r>
      <w:r>
        <w:instrText xml:space="preserve"> REF _Ref414522740 \h </w:instrText>
      </w:r>
      <w:r>
        <w:fldChar w:fldCharType="separate"/>
      </w:r>
      <w:r w:rsidR="00CC3B48">
        <w:t xml:space="preserve">Table </w:t>
      </w:r>
      <w:r w:rsidR="00CC3B48">
        <w:rPr>
          <w:noProof/>
        </w:rPr>
        <w:t>5.4</w:t>
      </w:r>
      <w:r>
        <w:fldChar w:fldCharType="end"/>
      </w:r>
      <w:r>
        <w:t xml:space="preserve"> </w:t>
      </w:r>
      <w:r w:rsidR="00926B90" w:rsidRPr="00926B90">
        <w:t xml:space="preserve">sets out our preliminary decision on SA Power Networks' remaining asset lives for the 2015–20 regulatory control </w:t>
      </w:r>
      <w:proofErr w:type="gramStart"/>
      <w:r w:rsidR="00926B90" w:rsidRPr="00926B90">
        <w:t>period</w:t>
      </w:r>
      <w:proofErr w:type="gramEnd"/>
      <w:r w:rsidR="00926B90" w:rsidRPr="00926B90">
        <w:t xml:space="preserve">. </w:t>
      </w:r>
    </w:p>
    <w:p w:rsidR="00926B90" w:rsidRPr="00926B90" w:rsidRDefault="003119AB" w:rsidP="003119AB">
      <w:pPr>
        <w:pStyle w:val="Caption"/>
      </w:pPr>
      <w:bookmarkStart w:id="41" w:name="_Ref414522740"/>
      <w:r>
        <w:t xml:space="preserve">Table </w:t>
      </w:r>
      <w:fldSimple w:instr=" STYLEREF 1 \s ">
        <w:r w:rsidR="00CC3B48">
          <w:rPr>
            <w:noProof/>
          </w:rPr>
          <w:t>5</w:t>
        </w:r>
      </w:fldSimple>
      <w:r w:rsidR="00945852">
        <w:rPr>
          <w:noProof/>
        </w:rPr>
        <w:t>.</w:t>
      </w:r>
      <w:fldSimple w:instr=" SEQ Table \* ARABIC \s 1 ">
        <w:r w:rsidR="00CC3B48">
          <w:rPr>
            <w:noProof/>
          </w:rPr>
          <w:t>4</w:t>
        </w:r>
      </w:fldSimple>
      <w:bookmarkEnd w:id="41"/>
      <w:r>
        <w:tab/>
      </w:r>
      <w:r w:rsidRPr="003119AB">
        <w:t>AER's preliminary decision on SA Power Networks' standard and remaining asset lives at 1 July 2015 (years)</w:t>
      </w:r>
    </w:p>
    <w:tbl>
      <w:tblPr>
        <w:tblStyle w:val="AERtable-numbers"/>
        <w:tblW w:w="8755" w:type="dxa"/>
        <w:tblLook w:val="04A0" w:firstRow="1" w:lastRow="0" w:firstColumn="1" w:lastColumn="0" w:noHBand="0" w:noVBand="1"/>
      </w:tblPr>
      <w:tblGrid>
        <w:gridCol w:w="2802"/>
        <w:gridCol w:w="2409"/>
        <w:gridCol w:w="3544"/>
      </w:tblGrid>
      <w:tr w:rsidR="00926B90" w:rsidRPr="004101BA" w:rsidTr="009A74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Asset class</w:t>
            </w:r>
          </w:p>
        </w:tc>
        <w:tc>
          <w:tcPr>
            <w:tcW w:w="2409" w:type="dxa"/>
            <w:noWrap/>
            <w:hideMark/>
          </w:tcPr>
          <w:p w:rsidR="00926B90" w:rsidRPr="00926B90" w:rsidRDefault="00926B90" w:rsidP="00926B90">
            <w:pPr>
              <w:cnfStyle w:val="100000000000" w:firstRow="1" w:lastRow="0" w:firstColumn="0" w:lastColumn="0" w:oddVBand="0" w:evenVBand="0" w:oddHBand="0" w:evenHBand="0" w:firstRowFirstColumn="0" w:firstRowLastColumn="0" w:lastRowFirstColumn="0" w:lastRowLastColumn="0"/>
            </w:pPr>
            <w:r w:rsidRPr="00926B90">
              <w:t xml:space="preserve">Standard asset life </w:t>
            </w:r>
          </w:p>
        </w:tc>
        <w:tc>
          <w:tcPr>
            <w:tcW w:w="3544" w:type="dxa"/>
            <w:noWrap/>
            <w:hideMark/>
          </w:tcPr>
          <w:p w:rsidR="00926B90" w:rsidRPr="00926B90" w:rsidRDefault="00926B90" w:rsidP="00624D78">
            <w:pPr>
              <w:cnfStyle w:val="100000000000" w:firstRow="1" w:lastRow="0" w:firstColumn="0" w:lastColumn="0" w:oddVBand="0" w:evenVBand="0" w:oddHBand="0" w:evenHBand="0" w:firstRowFirstColumn="0" w:firstRowLastColumn="0" w:lastRowFirstColumn="0" w:lastRowLastColumn="0"/>
            </w:pPr>
            <w:r w:rsidRPr="00926B90">
              <w:t>Remaining asset life</w:t>
            </w:r>
            <w:r w:rsidR="00890C6E">
              <w:t xml:space="preserve"> </w:t>
            </w:r>
            <w:r w:rsidRPr="00926B90">
              <w:t xml:space="preserve">as at 1 July 2015 </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Sub-transmission lines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55.0</w:t>
            </w:r>
          </w:p>
        </w:tc>
        <w:tc>
          <w:tcPr>
            <w:tcW w:w="3544"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50.</w:t>
            </w:r>
            <w:r w:rsidR="005C1235">
              <w:t>1</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Distribution </w:t>
            </w:r>
            <w:r w:rsidR="00890C6E">
              <w:t>l</w:t>
            </w:r>
            <w:r w:rsidRPr="00926B90">
              <w:t>ines</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55.0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26.2</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Substations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45.0</w:t>
            </w:r>
          </w:p>
        </w:tc>
        <w:tc>
          <w:tcPr>
            <w:tcW w:w="3544" w:type="dxa"/>
            <w:noWrap/>
            <w:hideMark/>
          </w:tcPr>
          <w:p w:rsidR="00926B90" w:rsidRPr="00926B90" w:rsidRDefault="00926B90">
            <w:pPr>
              <w:cnfStyle w:val="000000000000" w:firstRow="0" w:lastRow="0" w:firstColumn="0" w:lastColumn="0" w:oddVBand="0" w:evenVBand="0" w:oddHBand="0" w:evenHBand="0" w:firstRowFirstColumn="0" w:firstRowLastColumn="0" w:lastRowFirstColumn="0" w:lastRowLastColumn="0"/>
            </w:pPr>
            <w:r w:rsidRPr="00926B90">
              <w:t>2</w:t>
            </w:r>
            <w:r w:rsidR="0084703E">
              <w:t>9.0</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Distribution </w:t>
            </w:r>
            <w:r w:rsidR="00890C6E">
              <w:t>t</w:t>
            </w:r>
            <w:r w:rsidRPr="00926B90">
              <w:t>ransformers</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45.0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23.9</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LVS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55.0</w:t>
            </w:r>
          </w:p>
        </w:tc>
        <w:tc>
          <w:tcPr>
            <w:tcW w:w="3544" w:type="dxa"/>
            <w:noWrap/>
            <w:hideMark/>
          </w:tcPr>
          <w:p w:rsidR="00926B90" w:rsidRPr="00926B90" w:rsidRDefault="0084703E">
            <w:pPr>
              <w:cnfStyle w:val="000000000000" w:firstRow="0" w:lastRow="0" w:firstColumn="0" w:lastColumn="0" w:oddVBand="0" w:evenVBand="0" w:oddHBand="0" w:evenHBand="0" w:firstRowFirstColumn="0" w:firstRowLastColumn="0" w:lastRowFirstColumn="0" w:lastRowLastColumn="0"/>
            </w:pPr>
            <w:r>
              <w:t>33.9</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Communications</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15.0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9.7</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Contributions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40.2</w:t>
            </w:r>
          </w:p>
        </w:tc>
        <w:tc>
          <w:tcPr>
            <w:tcW w:w="3544" w:type="dxa"/>
            <w:noWrap/>
            <w:hideMark/>
          </w:tcPr>
          <w:p w:rsidR="00926B90" w:rsidRPr="00926B90" w:rsidRDefault="00926B90">
            <w:pPr>
              <w:cnfStyle w:val="000000000000" w:firstRow="0" w:lastRow="0" w:firstColumn="0" w:lastColumn="0" w:oddVBand="0" w:evenVBand="0" w:oddHBand="0" w:evenHBand="0" w:firstRowFirstColumn="0" w:firstRowLastColumn="0" w:lastRowFirstColumn="0" w:lastRowLastColumn="0"/>
            </w:pPr>
            <w:r w:rsidRPr="00926B90">
              <w:t>34.</w:t>
            </w:r>
            <w:r w:rsidR="0084703E">
              <w:t>0</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Land</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n/a</w:t>
            </w:r>
          </w:p>
        </w:tc>
        <w:tc>
          <w:tcPr>
            <w:tcW w:w="3544"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n/a</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 xml:space="preserve">Substation </w:t>
            </w:r>
            <w:r w:rsidR="00890C6E">
              <w:t>l</w:t>
            </w:r>
            <w:r w:rsidRPr="00926B90">
              <w:t>and</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n/a</w:t>
            </w:r>
          </w:p>
        </w:tc>
        <w:tc>
          <w:tcPr>
            <w:tcW w:w="3544"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n/a</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Easements</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n/a</w:t>
            </w:r>
          </w:p>
        </w:tc>
        <w:tc>
          <w:tcPr>
            <w:tcW w:w="3544"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n/a</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Buildings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40.0</w:t>
            </w:r>
          </w:p>
        </w:tc>
        <w:tc>
          <w:tcPr>
            <w:tcW w:w="3544" w:type="dxa"/>
            <w:noWrap/>
            <w:hideMark/>
          </w:tcPr>
          <w:p w:rsidR="00926B90" w:rsidRPr="00926B90" w:rsidRDefault="0084703E">
            <w:pPr>
              <w:cnfStyle w:val="000000000000" w:firstRow="0" w:lastRow="0" w:firstColumn="0" w:lastColumn="0" w:oddVBand="0" w:evenVBand="0" w:oddHBand="0" w:evenHBand="0" w:firstRowFirstColumn="0" w:firstRowLastColumn="0" w:lastRowFirstColumn="0" w:lastRowLastColumn="0"/>
            </w:pPr>
            <w:r>
              <w:t>28.0</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Vehicles - 15 </w:t>
            </w:r>
            <w:r w:rsidR="00890C6E">
              <w:t>y</w:t>
            </w:r>
            <w:r w:rsidRPr="00926B90">
              <w:t>ears</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15.0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14.6</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926B90">
            <w:r w:rsidRPr="00926B90">
              <w:t>Vehicles - 10 years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10.0</w:t>
            </w:r>
          </w:p>
        </w:tc>
        <w:tc>
          <w:tcPr>
            <w:tcW w:w="3544"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n/a</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Light </w:t>
            </w:r>
            <w:r w:rsidR="00890C6E">
              <w:t>v</w:t>
            </w:r>
            <w:r w:rsidRPr="00926B90">
              <w:t>ehicles</w:t>
            </w:r>
          </w:p>
        </w:tc>
        <w:tc>
          <w:tcPr>
            <w:tcW w:w="2409"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5.0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3.9</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IT </w:t>
            </w:r>
            <w:r w:rsidR="00890C6E">
              <w:t>a</w:t>
            </w:r>
            <w:r w:rsidRPr="00926B90">
              <w:t>ssets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5.0</w:t>
            </w:r>
          </w:p>
        </w:tc>
        <w:tc>
          <w:tcPr>
            <w:tcW w:w="3544" w:type="dxa"/>
            <w:noWrap/>
            <w:hideMark/>
          </w:tcPr>
          <w:p w:rsidR="00926B90" w:rsidRPr="00926B90" w:rsidRDefault="0084703E">
            <w:pPr>
              <w:cnfStyle w:val="000000000000" w:firstRow="0" w:lastRow="0" w:firstColumn="0" w:lastColumn="0" w:oddVBand="0" w:evenVBand="0" w:oddHBand="0" w:evenHBand="0" w:firstRowFirstColumn="0" w:firstRowLastColumn="0" w:lastRowFirstColumn="0" w:lastRowLastColumn="0"/>
            </w:pPr>
            <w:r>
              <w:t>3.9</w:t>
            </w:r>
          </w:p>
        </w:tc>
      </w:tr>
      <w:tr w:rsidR="00926B90" w:rsidRPr="004101BA" w:rsidTr="009A74F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Plant &amp; </w:t>
            </w:r>
            <w:r w:rsidR="00890C6E">
              <w:t>t</w:t>
            </w:r>
            <w:r w:rsidRPr="00926B90">
              <w:t xml:space="preserve">ools/Office </w:t>
            </w:r>
            <w:r w:rsidR="00890C6E">
              <w:t>f</w:t>
            </w:r>
            <w:r w:rsidRPr="00926B90">
              <w:t>urniture</w:t>
            </w:r>
          </w:p>
        </w:tc>
        <w:tc>
          <w:tcPr>
            <w:tcW w:w="2409" w:type="dxa"/>
            <w:noWrap/>
            <w:hideMark/>
          </w:tcPr>
          <w:p w:rsidR="00926B90" w:rsidRPr="00926B90" w:rsidRDefault="00926B90" w:rsidP="00926B90">
            <w:pPr>
              <w:cnfStyle w:val="000000010000" w:firstRow="0" w:lastRow="0" w:firstColumn="0" w:lastColumn="0" w:oddVBand="0" w:evenVBand="0" w:oddHBand="0" w:evenHBand="1" w:firstRowFirstColumn="0" w:firstRowLastColumn="0" w:lastRowFirstColumn="0" w:lastRowLastColumn="0"/>
            </w:pPr>
            <w:r w:rsidRPr="00926B90">
              <w:t>10.0</w:t>
            </w:r>
          </w:p>
        </w:tc>
        <w:tc>
          <w:tcPr>
            <w:tcW w:w="3544" w:type="dxa"/>
            <w:noWrap/>
            <w:hideMark/>
          </w:tcPr>
          <w:p w:rsidR="00926B90" w:rsidRPr="00926B90" w:rsidRDefault="0084703E">
            <w:pPr>
              <w:cnfStyle w:val="000000010000" w:firstRow="0" w:lastRow="0" w:firstColumn="0" w:lastColumn="0" w:oddVBand="0" w:evenVBand="0" w:oddHBand="0" w:evenHBand="1" w:firstRowFirstColumn="0" w:firstRowLastColumn="0" w:lastRowFirstColumn="0" w:lastRowLastColumn="0"/>
            </w:pPr>
            <w:r>
              <w:t>7.4</w:t>
            </w:r>
          </w:p>
        </w:tc>
      </w:tr>
      <w:tr w:rsidR="00926B90" w:rsidRPr="004101BA" w:rsidTr="009A74F2">
        <w:trPr>
          <w:trHeight w:val="300"/>
        </w:trPr>
        <w:tc>
          <w:tcPr>
            <w:cnfStyle w:val="001000000000" w:firstRow="0" w:lastRow="0" w:firstColumn="1" w:lastColumn="0" w:oddVBand="0" w:evenVBand="0" w:oddHBand="0" w:evenHBand="0" w:firstRowFirstColumn="0" w:firstRowLastColumn="0" w:lastRowFirstColumn="0" w:lastRowLastColumn="0"/>
            <w:tcW w:w="2802" w:type="dxa"/>
            <w:noWrap/>
            <w:hideMark/>
          </w:tcPr>
          <w:p w:rsidR="00926B90" w:rsidRPr="00926B90" w:rsidRDefault="00926B90" w:rsidP="00890C6E">
            <w:r w:rsidRPr="00926B90">
              <w:t xml:space="preserve">Equity raising </w:t>
            </w:r>
            <w:r w:rsidR="00890C6E">
              <w:t>c</w:t>
            </w:r>
            <w:r w:rsidRPr="00926B90">
              <w:t>osts</w:t>
            </w:r>
          </w:p>
        </w:tc>
        <w:tc>
          <w:tcPr>
            <w:tcW w:w="2409" w:type="dxa"/>
            <w:noWrap/>
            <w:hideMark/>
          </w:tcPr>
          <w:p w:rsidR="00926B90" w:rsidRPr="00926B90" w:rsidRDefault="00926B90" w:rsidP="00926B90">
            <w:pPr>
              <w:cnfStyle w:val="000000000000" w:firstRow="0" w:lastRow="0" w:firstColumn="0" w:lastColumn="0" w:oddVBand="0" w:evenVBand="0" w:oddHBand="0" w:evenHBand="0" w:firstRowFirstColumn="0" w:firstRowLastColumn="0" w:lastRowFirstColumn="0" w:lastRowLastColumn="0"/>
            </w:pPr>
            <w:r w:rsidRPr="00926B90">
              <w:t>52.3</w:t>
            </w:r>
          </w:p>
        </w:tc>
        <w:tc>
          <w:tcPr>
            <w:tcW w:w="3544" w:type="dxa"/>
            <w:noWrap/>
            <w:hideMark/>
          </w:tcPr>
          <w:p w:rsidR="00926B90" w:rsidRPr="00926B90" w:rsidRDefault="00926B90">
            <w:pPr>
              <w:cnfStyle w:val="000000000000" w:firstRow="0" w:lastRow="0" w:firstColumn="0" w:lastColumn="0" w:oddVBand="0" w:evenVBand="0" w:oddHBand="0" w:evenHBand="0" w:firstRowFirstColumn="0" w:firstRowLastColumn="0" w:lastRowFirstColumn="0" w:lastRowLastColumn="0"/>
            </w:pPr>
            <w:r w:rsidRPr="00926B90">
              <w:t>48.</w:t>
            </w:r>
            <w:r w:rsidR="0084703E">
              <w:t>3</w:t>
            </w:r>
          </w:p>
        </w:tc>
      </w:tr>
    </w:tbl>
    <w:p w:rsidR="00926B90" w:rsidRPr="00926B90" w:rsidRDefault="00926B90" w:rsidP="00926B90">
      <w:pPr>
        <w:pStyle w:val="AERtablesource"/>
      </w:pPr>
      <w:r w:rsidRPr="00926B90">
        <w:t>Source:</w:t>
      </w:r>
      <w:r w:rsidRPr="00926B90">
        <w:tab/>
        <w:t xml:space="preserve">AER analysis. </w:t>
      </w:r>
    </w:p>
    <w:p w:rsidR="00926B90" w:rsidRPr="00926B90" w:rsidRDefault="00926B90" w:rsidP="00926B90">
      <w:pPr>
        <w:pStyle w:val="AERtablesource"/>
      </w:pPr>
      <w:r w:rsidRPr="00926B90">
        <w:t xml:space="preserve">n/a: </w:t>
      </w:r>
      <w:r w:rsidRPr="00926B90">
        <w:tab/>
        <w:t xml:space="preserve">not applicable. </w:t>
      </w:r>
    </w:p>
    <w:p w:rsidR="00926B90" w:rsidRPr="00926B90" w:rsidRDefault="00926B90" w:rsidP="00926B90"/>
    <w:sectPr w:rsidR="00926B90" w:rsidRPr="00926B90" w:rsidSect="00DE563D">
      <w:footerReference w:type="even" r:id="rId15"/>
      <w:footerReference w:type="default" r:id="rId16"/>
      <w:footerReference w:type="first" r:id="rId1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09" w:rsidRPr="00290C63" w:rsidRDefault="00D34309" w:rsidP="00290C63">
      <w:r>
        <w:separator/>
      </w:r>
    </w:p>
    <w:p w:rsidR="00D34309" w:rsidRDefault="00D34309"/>
  </w:endnote>
  <w:endnote w:type="continuationSeparator" w:id="0">
    <w:p w:rsidR="00D34309" w:rsidRPr="00290C63" w:rsidRDefault="00D34309" w:rsidP="00290C63">
      <w:r>
        <w:continuationSeparator/>
      </w:r>
    </w:p>
    <w:p w:rsidR="00D34309" w:rsidRDefault="00D3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09" w:rsidRPr="00290C63" w:rsidRDefault="00D3430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34309" w:rsidRDefault="00D34309"/>
  <w:p w:rsidR="00D34309" w:rsidRDefault="00D34309"/>
  <w:p w:rsidR="00D34309" w:rsidRDefault="00D34309"/>
  <w:p w:rsidR="00D34309" w:rsidRDefault="00D34309"/>
  <w:p w:rsidR="00D34309" w:rsidRDefault="00D34309"/>
  <w:p w:rsidR="00D34309" w:rsidRDefault="00D34309"/>
  <w:p w:rsidR="00D34309" w:rsidRDefault="00D34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82670"/>
      <w:docPartObj>
        <w:docPartGallery w:val="Page Numbers (Bottom of Page)"/>
        <w:docPartUnique/>
      </w:docPartObj>
    </w:sdtPr>
    <w:sdtEndPr>
      <w:rPr>
        <w:noProof/>
      </w:rPr>
    </w:sdtEndPr>
    <w:sdtContent>
      <w:p w:rsidR="00D34309" w:rsidRDefault="00D34309">
        <w:pPr>
          <w:pStyle w:val="Footer"/>
        </w:pPr>
        <w:r>
          <w:t>5-</w:t>
        </w:r>
        <w:r>
          <w:fldChar w:fldCharType="begin"/>
        </w:r>
        <w:r>
          <w:instrText xml:space="preserve"> PAGE   \* MERGEFORMAT </w:instrText>
        </w:r>
        <w:r>
          <w:fldChar w:fldCharType="separate"/>
        </w:r>
        <w:r w:rsidR="005E569C">
          <w:rPr>
            <w:noProof/>
          </w:rPr>
          <w:t>2</w:t>
        </w:r>
        <w:r>
          <w:rPr>
            <w:noProof/>
          </w:rPr>
          <w:fldChar w:fldCharType="end"/>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SA Power Networks'</w:t>
        </w:r>
        <w:r>
          <w:rPr>
            <w:rFonts w:cs="Gautami"/>
            <w:noProof/>
          </w:rPr>
          <w:t xml:space="preserve"> determination 2015–20</w:t>
        </w:r>
      </w:p>
    </w:sdtContent>
  </w:sdt>
  <w:p w:rsidR="00D34309" w:rsidRDefault="00D34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09" w:rsidRPr="00290C63" w:rsidRDefault="00D3430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34309" w:rsidRDefault="00D34309">
    <w:pPr>
      <w:pStyle w:val="Footer"/>
    </w:pPr>
  </w:p>
  <w:p w:rsidR="00D34309" w:rsidRDefault="00D34309"/>
  <w:p w:rsidR="00D34309" w:rsidRDefault="00D34309"/>
  <w:p w:rsidR="00D34309" w:rsidRDefault="00D34309"/>
  <w:p w:rsidR="00D34309" w:rsidRDefault="00D34309"/>
  <w:p w:rsidR="00D34309" w:rsidRDefault="00D34309"/>
  <w:p w:rsidR="00D34309" w:rsidRDefault="00D34309"/>
  <w:p w:rsidR="00D34309" w:rsidRDefault="00D343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09" w:rsidRPr="00290C63" w:rsidRDefault="00D3430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34309" w:rsidRDefault="00D34309"/>
  <w:p w:rsidR="00D34309" w:rsidRDefault="00D34309"/>
  <w:p w:rsidR="00D34309" w:rsidRDefault="00D34309"/>
  <w:p w:rsidR="00D34309" w:rsidRDefault="00D34309"/>
  <w:p w:rsidR="00D34309" w:rsidRDefault="00D34309"/>
  <w:p w:rsidR="00D34309" w:rsidRDefault="00D34309"/>
  <w:p w:rsidR="00D34309" w:rsidRDefault="00D343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78798"/>
      <w:docPartObj>
        <w:docPartGallery w:val="Page Numbers (Bottom of Page)"/>
        <w:docPartUnique/>
      </w:docPartObj>
    </w:sdtPr>
    <w:sdtEndPr>
      <w:rPr>
        <w:noProof/>
      </w:rPr>
    </w:sdtEndPr>
    <w:sdtContent>
      <w:p w:rsidR="00D34309" w:rsidRDefault="00D34309">
        <w:pPr>
          <w:pStyle w:val="Footer"/>
        </w:pPr>
        <w:r>
          <w:t>5-</w:t>
        </w:r>
        <w:r>
          <w:fldChar w:fldCharType="begin"/>
        </w:r>
        <w:r>
          <w:instrText xml:space="preserve"> PAGE   \* MERGEFORMAT </w:instrText>
        </w:r>
        <w:r>
          <w:fldChar w:fldCharType="separate"/>
        </w:r>
        <w:r w:rsidR="005E569C">
          <w:rPr>
            <w:noProof/>
          </w:rPr>
          <w:t>18</w:t>
        </w:r>
        <w:r>
          <w:rPr>
            <w:noProof/>
          </w:rPr>
          <w:fldChar w:fldCharType="end"/>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SA Power Networks'</w:t>
        </w:r>
        <w:r>
          <w:rPr>
            <w:rFonts w:cs="Gautami"/>
            <w:noProof/>
          </w:rPr>
          <w:t xml:space="preserve"> determination 2015–20</w:t>
        </w:r>
      </w:p>
    </w:sdtContent>
  </w:sdt>
  <w:p w:rsidR="00D34309" w:rsidRDefault="00D343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09" w:rsidRPr="00290C63" w:rsidRDefault="00D3430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34309" w:rsidRDefault="00D34309">
    <w:pPr>
      <w:pStyle w:val="Footer"/>
    </w:pPr>
  </w:p>
  <w:p w:rsidR="00D34309" w:rsidRDefault="00D34309"/>
  <w:p w:rsidR="00D34309" w:rsidRDefault="00D34309"/>
  <w:p w:rsidR="00D34309" w:rsidRDefault="00D34309"/>
  <w:p w:rsidR="00D34309" w:rsidRDefault="00D34309"/>
  <w:p w:rsidR="00D34309" w:rsidRDefault="00D34309"/>
  <w:p w:rsidR="00D34309" w:rsidRDefault="00D34309"/>
  <w:p w:rsidR="00D34309" w:rsidRDefault="00D34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09" w:rsidRPr="00290C63" w:rsidRDefault="00D34309" w:rsidP="00290C63">
      <w:r>
        <w:separator/>
      </w:r>
    </w:p>
    <w:p w:rsidR="00D34309" w:rsidRDefault="00D34309"/>
  </w:footnote>
  <w:footnote w:type="continuationSeparator" w:id="0">
    <w:p w:rsidR="00D34309" w:rsidRPr="00290C63" w:rsidRDefault="00D34309" w:rsidP="00290C63">
      <w:r>
        <w:continuationSeparator/>
      </w:r>
    </w:p>
    <w:p w:rsidR="00D34309" w:rsidRDefault="00D34309"/>
  </w:footnote>
  <w:footnote w:id="1">
    <w:p w:rsidR="00D34309" w:rsidRDefault="00D34309" w:rsidP="00B0187B">
      <w:pPr>
        <w:pStyle w:val="FootnoteText"/>
      </w:pPr>
      <w:r>
        <w:rPr>
          <w:rStyle w:val="FootnoteReference"/>
        </w:rPr>
        <w:footnoteRef/>
      </w:r>
      <w:r>
        <w:t xml:space="preserve"> </w:t>
      </w:r>
      <w:r>
        <w:tab/>
      </w:r>
      <w:r w:rsidRPr="00740082">
        <w:t>NER, cl 6.12.1(8).</w:t>
      </w:r>
    </w:p>
  </w:footnote>
  <w:footnote w:id="2">
    <w:p w:rsidR="00D34309" w:rsidRDefault="00D34309" w:rsidP="00B0187B">
      <w:pPr>
        <w:pStyle w:val="FootnoteText"/>
      </w:pPr>
      <w:r>
        <w:rPr>
          <w:rStyle w:val="FootnoteReference"/>
        </w:rPr>
        <w:footnoteRef/>
      </w:r>
      <w:r>
        <w:t xml:space="preserve"> </w:t>
      </w:r>
      <w:r>
        <w:tab/>
        <w:t>NER, cls 6.43(a)(1) and (3).</w:t>
      </w:r>
    </w:p>
  </w:footnote>
  <w:footnote w:id="3">
    <w:p w:rsidR="00D34309" w:rsidRDefault="00D34309" w:rsidP="00B0187B">
      <w:pPr>
        <w:pStyle w:val="FootnoteText"/>
      </w:pPr>
      <w:r>
        <w:rPr>
          <w:rStyle w:val="FootnoteReference"/>
        </w:rPr>
        <w:footnoteRef/>
      </w:r>
      <w:r>
        <w:t xml:space="preserve"> </w:t>
      </w:r>
      <w:r>
        <w:tab/>
        <w:t>SA Power Networks</w:t>
      </w:r>
      <w:r w:rsidRPr="00B40597">
        <w:t xml:space="preserve">, </w:t>
      </w:r>
      <w:r w:rsidRPr="00DE3055">
        <w:rPr>
          <w:rStyle w:val="AERtextitalic"/>
        </w:rPr>
        <w:t>Regulatory proposal</w:t>
      </w:r>
      <w:r w:rsidRPr="00B40597">
        <w:t xml:space="preserve">, </w:t>
      </w:r>
      <w:r>
        <w:t>October</w:t>
      </w:r>
      <w:r w:rsidRPr="00B40597">
        <w:t xml:space="preserve"> 2014, </w:t>
      </w:r>
      <w:r>
        <w:t>p. 345, Table 27.3.</w:t>
      </w:r>
    </w:p>
  </w:footnote>
  <w:footnote w:id="4">
    <w:p w:rsidR="00D34309" w:rsidRDefault="00D34309" w:rsidP="00B0187B">
      <w:pPr>
        <w:pStyle w:val="FootnoteText"/>
      </w:pPr>
      <w:r>
        <w:rPr>
          <w:rStyle w:val="FootnoteReference"/>
        </w:rPr>
        <w:footnoteRef/>
      </w:r>
      <w:r>
        <w:t xml:space="preserve"> </w:t>
      </w:r>
      <w:r>
        <w:tab/>
        <w:t>NER, cl 6.5.5(b)(1).</w:t>
      </w:r>
    </w:p>
  </w:footnote>
  <w:footnote w:id="5">
    <w:p w:rsidR="00D34309" w:rsidRDefault="00D34309" w:rsidP="00B0187B">
      <w:pPr>
        <w:pStyle w:val="FootnoteText"/>
      </w:pPr>
      <w:r>
        <w:rPr>
          <w:rStyle w:val="FootnoteReference"/>
        </w:rPr>
        <w:footnoteRef/>
      </w:r>
      <w:r>
        <w:t xml:space="preserve"> </w:t>
      </w:r>
      <w:r>
        <w:tab/>
        <w:t>NER, cl 6.5.5(a)(1).</w:t>
      </w:r>
    </w:p>
  </w:footnote>
  <w:footnote w:id="6">
    <w:p w:rsidR="00D34309" w:rsidRDefault="00D34309" w:rsidP="00B0187B">
      <w:pPr>
        <w:pStyle w:val="FootnoteText"/>
      </w:pPr>
      <w:r>
        <w:rPr>
          <w:rStyle w:val="FootnoteReference"/>
        </w:rPr>
        <w:footnoteRef/>
      </w:r>
      <w:r>
        <w:t xml:space="preserve"> </w:t>
      </w:r>
      <w:r>
        <w:tab/>
        <w:t>SA Power Networks</w:t>
      </w:r>
      <w:r w:rsidRPr="00DC4EE3">
        <w:t xml:space="preserve">, </w:t>
      </w:r>
      <w:r w:rsidRPr="00DC4EE3">
        <w:rPr>
          <w:rStyle w:val="AERtextitalic"/>
        </w:rPr>
        <w:t>Regulatory proposal</w:t>
      </w:r>
      <w:r>
        <w:t>, October</w:t>
      </w:r>
      <w:r w:rsidRPr="00DC4EE3">
        <w:t xml:space="preserve"> 201</w:t>
      </w:r>
      <w:r>
        <w:t>4</w:t>
      </w:r>
      <w:r w:rsidRPr="00DC4EE3">
        <w:t xml:space="preserve">, </w:t>
      </w:r>
      <w:r>
        <w:t xml:space="preserve">p. 343.  </w:t>
      </w:r>
    </w:p>
  </w:footnote>
  <w:footnote w:id="7">
    <w:p w:rsidR="00D34309" w:rsidRDefault="00D34309">
      <w:pPr>
        <w:pStyle w:val="FootnoteText"/>
      </w:pPr>
      <w:r>
        <w:rPr>
          <w:rStyle w:val="FootnoteReference"/>
        </w:rPr>
        <w:footnoteRef/>
      </w:r>
      <w:r>
        <w:t xml:space="preserve"> </w:t>
      </w:r>
      <w:r>
        <w:tab/>
      </w:r>
      <w:r w:rsidRPr="00926B90">
        <w:t xml:space="preserve">This approach projects the depreciation of the existing assets at the start of the previous regulatory control period and the new assets acquired during that period beyond the end of that same period </w:t>
      </w:r>
      <w:r>
        <w:t xml:space="preserve">for a number of years </w:t>
      </w:r>
      <w:r w:rsidRPr="00926B90">
        <w:t>(</w:t>
      </w:r>
      <w:r>
        <w:t>SA Power Networks' proposal used</w:t>
      </w:r>
      <w:r w:rsidRPr="00926B90">
        <w:t xml:space="preserve"> 5 years). The value of the assets at the end of the period is then divided by the average projected depreciation to determine the remaining </w:t>
      </w:r>
      <w:r>
        <w:t xml:space="preserve">asset </w:t>
      </w:r>
      <w:r w:rsidRPr="00926B90">
        <w:t>life</w:t>
      </w:r>
    </w:p>
  </w:footnote>
  <w:footnote w:id="8">
    <w:p w:rsidR="00D34309" w:rsidRDefault="00D34309" w:rsidP="00B0187B">
      <w:pPr>
        <w:pStyle w:val="FootnoteText"/>
      </w:pPr>
      <w:r>
        <w:rPr>
          <w:rStyle w:val="FootnoteReference"/>
        </w:rPr>
        <w:footnoteRef/>
      </w:r>
      <w:r>
        <w:t xml:space="preserve"> </w:t>
      </w:r>
      <w:r>
        <w:tab/>
        <w:t xml:space="preserve">SA Power Networks proposed to </w:t>
      </w:r>
      <w:r w:rsidRPr="00A661B9">
        <w:t xml:space="preserve">re-categorise </w:t>
      </w:r>
      <w:r>
        <w:t xml:space="preserve">the 'Heavy vehicles' asset class (which is assigned a 20 years standard asset life in the 2010–15 regulatory control period), into two asset classes; 'Heavy vehicles - 15 years' and 'Heavy vehicles - 10 years'. SA Power Networks proposed to assign a 15 years standard asset life to the former and 10 years standard asset life to the latter. It also proposed to reduce the standard asset life for the 'Light vehicles' asset class to four years, from five years in the </w:t>
      </w:r>
      <w:r w:rsidRPr="009461A4">
        <w:t>2010–15 regulatory control period</w:t>
      </w:r>
      <w:r>
        <w:t>.</w:t>
      </w:r>
    </w:p>
  </w:footnote>
  <w:footnote w:id="9">
    <w:p w:rsidR="00D34309" w:rsidRDefault="00D34309" w:rsidP="00B0187B">
      <w:pPr>
        <w:pStyle w:val="FootnoteText"/>
      </w:pPr>
      <w:r>
        <w:rPr>
          <w:rStyle w:val="FootnoteReference"/>
        </w:rPr>
        <w:footnoteRef/>
      </w:r>
      <w:r>
        <w:t xml:space="preserve"> </w:t>
      </w:r>
      <w:r>
        <w:tab/>
        <w:t>SA Power Networks</w:t>
      </w:r>
      <w:r w:rsidRPr="00DC4EE3">
        <w:t xml:space="preserve">, </w:t>
      </w:r>
      <w:r w:rsidRPr="00DC4EE3">
        <w:rPr>
          <w:rStyle w:val="AERtextitalic"/>
        </w:rPr>
        <w:t>Regulatory proposal</w:t>
      </w:r>
      <w:r>
        <w:t>, October</w:t>
      </w:r>
      <w:r w:rsidRPr="00DC4EE3">
        <w:t xml:space="preserve"> 201</w:t>
      </w:r>
      <w:r>
        <w:t>4</w:t>
      </w:r>
      <w:r w:rsidRPr="00DC4EE3">
        <w:t xml:space="preserve">, </w:t>
      </w:r>
      <w:r>
        <w:t>p. 345, Table 27.3.</w:t>
      </w:r>
    </w:p>
  </w:footnote>
  <w:footnote w:id="10">
    <w:p w:rsidR="00D34309" w:rsidRDefault="00D34309" w:rsidP="003119AB">
      <w:pPr>
        <w:pStyle w:val="FootnoteText"/>
      </w:pPr>
      <w:r>
        <w:rPr>
          <w:rStyle w:val="FootnoteReference"/>
        </w:rPr>
        <w:footnoteRef/>
      </w:r>
      <w:r>
        <w:t xml:space="preserve"> </w:t>
      </w:r>
      <w:r>
        <w:tab/>
        <w:t>NER, cls</w:t>
      </w:r>
      <w:r w:rsidRPr="00E646BE">
        <w:t xml:space="preserve"> 6.4.3(a)(1) and (b)(3).</w:t>
      </w:r>
    </w:p>
  </w:footnote>
  <w:footnote w:id="11">
    <w:p w:rsidR="00D34309" w:rsidRDefault="00D34309" w:rsidP="003119AB">
      <w:pPr>
        <w:pStyle w:val="FootnoteText"/>
      </w:pPr>
      <w:r>
        <w:rPr>
          <w:rStyle w:val="FootnoteReference"/>
        </w:rPr>
        <w:footnoteRef/>
      </w:r>
      <w:r>
        <w:t xml:space="preserve"> </w:t>
      </w:r>
      <w:r>
        <w:tab/>
        <w:t>NER, cl</w:t>
      </w:r>
      <w:r w:rsidRPr="00E646BE">
        <w:t xml:space="preserve"> 6.5.5(a)</w:t>
      </w:r>
    </w:p>
  </w:footnote>
  <w:footnote w:id="12">
    <w:p w:rsidR="00D34309" w:rsidRDefault="00D34309" w:rsidP="003119AB">
      <w:pPr>
        <w:pStyle w:val="FootnoteText"/>
      </w:pPr>
      <w:r>
        <w:rPr>
          <w:rStyle w:val="FootnoteReference"/>
        </w:rPr>
        <w:footnoteRef/>
      </w:r>
      <w:r>
        <w:t xml:space="preserve"> </w:t>
      </w:r>
      <w:r>
        <w:tab/>
        <w:t>NER, cl</w:t>
      </w:r>
      <w:r w:rsidRPr="00E646BE">
        <w:t xml:space="preserve"> 6.5.5(b)(1).</w:t>
      </w:r>
    </w:p>
  </w:footnote>
  <w:footnote w:id="13">
    <w:p w:rsidR="00D34309" w:rsidRDefault="00D34309" w:rsidP="003119AB">
      <w:pPr>
        <w:pStyle w:val="FootnoteText"/>
      </w:pPr>
      <w:r>
        <w:rPr>
          <w:rStyle w:val="FootnoteReference"/>
        </w:rPr>
        <w:footnoteRef/>
      </w:r>
      <w:r>
        <w:t xml:space="preserve"> </w:t>
      </w:r>
      <w:r>
        <w:tab/>
        <w:t>NER, cl</w:t>
      </w:r>
      <w:r w:rsidRPr="003B281F">
        <w:t xml:space="preserve"> 6.5.5(b)(1).</w:t>
      </w:r>
    </w:p>
  </w:footnote>
  <w:footnote w:id="14">
    <w:p w:rsidR="00D34309" w:rsidRDefault="00D34309" w:rsidP="003119AB">
      <w:pPr>
        <w:pStyle w:val="FootnoteText"/>
      </w:pPr>
      <w:r>
        <w:rPr>
          <w:rStyle w:val="FootnoteReference"/>
        </w:rPr>
        <w:footnoteRef/>
      </w:r>
      <w:r>
        <w:t xml:space="preserve"> </w:t>
      </w:r>
      <w:r>
        <w:tab/>
        <w:t>NER, cl</w:t>
      </w:r>
      <w:r w:rsidRPr="003B281F">
        <w:t xml:space="preserve"> 6.5.5(b)(2).</w:t>
      </w:r>
    </w:p>
  </w:footnote>
  <w:footnote w:id="15">
    <w:p w:rsidR="00D34309" w:rsidRDefault="00D34309" w:rsidP="003119AB">
      <w:pPr>
        <w:pStyle w:val="FootnoteText"/>
      </w:pPr>
      <w:r>
        <w:rPr>
          <w:rStyle w:val="FootnoteReference"/>
        </w:rPr>
        <w:footnoteRef/>
      </w:r>
      <w:r>
        <w:t xml:space="preserve"> </w:t>
      </w:r>
      <w:r>
        <w:tab/>
        <w:t>NER, cl</w:t>
      </w:r>
      <w:r w:rsidRPr="003B281F">
        <w:t xml:space="preserve"> 6.5.5(a)(ii).</w:t>
      </w:r>
    </w:p>
  </w:footnote>
  <w:footnote w:id="16">
    <w:p w:rsidR="00D34309" w:rsidRDefault="00D34309" w:rsidP="003119AB">
      <w:pPr>
        <w:pStyle w:val="FootnoteText"/>
      </w:pPr>
      <w:r>
        <w:rPr>
          <w:rStyle w:val="FootnoteReference"/>
        </w:rPr>
        <w:footnoteRef/>
      </w:r>
      <w:r>
        <w:t xml:space="preserve"> </w:t>
      </w:r>
      <w:r>
        <w:tab/>
        <w:t>T</w:t>
      </w:r>
      <w:r w:rsidRPr="004D4F13">
        <w:t>he PTRM</w:t>
      </w:r>
      <w:r>
        <w:t xml:space="preserve"> distinguishes </w:t>
      </w:r>
      <w:r w:rsidRPr="004D4F13">
        <w:t>between straight-line depreciation and regulatory depreciation. The difference being that regulatory depreciation is the straight-line depreciation minus the indexation adjustment.</w:t>
      </w:r>
    </w:p>
  </w:footnote>
  <w:footnote w:id="17">
    <w:p w:rsidR="00D34309" w:rsidRDefault="00D34309" w:rsidP="003119AB">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8">
    <w:p w:rsidR="00D34309" w:rsidRDefault="00D34309">
      <w:pPr>
        <w:pStyle w:val="FootnoteText"/>
      </w:pPr>
      <w:r>
        <w:rPr>
          <w:rStyle w:val="FootnoteReference"/>
        </w:rPr>
        <w:footnoteRef/>
      </w:r>
      <w:r>
        <w:t xml:space="preserve"> </w:t>
      </w:r>
      <w:r>
        <w:tab/>
        <w:t xml:space="preserve">This also includes a small correction to the allocation of the work in progress assets to relevant asset classes. See  response from SA Power Networks to AER information request, </w:t>
      </w:r>
      <w:r w:rsidRPr="00593AD1">
        <w:rPr>
          <w:rStyle w:val="AERtextitalic"/>
        </w:rPr>
        <w:t>AER SAPN 041 - Modelling - Response</w:t>
      </w:r>
      <w:r>
        <w:t xml:space="preserve">, 27 March 2015.   </w:t>
      </w:r>
    </w:p>
  </w:footnote>
  <w:footnote w:id="19">
    <w:p w:rsidR="00D34309" w:rsidRDefault="00D34309" w:rsidP="00B0187B">
      <w:pPr>
        <w:pStyle w:val="FootnoteText"/>
      </w:pPr>
      <w:r>
        <w:rPr>
          <w:rStyle w:val="FootnoteReference"/>
        </w:rPr>
        <w:footnoteRef/>
      </w:r>
      <w:r>
        <w:t xml:space="preserve"> </w:t>
      </w:r>
      <w:r>
        <w:tab/>
      </w:r>
      <w:r w:rsidRPr="00AB5D54">
        <w:t xml:space="preserve">AER, </w:t>
      </w:r>
      <w:r w:rsidRPr="00AB5D54">
        <w:rPr>
          <w:rStyle w:val="AERtextitalic"/>
        </w:rPr>
        <w:t xml:space="preserve">Draft decision: Ausgrid distribution determination 2015–16 to 2018–19, attachment 5, </w:t>
      </w:r>
      <w:r>
        <w:t xml:space="preserve">November 2014, </w:t>
      </w:r>
      <w:r w:rsidRPr="00AB5D54">
        <w:t>p</w:t>
      </w:r>
      <w:r>
        <w:t>p</w:t>
      </w:r>
      <w:r w:rsidRPr="00AB5D54">
        <w:t xml:space="preserve">. 20–21; AER, </w:t>
      </w:r>
      <w:r w:rsidRPr="00AB5D54">
        <w:rPr>
          <w:rStyle w:val="AERtextitalic"/>
        </w:rPr>
        <w:t xml:space="preserve">Draft decision: </w:t>
      </w:r>
      <w:r>
        <w:rPr>
          <w:rStyle w:val="AERtextitalic"/>
        </w:rPr>
        <w:t>Endeavour</w:t>
      </w:r>
      <w:r w:rsidRPr="00AB5D54">
        <w:rPr>
          <w:rStyle w:val="AERtextitalic"/>
        </w:rPr>
        <w:t xml:space="preserve"> distribution determination 2015–16 to 2018–19, attachment 5, </w:t>
      </w:r>
      <w:r w:rsidRPr="00AB5D54">
        <w:t xml:space="preserve">November 2014, p. </w:t>
      </w:r>
      <w:r>
        <w:t xml:space="preserve">19; </w:t>
      </w:r>
      <w:r w:rsidRPr="00AB5D54">
        <w:t xml:space="preserve">p. 134; AER, </w:t>
      </w:r>
      <w:r w:rsidRPr="00AB5D54">
        <w:rPr>
          <w:rStyle w:val="AERtextitalic"/>
        </w:rPr>
        <w:t xml:space="preserve">Draft decision: </w:t>
      </w:r>
      <w:r>
        <w:rPr>
          <w:rStyle w:val="AERtextitalic"/>
        </w:rPr>
        <w:t>Essential Energy d</w:t>
      </w:r>
      <w:r w:rsidRPr="00AB5D54">
        <w:rPr>
          <w:rStyle w:val="AERtextitalic"/>
        </w:rPr>
        <w:t xml:space="preserve">istribution determination 2015–16 to 2018–19, attachment 5, </w:t>
      </w:r>
      <w:r w:rsidRPr="00AB5D54">
        <w:t>November 2014, p. 20;</w:t>
      </w:r>
    </w:p>
  </w:footnote>
  <w:footnote w:id="20">
    <w:p w:rsidR="00D34309" w:rsidRDefault="00D34309" w:rsidP="00B0187B">
      <w:pPr>
        <w:pStyle w:val="FootnoteText"/>
      </w:pPr>
      <w:r>
        <w:rPr>
          <w:rStyle w:val="FootnoteReference"/>
        </w:rPr>
        <w:footnoteRef/>
      </w:r>
      <w:r>
        <w:t xml:space="preserve"> </w:t>
      </w:r>
      <w:r>
        <w:tab/>
        <w:t>NER, cl 6.5.5(b)(1).</w:t>
      </w:r>
    </w:p>
  </w:footnote>
  <w:footnote w:id="21">
    <w:p w:rsidR="00D34309" w:rsidRDefault="00D34309" w:rsidP="005C1235">
      <w:pPr>
        <w:pStyle w:val="FootnoteText"/>
      </w:pPr>
      <w:r>
        <w:rPr>
          <w:rStyle w:val="FootnoteReference"/>
        </w:rPr>
        <w:footnoteRef/>
      </w:r>
      <w:r>
        <w:t xml:space="preserve"> </w:t>
      </w:r>
      <w:r>
        <w:tab/>
        <w:t xml:space="preserve">Refer to pp. 113–116 of attachment 6 for more details. </w:t>
      </w:r>
    </w:p>
  </w:footnote>
  <w:footnote w:id="22">
    <w:p w:rsidR="00D34309" w:rsidRDefault="00D34309" w:rsidP="00500279">
      <w:pPr>
        <w:pStyle w:val="FootnoteText"/>
      </w:pPr>
      <w:r>
        <w:rPr>
          <w:rStyle w:val="FootnoteReference"/>
        </w:rPr>
        <w:footnoteRef/>
      </w:r>
      <w:r>
        <w:t xml:space="preserve"> </w:t>
      </w:r>
      <w:r>
        <w:tab/>
        <w:t>NEL, s. 16; NER, cl. 6.5.5</w:t>
      </w:r>
      <w:r w:rsidRPr="00926B90">
        <w:t>(b</w:t>
      </w:r>
      <w:proofErr w:type="gramStart"/>
      <w:r w:rsidRPr="00926B90">
        <w:t>)(</w:t>
      </w:r>
      <w:proofErr w:type="gramEnd"/>
      <w:r w:rsidRPr="00926B90">
        <w:t>1)</w:t>
      </w:r>
      <w:r>
        <w:t>.</w:t>
      </w:r>
    </w:p>
  </w:footnote>
  <w:footnote w:id="23">
    <w:p w:rsidR="00D34309" w:rsidRDefault="00D34309">
      <w:pPr>
        <w:pStyle w:val="FootnoteText"/>
      </w:pPr>
      <w:r>
        <w:rPr>
          <w:rStyle w:val="FootnoteReference"/>
        </w:rPr>
        <w:footnoteRef/>
      </w:r>
      <w:r>
        <w:t xml:space="preserve"> </w:t>
      </w:r>
      <w:r>
        <w:tab/>
        <w:t>There are also benefits in terms of having smoother depreciation in the long run by not tracking assets individually. That is, revenues may be more volatile if lumpy assets are depreciated individually.</w:t>
      </w:r>
    </w:p>
  </w:footnote>
  <w:footnote w:id="24">
    <w:p w:rsidR="00D34309" w:rsidRDefault="00D34309" w:rsidP="006C1180">
      <w:pPr>
        <w:pStyle w:val="FootnoteText"/>
      </w:pPr>
      <w:r>
        <w:rPr>
          <w:rStyle w:val="FootnoteReference"/>
        </w:rPr>
        <w:footnoteRef/>
      </w:r>
      <w:r>
        <w:t xml:space="preserve"> </w:t>
      </w:r>
      <w:r>
        <w:tab/>
      </w:r>
      <w:r w:rsidRPr="0028684F">
        <w:t>An asset’s actual life can vary from its expected economic life. For example, an individual asset may break unexpectedly. We determine remaining asset lives on the assumption that expected economic lives will be realised on average by the assets in their asset class.  A business may undertake engineering assessments if they consider the remaining asset lives have developed a systematic bias. For example,</w:t>
      </w:r>
      <w:r>
        <w:t xml:space="preserve"> if</w:t>
      </w:r>
      <w:r w:rsidRPr="0028684F">
        <w:t xml:space="preserve"> subsequent testing of a piece of equipment reveals it will not last as long as initially expected.  </w:t>
      </w:r>
    </w:p>
  </w:footnote>
  <w:footnote w:id="25">
    <w:p w:rsidR="00D34309" w:rsidRDefault="00D34309" w:rsidP="00500279">
      <w:pPr>
        <w:pStyle w:val="FootnoteText"/>
      </w:pPr>
      <w:r>
        <w:rPr>
          <w:rStyle w:val="FootnoteReference"/>
        </w:rPr>
        <w:footnoteRef/>
      </w:r>
      <w:r>
        <w:t xml:space="preserve"> </w:t>
      </w:r>
      <w:r>
        <w:tab/>
        <w:t>NER, cl. 6.5.5</w:t>
      </w:r>
      <w:r w:rsidRPr="00926B90">
        <w:t>(b)(1)</w:t>
      </w:r>
      <w:r>
        <w:t>.</w:t>
      </w:r>
    </w:p>
  </w:footnote>
  <w:footnote w:id="26">
    <w:p w:rsidR="00562FFF" w:rsidRDefault="00562FFF">
      <w:pPr>
        <w:pStyle w:val="FootnoteText"/>
      </w:pPr>
      <w:r>
        <w:rPr>
          <w:rStyle w:val="FootnoteReference"/>
        </w:rPr>
        <w:footnoteRef/>
      </w:r>
      <w:r>
        <w:t xml:space="preserve"> </w:t>
      </w:r>
      <w:r>
        <w:tab/>
        <w:t>This raises intergenerational equity issues with today's customers paying a greater proportion of the asset</w:t>
      </w:r>
      <w:r w:rsidR="00BD6736">
        <w:t>'</w:t>
      </w:r>
      <w:r>
        <w:t>s</w:t>
      </w:r>
      <w:r w:rsidR="00BD6736">
        <w:t xml:space="preserve"> cost</w:t>
      </w:r>
      <w:r>
        <w:t xml:space="preserve"> than future generations. In </w:t>
      </w:r>
      <w:r w:rsidR="00C114B8">
        <w:t>the long run</w:t>
      </w:r>
      <w:r>
        <w:t xml:space="preserve">, future customers </w:t>
      </w:r>
      <w:r w:rsidR="00C114B8">
        <w:t>will</w:t>
      </w:r>
      <w:r>
        <w:t xml:space="preserve"> end up using assets that have been fully depreciated </w:t>
      </w:r>
      <w:r w:rsidR="00CA3515" w:rsidRPr="00CA3515">
        <w:t xml:space="preserve">but still providing a service </w:t>
      </w:r>
      <w:r>
        <w:t>and therefore they pay only maintenance on these assets.</w:t>
      </w:r>
    </w:p>
  </w:footnote>
  <w:footnote w:id="27">
    <w:p w:rsidR="00D34309" w:rsidRPr="00E35F07" w:rsidRDefault="00D34309" w:rsidP="006C1180">
      <w:pPr>
        <w:pStyle w:val="FootnoteText"/>
      </w:pPr>
      <w:r w:rsidRPr="00E35F07">
        <w:rPr>
          <w:rStyle w:val="FootnoteReference"/>
          <w:rFonts w:ascii="Times New Roman" w:hAnsi="Times New Roman"/>
        </w:rPr>
        <w:footnoteRef/>
      </w:r>
      <w:r w:rsidRPr="00E35F07">
        <w:t xml:space="preserve"> </w:t>
      </w:r>
      <w:r>
        <w:tab/>
      </w:r>
      <w:r w:rsidRPr="00E35F07">
        <w:t xml:space="preserve">The total depreciation </w:t>
      </w:r>
      <w:r>
        <w:t xml:space="preserve">of </w:t>
      </w:r>
      <w:r w:rsidRPr="00E35F07">
        <w:t>an asset in net present value terms is equal under the two approaches.</w:t>
      </w:r>
      <w:r>
        <w:t xml:space="preserve"> However, the asset life over which it is </w:t>
      </w:r>
      <w:r w:rsidRPr="00D043FD">
        <w:t>recovered</w:t>
      </w:r>
      <w:r>
        <w:t xml:space="preserve"> differs. This difference affects both price profiles and the incentive for a business to replace the asset. As an example, recovering $100 million capex over one year or a hundred years can be done in NPV equivalent terms. But the choice of years will lead to very different price profiles and influence when the asset is replaced.</w:t>
      </w:r>
    </w:p>
  </w:footnote>
  <w:footnote w:id="28">
    <w:p w:rsidR="00D34309" w:rsidRDefault="00D34309">
      <w:pPr>
        <w:pStyle w:val="FootnoteText"/>
      </w:pPr>
      <w:r>
        <w:rPr>
          <w:rStyle w:val="FootnoteReference"/>
        </w:rPr>
        <w:footnoteRef/>
      </w:r>
      <w:r>
        <w:t xml:space="preserve"> </w:t>
      </w:r>
      <w:r>
        <w:tab/>
      </w:r>
      <w:r w:rsidRPr="00CF2984">
        <w:t>For example, an asset may expire in six years, but the average depreciation may be calculated over five years. If</w:t>
      </w:r>
      <w:r>
        <w:t xml:space="preserve"> we extend</w:t>
      </w:r>
      <w:r w:rsidRPr="00CF2984">
        <w:t xml:space="preserve"> the </w:t>
      </w:r>
      <w:r>
        <w:t>assessment period</w:t>
      </w:r>
      <w:r w:rsidRPr="00CF2984">
        <w:t xml:space="preserve"> to six years, the average depreciation fall</w:t>
      </w:r>
      <w:r>
        <w:t>s</w:t>
      </w:r>
      <w:r w:rsidRPr="00CF2984">
        <w:t xml:space="preserve"> and the remaining asset lives increase. If we extend the a</w:t>
      </w:r>
      <w:r>
        <w:t>ssessment period</w:t>
      </w:r>
      <w:r w:rsidRPr="00CF2984">
        <w:t xml:space="preserve"> to seven years, the remaining asset lives increase further by the same dynamic.</w:t>
      </w:r>
    </w:p>
  </w:footnote>
  <w:footnote w:id="29">
    <w:p w:rsidR="00D34309" w:rsidRDefault="00D34309" w:rsidP="00926B90">
      <w:pPr>
        <w:pStyle w:val="FootnoteText"/>
      </w:pPr>
      <w:r>
        <w:rPr>
          <w:rStyle w:val="FootnoteReference"/>
        </w:rPr>
        <w:footnoteRef/>
      </w:r>
      <w:r>
        <w:t xml:space="preserve"> </w:t>
      </w:r>
      <w:r>
        <w:tab/>
        <w:t xml:space="preserve">AER, </w:t>
      </w:r>
      <w:r w:rsidRPr="00926B90">
        <w:rPr>
          <w:rStyle w:val="AERtextitalic"/>
        </w:rPr>
        <w:t>Draft decision Jemena Gas Networks (NSW) Ltd Access arrangement 2015–20</w:t>
      </w:r>
      <w:r>
        <w:t>, Attachment 5, November 2014, pp.15–18.</w:t>
      </w:r>
    </w:p>
    <w:p w:rsidR="00D34309" w:rsidRDefault="00D34309" w:rsidP="00926B90">
      <w:pPr>
        <w:pStyle w:val="FootnoteText"/>
      </w:pPr>
      <w:r>
        <w:tab/>
        <w:t xml:space="preserve">AER, </w:t>
      </w:r>
      <w:r w:rsidRPr="00926B90">
        <w:rPr>
          <w:rStyle w:val="AERtextitalic"/>
        </w:rPr>
        <w:t>Draft Decision ActewAGL distribution determination 2015–16 to 2018–19</w:t>
      </w:r>
      <w:r>
        <w:t>, Attachment 5, November 2014, pp. 11–13</w:t>
      </w:r>
    </w:p>
  </w:footnote>
  <w:footnote w:id="30">
    <w:p w:rsidR="00D34309" w:rsidRPr="00E35F07" w:rsidRDefault="00D34309" w:rsidP="00D87B72">
      <w:pPr>
        <w:pStyle w:val="FootnoteText"/>
      </w:pPr>
      <w:r w:rsidRPr="00E35F07">
        <w:rPr>
          <w:rStyle w:val="FootnoteReference"/>
          <w:rFonts w:ascii="Times New Roman" w:hAnsi="Times New Roman"/>
        </w:rPr>
        <w:footnoteRef/>
      </w:r>
      <w:r w:rsidRPr="00E35F07">
        <w:t xml:space="preserve"> </w:t>
      </w:r>
      <w:r>
        <w:tab/>
      </w:r>
      <w:r w:rsidRPr="00E35F07">
        <w:t xml:space="preserve">It tends to weight older assets much more in the asset class because it effectively ignores when these assets leave the RAB and assumes they stay in it </w:t>
      </w:r>
      <w:r w:rsidRPr="00D043FD">
        <w:t>indefinitely</w:t>
      </w:r>
      <w:r w:rsidRPr="00E35F07">
        <w:t xml:space="preserve">. This </w:t>
      </w:r>
      <w:r>
        <w:t>weighting was</w:t>
      </w:r>
      <w:r w:rsidRPr="00E35F07">
        <w:t xml:space="preserve"> </w:t>
      </w:r>
      <w:r>
        <w:t>also explained</w:t>
      </w:r>
      <w:r w:rsidRPr="00E35F07">
        <w:t xml:space="preserve"> in our draft decision for J</w:t>
      </w:r>
      <w:r>
        <w:t xml:space="preserve">emena </w:t>
      </w:r>
      <w:r w:rsidRPr="00E35F07">
        <w:t>G</w:t>
      </w:r>
      <w:r>
        <w:t xml:space="preserve">as </w:t>
      </w:r>
      <w:r w:rsidRPr="00E35F07">
        <w:t>N</w:t>
      </w:r>
      <w:r>
        <w:t>etworks</w:t>
      </w:r>
      <w:r w:rsidRPr="00E35F07">
        <w:t xml:space="preserve">. See </w:t>
      </w:r>
      <w:r>
        <w:t xml:space="preserve">AER, </w:t>
      </w:r>
      <w:r w:rsidRPr="00740F07">
        <w:rPr>
          <w:rStyle w:val="AERtextitalic"/>
        </w:rPr>
        <w:t>Draft decision</w:t>
      </w:r>
      <w:r>
        <w:t>,</w:t>
      </w:r>
      <w:r w:rsidRPr="00E35F07">
        <w:t xml:space="preserve"> </w:t>
      </w:r>
      <w:r w:rsidRPr="00D043FD">
        <w:rPr>
          <w:rStyle w:val="AERtextitalic"/>
        </w:rPr>
        <w:t>Jemena Gas Networks (NSW) Ltd Access arrangement 2015–20</w:t>
      </w:r>
      <w:r w:rsidRPr="00E35F07">
        <w:t xml:space="preserve">, Attachment 5, </w:t>
      </w:r>
      <w:r>
        <w:t xml:space="preserve">November 2014, </w:t>
      </w:r>
      <w:r w:rsidRPr="00E35F07">
        <w:t>section 5.4.2</w:t>
      </w:r>
      <w:r>
        <w:t>.</w:t>
      </w:r>
    </w:p>
  </w:footnote>
  <w:footnote w:id="31">
    <w:p w:rsidR="00D34309" w:rsidRDefault="00D34309" w:rsidP="00D87B72">
      <w:pPr>
        <w:pStyle w:val="FootnoteText"/>
      </w:pPr>
      <w:r>
        <w:rPr>
          <w:rStyle w:val="FootnoteReference"/>
        </w:rPr>
        <w:footnoteRef/>
      </w:r>
      <w:r>
        <w:t xml:space="preserve"> </w:t>
      </w:r>
      <w:r>
        <w:tab/>
      </w:r>
      <w:r w:rsidRPr="007E228B">
        <w:t>NEL, s. 16(1)(a).</w:t>
      </w:r>
    </w:p>
  </w:footnote>
  <w:footnote w:id="32">
    <w:p w:rsidR="00D34309" w:rsidRDefault="00D34309" w:rsidP="00D87B72">
      <w:pPr>
        <w:pStyle w:val="FootnoteText"/>
      </w:pPr>
      <w:r>
        <w:rPr>
          <w:rStyle w:val="FootnoteReference"/>
        </w:rPr>
        <w:footnoteRef/>
      </w:r>
      <w:r>
        <w:t xml:space="preserve"> </w:t>
      </w:r>
      <w:r>
        <w:tab/>
      </w:r>
      <w:r w:rsidRPr="007E228B">
        <w:t>NEL, s. 16</w:t>
      </w:r>
      <w:r>
        <w:t>.</w:t>
      </w:r>
    </w:p>
  </w:footnote>
  <w:footnote w:id="33">
    <w:p w:rsidR="00D34309" w:rsidRDefault="00D34309" w:rsidP="00637697">
      <w:pPr>
        <w:pStyle w:val="FootnoteText"/>
      </w:pPr>
      <w:r>
        <w:rPr>
          <w:rStyle w:val="FootnoteReference"/>
        </w:rPr>
        <w:footnoteRef/>
      </w:r>
      <w:r>
        <w:t xml:space="preserve"> </w:t>
      </w:r>
      <w:r>
        <w:tab/>
        <w:t xml:space="preserve">The assets in the six asset classes shown in the figures are combined every 5 years. Once these assets are combined, information on when particular assets expire is lost. </w:t>
      </w:r>
    </w:p>
  </w:footnote>
  <w:footnote w:id="34">
    <w:p w:rsidR="00D34309" w:rsidRDefault="00D34309" w:rsidP="00500279">
      <w:pPr>
        <w:pStyle w:val="FootnoteText"/>
      </w:pPr>
      <w:r>
        <w:rPr>
          <w:rStyle w:val="FootnoteReference"/>
        </w:rPr>
        <w:footnoteRef/>
      </w:r>
      <w:r>
        <w:t xml:space="preserve"> </w:t>
      </w:r>
      <w:r>
        <w:tab/>
        <w:t>NER, cl. 6.5.5</w:t>
      </w:r>
      <w:r w:rsidRPr="00926B90">
        <w:t>(b)(1)</w:t>
      </w:r>
      <w:r>
        <w:t>.</w:t>
      </w:r>
    </w:p>
  </w:footnote>
  <w:footnote w:id="35">
    <w:p w:rsidR="00D34309" w:rsidRDefault="00D34309" w:rsidP="00500279">
      <w:pPr>
        <w:pStyle w:val="FootnoteText"/>
      </w:pPr>
      <w:r>
        <w:rPr>
          <w:rStyle w:val="FootnoteReference"/>
        </w:rPr>
        <w:footnoteRef/>
      </w:r>
      <w:r>
        <w:t xml:space="preserve"> </w:t>
      </w:r>
      <w:r>
        <w:tab/>
      </w:r>
      <w:r w:rsidRPr="007E228B">
        <w:t>NEL, s. 16(</w:t>
      </w:r>
      <w:r>
        <w:t>d</w:t>
      </w:r>
      <w:r w:rsidRPr="007E228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EC62C4"/>
    <w:multiLevelType w:val="hybridMultilevel"/>
    <w:tmpl w:val="FF32E3D4"/>
    <w:lvl w:ilvl="0" w:tplc="513CE04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0F47782"/>
    <w:multiLevelType w:val="hybridMultilevel"/>
    <w:tmpl w:val="2CECAD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95C7239"/>
    <w:multiLevelType w:val="multilevel"/>
    <w:tmpl w:val="950A1C52"/>
    <w:numStyleLink w:val="AERHeadings"/>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4DCC5F23"/>
    <w:multiLevelType w:val="multilevel"/>
    <w:tmpl w:val="4EE89B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5766877"/>
    <w:multiLevelType w:val="multilevel"/>
    <w:tmpl w:val="950A1C52"/>
    <w:numStyleLink w:val="AERHeadings"/>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BD66E36"/>
    <w:multiLevelType w:val="hybridMultilevel"/>
    <w:tmpl w:val="399EB8E2"/>
    <w:lvl w:ilvl="0" w:tplc="9D5688D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CE4384"/>
    <w:multiLevelType w:val="multilevel"/>
    <w:tmpl w:val="2D80EE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42D6867"/>
    <w:multiLevelType w:val="hybridMultilevel"/>
    <w:tmpl w:val="070E1D08"/>
    <w:lvl w:ilvl="0" w:tplc="2526A71C">
      <w:start w:val="1"/>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9D3526"/>
    <w:multiLevelType w:val="hybridMultilevel"/>
    <w:tmpl w:val="90AC9F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0">
    <w:nsid w:val="6DE36827"/>
    <w:multiLevelType w:val="multilevel"/>
    <w:tmpl w:val="950A1C52"/>
    <w:numStyleLink w:val="AERHeadings"/>
  </w:abstractNum>
  <w:abstractNum w:abstractNumId="4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4"/>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41"/>
  </w:num>
  <w:num w:numId="21">
    <w:abstractNumId w:val="14"/>
  </w:num>
  <w:num w:numId="22">
    <w:abstractNumId w:val="34"/>
  </w:num>
  <w:num w:numId="23">
    <w:abstractNumId w:val="30"/>
  </w:num>
  <w:num w:numId="24">
    <w:abstractNumId w:val="21"/>
  </w:num>
  <w:num w:numId="25">
    <w:abstractNumId w:val="32"/>
  </w:num>
  <w:num w:numId="26">
    <w:abstractNumId w:val="36"/>
  </w:num>
  <w:num w:numId="27">
    <w:abstractNumId w:val="23"/>
  </w:num>
  <w:num w:numId="28">
    <w:abstractNumId w:val="20"/>
  </w:num>
  <w:num w:numId="29">
    <w:abstractNumId w:val="17"/>
  </w:num>
  <w:num w:numId="30">
    <w:abstractNumId w:val="42"/>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40"/>
  </w:num>
  <w:num w:numId="37">
    <w:abstractNumId w:val="33"/>
  </w:num>
  <w:num w:numId="38">
    <w:abstractNumId w:val="27"/>
  </w:num>
  <w:num w:numId="39">
    <w:abstractNumId w:val="25"/>
  </w:num>
  <w:num w:numId="40">
    <w:abstractNumId w:val="19"/>
  </w:num>
  <w:num w:numId="41">
    <w:abstractNumId w:val="2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35"/>
  </w:num>
  <w:num w:numId="46">
    <w:abstractNumId w:val="11"/>
  </w:num>
  <w:num w:numId="4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0kbS95EbFE1/I4FCqxYtHINpNi6M7M6anUEZfC/qAk=" w:saltValue="lFEV756Svun4itu4Y3qkBA==" w:algorithmName="SHA-256"/>
  <w:defaultTabStop w:val="34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5 - Regulatory depreciation - April 2015.DOCX"/>
  </w:docVars>
  <w:rsids>
    <w:rsidRoot w:val="00961A4A"/>
    <w:rsid w:val="000000A7"/>
    <w:rsid w:val="000065DC"/>
    <w:rsid w:val="00021202"/>
    <w:rsid w:val="00024F1A"/>
    <w:rsid w:val="0002517F"/>
    <w:rsid w:val="00033878"/>
    <w:rsid w:val="00034900"/>
    <w:rsid w:val="000354EF"/>
    <w:rsid w:val="0003578C"/>
    <w:rsid w:val="00045513"/>
    <w:rsid w:val="00045C0B"/>
    <w:rsid w:val="00046064"/>
    <w:rsid w:val="00047759"/>
    <w:rsid w:val="000619B7"/>
    <w:rsid w:val="00063247"/>
    <w:rsid w:val="00070F9F"/>
    <w:rsid w:val="0007137B"/>
    <w:rsid w:val="00075D70"/>
    <w:rsid w:val="00085663"/>
    <w:rsid w:val="00085EBF"/>
    <w:rsid w:val="00085F01"/>
    <w:rsid w:val="000A0E97"/>
    <w:rsid w:val="000A1813"/>
    <w:rsid w:val="000A3020"/>
    <w:rsid w:val="000A30E9"/>
    <w:rsid w:val="000A6C7B"/>
    <w:rsid w:val="000B7E7E"/>
    <w:rsid w:val="000C697A"/>
    <w:rsid w:val="000D122C"/>
    <w:rsid w:val="000E1819"/>
    <w:rsid w:val="000E4821"/>
    <w:rsid w:val="000E6C72"/>
    <w:rsid w:val="000E6E24"/>
    <w:rsid w:val="00103540"/>
    <w:rsid w:val="0010384C"/>
    <w:rsid w:val="00111A11"/>
    <w:rsid w:val="00116EB2"/>
    <w:rsid w:val="00124609"/>
    <w:rsid w:val="00126A4C"/>
    <w:rsid w:val="00136BBE"/>
    <w:rsid w:val="00140D9F"/>
    <w:rsid w:val="0014573B"/>
    <w:rsid w:val="00151A75"/>
    <w:rsid w:val="001573E4"/>
    <w:rsid w:val="00160756"/>
    <w:rsid w:val="00163ED0"/>
    <w:rsid w:val="0016534A"/>
    <w:rsid w:val="0017232E"/>
    <w:rsid w:val="00174102"/>
    <w:rsid w:val="00180157"/>
    <w:rsid w:val="00185CB9"/>
    <w:rsid w:val="00186F77"/>
    <w:rsid w:val="001926A4"/>
    <w:rsid w:val="00192AD5"/>
    <w:rsid w:val="001A2004"/>
    <w:rsid w:val="001B143F"/>
    <w:rsid w:val="001B45A0"/>
    <w:rsid w:val="001D055E"/>
    <w:rsid w:val="001D07FB"/>
    <w:rsid w:val="001E25E5"/>
    <w:rsid w:val="001F492E"/>
    <w:rsid w:val="001F6DA3"/>
    <w:rsid w:val="002010BC"/>
    <w:rsid w:val="00202E03"/>
    <w:rsid w:val="00203F01"/>
    <w:rsid w:val="00204479"/>
    <w:rsid w:val="0020492C"/>
    <w:rsid w:val="00204A2B"/>
    <w:rsid w:val="00205D54"/>
    <w:rsid w:val="00224DB9"/>
    <w:rsid w:val="00233775"/>
    <w:rsid w:val="00243B6A"/>
    <w:rsid w:val="00251745"/>
    <w:rsid w:val="00263AC0"/>
    <w:rsid w:val="00264264"/>
    <w:rsid w:val="0026772D"/>
    <w:rsid w:val="00286874"/>
    <w:rsid w:val="00290C63"/>
    <w:rsid w:val="00294D55"/>
    <w:rsid w:val="00296B65"/>
    <w:rsid w:val="002A27F9"/>
    <w:rsid w:val="002A7DEF"/>
    <w:rsid w:val="002B454F"/>
    <w:rsid w:val="002C7D8C"/>
    <w:rsid w:val="002E583C"/>
    <w:rsid w:val="002E7B22"/>
    <w:rsid w:val="002F63CC"/>
    <w:rsid w:val="002F7986"/>
    <w:rsid w:val="00301B40"/>
    <w:rsid w:val="003029EE"/>
    <w:rsid w:val="00305CC8"/>
    <w:rsid w:val="00307F6D"/>
    <w:rsid w:val="003119AB"/>
    <w:rsid w:val="0031276A"/>
    <w:rsid w:val="003177A2"/>
    <w:rsid w:val="00324FBD"/>
    <w:rsid w:val="00326F9A"/>
    <w:rsid w:val="003271B5"/>
    <w:rsid w:val="003271F5"/>
    <w:rsid w:val="00327A1E"/>
    <w:rsid w:val="00331264"/>
    <w:rsid w:val="00334C8D"/>
    <w:rsid w:val="00343A18"/>
    <w:rsid w:val="00347975"/>
    <w:rsid w:val="003518B3"/>
    <w:rsid w:val="00357980"/>
    <w:rsid w:val="00364049"/>
    <w:rsid w:val="00367765"/>
    <w:rsid w:val="00373452"/>
    <w:rsid w:val="00374114"/>
    <w:rsid w:val="003846F1"/>
    <w:rsid w:val="00385FCA"/>
    <w:rsid w:val="003B484F"/>
    <w:rsid w:val="003B4D9E"/>
    <w:rsid w:val="003C5312"/>
    <w:rsid w:val="003E42EA"/>
    <w:rsid w:val="003E4897"/>
    <w:rsid w:val="003F174D"/>
    <w:rsid w:val="003F5BEE"/>
    <w:rsid w:val="004075D9"/>
    <w:rsid w:val="004101BA"/>
    <w:rsid w:val="00412639"/>
    <w:rsid w:val="00424056"/>
    <w:rsid w:val="00435E01"/>
    <w:rsid w:val="00452402"/>
    <w:rsid w:val="0045777E"/>
    <w:rsid w:val="00480B4B"/>
    <w:rsid w:val="00483818"/>
    <w:rsid w:val="00483967"/>
    <w:rsid w:val="00485DC4"/>
    <w:rsid w:val="00493053"/>
    <w:rsid w:val="004A43D1"/>
    <w:rsid w:val="004B200E"/>
    <w:rsid w:val="004B4412"/>
    <w:rsid w:val="004C348C"/>
    <w:rsid w:val="004D55BA"/>
    <w:rsid w:val="004D7B2C"/>
    <w:rsid w:val="004E22EC"/>
    <w:rsid w:val="004E2575"/>
    <w:rsid w:val="00500279"/>
    <w:rsid w:val="005039B3"/>
    <w:rsid w:val="00515A31"/>
    <w:rsid w:val="00530128"/>
    <w:rsid w:val="00532467"/>
    <w:rsid w:val="00535F74"/>
    <w:rsid w:val="005441EC"/>
    <w:rsid w:val="0055235B"/>
    <w:rsid w:val="00562FFF"/>
    <w:rsid w:val="005649EB"/>
    <w:rsid w:val="00564A4D"/>
    <w:rsid w:val="00564C17"/>
    <w:rsid w:val="00565C63"/>
    <w:rsid w:val="00567BA5"/>
    <w:rsid w:val="00571B35"/>
    <w:rsid w:val="00571D57"/>
    <w:rsid w:val="00573525"/>
    <w:rsid w:val="005770A7"/>
    <w:rsid w:val="00577A09"/>
    <w:rsid w:val="00581412"/>
    <w:rsid w:val="00581806"/>
    <w:rsid w:val="005829C2"/>
    <w:rsid w:val="00584D8F"/>
    <w:rsid w:val="00593AD1"/>
    <w:rsid w:val="005A404D"/>
    <w:rsid w:val="005A7A84"/>
    <w:rsid w:val="005B1E3C"/>
    <w:rsid w:val="005B3615"/>
    <w:rsid w:val="005C1235"/>
    <w:rsid w:val="005C26CC"/>
    <w:rsid w:val="005D7A5A"/>
    <w:rsid w:val="005D7BA2"/>
    <w:rsid w:val="005E36C2"/>
    <w:rsid w:val="005E569C"/>
    <w:rsid w:val="005F67AD"/>
    <w:rsid w:val="00601178"/>
    <w:rsid w:val="00613F23"/>
    <w:rsid w:val="00615C6B"/>
    <w:rsid w:val="00616A2E"/>
    <w:rsid w:val="00616AD0"/>
    <w:rsid w:val="00621DCE"/>
    <w:rsid w:val="00624D78"/>
    <w:rsid w:val="00632C7C"/>
    <w:rsid w:val="00632D6D"/>
    <w:rsid w:val="00633585"/>
    <w:rsid w:val="00637697"/>
    <w:rsid w:val="00642C3E"/>
    <w:rsid w:val="0064587A"/>
    <w:rsid w:val="0066104A"/>
    <w:rsid w:val="00663DAD"/>
    <w:rsid w:val="00673D83"/>
    <w:rsid w:val="00675E20"/>
    <w:rsid w:val="00676679"/>
    <w:rsid w:val="00683C89"/>
    <w:rsid w:val="00691C97"/>
    <w:rsid w:val="0069202E"/>
    <w:rsid w:val="006972E6"/>
    <w:rsid w:val="006A2B0F"/>
    <w:rsid w:val="006A61FE"/>
    <w:rsid w:val="006B2395"/>
    <w:rsid w:val="006B2FEF"/>
    <w:rsid w:val="006B4CF9"/>
    <w:rsid w:val="006B6173"/>
    <w:rsid w:val="006B7AC8"/>
    <w:rsid w:val="006C1180"/>
    <w:rsid w:val="006C46EA"/>
    <w:rsid w:val="006D0CAA"/>
    <w:rsid w:val="006D550F"/>
    <w:rsid w:val="006E08FA"/>
    <w:rsid w:val="006E7558"/>
    <w:rsid w:val="006F0E9F"/>
    <w:rsid w:val="006F532E"/>
    <w:rsid w:val="00701CAB"/>
    <w:rsid w:val="00707563"/>
    <w:rsid w:val="0072348C"/>
    <w:rsid w:val="00724A37"/>
    <w:rsid w:val="007303C3"/>
    <w:rsid w:val="007334CB"/>
    <w:rsid w:val="00740F07"/>
    <w:rsid w:val="007429BE"/>
    <w:rsid w:val="00743223"/>
    <w:rsid w:val="00746E01"/>
    <w:rsid w:val="00757BDF"/>
    <w:rsid w:val="00760FA1"/>
    <w:rsid w:val="00763E5D"/>
    <w:rsid w:val="00767740"/>
    <w:rsid w:val="00777269"/>
    <w:rsid w:val="00777EE6"/>
    <w:rsid w:val="00782EEA"/>
    <w:rsid w:val="007A2D4C"/>
    <w:rsid w:val="007A6326"/>
    <w:rsid w:val="007B2C72"/>
    <w:rsid w:val="007C0DA1"/>
    <w:rsid w:val="007C1C53"/>
    <w:rsid w:val="007C74BB"/>
    <w:rsid w:val="007D4B4F"/>
    <w:rsid w:val="007D60F7"/>
    <w:rsid w:val="007D6C2E"/>
    <w:rsid w:val="007E4904"/>
    <w:rsid w:val="007E4CB5"/>
    <w:rsid w:val="007F066B"/>
    <w:rsid w:val="008033C4"/>
    <w:rsid w:val="00803CB5"/>
    <w:rsid w:val="00806C88"/>
    <w:rsid w:val="0081034E"/>
    <w:rsid w:val="00812F36"/>
    <w:rsid w:val="008212B7"/>
    <w:rsid w:val="0082190E"/>
    <w:rsid w:val="008306CB"/>
    <w:rsid w:val="008344F6"/>
    <w:rsid w:val="0083510F"/>
    <w:rsid w:val="0084310E"/>
    <w:rsid w:val="0084703E"/>
    <w:rsid w:val="00851209"/>
    <w:rsid w:val="00861ACF"/>
    <w:rsid w:val="00872465"/>
    <w:rsid w:val="008776A9"/>
    <w:rsid w:val="008837AC"/>
    <w:rsid w:val="00890C6E"/>
    <w:rsid w:val="008A587D"/>
    <w:rsid w:val="008B35CD"/>
    <w:rsid w:val="008B4356"/>
    <w:rsid w:val="008B5FCC"/>
    <w:rsid w:val="008B7D0A"/>
    <w:rsid w:val="008C5486"/>
    <w:rsid w:val="008D1661"/>
    <w:rsid w:val="008E7031"/>
    <w:rsid w:val="008E77DE"/>
    <w:rsid w:val="008F07A3"/>
    <w:rsid w:val="008F091B"/>
    <w:rsid w:val="00900E1B"/>
    <w:rsid w:val="00901A87"/>
    <w:rsid w:val="0090301E"/>
    <w:rsid w:val="00903CEB"/>
    <w:rsid w:val="009233EE"/>
    <w:rsid w:val="00926B90"/>
    <w:rsid w:val="00926BD6"/>
    <w:rsid w:val="00933008"/>
    <w:rsid w:val="00942450"/>
    <w:rsid w:val="00942A41"/>
    <w:rsid w:val="00945852"/>
    <w:rsid w:val="009460AA"/>
    <w:rsid w:val="009461A4"/>
    <w:rsid w:val="00951978"/>
    <w:rsid w:val="00961A4A"/>
    <w:rsid w:val="00964885"/>
    <w:rsid w:val="009661DE"/>
    <w:rsid w:val="009743F0"/>
    <w:rsid w:val="009807C0"/>
    <w:rsid w:val="00983C25"/>
    <w:rsid w:val="009856B7"/>
    <w:rsid w:val="00985C86"/>
    <w:rsid w:val="0099218F"/>
    <w:rsid w:val="009A10EE"/>
    <w:rsid w:val="009A5FC3"/>
    <w:rsid w:val="009A74F2"/>
    <w:rsid w:val="009B1B2E"/>
    <w:rsid w:val="009B355B"/>
    <w:rsid w:val="009B574F"/>
    <w:rsid w:val="009B74B0"/>
    <w:rsid w:val="009D6B46"/>
    <w:rsid w:val="009E646C"/>
    <w:rsid w:val="009F4940"/>
    <w:rsid w:val="009F550A"/>
    <w:rsid w:val="009F5BA1"/>
    <w:rsid w:val="00A027AC"/>
    <w:rsid w:val="00A02A88"/>
    <w:rsid w:val="00A0562E"/>
    <w:rsid w:val="00A0726D"/>
    <w:rsid w:val="00A14770"/>
    <w:rsid w:val="00A14ABA"/>
    <w:rsid w:val="00A23A32"/>
    <w:rsid w:val="00A32FBB"/>
    <w:rsid w:val="00A41E59"/>
    <w:rsid w:val="00A42822"/>
    <w:rsid w:val="00A428EE"/>
    <w:rsid w:val="00A4478A"/>
    <w:rsid w:val="00A44852"/>
    <w:rsid w:val="00A53DFD"/>
    <w:rsid w:val="00A5580D"/>
    <w:rsid w:val="00A57D04"/>
    <w:rsid w:val="00A60A26"/>
    <w:rsid w:val="00A61598"/>
    <w:rsid w:val="00A661B9"/>
    <w:rsid w:val="00A7437A"/>
    <w:rsid w:val="00A75C33"/>
    <w:rsid w:val="00A76B32"/>
    <w:rsid w:val="00A76FF5"/>
    <w:rsid w:val="00A84A99"/>
    <w:rsid w:val="00A84F46"/>
    <w:rsid w:val="00A871F4"/>
    <w:rsid w:val="00A931D4"/>
    <w:rsid w:val="00AB5D54"/>
    <w:rsid w:val="00AC1B2C"/>
    <w:rsid w:val="00AC3264"/>
    <w:rsid w:val="00AC386C"/>
    <w:rsid w:val="00AD11FD"/>
    <w:rsid w:val="00AD46D1"/>
    <w:rsid w:val="00AE106B"/>
    <w:rsid w:val="00AE1BF1"/>
    <w:rsid w:val="00AF0DD2"/>
    <w:rsid w:val="00AF786C"/>
    <w:rsid w:val="00B0187B"/>
    <w:rsid w:val="00B13048"/>
    <w:rsid w:val="00B16647"/>
    <w:rsid w:val="00B1716D"/>
    <w:rsid w:val="00B17A1D"/>
    <w:rsid w:val="00B207A0"/>
    <w:rsid w:val="00B22B98"/>
    <w:rsid w:val="00B40597"/>
    <w:rsid w:val="00B514DD"/>
    <w:rsid w:val="00B52AF0"/>
    <w:rsid w:val="00B561BD"/>
    <w:rsid w:val="00B56E03"/>
    <w:rsid w:val="00B60CC7"/>
    <w:rsid w:val="00B61F32"/>
    <w:rsid w:val="00B669FC"/>
    <w:rsid w:val="00B72CDE"/>
    <w:rsid w:val="00B7403B"/>
    <w:rsid w:val="00B8080B"/>
    <w:rsid w:val="00B846DC"/>
    <w:rsid w:val="00B87BA5"/>
    <w:rsid w:val="00B87C39"/>
    <w:rsid w:val="00B97C47"/>
    <w:rsid w:val="00BA4665"/>
    <w:rsid w:val="00BB2FB2"/>
    <w:rsid w:val="00BB3304"/>
    <w:rsid w:val="00BB4B42"/>
    <w:rsid w:val="00BC06E7"/>
    <w:rsid w:val="00BC44DE"/>
    <w:rsid w:val="00BC4656"/>
    <w:rsid w:val="00BD3446"/>
    <w:rsid w:val="00BD344D"/>
    <w:rsid w:val="00BD6736"/>
    <w:rsid w:val="00BD7BF2"/>
    <w:rsid w:val="00BE1F1B"/>
    <w:rsid w:val="00BE47B5"/>
    <w:rsid w:val="00BF17C9"/>
    <w:rsid w:val="00BF67E6"/>
    <w:rsid w:val="00C02045"/>
    <w:rsid w:val="00C02F8E"/>
    <w:rsid w:val="00C114B8"/>
    <w:rsid w:val="00C25FA6"/>
    <w:rsid w:val="00C33342"/>
    <w:rsid w:val="00C52077"/>
    <w:rsid w:val="00C529CD"/>
    <w:rsid w:val="00C5332A"/>
    <w:rsid w:val="00C533E3"/>
    <w:rsid w:val="00C538A9"/>
    <w:rsid w:val="00C53B5A"/>
    <w:rsid w:val="00C54F5A"/>
    <w:rsid w:val="00C55B84"/>
    <w:rsid w:val="00C569B4"/>
    <w:rsid w:val="00C67A92"/>
    <w:rsid w:val="00C75744"/>
    <w:rsid w:val="00C86679"/>
    <w:rsid w:val="00C91712"/>
    <w:rsid w:val="00C93E17"/>
    <w:rsid w:val="00CA3515"/>
    <w:rsid w:val="00CA3720"/>
    <w:rsid w:val="00CA489E"/>
    <w:rsid w:val="00CB0279"/>
    <w:rsid w:val="00CB666B"/>
    <w:rsid w:val="00CC2943"/>
    <w:rsid w:val="00CC3B48"/>
    <w:rsid w:val="00CC7F1D"/>
    <w:rsid w:val="00CD0C89"/>
    <w:rsid w:val="00CE5FFD"/>
    <w:rsid w:val="00CF2984"/>
    <w:rsid w:val="00CF7BE7"/>
    <w:rsid w:val="00D006AE"/>
    <w:rsid w:val="00D0151D"/>
    <w:rsid w:val="00D01CF0"/>
    <w:rsid w:val="00D043FD"/>
    <w:rsid w:val="00D0442A"/>
    <w:rsid w:val="00D14FD8"/>
    <w:rsid w:val="00D34309"/>
    <w:rsid w:val="00D37A66"/>
    <w:rsid w:val="00D40BE2"/>
    <w:rsid w:val="00D50C10"/>
    <w:rsid w:val="00D5471F"/>
    <w:rsid w:val="00D61388"/>
    <w:rsid w:val="00D61A54"/>
    <w:rsid w:val="00D64DEA"/>
    <w:rsid w:val="00D7033C"/>
    <w:rsid w:val="00D7168E"/>
    <w:rsid w:val="00D71E57"/>
    <w:rsid w:val="00D72E52"/>
    <w:rsid w:val="00D75EBF"/>
    <w:rsid w:val="00D80893"/>
    <w:rsid w:val="00D84854"/>
    <w:rsid w:val="00D8495A"/>
    <w:rsid w:val="00D87B72"/>
    <w:rsid w:val="00D908E9"/>
    <w:rsid w:val="00D92CF1"/>
    <w:rsid w:val="00D92D38"/>
    <w:rsid w:val="00D950F5"/>
    <w:rsid w:val="00DA4752"/>
    <w:rsid w:val="00DA61F3"/>
    <w:rsid w:val="00DA65F8"/>
    <w:rsid w:val="00DB0F93"/>
    <w:rsid w:val="00DB1A67"/>
    <w:rsid w:val="00DB5074"/>
    <w:rsid w:val="00DC7981"/>
    <w:rsid w:val="00DD3DC4"/>
    <w:rsid w:val="00DE1093"/>
    <w:rsid w:val="00DE3055"/>
    <w:rsid w:val="00DE4EFA"/>
    <w:rsid w:val="00DE5520"/>
    <w:rsid w:val="00DE563D"/>
    <w:rsid w:val="00DF3F5E"/>
    <w:rsid w:val="00DF5066"/>
    <w:rsid w:val="00E04818"/>
    <w:rsid w:val="00E06442"/>
    <w:rsid w:val="00E1346C"/>
    <w:rsid w:val="00E16C50"/>
    <w:rsid w:val="00E23993"/>
    <w:rsid w:val="00E243D8"/>
    <w:rsid w:val="00E25B8C"/>
    <w:rsid w:val="00E30897"/>
    <w:rsid w:val="00E4269F"/>
    <w:rsid w:val="00E43D52"/>
    <w:rsid w:val="00E44605"/>
    <w:rsid w:val="00E5552F"/>
    <w:rsid w:val="00E570AD"/>
    <w:rsid w:val="00E57CCC"/>
    <w:rsid w:val="00E65C85"/>
    <w:rsid w:val="00E66199"/>
    <w:rsid w:val="00E755EC"/>
    <w:rsid w:val="00E7624D"/>
    <w:rsid w:val="00E85F7F"/>
    <w:rsid w:val="00E86127"/>
    <w:rsid w:val="00E920EC"/>
    <w:rsid w:val="00E961F2"/>
    <w:rsid w:val="00EA3D42"/>
    <w:rsid w:val="00EA6B1B"/>
    <w:rsid w:val="00EB08F7"/>
    <w:rsid w:val="00EB48E6"/>
    <w:rsid w:val="00EB4F2C"/>
    <w:rsid w:val="00EC341F"/>
    <w:rsid w:val="00EC3DA2"/>
    <w:rsid w:val="00EC44B4"/>
    <w:rsid w:val="00ED7323"/>
    <w:rsid w:val="00EE28F3"/>
    <w:rsid w:val="00EF03E8"/>
    <w:rsid w:val="00EF0BF0"/>
    <w:rsid w:val="00EF2C46"/>
    <w:rsid w:val="00EF4AAB"/>
    <w:rsid w:val="00EF5110"/>
    <w:rsid w:val="00F01B6C"/>
    <w:rsid w:val="00F10411"/>
    <w:rsid w:val="00F15882"/>
    <w:rsid w:val="00F171E0"/>
    <w:rsid w:val="00F17A5A"/>
    <w:rsid w:val="00F20BD3"/>
    <w:rsid w:val="00F2176E"/>
    <w:rsid w:val="00F26014"/>
    <w:rsid w:val="00F2722D"/>
    <w:rsid w:val="00F3594E"/>
    <w:rsid w:val="00F373A5"/>
    <w:rsid w:val="00F449E0"/>
    <w:rsid w:val="00F47559"/>
    <w:rsid w:val="00F64C7B"/>
    <w:rsid w:val="00F676DD"/>
    <w:rsid w:val="00F70D38"/>
    <w:rsid w:val="00F717F7"/>
    <w:rsid w:val="00F72E82"/>
    <w:rsid w:val="00F75A26"/>
    <w:rsid w:val="00F76706"/>
    <w:rsid w:val="00F83FAD"/>
    <w:rsid w:val="00F92D18"/>
    <w:rsid w:val="00F93CEF"/>
    <w:rsid w:val="00F952A0"/>
    <w:rsid w:val="00FA3C7F"/>
    <w:rsid w:val="00FA4A47"/>
    <w:rsid w:val="00FB62F5"/>
    <w:rsid w:val="00FB74E2"/>
    <w:rsid w:val="00FC10C4"/>
    <w:rsid w:val="00FD5614"/>
    <w:rsid w:val="00FD58DB"/>
    <w:rsid w:val="00FE0BE1"/>
    <w:rsid w:val="00FE1DE9"/>
    <w:rsid w:val="00FE36AF"/>
    <w:rsid w:val="00FE39C2"/>
    <w:rsid w:val="00FE3C32"/>
    <w:rsid w:val="00FE64AE"/>
    <w:rsid w:val="00FF3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5039B3"/>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5039B3"/>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16C5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5039B3"/>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5039B3"/>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16C5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12">
      <w:bodyDiv w:val="1"/>
      <w:marLeft w:val="0"/>
      <w:marRight w:val="0"/>
      <w:marTop w:val="0"/>
      <w:marBottom w:val="0"/>
      <w:divBdr>
        <w:top w:val="none" w:sz="0" w:space="0" w:color="auto"/>
        <w:left w:val="none" w:sz="0" w:space="0" w:color="auto"/>
        <w:bottom w:val="none" w:sz="0" w:space="0" w:color="auto"/>
        <w:right w:val="none" w:sz="0" w:space="0" w:color="auto"/>
      </w:divBdr>
    </w:div>
    <w:div w:id="109783021">
      <w:bodyDiv w:val="1"/>
      <w:marLeft w:val="0"/>
      <w:marRight w:val="0"/>
      <w:marTop w:val="0"/>
      <w:marBottom w:val="0"/>
      <w:divBdr>
        <w:top w:val="none" w:sz="0" w:space="0" w:color="auto"/>
        <w:left w:val="none" w:sz="0" w:space="0" w:color="auto"/>
        <w:bottom w:val="none" w:sz="0" w:space="0" w:color="auto"/>
        <w:right w:val="none" w:sz="0" w:space="0" w:color="auto"/>
      </w:divBdr>
    </w:div>
    <w:div w:id="22468620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72806060">
      <w:bodyDiv w:val="1"/>
      <w:marLeft w:val="0"/>
      <w:marRight w:val="0"/>
      <w:marTop w:val="0"/>
      <w:marBottom w:val="0"/>
      <w:divBdr>
        <w:top w:val="none" w:sz="0" w:space="0" w:color="auto"/>
        <w:left w:val="none" w:sz="0" w:space="0" w:color="auto"/>
        <w:bottom w:val="none" w:sz="0" w:space="0" w:color="auto"/>
        <w:right w:val="none" w:sz="0" w:space="0" w:color="auto"/>
      </w:divBdr>
    </w:div>
    <w:div w:id="887030044">
      <w:bodyDiv w:val="1"/>
      <w:marLeft w:val="0"/>
      <w:marRight w:val="0"/>
      <w:marTop w:val="0"/>
      <w:marBottom w:val="0"/>
      <w:divBdr>
        <w:top w:val="none" w:sz="0" w:space="0" w:color="auto"/>
        <w:left w:val="none" w:sz="0" w:space="0" w:color="auto"/>
        <w:bottom w:val="none" w:sz="0" w:space="0" w:color="auto"/>
        <w:right w:val="none" w:sz="0" w:space="0" w:color="auto"/>
      </w:divBdr>
    </w:div>
    <w:div w:id="90749669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4440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19</Pages>
  <Words>4956</Words>
  <Characters>28250</Characters>
  <Application>Microsoft Office Word</Application>
  <DocSecurity>4</DocSecurity>
  <Lines>235</Lines>
  <Paragraphs>66</Paragraphs>
  <ScaleCrop>false</ScaleCrop>
  <LinksUpToDate>false</LinksUpToDate>
  <CharactersWithSpaces>33140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2015-04-27T08:19:00Z</dcterms:created>
  <dcterms:modified xsi:type="dcterms:W3CDTF">2015-04-27T08:19:00Z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